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January 28, 2006</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2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218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53"/>
        </w:trPr>
        <w:tc>
          <w:tcPr>
            <w:tcW w:w="2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80" w:type="dxa"/>
            <w:vAlign w:val="bottom"/>
            <w:gridSpan w:val="3"/>
          </w:tcPr>
          <w:p>
            <w:pPr>
              <w:ind w:left="40"/>
              <w:spacing w:after="0"/>
              <w:rPr>
                <w:sz w:val="20"/>
                <w:szCs w:val="20"/>
                <w:color w:val="auto"/>
              </w:rPr>
            </w:pPr>
            <w:r>
              <w:rPr>
                <w:rFonts w:ascii="Arial" w:cs="Arial" w:eastAsia="Arial" w:hAnsi="Arial"/>
                <w:sz w:val="18"/>
                <w:szCs w:val="18"/>
                <w:b w:val="1"/>
                <w:bCs w:val="1"/>
                <w:color w:val="auto"/>
                <w:w w:val="88"/>
              </w:rPr>
              <w:t>Commission File No. 1-7819</w:t>
            </w: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Analog Devices, Inc .</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10"/>
              <w:spacing w:after="0"/>
              <w:rPr>
                <w:sz w:val="20"/>
                <w:szCs w:val="20"/>
                <w:color w:val="auto"/>
              </w:rPr>
            </w:pPr>
            <w:r>
              <w:rPr>
                <w:rFonts w:ascii="Arial" w:cs="Arial" w:eastAsia="Arial" w:hAnsi="Arial"/>
                <w:sz w:val="18"/>
                <w:szCs w:val="18"/>
                <w:i w:val="1"/>
                <w:iCs w:val="1"/>
                <w:color w:val="auto"/>
                <w:w w:val="94"/>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418"/>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180340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0"/>
          <w:szCs w:val="20"/>
          <w:color w:val="auto"/>
        </w:rPr>
      </w:pPr>
    </w:p>
    <w:p>
      <w:pPr>
        <w:spacing w:after="0" w:line="207" w:lineRule="exact"/>
        <w:tabs>
          <w:tab w:leader="none" w:pos="5040" w:val="left"/>
          <w:tab w:leader="none" w:pos="8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12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28, 2006 there were 366,140,653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 FINANCIAL INFORMATION</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2">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32">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PART II — OTHER INFORMATION</w:t>
        </w:r>
      </w:hyperlink>
    </w:p>
    <w:p>
      <w:pPr>
        <w:spacing w:after="0" w:line="1" w:lineRule="exact"/>
        <w:rPr>
          <w:rFonts w:ascii="Arial" w:cs="Arial" w:eastAsia="Arial" w:hAnsi="Arial"/>
          <w:sz w:val="22"/>
          <w:szCs w:val="22"/>
          <w:u w:val="single" w:color="auto"/>
          <w:color w:val="0000EE"/>
        </w:rPr>
      </w:pPr>
    </w:p>
    <w:p>
      <w:pPr>
        <w:ind w:left="320" w:right="3299"/>
        <w:spacing w:after="0" w:line="230"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33">
        <w:r>
          <w:rPr>
            <w:rFonts w:ascii="Arial" w:cs="Arial" w:eastAsia="Arial" w:hAnsi="Arial"/>
            <w:sz w:val="22"/>
            <w:szCs w:val="22"/>
            <w:u w:val="single" w:color="auto"/>
            <w:color w:val="0000EE"/>
          </w:rPr>
          <w:t>ITEM 6. Exhibits</w:t>
        </w:r>
      </w:hyperlink>
    </w:p>
    <w:p>
      <w:pPr>
        <w:spacing w:after="0" w:line="231" w:lineRule="auto"/>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Ex-10.3 Amended and Restated Deferred Compensation Plan</w:t>
      </w:r>
    </w:p>
    <w:p>
      <w:pPr>
        <w:spacing w:after="0" w:line="230" w:lineRule="auto"/>
        <w:rPr>
          <w:sz w:val="20"/>
          <w:szCs w:val="20"/>
          <w:color w:val="auto"/>
        </w:rPr>
      </w:pPr>
      <w:r>
        <w:rPr>
          <w:rFonts w:ascii="Arial" w:cs="Arial" w:eastAsia="Arial" w:hAnsi="Arial"/>
          <w:sz w:val="22"/>
          <w:szCs w:val="22"/>
          <w:u w:val="single" w:color="auto"/>
          <w:color w:val="0000EE"/>
        </w:rPr>
        <w:t>Ex-31.1 Section 302 Certification of CEO</w:t>
      </w:r>
    </w:p>
    <w:p>
      <w:pPr>
        <w:spacing w:after="0" w:line="231" w:lineRule="auto"/>
        <w:rPr>
          <w:sz w:val="20"/>
          <w:szCs w:val="20"/>
          <w:color w:val="auto"/>
        </w:rPr>
      </w:pPr>
      <w:r>
        <w:rPr>
          <w:rFonts w:ascii="Arial" w:cs="Arial" w:eastAsia="Arial" w:hAnsi="Arial"/>
          <w:sz w:val="22"/>
          <w:szCs w:val="22"/>
          <w:u w:val="single" w:color="auto"/>
          <w:color w:val="0000EE"/>
        </w:rPr>
        <w:t>Ex-31.2 Section 302 Certification of CFO</w:t>
      </w:r>
    </w:p>
    <w:p>
      <w:pPr>
        <w:spacing w:after="0" w:line="231" w:lineRule="auto"/>
        <w:rPr>
          <w:sz w:val="20"/>
          <w:szCs w:val="20"/>
          <w:color w:val="auto"/>
        </w:rPr>
      </w:pPr>
      <w:r>
        <w:rPr>
          <w:rFonts w:ascii="Arial" w:cs="Arial" w:eastAsia="Arial" w:hAnsi="Arial"/>
          <w:sz w:val="22"/>
          <w:szCs w:val="22"/>
          <w:u w:val="single" w:color="auto"/>
          <w:color w:val="0000EE"/>
        </w:rPr>
        <w:t>Ex-32.1 Section 906 Certification of CEO</w:t>
      </w:r>
    </w:p>
    <w:p>
      <w:pPr>
        <w:spacing w:after="0"/>
        <w:rPr>
          <w:sz w:val="20"/>
          <w:szCs w:val="20"/>
          <w:color w:val="auto"/>
        </w:rPr>
      </w:pPr>
      <w:r>
        <w:rPr>
          <w:rFonts w:ascii="Arial" w:cs="Arial" w:eastAsia="Arial" w:hAnsi="Arial"/>
          <w:sz w:val="22"/>
          <w:szCs w:val="22"/>
          <w:u w:val="single" w:color="auto"/>
          <w:color w:val="0000EE"/>
        </w:rPr>
        <w:t>Ex-32.2 Section 906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gridSpan w:val="6"/>
          </w:tcPr>
          <w:p>
            <w:pPr>
              <w:jc w:val="right"/>
              <w:ind w:right="14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w w:val="92"/>
              </w:rPr>
              <w:t>January 28, 2006</w:t>
            </w:r>
          </w:p>
        </w:tc>
        <w:tc>
          <w:tcPr>
            <w:tcW w:w="760" w:type="dxa"/>
            <w:vAlign w:val="bottom"/>
            <w:tcBorders>
              <w:top w:val="single" w:sz="8" w:color="auto"/>
            </w:tcBorders>
            <w:gridSpan w:val="2"/>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w w:val="92"/>
              </w:rPr>
              <w:t>January 29, 2005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621,302</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580,536</w:t>
            </w:r>
          </w:p>
        </w:tc>
        <w:tc>
          <w:tcPr>
            <w:tcW w:w="0" w:type="dxa"/>
            <w:vAlign w:val="bottom"/>
          </w:tcPr>
          <w:p>
            <w:pPr>
              <w:spacing w:after="0"/>
              <w:rPr>
                <w:sz w:val="1"/>
                <w:szCs w:val="1"/>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color w:val="auto"/>
              </w:rPr>
              <w:t>Cost of sales (1)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260,515</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245,008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360,787</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335,528</w:t>
            </w:r>
          </w:p>
        </w:tc>
        <w:tc>
          <w:tcPr>
            <w:tcW w:w="0" w:type="dxa"/>
            <w:vAlign w:val="bottom"/>
          </w:tcPr>
          <w:p>
            <w:pPr>
              <w:spacing w:after="0"/>
              <w:rPr>
                <w:sz w:val="1"/>
                <w:szCs w:val="1"/>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 (1)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131,288</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Selling, marketing, general and administrative (1)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96,281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83,341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 charges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228,582</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210,875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132,205</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124,653</w:t>
            </w:r>
          </w:p>
        </w:tc>
        <w:tc>
          <w:tcPr>
            <w:tcW w:w="0" w:type="dxa"/>
            <w:vAlign w:val="bottom"/>
          </w:tcPr>
          <w:p>
            <w:pPr>
              <w:spacing w:after="0"/>
              <w:rPr>
                <w:sz w:val="1"/>
                <w:szCs w:val="1"/>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color w:val="auto"/>
              </w:rPr>
              <w:t>Nonoperating (income) expenses: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tcPr>
          <w:p>
            <w:pPr>
              <w:jc w:val="right"/>
              <w:ind w:right="700"/>
              <w:spacing w:after="0"/>
              <w:rPr>
                <w:sz w:val="20"/>
                <w:szCs w:val="20"/>
                <w:color w:val="auto"/>
              </w:rPr>
            </w:pPr>
            <w:r>
              <w:rPr>
                <w:rFonts w:ascii="Arial" w:cs="Arial" w:eastAsia="Arial" w:hAnsi="Arial"/>
                <w:sz w:val="18"/>
                <w:szCs w:val="18"/>
                <w:color w:val="auto"/>
              </w:rPr>
              <w:t>(23,257)</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2,655</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(20,592)</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152,797</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138,636</w:t>
            </w:r>
          </w:p>
        </w:tc>
        <w:tc>
          <w:tcPr>
            <w:tcW w:w="0" w:type="dxa"/>
            <w:vAlign w:val="bottom"/>
          </w:tcPr>
          <w:p>
            <w:pPr>
              <w:spacing w:after="0"/>
              <w:rPr>
                <w:sz w:val="1"/>
                <w:szCs w:val="1"/>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32,240</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31,193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120,557</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107,443</w:t>
            </w:r>
          </w:p>
        </w:tc>
        <w:tc>
          <w:tcPr>
            <w:tcW w:w="0" w:type="dxa"/>
            <w:vAlign w:val="bottom"/>
          </w:tcPr>
          <w:p>
            <w:pPr>
              <w:spacing w:after="0"/>
              <w:rPr>
                <w:sz w:val="1"/>
                <w:szCs w:val="1"/>
                <w:color w:val="auto"/>
              </w:rPr>
            </w:pPr>
          </w:p>
        </w:tc>
      </w:tr>
      <w:tr>
        <w:trPr>
          <w:trHeight w:val="20"/>
        </w:trPr>
        <w:tc>
          <w:tcPr>
            <w:tcW w:w="7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00" w:type="dxa"/>
            <w:vAlign w:val="bottom"/>
            <w:gridSpan w:val="2"/>
          </w:tcPr>
          <w:p>
            <w:pPr>
              <w:spacing w:after="0"/>
              <w:rPr>
                <w:sz w:val="20"/>
                <w:szCs w:val="20"/>
                <w:color w:val="auto"/>
              </w:rPr>
            </w:pPr>
            <w:r>
              <w:rPr>
                <w:rFonts w:ascii="Arial" w:cs="Arial" w:eastAsia="Arial" w:hAnsi="Arial"/>
                <w:sz w:val="18"/>
                <w:szCs w:val="18"/>
                <w:color w:val="auto"/>
              </w:rPr>
              <w:t>Shares used to compute earnings per share – basic</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366,135</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375,561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 – diluted</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380,337</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388,107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00" w:type="dxa"/>
            <w:vAlign w:val="bottom"/>
            <w:gridSpan w:val="2"/>
          </w:tcPr>
          <w:p>
            <w:pPr>
              <w:spacing w:after="0"/>
              <w:rPr>
                <w:sz w:val="20"/>
                <w:szCs w:val="20"/>
                <w:color w:val="auto"/>
              </w:rPr>
            </w:pPr>
            <w:r>
              <w:rPr>
                <w:rFonts w:ascii="Arial" w:cs="Arial" w:eastAsia="Arial" w:hAnsi="Arial"/>
                <w:sz w:val="18"/>
                <w:szCs w:val="18"/>
                <w:color w:val="auto"/>
              </w:rPr>
              <w:t>Earnings per share – basic</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c>
          <w:tcPr>
            <w:tcW w:w="7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7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00" w:type="dxa"/>
            <w:vAlign w:val="bottom"/>
            <w:gridSpan w:val="2"/>
          </w:tcPr>
          <w:p>
            <w:pPr>
              <w:spacing w:after="0"/>
              <w:rPr>
                <w:sz w:val="20"/>
                <w:szCs w:val="20"/>
                <w:color w:val="auto"/>
              </w:rPr>
            </w:pPr>
            <w:r>
              <w:rPr>
                <w:rFonts w:ascii="Arial" w:cs="Arial" w:eastAsia="Arial" w:hAnsi="Arial"/>
                <w:sz w:val="18"/>
                <w:szCs w:val="18"/>
                <w:color w:val="auto"/>
              </w:rPr>
              <w:t>Dividends declared and paid per share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7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600"/>
              <w:spacing w:after="0"/>
              <w:rPr>
                <w:sz w:val="20"/>
                <w:szCs w:val="20"/>
                <w:color w:val="auto"/>
              </w:rPr>
            </w:pPr>
            <w:r>
              <w:rPr>
                <w:rFonts w:ascii="Arial" w:cs="Arial" w:eastAsia="Arial" w:hAnsi="Arial"/>
                <w:sz w:val="18"/>
                <w:szCs w:val="18"/>
                <w:color w:val="auto"/>
              </w:rPr>
              <w:t>Cost of sales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954</w:t>
            </w:r>
          </w:p>
        </w:tc>
        <w:tc>
          <w:tcPr>
            <w:tcW w:w="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60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10,263</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600"/>
              <w:spacing w:after="0"/>
              <w:rPr>
                <w:sz w:val="20"/>
                <w:szCs w:val="20"/>
                <w:color w:val="auto"/>
              </w:rPr>
            </w:pPr>
            <w:r>
              <w:rPr>
                <w:rFonts w:ascii="Arial" w:cs="Arial" w:eastAsia="Arial" w:hAnsi="Arial"/>
                <w:sz w:val="18"/>
                <w:szCs w:val="18"/>
                <w:color w:val="auto"/>
              </w:rPr>
              <w:t>Selling, marketing, general and administrative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10,090</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400"/>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21,307</w:t>
            </w: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2"/>
          </w:tcPr>
          <w:p>
            <w:pPr>
              <w:jc w:val="right"/>
              <w:ind w:right="1000"/>
              <w:spacing w:after="0"/>
              <w:rPr>
                <w:sz w:val="20"/>
                <w:szCs w:val="20"/>
                <w:color w:val="auto"/>
              </w:rPr>
            </w:pPr>
            <w:r>
              <w:rPr>
                <w:rFonts w:ascii="Arial" w:cs="Arial" w:eastAsia="Arial" w:hAnsi="Arial"/>
                <w:sz w:val="14"/>
                <w:szCs w:val="14"/>
                <w:color w:val="auto"/>
                <w:w w:val="96"/>
              </w:rPr>
              <w:t>January 28, 2006</w:t>
            </w:r>
          </w:p>
        </w:tc>
        <w:tc>
          <w:tcPr>
            <w:tcW w:w="16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October 29, 2005</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760"/>
              <w:spacing w:after="0"/>
              <w:rPr>
                <w:sz w:val="20"/>
                <w:szCs w:val="20"/>
                <w:color w:val="auto"/>
              </w:rPr>
            </w:pPr>
            <w:r>
              <w:rPr>
                <w:rFonts w:ascii="Arial" w:cs="Arial" w:eastAsia="Arial" w:hAnsi="Arial"/>
                <w:sz w:val="18"/>
                <w:szCs w:val="18"/>
                <w:color w:val="auto"/>
              </w:rPr>
              <w:t>427,855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627,591</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2,307,259</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2,078,351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2060" w:type="dxa"/>
            <w:vAlign w:val="bottom"/>
            <w:gridSpan w:val="2"/>
          </w:tcPr>
          <w:p>
            <w:pPr>
              <w:jc w:val="right"/>
              <w:ind w:right="760"/>
              <w:spacing w:after="0"/>
              <w:rPr>
                <w:sz w:val="20"/>
                <w:szCs w:val="20"/>
                <w:color w:val="auto"/>
              </w:rPr>
            </w:pPr>
            <w:r>
              <w:rPr>
                <w:rFonts w:ascii="Arial" w:cs="Arial" w:eastAsia="Arial" w:hAnsi="Arial"/>
                <w:sz w:val="18"/>
                <w:szCs w:val="18"/>
                <w:color w:val="auto"/>
              </w:rPr>
              <w:t>317,730</w:t>
            </w: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320,523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Inventories (2):</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744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160" w:type="dxa"/>
            <w:vAlign w:val="bottom"/>
          </w:tcPr>
          <w:p>
            <w:pPr>
              <w:spacing w:after="0"/>
              <w:rPr>
                <w:sz w:val="18"/>
                <w:szCs w:val="18"/>
                <w:color w:val="auto"/>
              </w:rPr>
            </w:pPr>
          </w:p>
        </w:tc>
        <w:tc>
          <w:tcPr>
            <w:tcW w:w="2060" w:type="dxa"/>
            <w:vAlign w:val="bottom"/>
            <w:gridSpan w:val="2"/>
          </w:tcPr>
          <w:p>
            <w:pPr>
              <w:jc w:val="right"/>
              <w:ind w:right="760"/>
              <w:spacing w:after="0"/>
              <w:rPr>
                <w:sz w:val="20"/>
                <w:szCs w:val="20"/>
                <w:color w:val="auto"/>
              </w:rPr>
            </w:pPr>
            <w:r>
              <w:rPr>
                <w:rFonts w:ascii="Arial" w:cs="Arial" w:eastAsia="Arial" w:hAnsi="Arial"/>
                <w:sz w:val="18"/>
                <w:szCs w:val="18"/>
                <w:color w:val="auto"/>
              </w:rPr>
              <w:t>12,572</w:t>
            </w: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12,414</w:t>
            </w:r>
          </w:p>
        </w:tc>
      </w:tr>
      <w:tr>
        <w:trPr>
          <w:trHeight w:val="216"/>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Work in process</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255,417</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240,064</w:t>
            </w:r>
          </w:p>
        </w:tc>
      </w:tr>
      <w:tr>
        <w:trPr>
          <w:trHeight w:val="216"/>
        </w:trPr>
        <w:tc>
          <w:tcPr>
            <w:tcW w:w="7440" w:type="dxa"/>
            <w:vAlign w:val="bottom"/>
          </w:tcPr>
          <w:p>
            <w:pPr>
              <w:ind w:left="220"/>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18"/>
                <w:szCs w:val="18"/>
                <w:color w:val="auto"/>
              </w:rPr>
            </w:pPr>
          </w:p>
        </w:tc>
        <w:tc>
          <w:tcPr>
            <w:tcW w:w="2060" w:type="dxa"/>
            <w:vAlign w:val="bottom"/>
            <w:gridSpan w:val="2"/>
          </w:tcPr>
          <w:p>
            <w:pPr>
              <w:jc w:val="right"/>
              <w:ind w:right="760"/>
              <w:spacing w:after="0"/>
              <w:rPr>
                <w:sz w:val="20"/>
                <w:szCs w:val="20"/>
                <w:color w:val="auto"/>
              </w:rPr>
            </w:pPr>
            <w:r>
              <w:rPr>
                <w:rFonts w:ascii="Arial" w:cs="Arial" w:eastAsia="Arial" w:hAnsi="Arial"/>
                <w:sz w:val="18"/>
                <w:szCs w:val="18"/>
                <w:color w:val="auto"/>
              </w:rPr>
              <w:t>69,846</w:t>
            </w: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73,127</w:t>
            </w:r>
          </w:p>
        </w:tc>
      </w:tr>
      <w:tr>
        <w:trPr>
          <w:trHeight w:val="27"/>
        </w:trPr>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7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337,835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325,605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2060" w:type="dxa"/>
            <w:vAlign w:val="bottom"/>
            <w:gridSpan w:val="2"/>
          </w:tcPr>
          <w:p>
            <w:pPr>
              <w:jc w:val="right"/>
              <w:ind w:right="760"/>
              <w:spacing w:after="0"/>
              <w:rPr>
                <w:sz w:val="20"/>
                <w:szCs w:val="20"/>
                <w:color w:val="auto"/>
              </w:rPr>
            </w:pPr>
            <w:r>
              <w:rPr>
                <w:rFonts w:ascii="Arial" w:cs="Arial" w:eastAsia="Arial" w:hAnsi="Arial"/>
                <w:sz w:val="18"/>
                <w:szCs w:val="18"/>
                <w:color w:val="auto"/>
              </w:rPr>
              <w:t>82,610</w:t>
            </w: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86,430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4,158</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234,376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2060" w:type="dxa"/>
            <w:vAlign w:val="bottom"/>
            <w:gridSpan w:val="2"/>
          </w:tcPr>
          <w:p>
            <w:pPr>
              <w:jc w:val="right"/>
              <w:ind w:right="760"/>
              <w:spacing w:after="0"/>
              <w:rPr>
                <w:sz w:val="20"/>
                <w:szCs w:val="20"/>
                <w:color w:val="auto"/>
              </w:rPr>
            </w:pPr>
            <w:r>
              <w:rPr>
                <w:rFonts w:ascii="Arial" w:cs="Arial" w:eastAsia="Arial" w:hAnsi="Arial"/>
                <w:sz w:val="18"/>
                <w:szCs w:val="18"/>
                <w:color w:val="auto"/>
              </w:rPr>
              <w:t>64,534</w:t>
            </w: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59,580</w:t>
            </w:r>
          </w:p>
        </w:tc>
      </w:tr>
      <w:tr>
        <w:trPr>
          <w:trHeight w:val="27"/>
        </w:trPr>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3,541,981</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3,732,456</w:t>
            </w:r>
          </w:p>
        </w:tc>
      </w:tr>
      <w:tr>
        <w:trPr>
          <w:trHeight w:val="439"/>
        </w:trPr>
        <w:tc>
          <w:tcPr>
            <w:tcW w:w="744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 and buildings</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345,716</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345,103</w:t>
            </w:r>
          </w:p>
        </w:tc>
      </w:tr>
      <w:tr>
        <w:trPr>
          <w:trHeight w:val="216"/>
        </w:trPr>
        <w:tc>
          <w:tcPr>
            <w:tcW w:w="744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18"/>
                <w:szCs w:val="18"/>
                <w:color w:val="auto"/>
              </w:rPr>
            </w:pPr>
          </w:p>
        </w:tc>
        <w:tc>
          <w:tcPr>
            <w:tcW w:w="2060" w:type="dxa"/>
            <w:vAlign w:val="bottom"/>
            <w:gridSpan w:val="2"/>
          </w:tcPr>
          <w:p>
            <w:pPr>
              <w:jc w:val="right"/>
              <w:ind w:right="760"/>
              <w:spacing w:after="0"/>
              <w:rPr>
                <w:sz w:val="20"/>
                <w:szCs w:val="20"/>
                <w:color w:val="auto"/>
              </w:rPr>
            </w:pPr>
            <w:r>
              <w:rPr>
                <w:rFonts w:ascii="Arial" w:cs="Arial" w:eastAsia="Arial" w:hAnsi="Arial"/>
                <w:sz w:val="18"/>
                <w:szCs w:val="18"/>
                <w:color w:val="auto"/>
              </w:rPr>
              <w:t>1,334,196</w:t>
            </w: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1,323,397</w:t>
            </w:r>
          </w:p>
        </w:tc>
      </w:tr>
      <w:tr>
        <w:trPr>
          <w:trHeight w:val="216"/>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Office equipment</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78,993</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83,969</w:t>
            </w:r>
          </w:p>
        </w:tc>
      </w:tr>
      <w:tr>
        <w:trPr>
          <w:trHeight w:val="216"/>
        </w:trPr>
        <w:tc>
          <w:tcPr>
            <w:tcW w:w="7440" w:type="dxa"/>
            <w:vAlign w:val="bottom"/>
          </w:tcPr>
          <w:p>
            <w:pPr>
              <w:ind w:left="22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2060" w:type="dxa"/>
            <w:vAlign w:val="bottom"/>
            <w:gridSpan w:val="2"/>
          </w:tcPr>
          <w:p>
            <w:pPr>
              <w:jc w:val="right"/>
              <w:ind w:right="760"/>
              <w:spacing w:after="0"/>
              <w:rPr>
                <w:sz w:val="20"/>
                <w:szCs w:val="20"/>
                <w:color w:val="auto"/>
              </w:rPr>
            </w:pPr>
            <w:r>
              <w:rPr>
                <w:rFonts w:ascii="Arial" w:cs="Arial" w:eastAsia="Arial" w:hAnsi="Arial"/>
                <w:sz w:val="18"/>
                <w:szCs w:val="18"/>
                <w:color w:val="auto"/>
              </w:rPr>
              <w:t>108,243</w:t>
            </w: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108,345</w:t>
            </w:r>
          </w:p>
        </w:tc>
      </w:tr>
      <w:tr>
        <w:trPr>
          <w:trHeight w:val="27"/>
        </w:trPr>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7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1,867,148</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1,860,814</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8"/>
                <w:szCs w:val="18"/>
                <w:color w:val="auto"/>
              </w:rPr>
            </w:pPr>
          </w:p>
        </w:tc>
        <w:tc>
          <w:tcPr>
            <w:tcW w:w="2060" w:type="dxa"/>
            <w:vAlign w:val="bottom"/>
            <w:gridSpan w:val="2"/>
          </w:tcPr>
          <w:p>
            <w:pPr>
              <w:jc w:val="right"/>
              <w:ind w:right="760"/>
              <w:spacing w:after="0"/>
              <w:rPr>
                <w:sz w:val="20"/>
                <w:szCs w:val="20"/>
                <w:color w:val="auto"/>
              </w:rPr>
            </w:pPr>
            <w:r>
              <w:rPr>
                <w:rFonts w:ascii="Arial" w:cs="Arial" w:eastAsia="Arial" w:hAnsi="Arial"/>
                <w:sz w:val="18"/>
                <w:szCs w:val="18"/>
                <w:color w:val="auto"/>
              </w:rPr>
              <w:t>1,290,350</w:t>
            </w: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1,260,908</w:t>
            </w:r>
          </w:p>
        </w:tc>
      </w:tr>
      <w:tr>
        <w:trPr>
          <w:trHeight w:val="27"/>
        </w:trPr>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576,798</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599,906</w:t>
            </w:r>
          </w:p>
        </w:tc>
      </w:tr>
      <w:tr>
        <w:trPr>
          <w:trHeight w:val="20"/>
        </w:trPr>
        <w:tc>
          <w:tcPr>
            <w:tcW w:w="7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39"/>
        </w:trPr>
        <w:tc>
          <w:tcPr>
            <w:tcW w:w="7440" w:type="dxa"/>
            <w:vAlign w:val="bottom"/>
          </w:tcPr>
          <w:p>
            <w:pPr>
              <w:spacing w:after="0"/>
              <w:rPr>
                <w:sz w:val="20"/>
                <w:szCs w:val="20"/>
                <w:color w:val="auto"/>
              </w:rPr>
            </w:pPr>
            <w:r>
              <w:rPr>
                <w:rFonts w:ascii="Arial" w:cs="Arial" w:eastAsia="Arial" w:hAnsi="Arial"/>
                <w:sz w:val="18"/>
                <w:szCs w:val="18"/>
                <w:color w:val="auto"/>
              </w:rPr>
              <w:t>Deferred compensation plan investments</w:t>
            </w:r>
          </w:p>
        </w:tc>
        <w:tc>
          <w:tcPr>
            <w:tcW w:w="160" w:type="dxa"/>
            <w:vAlign w:val="bottom"/>
          </w:tcPr>
          <w:p>
            <w:pPr>
              <w:spacing w:after="0"/>
              <w:rPr>
                <w:sz w:val="24"/>
                <w:szCs w:val="24"/>
                <w:color w:val="auto"/>
              </w:rPr>
            </w:pPr>
          </w:p>
        </w:tc>
        <w:tc>
          <w:tcPr>
            <w:tcW w:w="2060" w:type="dxa"/>
            <w:vAlign w:val="bottom"/>
            <w:gridSpan w:val="2"/>
          </w:tcPr>
          <w:p>
            <w:pPr>
              <w:jc w:val="right"/>
              <w:ind w:right="760"/>
              <w:spacing w:after="0"/>
              <w:rPr>
                <w:sz w:val="20"/>
                <w:szCs w:val="20"/>
                <w:color w:val="auto"/>
              </w:rPr>
            </w:pPr>
            <w:r>
              <w:rPr>
                <w:rFonts w:ascii="Arial" w:cs="Arial" w:eastAsia="Arial" w:hAnsi="Arial"/>
                <w:sz w:val="18"/>
                <w:szCs w:val="18"/>
                <w:color w:val="auto"/>
              </w:rPr>
              <w:t>27,103</w:t>
            </w:r>
          </w:p>
        </w:tc>
        <w:tc>
          <w:tcPr>
            <w:tcW w:w="160" w:type="dxa"/>
            <w:vAlign w:val="bottom"/>
          </w:tcPr>
          <w:p>
            <w:pPr>
              <w:spacing w:after="0"/>
              <w:rPr>
                <w:sz w:val="24"/>
                <w:szCs w:val="24"/>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42,941</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2,146</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2,424</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2060" w:type="dxa"/>
            <w:vAlign w:val="bottom"/>
            <w:gridSpan w:val="2"/>
          </w:tcPr>
          <w:p>
            <w:pPr>
              <w:jc w:val="right"/>
              <w:ind w:right="760"/>
              <w:spacing w:after="0"/>
              <w:rPr>
                <w:sz w:val="20"/>
                <w:szCs w:val="20"/>
                <w:color w:val="auto"/>
              </w:rPr>
            </w:pPr>
            <w:r>
              <w:rPr>
                <w:rFonts w:ascii="Arial" w:cs="Arial" w:eastAsia="Arial" w:hAnsi="Arial"/>
                <w:sz w:val="18"/>
                <w:szCs w:val="18"/>
                <w:color w:val="auto"/>
              </w:rPr>
              <w:t>163,373</w:t>
            </w: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163,373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3,813</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4,203</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2060" w:type="dxa"/>
            <w:vAlign w:val="bottom"/>
            <w:gridSpan w:val="2"/>
          </w:tcPr>
          <w:p>
            <w:pPr>
              <w:jc w:val="right"/>
              <w:ind w:right="760"/>
              <w:spacing w:after="0"/>
              <w:rPr>
                <w:sz w:val="20"/>
                <w:szCs w:val="20"/>
                <w:color w:val="auto"/>
              </w:rPr>
            </w:pPr>
            <w:r>
              <w:rPr>
                <w:rFonts w:ascii="Arial" w:cs="Arial" w:eastAsia="Arial" w:hAnsi="Arial"/>
                <w:sz w:val="18"/>
                <w:szCs w:val="18"/>
                <w:color w:val="auto"/>
              </w:rPr>
              <w:t>36,540</w:t>
            </w: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13,328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22,424</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24,580</w:t>
            </w: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255,399</w:t>
            </w:r>
          </w:p>
        </w:tc>
        <w:tc>
          <w:tcPr>
            <w:tcW w:w="7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250,849</w:t>
            </w:r>
          </w:p>
        </w:tc>
        <w:tc>
          <w:tcPr>
            <w:tcW w:w="280" w:type="dxa"/>
            <w:vAlign w:val="bottom"/>
          </w:tcPr>
          <w:p>
            <w:pPr>
              <w:spacing w:after="0"/>
              <w:rPr>
                <w:sz w:val="20"/>
                <w:szCs w:val="20"/>
                <w:color w:val="auto"/>
              </w:rPr>
            </w:pPr>
          </w:p>
        </w:tc>
      </w:tr>
      <w:tr>
        <w:trPr>
          <w:trHeight w:val="216"/>
        </w:trPr>
        <w:tc>
          <w:tcPr>
            <w:tcW w:w="7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4,374,178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4,583,211</w:t>
            </w: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Includes $1,937 related to stock-based compensation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3"/>
          </w:tcPr>
          <w:p>
            <w:pPr>
              <w:jc w:val="right"/>
              <w:ind w:right="1000"/>
              <w:spacing w:after="0"/>
              <w:rPr>
                <w:sz w:val="20"/>
                <w:szCs w:val="20"/>
                <w:color w:val="auto"/>
              </w:rPr>
            </w:pPr>
            <w:r>
              <w:rPr>
                <w:rFonts w:ascii="Arial" w:cs="Arial" w:eastAsia="Arial" w:hAnsi="Arial"/>
                <w:sz w:val="14"/>
                <w:szCs w:val="14"/>
                <w:color w:val="auto"/>
                <w:w w:val="96"/>
              </w:rPr>
              <w:t>January 28, 2006</w:t>
            </w:r>
          </w:p>
        </w:tc>
        <w:tc>
          <w:tcPr>
            <w:tcW w:w="160" w:type="dxa"/>
            <w:vAlign w:val="bottom"/>
          </w:tcPr>
          <w:p>
            <w:pPr>
              <w:spacing w:after="0"/>
              <w:rPr>
                <w:sz w:val="14"/>
                <w:szCs w:val="14"/>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4"/>
                <w:szCs w:val="14"/>
                <w:color w:val="auto"/>
                <w:w w:val="97"/>
              </w:rPr>
              <w:t>October 29, 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128,991</w:t>
            </w:r>
          </w:p>
        </w:tc>
        <w:tc>
          <w:tcPr>
            <w:tcW w:w="74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128,317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132,332</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182,820</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172,277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4,158</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155,882</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162,151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604,183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818,923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4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5,793</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16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27,837</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8"/>
                <w:szCs w:val="18"/>
                <w:color w:val="auto"/>
              </w:rPr>
            </w:pPr>
          </w:p>
        </w:tc>
        <w:tc>
          <w:tcPr>
            <w:tcW w:w="2060" w:type="dxa"/>
            <w:vAlign w:val="bottom"/>
            <w:gridSpan w:val="3"/>
          </w:tcPr>
          <w:p>
            <w:pPr>
              <w:jc w:val="right"/>
              <w:ind w:right="760"/>
              <w:spacing w:after="0"/>
              <w:rPr>
                <w:sz w:val="20"/>
                <w:szCs w:val="20"/>
                <w:color w:val="auto"/>
              </w:rPr>
            </w:pPr>
            <w:r>
              <w:rPr>
                <w:rFonts w:ascii="Arial" w:cs="Arial" w:eastAsia="Arial" w:hAnsi="Arial"/>
                <w:sz w:val="18"/>
                <w:szCs w:val="18"/>
                <w:color w:val="auto"/>
              </w:rPr>
              <w:t>26,736</w:t>
            </w: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26,395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non-current liabilities</w:t>
            </w:r>
          </w:p>
        </w:tc>
        <w:tc>
          <w:tcPr>
            <w:tcW w:w="16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60,366</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72,787</w:t>
            </w:r>
          </w:p>
        </w:tc>
        <w:tc>
          <w:tcPr>
            <w:tcW w:w="0" w:type="dxa"/>
            <w:vAlign w:val="bottom"/>
          </w:tcPr>
          <w:p>
            <w:pPr>
              <w:spacing w:after="0"/>
              <w:rPr>
                <w:sz w:val="1"/>
                <w:szCs w:val="1"/>
                <w:color w:val="auto"/>
              </w:rPr>
            </w:pPr>
          </w:p>
        </w:tc>
      </w:tr>
      <w:tr>
        <w:trPr>
          <w:trHeight w:val="439"/>
        </w:trPr>
        <w:tc>
          <w:tcPr>
            <w:tcW w:w="74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160" w:type="dxa"/>
            <w:vAlign w:val="bottom"/>
          </w:tcPr>
          <w:p>
            <w:pPr>
              <w:spacing w:after="0"/>
              <w:rPr>
                <w:sz w:val="24"/>
                <w:szCs w:val="24"/>
                <w:color w:val="auto"/>
              </w:rPr>
            </w:pPr>
          </w:p>
        </w:tc>
        <w:tc>
          <w:tcPr>
            <w:tcW w:w="206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$0.16 2/3 par value, 1,200,000,000 shares authorized, 366,140,653 shares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issued and outstanding (366,831,612 on October 29, 2005)</w:t>
            </w:r>
          </w:p>
        </w:tc>
        <w:tc>
          <w:tcPr>
            <w:tcW w:w="160" w:type="dxa"/>
            <w:vAlign w:val="bottom"/>
            <w:shd w:val="clear" w:color="auto" w:fill="CCEEFF"/>
          </w:tcPr>
          <w:p>
            <w:pPr>
              <w:spacing w:after="0"/>
              <w:rPr>
                <w:sz w:val="20"/>
                <w:szCs w:val="20"/>
                <w:color w:val="auto"/>
              </w:rPr>
            </w:pPr>
          </w:p>
        </w:tc>
        <w:tc>
          <w:tcPr>
            <w:tcW w:w="2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61,025</w:t>
            </w:r>
          </w:p>
        </w:tc>
        <w:tc>
          <w:tcPr>
            <w:tcW w:w="1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317,558</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380,206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3,345,883</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3,269,420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2060" w:type="dxa"/>
            <w:vAlign w:val="bottom"/>
            <w:gridSpan w:val="3"/>
          </w:tcPr>
          <w:p>
            <w:pPr>
              <w:jc w:val="right"/>
              <w:ind w:right="700"/>
              <w:spacing w:after="0"/>
              <w:rPr>
                <w:sz w:val="20"/>
                <w:szCs w:val="20"/>
                <w:color w:val="auto"/>
              </w:rPr>
            </w:pPr>
            <w:r>
              <w:rPr>
                <w:rFonts w:ascii="Arial" w:cs="Arial" w:eastAsia="Arial" w:hAnsi="Arial"/>
                <w:sz w:val="18"/>
                <w:szCs w:val="18"/>
                <w:color w:val="auto"/>
              </w:rPr>
              <w:t>(14,837)</w:t>
            </w:r>
          </w:p>
        </w:tc>
        <w:tc>
          <w:tcPr>
            <w:tcW w:w="16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3,709,629</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3,691,501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4,374,178</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4,583,211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60" w:type="dxa"/>
            <w:vAlign w:val="bottom"/>
            <w:gridSpan w:val="5"/>
          </w:tcPr>
          <w:p>
            <w:pPr>
              <w:jc w:val="right"/>
              <w:ind w:right="14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2"/>
          </w:tcPr>
          <w:p>
            <w:pPr>
              <w:jc w:val="right"/>
              <w:ind w:right="940"/>
              <w:spacing w:after="0" w:line="142" w:lineRule="exact"/>
              <w:rPr>
                <w:sz w:val="20"/>
                <w:szCs w:val="20"/>
                <w:color w:val="auto"/>
              </w:rPr>
            </w:pPr>
            <w:r>
              <w:rPr>
                <w:rFonts w:ascii="Arial" w:cs="Arial" w:eastAsia="Arial" w:hAnsi="Arial"/>
                <w:sz w:val="14"/>
                <w:szCs w:val="14"/>
                <w:color w:val="auto"/>
                <w:w w:val="94"/>
              </w:rPr>
              <w:t>January 28, 2006</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w w:val="94"/>
              </w:rPr>
              <w:t>January 29, 2005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120,557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107,443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0"/>
              <w:spacing w:after="0"/>
              <w:rPr>
                <w:sz w:val="20"/>
                <w:szCs w:val="20"/>
                <w:color w:val="auto"/>
              </w:rPr>
            </w:pPr>
            <w:r>
              <w:rPr>
                <w:rFonts w:ascii="Arial" w:cs="Arial" w:eastAsia="Arial" w:hAnsi="Arial"/>
                <w:sz w:val="18"/>
                <w:szCs w:val="18"/>
                <w:color w:val="auto"/>
              </w:rPr>
              <w:t>Depreciation</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43,079</w:t>
            </w:r>
          </w:p>
        </w:tc>
        <w:tc>
          <w:tcPr>
            <w:tcW w:w="1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38,313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Amortization of intangibles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21,307</w:t>
            </w:r>
          </w:p>
        </w:tc>
        <w:tc>
          <w:tcPr>
            <w:tcW w:w="1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Deferred income taxes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(15,625)</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0"/>
              <w:spacing w:after="0"/>
              <w:rPr>
                <w:sz w:val="20"/>
                <w:szCs w:val="20"/>
                <w:color w:val="auto"/>
              </w:rPr>
            </w:pPr>
            <w:r>
              <w:rPr>
                <w:rFonts w:ascii="Arial" w:cs="Arial" w:eastAsia="Arial" w:hAnsi="Arial"/>
                <w:sz w:val="18"/>
                <w:szCs w:val="18"/>
                <w:color w:val="auto"/>
              </w:rPr>
              <w:t>Non-cash portion of special charge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459</w:t>
            </w:r>
          </w:p>
        </w:tc>
        <w:tc>
          <w:tcPr>
            <w:tcW w:w="1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non-cash expense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4,517</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(32,860)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adjustments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54,698</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9,431</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175,255</w:t>
            </w:r>
          </w:p>
        </w:tc>
        <w:tc>
          <w:tcPr>
            <w:tcW w:w="7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116,874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Purchases of short-term available-for-sale investments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(954,871)</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(797,655)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Maturities of short-term available-for-sale investments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726,807</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763,960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Additions to property, plant and equipment, net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(20,360)</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(23,884)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Decrease in other assets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3,526</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10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(244,898)</w:t>
            </w:r>
          </w:p>
        </w:tc>
        <w:tc>
          <w:tcPr>
            <w:tcW w:w="7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(56,020)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Repurchase of common stock</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(125,098)</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(161,204)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proceeds from employee stock plans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38,685</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Dividend payments to shareholders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(44,094)</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(22,579)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(130,507)</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(170,172)</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0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7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(199,736)</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627,591</w:t>
            </w:r>
          </w:p>
        </w:tc>
        <w:tc>
          <w:tcPr>
            <w:tcW w:w="1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518,940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427,855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JANUARY 28,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October 29, 2005 and related notes. The results of operations for the interim periods shown in this report are not necessarily indicative of the results that may be expected for the fiscal year ending October 28, 2006 or any future period.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52-53 week fiscal year that ends on the Saturday closest to the last day in October. Fiscal 2006 and fiscal 2005 are 52-week fiscal years.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Certain amounts reported in previous years have been reclassified to conform to the fiscal 2006 presentation. Such reclassifications were immaterial.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Stock-Based Compensation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December 16, 2004, the Financial Accounting Standards Board (FASB) issued SFAS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SFAS 123R supersedes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amends SFAS No. 95,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Generally, the approach in SFAS 123R is similar to the approach described in SFAS 123. However, SFAS 123R requires all share-based payments to employees, including grants of employee stock options, to be recognized in the income statement based on their fair values at the date of grant. Pro forma disclosure is no longer an alternative.</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October 30, 2005 (the first day of its 2006 fiscal year), the Company adopted SFAS 123R using the modified prospective method as permitted under SFAS 123R. Under this transition method, compensation cost recognized in the first quarter of fiscal 2006 includes: (a) compensation cost for all share-based payments granted prior to but not yet vested as of October 29, 2005, based on the grant-date fair value estimated in accordance with the provisions of SFAS 123, and (b) compensation cost for all share-based payments granted subsequent to October 29, 2005, based on the grant-date fair value estimated in accordance with the provisions of SFAS 123R. In accordance with the modified prospective method of adoption, the Company’s results of operations and financial position for prior periods have not been restated.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Compensation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grants stock options under the following equity compensation plans: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2001 Broad-Based Stock Option Plan (2001 Plan) </w:t>
      </w:r>
      <w:r>
        <w:rPr>
          <w:rFonts w:ascii="Arial" w:cs="Arial" w:eastAsia="Arial" w:hAnsi="Arial"/>
          <w:sz w:val="17"/>
          <w:szCs w:val="17"/>
          <w:color w:val="auto"/>
        </w:rPr>
        <w:t>- The 2001 Plan was adopted by the Company’s Board of Directors in December 2001 and subsequently</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in December 2002. Under the 2001 Plan, the Company’s Board of Directors may grant options to purchase up to 50 million shares of common stock to employees, consultants or advisors of the company and its subsidiaries, other than executive officers and directors.</w:t>
      </w:r>
    </w:p>
    <w:p>
      <w:pPr>
        <w:spacing w:after="0" w:line="57"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The 1998 Stock Option Plan (1998 Plan) </w:t>
      </w:r>
      <w:r>
        <w:rPr>
          <w:rFonts w:ascii="Arial" w:cs="Arial" w:eastAsia="Arial" w:hAnsi="Arial"/>
          <w:sz w:val="16"/>
          <w:szCs w:val="16"/>
          <w:color w:val="auto"/>
        </w:rPr>
        <w:t>- The 1998 Plan was approved by shareholders in fiscal 1998 and subsequently amended in December 2001 and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2002. The 1998 Plan provides for the issuance of nonstatutory and incentive stock options to purchase up to 30 million shares of common stock. In March 2000, the shareholders approved an amendment to the 1998 Plan to increase the shares reserved for issuance by an additional 34 million shares.</w:t>
      </w:r>
    </w:p>
    <w:p>
      <w:pPr>
        <w:spacing w:after="0" w:line="3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While the Company may grant to employees options that become exercisable at different times or within different periods, the Company has generally granted to employees options that vest and become exercisable in annual installments of 33 1/3% on each of the third, fourth, and fifth anniversaries of the date of grant, in annual installments of 25% on each of the second, third, fourth and fifth anniversaries of the date of grant, or 20% on each of the first, second, third, fourth and fifth anniversaries of the date of grant. The maximum contractual term of all options is ten years.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Employee Stock Purchase Plans </w:t>
      </w:r>
      <w:r>
        <w:rPr>
          <w:rFonts w:ascii="Arial" w:cs="Arial" w:eastAsia="Arial" w:hAnsi="Arial"/>
          <w:sz w:val="17"/>
          <w:szCs w:val="17"/>
          <w:color w:val="auto"/>
        </w:rPr>
        <w:t>- The Company also has employee stock purchase plans (ESPPs) that allow eligible employees to purchase, through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deductions, shares of the Company’s common stock at 85% of the fair market value at specified dates. Employees may withdraw from an offering before the purchase date and obtain a refund of the amounts withheld through payroll deductions plus accrued interest. The current offering period began June 1, 2005 and is scheduled to end on June 1, 2006; therefore, June 1, 2005 is considered the grant date for the purposes of recognizing the stock-based compensation expense for this offering period. During fiscal 2006, the Company’s Board of Directors decided that the current offering period, which ends June 1, 2006, will be the last offering period under the ESPPs. Under APB Opinion No. 25, the Company was not required to recognize stock-based compensation expense for the cost of stock options or shares issued under the Company’s ESPPs. Upon adoption of SFAS 123R, the Company began recording stock-based compensation expense related to the ESPPs.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Grant-Date Fair Value</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uses the Black-Scholes option pricing model to calculate the grant-date fair value of an award. The fair value of options granted during the first quarter of fiscal 2006 and the first quarter of fiscal 2005 were calculated using the following estimated weighted average assumptions: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2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20" w:type="dxa"/>
            <w:vAlign w:val="bottom"/>
            <w:gridSpan w:val="2"/>
            <w:vMerge w:val="continue"/>
          </w:tcPr>
          <w:p>
            <w:pPr>
              <w:spacing w:after="0"/>
              <w:rPr>
                <w:sz w:val="12"/>
                <w:szCs w:val="12"/>
                <w:color w:val="auto"/>
              </w:rPr>
            </w:pPr>
          </w:p>
        </w:tc>
        <w:tc>
          <w:tcPr>
            <w:tcW w:w="158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January 28, 2006</w:t>
            </w:r>
          </w:p>
        </w:tc>
        <w:tc>
          <w:tcPr>
            <w:tcW w:w="162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January 29,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580" w:type="dxa"/>
            <w:vAlign w:val="bottom"/>
            <w:tcBorders>
              <w:top w:val="single" w:sz="8" w:color="auto"/>
            </w:tcBorders>
            <w:shd w:val="clear" w:color="auto" w:fill="CCEEFF"/>
          </w:tcPr>
          <w:p>
            <w:pPr>
              <w:jc w:val="right"/>
              <w:ind w:right="634"/>
              <w:spacing w:after="0"/>
              <w:rPr>
                <w:sz w:val="20"/>
                <w:szCs w:val="20"/>
                <w:color w:val="auto"/>
              </w:rPr>
            </w:pPr>
            <w:r>
              <w:rPr>
                <w:rFonts w:ascii="Arial" w:cs="Arial" w:eastAsia="Arial" w:hAnsi="Arial"/>
                <w:sz w:val="18"/>
                <w:szCs w:val="18"/>
                <w:color w:val="auto"/>
              </w:rPr>
              <w:t>8,029</w:t>
            </w:r>
          </w:p>
        </w:tc>
        <w:tc>
          <w:tcPr>
            <w:tcW w:w="6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87"/>
              </w:rPr>
              <w:t>11,366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Weighted-average exercise price</w:t>
            </w:r>
          </w:p>
        </w:tc>
        <w:tc>
          <w:tcPr>
            <w:tcW w:w="1580" w:type="dxa"/>
            <w:vAlign w:val="bottom"/>
          </w:tcPr>
          <w:p>
            <w:pPr>
              <w:jc w:val="right"/>
              <w:ind w:right="634"/>
              <w:spacing w:after="0"/>
              <w:rPr>
                <w:sz w:val="20"/>
                <w:szCs w:val="20"/>
                <w:color w:val="auto"/>
              </w:rPr>
            </w:pPr>
            <w:r>
              <w:rPr>
                <w:rFonts w:ascii="Arial" w:cs="Arial" w:eastAsia="Arial" w:hAnsi="Arial"/>
                <w:sz w:val="18"/>
                <w:szCs w:val="18"/>
                <w:color w:val="auto"/>
              </w:rPr>
              <w:t>$39.43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fair-value</w:t>
            </w:r>
          </w:p>
        </w:tc>
        <w:tc>
          <w:tcPr>
            <w:tcW w:w="15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$11.63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Assumptions:</w:t>
            </w: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28.6%</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580" w:type="dxa"/>
            <w:vAlign w:val="bottom"/>
          </w:tcPr>
          <w:p>
            <w:pPr>
              <w:jc w:val="right"/>
              <w:ind w:right="634"/>
              <w:spacing w:after="0"/>
              <w:rPr>
                <w:sz w:val="20"/>
                <w:szCs w:val="20"/>
                <w:color w:val="auto"/>
              </w:rPr>
            </w:pPr>
            <w:r>
              <w:rPr>
                <w:rFonts w:ascii="Arial" w:cs="Arial" w:eastAsia="Arial" w:hAnsi="Arial"/>
                <w:sz w:val="18"/>
                <w:szCs w:val="18"/>
                <w:color w:val="auto"/>
              </w:rPr>
              <w:t>5.0</w:t>
            </w:r>
          </w:p>
        </w:tc>
        <w:tc>
          <w:tcPr>
            <w:tcW w:w="68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4.4%</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1.22%</w:t>
            </w:r>
          </w:p>
        </w:tc>
        <w:tc>
          <w:tcPr>
            <w:tcW w:w="68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Expected volatility – the Company is responsible for estimating volatility and has considered a number of factors, including third-party estimates, when estimating volatility. For options granted prior to fiscal 2005, the Company used historical volatility to estimate the grant-date fair value of stock options. The Company changed its method of estimating expected volatility for all stock options granted after fiscal 2004 from exclusively relying on historical volatility to exclusively relying on implied volatility. This change was the result of a thorough review the Company undertook which included consultations with several third party advisors. The Company currently believes that the exclusive use of implied volatility results in a more accurate estimate of the grant-date fair value of employee stock options because it more appropriately reflects the market’s expectations of future volatility. Historical volatility during the period commensurate with the expected term of the Company’s stock options over the past several years included a period of time that the Company’s stock price experienced unprecedented increases and subsequent declines. The Company believes that this past stock price volatility is unlikely to be indicative of future stock price behavior. Options in the Company’s stock are actively traded on several exchanges. Implied volatility is calculated for the period that is commensurate with the option’s expected term assumption. Because this term often exceeds the period for which there are exchange traded options in the Company’s stock, statistical techniques are used to derive the implied volatility for traded options with terms commensurate with the option’s expected term of five years. This calculation of implied volatility is based on the most recent five-day period of trades of the Company’s exchange-traded options as of the date of grant.</w:t>
      </w:r>
    </w:p>
    <w:p>
      <w:pPr>
        <w:spacing w:after="0" w:line="8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Expected term –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all groups of our employees exhibit similar exercise behavior.</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Risk-free interest rate – the yield on zero-coupon U.S. Treasury securities for a period that is commensurate with the expected term assumption is used as the risk-free interest rate.</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Expected dividend yield – expected dividend yield is calculated by annualizing the cash dividend declared by the Company’s Board of Directors for the 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Dividends are not paid on options.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Expense</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used the graded attribution method to recognize expense for all options granted prior to the adoption of SFAS 123R. Upon adoption of SFAS 123R on October 30, 2005, the Company switched to the straight-line attribution method to recognize expense for options granted after October 29, 2005. The expense associated with the unvested portion of the pre-adoption grants will continue to be expensed using the graded attribution method.</w:t>
      </w:r>
    </w:p>
    <w:p>
      <w:pPr>
        <w:spacing w:after="0" w:line="3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amount of stock-based compensation recognized during a period is based on the value of the portion of the awards that are ultimately expected to vest.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option. The Company currently expects, based on an analysis of its historical forfeitures that approximately 86% of its options will actually vest, and therefore has applied an annual forfeiture rate of 3.1% to all unvested options as of January 28, 2006. This analysis will be re-evaluated quarterly and the forfeiture rate will be adjusted as necessary. Ultimately, the actual expense recognized over the vesting period will only be for those shares that vest.</w:t>
      </w:r>
    </w:p>
    <w:p>
      <w:pPr>
        <w:spacing w:after="0" w:line="5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Company’s stock plans provide for retirement-related continued vesting for a portion, or all, of certain stock options based on the optionee’s age and years of service (retirement provision) in that regardless of whether the employee continues to provide services, the optionee receives the benefit of the stock option. SFAS 123R clarifies the timing for recognizing stock-based compensation expense for awards subject to continued vesting upon meeting this retirement provision. This compensation expense must be recognized over the period from the date of grant to the date retirement eligibility is met if it is shorter than the vesting term. Upon adoption of SFAS 123R in the first quarter of fiscal 2006, the Company’s policy regarding the timing of option expense recognition for optionees meeting the criteria of the retirement provision was changed to recognize compensation cost over the period through the date that the optionee is no longer required to provide service to earn the award. Prior to the adoption of SFAS 123R, the Company’s policy was to recognize these compensation costs over the vesting term. Had the Company applied these non-substantive vesting provisions required by SFAS 123R to awards granted prior to the adoption of SFAS 123R, the impact on the pro forma net earnings presented below would have been immaterial.</w:t>
      </w:r>
    </w:p>
    <w:p>
      <w:pPr>
        <w:spacing w:after="0" w:line="5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adoption of SFAS 123R on October 29, 2005 had the following impact on the first quarter of fiscal 2006 results: operating profit before tax was lower by $20.6 million, net income was lower by $14.7 million, and basic and diluted EPS were lower by $0.04.</w:t>
      </w:r>
    </w:p>
    <w:p>
      <w:pPr>
        <w:spacing w:after="0" w:line="62"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 xml:space="preserve">The following table details the effect on net income and earnings per share had stock-based compensation expense been recorded for the first three months of fiscal 2005 based on the fair-value method under SFAS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The reported and pro forma net income and earnings per share for the first quarter of fiscal 2006 are the same since stock-based compensation expense was calculated under the provisions of SFAS 123R.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January 29, 2005</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Add: Stock-based employee compensation expense included in reported net income, net of related tax effects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Deduct: Total stock-based compensation expense determined under the fair value based method for all awards, net of related</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effects</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(42,185)</w:t>
            </w:r>
          </w:p>
        </w:tc>
        <w:tc>
          <w:tcPr>
            <w:tcW w:w="0" w:type="dxa"/>
            <w:vAlign w:val="bottom"/>
          </w:tcPr>
          <w:p>
            <w:pPr>
              <w:spacing w:after="0"/>
              <w:rPr>
                <w:sz w:val="1"/>
                <w:szCs w:val="1"/>
                <w:color w:val="auto"/>
              </w:rPr>
            </w:pP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66,651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Basic – as reported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Basic – pro forma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Diluted – as reported</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Diluted – pro forma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Prior to the adoption of SFAS 123R, on October 18, 2005, the Company accelerated the vesting of all unvested stock options awarded to employees after December 31, 2000 that had exercise prices of $40.00 per share or greater. Options issued to its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corporate officers and directors were not accelerated. Unvested options to purchase approximately 18 million shares became exercisable as a result of the vesting acceleration. Because the exercise price of all the modified options was greater than the market price of the Company’s underlying common stock on the date of the modification, no stock-based compensation expense was recorded in the statement of income in accordance with APB Opinion No. 25. The primary purpose for modifying the terms of these options to accelerate their vesting was to eliminate the need to recognize the remaining unrecognized non-cash compensation expense in the statement of income associated with these options as measured under SFAS 123. The approximately $188 million ($134 million net of tax) of future expense associated with these options would have been disproportionately high compared to the economic value of the options at the date of modification.</w:t>
      </w:r>
    </w:p>
    <w:p>
      <w:pPr>
        <w:spacing w:after="0" w:line="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disclosed in Note 10, on November 15, 2005 the Company announced that a tentative settlement of the SEC’s previously announced stock option investigation has been reached. The Company has determined that no restatement of its historical financial results would be necessary due to the proposed settlement because the effects of using revised measurement dates for options granted in 1998, 1999 and 2001 are not material to any of the fiscal years 1998 through 2005, based on the materiality guidelines contained in SAB 99. Accordingly, the table presented above has not been restated to reflect the effects of using the revised measurement 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Option Activity</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activity under the Company’s stock option plans as of January 28, 2006 and changes during the three-month period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48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0"/>
              </w:rPr>
              <w:t>Options</w:t>
            </w:r>
          </w:p>
        </w:tc>
        <w:tc>
          <w:tcPr>
            <w:tcW w:w="4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4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Outstanding</w:t>
            </w:r>
          </w:p>
        </w:tc>
        <w:tc>
          <w:tcPr>
            <w:tcW w:w="4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4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4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October 29, 2005</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85,489</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$32.75</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8,029</w:t>
            </w:r>
          </w:p>
        </w:tc>
        <w:tc>
          <w:tcPr>
            <w:tcW w:w="320" w:type="dxa"/>
            <w:vAlign w:val="bottom"/>
          </w:tcPr>
          <w:p>
            <w:pPr>
              <w:spacing w:after="0"/>
              <w:rPr>
                <w:sz w:val="18"/>
                <w:szCs w:val="18"/>
                <w:color w:val="auto"/>
              </w:rPr>
            </w:pPr>
          </w:p>
        </w:tc>
        <w:tc>
          <w:tcPr>
            <w:tcW w:w="1680" w:type="dxa"/>
            <w:vAlign w:val="bottom"/>
            <w:gridSpan w:val="2"/>
          </w:tcPr>
          <w:p>
            <w:pPr>
              <w:jc w:val="right"/>
              <w:ind w:right="328"/>
              <w:spacing w:after="0"/>
              <w:rPr>
                <w:sz w:val="20"/>
                <w:szCs w:val="20"/>
                <w:color w:val="auto"/>
              </w:rPr>
            </w:pPr>
            <w:r>
              <w:rPr>
                <w:rFonts w:ascii="Arial" w:cs="Arial" w:eastAsia="Arial" w:hAnsi="Arial"/>
                <w:sz w:val="18"/>
                <w:szCs w:val="18"/>
                <w:color w:val="auto"/>
              </w:rPr>
              <w:t>39.43</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6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(2,558)</w:t>
            </w:r>
          </w:p>
        </w:tc>
        <w:tc>
          <w:tcPr>
            <w:tcW w:w="16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15.12</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1640" w:type="dxa"/>
            <w:vAlign w:val="bottom"/>
            <w:gridSpan w:val="5"/>
          </w:tcPr>
          <w:p>
            <w:pPr>
              <w:jc w:val="right"/>
              <w:ind w:right="280"/>
              <w:spacing w:after="0"/>
              <w:rPr>
                <w:sz w:val="20"/>
                <w:szCs w:val="20"/>
                <w:color w:val="auto"/>
              </w:rPr>
            </w:pPr>
            <w:r>
              <w:rPr>
                <w:rFonts w:ascii="Arial" w:cs="Arial" w:eastAsia="Arial" w:hAnsi="Arial"/>
                <w:sz w:val="18"/>
                <w:szCs w:val="18"/>
                <w:color w:val="auto"/>
              </w:rPr>
              <w:t>(464)</w:t>
            </w:r>
          </w:p>
        </w:tc>
        <w:tc>
          <w:tcPr>
            <w:tcW w:w="1680" w:type="dxa"/>
            <w:vAlign w:val="bottom"/>
            <w:gridSpan w:val="2"/>
          </w:tcPr>
          <w:p>
            <w:pPr>
              <w:jc w:val="right"/>
              <w:ind w:right="328"/>
              <w:spacing w:after="0"/>
              <w:rPr>
                <w:sz w:val="20"/>
                <w:szCs w:val="20"/>
                <w:color w:val="auto"/>
              </w:rPr>
            </w:pPr>
            <w:r>
              <w:rPr>
                <w:rFonts w:ascii="Arial" w:cs="Arial" w:eastAsia="Arial" w:hAnsi="Arial"/>
                <w:sz w:val="18"/>
                <w:szCs w:val="18"/>
                <w:color w:val="auto"/>
              </w:rPr>
              <w:t>33.65</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16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(327)</w:t>
            </w:r>
          </w:p>
        </w:tc>
        <w:tc>
          <w:tcPr>
            <w:tcW w:w="16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44.83</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January 28, 2006</w:t>
            </w:r>
          </w:p>
        </w:tc>
        <w:tc>
          <w:tcPr>
            <w:tcW w:w="800" w:type="dxa"/>
            <w:vAlign w:val="bottom"/>
            <w:gridSpan w:val="2"/>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90,169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2"/>
          </w:tcPr>
          <w:p>
            <w:pPr>
              <w:jc w:val="right"/>
              <w:ind w:right="328"/>
              <w:spacing w:after="0"/>
              <w:rPr>
                <w:sz w:val="20"/>
                <w:szCs w:val="20"/>
                <w:color w:val="auto"/>
              </w:rPr>
            </w:pPr>
            <w:r>
              <w:rPr>
                <w:rFonts w:ascii="Arial" w:cs="Arial" w:eastAsia="Arial" w:hAnsi="Arial"/>
                <w:sz w:val="18"/>
                <w:szCs w:val="18"/>
                <w:color w:val="auto"/>
              </w:rPr>
              <w:t>$33.80</w:t>
            </w:r>
          </w:p>
        </w:tc>
        <w:tc>
          <w:tcPr>
            <w:tcW w:w="1440" w:type="dxa"/>
            <w:vAlign w:val="bottom"/>
            <w:gridSpan w:val="2"/>
          </w:tcPr>
          <w:p>
            <w:pPr>
              <w:jc w:val="center"/>
              <w:ind w:left="390"/>
              <w:spacing w:after="0"/>
              <w:rPr>
                <w:sz w:val="20"/>
                <w:szCs w:val="20"/>
                <w:color w:val="auto"/>
              </w:rPr>
            </w:pPr>
            <w:r>
              <w:rPr>
                <w:rFonts w:ascii="Arial" w:cs="Arial" w:eastAsia="Arial" w:hAnsi="Arial"/>
                <w:sz w:val="18"/>
                <w:szCs w:val="18"/>
                <w:color w:val="auto"/>
                <w:w w:val="95"/>
              </w:rPr>
              <w:t>6.1</w:t>
            </w:r>
          </w:p>
        </w:tc>
        <w:tc>
          <w:tcPr>
            <w:tcW w:w="1660" w:type="dxa"/>
            <w:vAlign w:val="bottom"/>
            <w:gridSpan w:val="2"/>
          </w:tcPr>
          <w:p>
            <w:pPr>
              <w:jc w:val="right"/>
              <w:ind w:right="228"/>
              <w:spacing w:after="0"/>
              <w:rPr>
                <w:sz w:val="20"/>
                <w:szCs w:val="20"/>
                <w:color w:val="auto"/>
              </w:rPr>
            </w:pPr>
            <w:r>
              <w:rPr>
                <w:rFonts w:ascii="Arial" w:cs="Arial" w:eastAsia="Arial" w:hAnsi="Arial"/>
                <w:sz w:val="18"/>
                <w:szCs w:val="18"/>
                <w:color w:val="auto"/>
              </w:rPr>
              <w:t>$690,282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January 28, 2006</w:t>
            </w:r>
          </w:p>
        </w:tc>
        <w:tc>
          <w:tcPr>
            <w:tcW w:w="80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62,866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$33.52</w:t>
            </w:r>
          </w:p>
        </w:tc>
        <w:tc>
          <w:tcPr>
            <w:tcW w:w="14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5"/>
              </w:rPr>
              <w:t>5.1</w:t>
            </w:r>
          </w:p>
        </w:tc>
        <w:tc>
          <w:tcPr>
            <w:tcW w:w="16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$541,595</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or expected to vest at January 28, 2006 (1)</w:t>
            </w:r>
          </w:p>
        </w:tc>
        <w:tc>
          <w:tcPr>
            <w:tcW w:w="13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2"/>
            <w:vMerge w:val="restart"/>
          </w:tcPr>
          <w:p>
            <w:pPr>
              <w:jc w:val="right"/>
              <w:ind w:right="328"/>
              <w:spacing w:after="0"/>
              <w:rPr>
                <w:sz w:val="20"/>
                <w:szCs w:val="20"/>
                <w:color w:val="auto"/>
              </w:rPr>
            </w:pPr>
            <w:r>
              <w:rPr>
                <w:rFonts w:ascii="Arial" w:cs="Arial" w:eastAsia="Arial" w:hAnsi="Arial"/>
                <w:sz w:val="18"/>
                <w:szCs w:val="18"/>
                <w:color w:val="auto"/>
              </w:rPr>
              <w:t>$33.71</w:t>
            </w:r>
          </w:p>
        </w:tc>
        <w:tc>
          <w:tcPr>
            <w:tcW w:w="1440" w:type="dxa"/>
            <w:vAlign w:val="bottom"/>
            <w:gridSpan w:val="2"/>
            <w:vMerge w:val="restart"/>
          </w:tcPr>
          <w:p>
            <w:pPr>
              <w:jc w:val="center"/>
              <w:ind w:left="390"/>
              <w:spacing w:after="0"/>
              <w:rPr>
                <w:sz w:val="20"/>
                <w:szCs w:val="20"/>
                <w:color w:val="auto"/>
              </w:rPr>
            </w:pPr>
            <w:r>
              <w:rPr>
                <w:rFonts w:ascii="Arial" w:cs="Arial" w:eastAsia="Arial" w:hAnsi="Arial"/>
                <w:sz w:val="18"/>
                <w:szCs w:val="18"/>
                <w:color w:val="auto"/>
                <w:w w:val="95"/>
              </w:rPr>
              <w:t>6.1</w:t>
            </w:r>
          </w:p>
        </w:tc>
        <w:tc>
          <w:tcPr>
            <w:tcW w:w="1660" w:type="dxa"/>
            <w:vAlign w:val="bottom"/>
            <w:gridSpan w:val="2"/>
            <w:vMerge w:val="restart"/>
          </w:tcPr>
          <w:p>
            <w:pPr>
              <w:jc w:val="right"/>
              <w:ind w:right="228"/>
              <w:spacing w:after="0"/>
              <w:rPr>
                <w:sz w:val="20"/>
                <w:szCs w:val="20"/>
                <w:color w:val="auto"/>
              </w:rPr>
            </w:pPr>
            <w:r>
              <w:rPr>
                <w:rFonts w:ascii="Arial" w:cs="Arial" w:eastAsia="Arial" w:hAnsi="Arial"/>
                <w:sz w:val="18"/>
                <w:szCs w:val="18"/>
                <w:color w:val="auto"/>
              </w:rPr>
              <w:t>$683,694</w:t>
            </w: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800" w:type="dxa"/>
            <w:vAlign w:val="bottom"/>
            <w:gridSpan w:val="2"/>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87,815</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62"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During the three months ended January 28, 2006, the total intrinsic value of options exercised (i.e. the difference between the market price at exercise and the price paid by the employee to exercise the options) was $59.2 million and the total amount of cash received from exercise of these options was $38.7 million. The total grant-date fair value of stock options that vested during the three months ended January 28, 2006 was approximately $103.8 million.</w:t>
      </w:r>
    </w:p>
    <w:p>
      <w:pPr>
        <w:spacing w:after="0" w:line="3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As of January 28, 2006, there was $214.6 million of total unrecognized compensation cost related to unvested share-based awards. That cost is expected to be recognized over a weighted-average period of 1.9 years.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Comprehensive Income</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gridSpan w:val="6"/>
          </w:tcPr>
          <w:p>
            <w:pPr>
              <w:jc w:val="right"/>
              <w:ind w:right="14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w w:val="90"/>
              </w:rPr>
              <w:t>January 28, 2006</w:t>
            </w: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January 29, 2005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120,557</w:t>
            </w:r>
          </w:p>
        </w:tc>
        <w:tc>
          <w:tcPr>
            <w:tcW w:w="6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107,443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Unrealized holding gains (losses) (net of taxes of $911 and $3,741, respectively) on securities</w:t>
            </w:r>
          </w:p>
        </w:tc>
        <w:tc>
          <w:tcPr>
            <w:tcW w:w="4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classified as Short-term Investments</w:t>
            </w:r>
          </w:p>
        </w:tc>
        <w:tc>
          <w:tcPr>
            <w:tcW w:w="4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6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w w:val="98"/>
              </w:rPr>
              <w:t>Unrealized holding gains (losses) (net of taxes of $15 and $160, respectively) on securities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classified as Other Investments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unrealized gains on derivative instruments designated as cash flow hedges</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6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3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4,427</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124,984</w:t>
            </w:r>
          </w:p>
        </w:tc>
        <w:tc>
          <w:tcPr>
            <w:tcW w:w="6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102,826</w:t>
            </w:r>
          </w:p>
        </w:tc>
        <w:tc>
          <w:tcPr>
            <w:tcW w:w="0" w:type="dxa"/>
            <w:vAlign w:val="bottom"/>
          </w:tcPr>
          <w:p>
            <w:pPr>
              <w:spacing w:after="0"/>
              <w:rPr>
                <w:sz w:val="1"/>
                <w:szCs w:val="1"/>
                <w:color w:val="auto"/>
              </w:rPr>
            </w:pPr>
          </w:p>
        </w:tc>
      </w:tr>
      <w:tr>
        <w:trPr>
          <w:trHeight w:val="20"/>
        </w:trPr>
        <w:tc>
          <w:tcPr>
            <w:tcW w:w="7720" w:type="dxa"/>
            <w:vAlign w:val="bottom"/>
            <w:gridSpan w:val="3"/>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40" w:type="dxa"/>
            <w:vAlign w:val="bottom"/>
            <w:gridSpan w:val="6"/>
          </w:tcPr>
          <w:p>
            <w:pPr>
              <w:spacing w:after="0"/>
              <w:rPr>
                <w:sz w:val="20"/>
                <w:szCs w:val="20"/>
                <w:color w:val="auto"/>
              </w:rPr>
            </w:pPr>
            <w:r>
              <w:rPr>
                <w:rFonts w:ascii="Arial" w:cs="Arial" w:eastAsia="Arial" w:hAnsi="Arial"/>
                <w:sz w:val="18"/>
                <w:szCs w:val="18"/>
                <w:color w:val="auto"/>
                <w:w w:val="91"/>
              </w:rPr>
              <w:t>The components of accumulated other comprehensive income at January 28, 2006 and October 29, 2005 consisted of the following:</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w w:val="92"/>
              </w:rPr>
              <w:t>January 28, 2006</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October 29, 2005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3,548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Unrealized losses on available-for-sale securities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rPr>
              <w:t>(10,708)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(12,427)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derivative instruments</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(1,610)</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Minimum pension liability adjustment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rPr>
              <w:t>(6,067)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accumulated other comprehensive loss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(14,837)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(19,264)</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jc w:val="right"/>
              <w:ind w:right="143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Basic earnings per share is computed using only the weighted-average number of common shares outstanding during the period. Diluted earnings per share is computed using the weighted-average number of common shares outstanding during the period, plus the dilutive effect of potential future issuances of common stock relating to stock option programs and other potentially dilutive securities. In calculating diluted earnings per share, the dilutive effect of stock options is computed using the average market price for the respective period. Potential shares related to certain of the Company’s outstanding stock options were excluded because they were anti-dilutive. Those potential shares related to the Company’s outstanding stock options could be dilutive in the future. The following table sets forth the computation of basic and diluted earnings per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80" w:type="dxa"/>
            <w:vAlign w:val="bottom"/>
            <w:gridSpan w:val="5"/>
          </w:tcPr>
          <w:p>
            <w:pPr>
              <w:ind w:left="9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2"/>
          </w:tcPr>
          <w:p>
            <w:pPr>
              <w:jc w:val="right"/>
              <w:ind w:right="940"/>
              <w:spacing w:after="0" w:line="142" w:lineRule="exact"/>
              <w:rPr>
                <w:sz w:val="20"/>
                <w:szCs w:val="20"/>
                <w:color w:val="auto"/>
              </w:rPr>
            </w:pPr>
            <w:r>
              <w:rPr>
                <w:rFonts w:ascii="Arial" w:cs="Arial" w:eastAsia="Arial" w:hAnsi="Arial"/>
                <w:sz w:val="14"/>
                <w:szCs w:val="14"/>
                <w:color w:val="auto"/>
                <w:w w:val="92"/>
              </w:rPr>
              <w:t>January 28, 2006</w:t>
            </w: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92"/>
              </w:rPr>
              <w:t>January 29, 2005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60"/>
              <w:spacing w:after="0"/>
              <w:rPr>
                <w:sz w:val="20"/>
                <w:szCs w:val="20"/>
                <w:color w:val="auto"/>
              </w:rPr>
            </w:pPr>
            <w:r>
              <w:rPr>
                <w:rFonts w:ascii="Arial" w:cs="Arial" w:eastAsia="Arial" w:hAnsi="Arial"/>
                <w:sz w:val="18"/>
                <w:szCs w:val="18"/>
                <w:color w:val="auto"/>
              </w:rPr>
              <w:t>120,557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107,443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shares outstanding</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366,135</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2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60"/>
              <w:spacing w:after="0"/>
              <w:rPr>
                <w:sz w:val="20"/>
                <w:szCs w:val="20"/>
                <w:color w:val="auto"/>
              </w:rPr>
            </w:pPr>
            <w:r>
              <w:rPr>
                <w:rFonts w:ascii="Arial" w:cs="Arial" w:eastAsia="Arial" w:hAnsi="Arial"/>
                <w:sz w:val="18"/>
                <w:szCs w:val="18"/>
                <w:color w:val="auto"/>
              </w:rPr>
              <w:t>0.33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60"/>
              <w:spacing w:after="0"/>
              <w:rPr>
                <w:sz w:val="20"/>
                <w:szCs w:val="20"/>
                <w:color w:val="auto"/>
              </w:rPr>
            </w:pPr>
            <w:r>
              <w:rPr>
                <w:rFonts w:ascii="Arial" w:cs="Arial" w:eastAsia="Arial" w:hAnsi="Arial"/>
                <w:sz w:val="18"/>
                <w:szCs w:val="18"/>
                <w:color w:val="auto"/>
              </w:rPr>
              <w:t>120,557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107,443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shares outstanding</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366,135</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Assumed exercise of common stock equivalents</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760"/>
              <w:spacing w:after="0"/>
              <w:rPr>
                <w:sz w:val="20"/>
                <w:szCs w:val="20"/>
                <w:color w:val="auto"/>
              </w:rPr>
            </w:pPr>
            <w:r>
              <w:rPr>
                <w:rFonts w:ascii="Arial" w:cs="Arial" w:eastAsia="Arial" w:hAnsi="Arial"/>
                <w:sz w:val="18"/>
                <w:szCs w:val="18"/>
                <w:color w:val="auto"/>
              </w:rPr>
              <w:t>14,202</w:t>
            </w:r>
          </w:p>
        </w:tc>
        <w:tc>
          <w:tcPr>
            <w:tcW w:w="1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12,546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common and common equivalent shares</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380,337</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2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60"/>
              <w:spacing w:after="0"/>
              <w:rPr>
                <w:sz w:val="20"/>
                <w:szCs w:val="20"/>
                <w:color w:val="auto"/>
              </w:rPr>
            </w:pPr>
            <w:r>
              <w:rPr>
                <w:rFonts w:ascii="Arial" w:cs="Arial" w:eastAsia="Arial" w:hAnsi="Arial"/>
                <w:sz w:val="18"/>
                <w:szCs w:val="18"/>
                <w:color w:val="auto"/>
              </w:rPr>
              <w:t>0.32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52,338</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46,101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140" w:type="dxa"/>
            <w:vAlign w:val="bottom"/>
          </w:tcPr>
          <w:p>
            <w:pPr>
              <w:jc w:val="right"/>
              <w:ind w:right="181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Special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special charges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Reorganization of</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Closure of Wafer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Product Development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and Support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92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Fabrication Facility</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Programs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2005 Charges:</w:t>
            </w:r>
          </w:p>
        </w:tc>
        <w:tc>
          <w:tcPr>
            <w:tcW w:w="1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Workforce reductions</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20,315</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11,165</w:t>
            </w:r>
          </w:p>
        </w:tc>
        <w:tc>
          <w:tcPr>
            <w:tcW w:w="36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2005 Charges</w:t>
            </w:r>
          </w:p>
        </w:tc>
        <w:tc>
          <w:tcPr>
            <w:tcW w:w="2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20,315</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11,165</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439"/>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Fiscal 2006 Charges:</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2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Abandonment of equipment</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2006 Charges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Special Charges</w:t>
            </w: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920" w:type="dxa"/>
            <w:vAlign w:val="bottom"/>
            <w:gridSpan w:val="2"/>
            <w:vMerge w:val="continue"/>
          </w:tcPr>
          <w:p>
            <w:pPr>
              <w:spacing w:after="0"/>
              <w:rPr>
                <w:sz w:val="24"/>
                <w:szCs w:val="24"/>
                <w:color w:val="auto"/>
              </w:rPr>
            </w:pPr>
          </w:p>
        </w:tc>
        <w:tc>
          <w:tcPr>
            <w:tcW w:w="1880" w:type="dxa"/>
            <w:vAlign w:val="bottom"/>
            <w:gridSpan w:val="2"/>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20,315</w:t>
            </w:r>
          </w:p>
        </w:tc>
        <w:tc>
          <w:tcPr>
            <w:tcW w:w="240" w:type="dxa"/>
            <w:vAlign w:val="bottom"/>
          </w:tcPr>
          <w:p>
            <w:pPr>
              <w:spacing w:after="0"/>
              <w:rPr>
                <w:sz w:val="24"/>
                <w:szCs w:val="24"/>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12,178</w:t>
            </w:r>
          </w:p>
        </w:tc>
        <w:tc>
          <w:tcPr>
            <w:tcW w:w="36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32,493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9"/>
              </w:rPr>
              <w:t>Closure of Wafer</w:t>
            </w:r>
          </w:p>
        </w:tc>
        <w:tc>
          <w:tcPr>
            <w:tcW w:w="240" w:type="dxa"/>
            <w:vAlign w:val="bottom"/>
          </w:tcPr>
          <w:p>
            <w:pPr>
              <w:spacing w:after="0"/>
              <w:rPr>
                <w:sz w:val="24"/>
                <w:szCs w:val="24"/>
                <w:color w:val="auto"/>
              </w:rPr>
            </w:pPr>
          </w:p>
        </w:tc>
        <w:tc>
          <w:tcPr>
            <w:tcW w:w="20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Reorganization of Product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Accrued Restructuring</w:t>
            </w: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5"/>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Development and Support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92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8"/>
              </w:rPr>
              <w:t>Fabrication Facility</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Programs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October 29, 2005</w:t>
            </w:r>
          </w:p>
        </w:tc>
        <w:tc>
          <w:tcPr>
            <w:tcW w:w="18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20,315</w:t>
            </w: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10,708</w:t>
            </w:r>
          </w:p>
        </w:tc>
        <w:tc>
          <w:tcPr>
            <w:tcW w:w="4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31,023</w:t>
            </w:r>
          </w:p>
        </w:tc>
        <w:tc>
          <w:tcPr>
            <w:tcW w:w="0" w:type="dxa"/>
            <w:vAlign w:val="bottom"/>
          </w:tcPr>
          <w:p>
            <w:pPr>
              <w:spacing w:after="0"/>
              <w:rPr>
                <w:sz w:val="1"/>
                <w:szCs w:val="1"/>
                <w:color w:val="auto"/>
              </w:rPr>
            </w:pP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Special charges</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3"/>
          </w:tcPr>
          <w:p>
            <w:pPr>
              <w:jc w:val="right"/>
              <w:ind w:right="360"/>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(4,527)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Non-cash impairment charge</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(459)</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28, 2006</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20,315</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6,735</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of Wafer Fabrication Facility</w:t>
      </w:r>
    </w:p>
    <w:p>
      <w:pPr>
        <w:spacing w:after="0" w:line="11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During the fourth quarter of fiscal 2005, the Company recorded a special charge of $20 million as a result of a decision to close its California wafer fabrication operations and transfer production to facilities located in Massachusetts and Ireland, as well as to third-party wafer fabricators. The charge was for severance and fringe benefit costs that were recorded pursuant to SFAS 88, </w:t>
      </w:r>
      <w:r>
        <w:rPr>
          <w:rFonts w:ascii="Arial" w:cs="Arial" w:eastAsia="Arial" w:hAnsi="Arial"/>
          <w:sz w:val="16"/>
          <w:szCs w:val="16"/>
          <w:i w:val="1"/>
          <w:iCs w:val="1"/>
          <w:color w:val="auto"/>
        </w:rPr>
        <w:t>Employers’ Accounting for Settlements and Curtailments of Defined Benefit</w:t>
      </w:r>
      <w:r>
        <w:rPr>
          <w:rFonts w:ascii="Arial" w:cs="Arial" w:eastAsia="Arial" w:hAnsi="Arial"/>
          <w:sz w:val="16"/>
          <w:szCs w:val="16"/>
          <w:color w:val="auto"/>
        </w:rPr>
        <w:t xml:space="preserve"> </w:t>
      </w:r>
      <w:r>
        <w:rPr>
          <w:rFonts w:ascii="Arial" w:cs="Arial" w:eastAsia="Arial" w:hAnsi="Arial"/>
          <w:sz w:val="16"/>
          <w:szCs w:val="16"/>
          <w:i w:val="1"/>
          <w:iCs w:val="1"/>
          <w:color w:val="auto"/>
        </w:rPr>
        <w:t>Pension Plans and for Termination Benefits</w:t>
      </w:r>
      <w:r>
        <w:rPr>
          <w:rFonts w:ascii="Arial" w:cs="Arial" w:eastAsia="Arial" w:hAnsi="Arial"/>
          <w:sz w:val="16"/>
          <w:szCs w:val="16"/>
          <w:color w:val="auto"/>
        </w:rPr>
        <w:t>, under the Company’s ongoing benefit plan for 339 manufacturing employees and 28 general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The severance benefit is calculated based on length of past service, and employees must continue to be employed until they are involuntarily terminated in order to receive the severance benefit. As of January 28, 2006, all affected employees remain employed by the Company. The employment of these employees is expected to terminate upon the closure of the wafer fabrication facility which is planned for October of 2006. In addition to the charge recorded in the fourth quarter of fiscal 2005, the Company recorded additional expense in the first quarter of fiscal 2006, which consisted of $5.4 million of non-cash cost of sales expenses for additional depreciation due to shortened useful lives of certain manufacturing equipment and $0.5 million for stay-on bonuses. In accordance with GAAP, the Company expects to incur additional expenses related to this action during fiscal 2006 of approximately</w:t>
      </w:r>
    </w:p>
    <w:p>
      <w:pPr>
        <w:spacing w:after="0" w:line="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$23.6 million, of which approximately $16.2 million will be for non-cash cost of sales expense for additional depreciation, approximately $1.4 million will be for stay-on bonuses and approximately $6 million will be for estimated lease termination and clean-up costs. The closure of these facilities is expected to be completed by the end of fiscal 2006.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 xml:space="preserve">During the fourth quarter of fiscal 2005, the Company recorded a special charge of $11 million as a result of its decision to reorganize its product development and support programs with the goal of providing greater focus on its analog and DSP product programs. The charge was for severance and fringe benefit costs that were recorded pursuant to SFAS 88, </w:t>
      </w:r>
      <w:r>
        <w:rPr>
          <w:rFonts w:ascii="Arial" w:cs="Arial" w:eastAsia="Arial" w:hAnsi="Arial"/>
          <w:sz w:val="17"/>
          <w:szCs w:val="17"/>
          <w:i w:val="1"/>
          <w:iCs w:val="1"/>
          <w:color w:val="auto"/>
        </w:rPr>
        <w:t>Employers’ Accounting for Settlements and Curtailments of Defined Benefit Pension Plans and</w:t>
      </w:r>
      <w:r>
        <w:rPr>
          <w:rFonts w:ascii="Arial" w:cs="Arial" w:eastAsia="Arial" w:hAnsi="Arial"/>
          <w:sz w:val="17"/>
          <w:szCs w:val="17"/>
          <w:color w:val="auto"/>
        </w:rPr>
        <w:t xml:space="preserve"> </w:t>
      </w:r>
      <w:r>
        <w:rPr>
          <w:rFonts w:ascii="Arial" w:cs="Arial" w:eastAsia="Arial" w:hAnsi="Arial"/>
          <w:sz w:val="17"/>
          <w:szCs w:val="17"/>
          <w:i w:val="1"/>
          <w:iCs w:val="1"/>
          <w:color w:val="auto"/>
        </w:rPr>
        <w:t>for Termination Benefits</w:t>
      </w:r>
      <w:r>
        <w:rPr>
          <w:rFonts w:ascii="Arial" w:cs="Arial" w:eastAsia="Arial" w:hAnsi="Arial"/>
          <w:sz w:val="17"/>
          <w:szCs w:val="17"/>
          <w:color w:val="auto"/>
        </w:rPr>
        <w:t>, under the Company’s ongoing benefit plan or statutory requirements at foreign locations for 60 manufacturing employees and 154</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and selling, marketing and general and administrative employees. These employees must continue to be employed until they are involuntarily terminated in order to receive the severance benefit. As of January 28, 2006, the employment of 98 of these employees had been terminated. During the first quarter of fiscal 2006, the Company recorded an additional special</w:t>
      </w:r>
    </w:p>
    <w:p>
      <w:pPr>
        <w:sectPr>
          <w:pgSz w:w="11900" w:h="16838" w:orient="portrait"/>
          <w:cols w:equalWidth="0" w:num="1">
            <w:col w:w="11420"/>
          </w:cols>
          <w:pgMar w:left="240" w:top="419"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charge of $1 million related to this reorganization action. This charge was for lease obligation costs for a facility the Company ceased using during the first quarter of fiscal 2006 and the write-off of property, plant and equipment. The Company does not plan to incur any additional charges relating to this reorganization 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Segment Information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The Company operates and tracks its results in one reportable segment. The Company designs, develops, manufactures and markets a broad range of integrated circuits. The Chief Executive Officer has been identified as the Chief Operating Decision Maker as defined by Statement of Financial Accounting Standards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annually evaluates goodwill for impairment as well as whenever events or changes in circumstances suggest that the carrying value of goodwill may not be recoverable from estimated discounted future cash flows. Because the Company has one reporting segment under SFAS 142, the Company utilizes the entity-wide approach for assessing goodwill for impairment and compares its market value to its net book value to determine if an impairment exists. No impairment of goodwill resulted from the Company’s most recent evaluation of goodwill for impairment, which occurred in the fourth quarter of fiscal 2005. The Company’s next annual impairment assessment will be made in the fourth quarter of fiscal 2006.</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which continue to be amortized,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4"/>
          </w:tcPr>
          <w:p>
            <w:pPr>
              <w:jc w:val="right"/>
              <w:ind w:right="1540"/>
              <w:spacing w:after="0"/>
              <w:rPr>
                <w:sz w:val="20"/>
                <w:szCs w:val="20"/>
                <w:color w:val="auto"/>
              </w:rPr>
            </w:pPr>
            <w:r>
              <w:rPr>
                <w:rFonts w:ascii="Arial" w:cs="Arial" w:eastAsia="Arial" w:hAnsi="Arial"/>
                <w:sz w:val="14"/>
                <w:szCs w:val="14"/>
                <w:color w:val="auto"/>
                <w:w w:val="88"/>
              </w:rPr>
              <w:t>January 28, 2006</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4"/>
          </w:tcPr>
          <w:p>
            <w:pPr>
              <w:spacing w:after="0"/>
              <w:rPr>
                <w:sz w:val="20"/>
                <w:szCs w:val="20"/>
                <w:color w:val="auto"/>
              </w:rPr>
            </w:pPr>
            <w:r>
              <w:rPr>
                <w:rFonts w:ascii="Arial" w:cs="Arial" w:eastAsia="Arial" w:hAnsi="Arial"/>
                <w:sz w:val="14"/>
                <w:szCs w:val="14"/>
                <w:color w:val="auto"/>
              </w:rPr>
              <w:t>October 29, 2005</w:t>
            </w:r>
          </w:p>
        </w:tc>
      </w:tr>
      <w:tr>
        <w:trPr>
          <w:trHeight w:val="123"/>
        </w:trPr>
        <w:tc>
          <w:tcPr>
            <w:tcW w:w="5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140"/>
              <w:spacing w:after="0" w:line="123" w:lineRule="exact"/>
              <w:rPr>
                <w:sz w:val="20"/>
                <w:szCs w:val="20"/>
                <w:color w:val="auto"/>
              </w:rPr>
            </w:pPr>
            <w:r>
              <w:rPr>
                <w:rFonts w:ascii="Arial" w:cs="Arial" w:eastAsia="Arial" w:hAnsi="Arial"/>
                <w:sz w:val="14"/>
                <w:szCs w:val="14"/>
                <w:color w:val="auto"/>
                <w:w w:val="90"/>
              </w:rPr>
              <w:t>Gross</w:t>
            </w: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140"/>
              <w:spacing w:after="0" w:line="123" w:lineRule="exact"/>
              <w:rPr>
                <w:sz w:val="20"/>
                <w:szCs w:val="20"/>
                <w:color w:val="auto"/>
              </w:rPr>
            </w:pPr>
            <w:r>
              <w:rPr>
                <w:rFonts w:ascii="Arial" w:cs="Arial" w:eastAsia="Arial" w:hAnsi="Arial"/>
                <w:sz w:val="14"/>
                <w:szCs w:val="14"/>
                <w:color w:val="auto"/>
                <w:w w:val="90"/>
              </w:rPr>
              <w:t>Gross</w:t>
            </w: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Carrying</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Carrying</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Accumulated</w:t>
            </w:r>
          </w:p>
        </w:tc>
      </w:tr>
      <w:tr>
        <w:trPr>
          <w:trHeight w:val="167"/>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95"/>
              </w:rPr>
              <w:t>Amount</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Amortization</w:t>
            </w: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color w:val="auto"/>
                <w:w w:val="99"/>
              </w:rPr>
              <w:t>Amount</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Amortization</w:t>
            </w:r>
          </w:p>
        </w:tc>
        <w:tc>
          <w:tcPr>
            <w:tcW w:w="280" w:type="dxa"/>
            <w:vAlign w:val="bottom"/>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13,926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13,567</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Tradename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1,167</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1,167</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820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6,147</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6,147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6,147</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6,147</w:t>
            </w: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24,737</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20,924</w:t>
            </w: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24,737</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20,534</w:t>
            </w:r>
          </w:p>
        </w:tc>
        <w:tc>
          <w:tcPr>
            <w:tcW w:w="2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Intangible assets are amortized on a straight-line basis over their estimated useful lives, which range from five to ten years. Amortization expense related to intangibles was $0.4 million and $0.7 million for the three-month periods ended January 28, 2006 and January 29, 2005,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spacing w:after="0"/>
              <w:rPr>
                <w:sz w:val="20"/>
                <w:szCs w:val="20"/>
                <w:color w:val="auto"/>
              </w:rPr>
            </w:pPr>
            <w:r>
              <w:rPr>
                <w:rFonts w:ascii="Arial" w:cs="Arial" w:eastAsia="Arial" w:hAnsi="Arial"/>
                <w:sz w:val="14"/>
                <w:szCs w:val="14"/>
                <w:color w:val="auto"/>
              </w:rPr>
              <w:t>Fiscal</w:t>
            </w:r>
          </w:p>
        </w:tc>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82"/>
              <w:spacing w:after="0"/>
              <w:rPr>
                <w:sz w:val="20"/>
                <w:szCs w:val="20"/>
                <w:color w:val="auto"/>
              </w:rPr>
            </w:pPr>
            <w:r>
              <w:rPr>
                <w:rFonts w:ascii="Arial" w:cs="Arial" w:eastAsia="Arial" w:hAnsi="Arial"/>
                <w:sz w:val="14"/>
                <w:szCs w:val="14"/>
                <w:color w:val="auto"/>
              </w:rPr>
              <w:t>Amortization</w:t>
            </w:r>
          </w:p>
        </w:tc>
      </w:tr>
      <w:tr>
        <w:trPr>
          <w:trHeight w:val="167"/>
        </w:trPr>
        <w:tc>
          <w:tcPr>
            <w:tcW w:w="3520" w:type="dxa"/>
            <w:vAlign w:val="bottom"/>
            <w:gridSpan w:val="2"/>
          </w:tcPr>
          <w:p>
            <w:pPr>
              <w:spacing w:after="0"/>
              <w:rPr>
                <w:sz w:val="20"/>
                <w:szCs w:val="20"/>
                <w:color w:val="auto"/>
              </w:rPr>
            </w:pPr>
            <w:r>
              <w:rPr>
                <w:rFonts w:ascii="Arial" w:cs="Arial" w:eastAsia="Arial" w:hAnsi="Arial"/>
                <w:sz w:val="14"/>
                <w:szCs w:val="14"/>
                <w:color w:val="auto"/>
              </w:rPr>
              <w:t>Years</w:t>
            </w:r>
          </w:p>
        </w:tc>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222"/>
              <w:spacing w:after="0"/>
              <w:rPr>
                <w:sz w:val="20"/>
                <w:szCs w:val="20"/>
                <w:color w:val="auto"/>
              </w:rPr>
            </w:pPr>
            <w:r>
              <w:rPr>
                <w:rFonts w:ascii="Arial" w:cs="Arial" w:eastAsia="Arial" w:hAnsi="Arial"/>
                <w:sz w:val="14"/>
                <w:szCs w:val="14"/>
                <w:color w:val="auto"/>
              </w:rPr>
              <w:t>Expense</w:t>
            </w:r>
          </w:p>
        </w:tc>
      </w:tr>
      <w:tr>
        <w:trPr>
          <w:trHeight w:val="210"/>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2006</w:t>
            </w:r>
          </w:p>
        </w:tc>
        <w:tc>
          <w:tcPr>
            <w:tcW w:w="62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rPr>
              <w:t>$1,212</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2007</w:t>
            </w:r>
          </w:p>
        </w:tc>
        <w:tc>
          <w:tcPr>
            <w:tcW w:w="7900" w:type="dxa"/>
            <w:vAlign w:val="bottom"/>
            <w:gridSpan w:val="3"/>
          </w:tcPr>
          <w:p>
            <w:pPr>
              <w:jc w:val="right"/>
              <w:ind w:right="262"/>
              <w:spacing w:after="0"/>
              <w:rPr>
                <w:sz w:val="20"/>
                <w:szCs w:val="20"/>
                <w:color w:val="auto"/>
              </w:rPr>
            </w:pPr>
            <w:r>
              <w:rPr>
                <w:rFonts w:ascii="Arial" w:cs="Arial" w:eastAsia="Arial" w:hAnsi="Arial"/>
                <w:sz w:val="18"/>
                <w:szCs w:val="18"/>
                <w:color w:val="auto"/>
              </w:rPr>
              <w:t>1,616</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900" w:type="dxa"/>
            <w:vAlign w:val="bottom"/>
            <w:gridSpan w:val="3"/>
            <w:shd w:val="clear" w:color="auto" w:fill="CCEEFF"/>
          </w:tcPr>
          <w:p>
            <w:pPr>
              <w:jc w:val="right"/>
              <w:ind w:right="262"/>
              <w:spacing w:after="0"/>
              <w:rPr>
                <w:sz w:val="20"/>
                <w:szCs w:val="20"/>
                <w:color w:val="auto"/>
              </w:rPr>
            </w:pPr>
            <w:r>
              <w:rPr>
                <w:rFonts w:ascii="Arial" w:cs="Arial" w:eastAsia="Arial" w:hAnsi="Arial"/>
                <w:sz w:val="18"/>
                <w:szCs w:val="18"/>
                <w:color w:val="auto"/>
              </w:rPr>
              <w:t>985</w:t>
            </w:r>
          </w:p>
        </w:tc>
      </w:tr>
      <w:tr>
        <w:trPr>
          <w:trHeight w:val="405"/>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260" w:type="dxa"/>
            <w:vAlign w:val="bottom"/>
          </w:tcPr>
          <w:p>
            <w:pPr>
              <w:jc w:val="right"/>
              <w:ind w:right="389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Pension Plans</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5"/>
          </w:tcPr>
          <w:p>
            <w:pPr>
              <w:jc w:val="right"/>
              <w:ind w:right="1300"/>
              <w:spacing w:after="0"/>
              <w:rPr>
                <w:sz w:val="20"/>
                <w:szCs w:val="20"/>
                <w:color w:val="auto"/>
              </w:rPr>
            </w:pPr>
            <w:r>
              <w:rPr>
                <w:rFonts w:ascii="Arial" w:cs="Arial" w:eastAsia="Arial" w:hAnsi="Arial"/>
                <w:sz w:val="14"/>
                <w:szCs w:val="14"/>
                <w:color w:val="auto"/>
              </w:rPr>
              <w:t>Three Months Ended</w:t>
            </w:r>
          </w:p>
        </w:tc>
      </w:tr>
      <w:tr>
        <w:trPr>
          <w:trHeight w:val="142"/>
        </w:trPr>
        <w:tc>
          <w:tcPr>
            <w:tcW w:w="79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90"/>
              </w:rPr>
              <w:t>January 28, 2006</w:t>
            </w: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90"/>
              </w:rPr>
              <w:t>January 29, 2005</w:t>
            </w:r>
          </w:p>
        </w:tc>
        <w:tc>
          <w:tcPr>
            <w:tcW w:w="300" w:type="dxa"/>
            <w:vAlign w:val="bottom"/>
          </w:tcPr>
          <w:p>
            <w:pPr>
              <w:spacing w:after="0"/>
              <w:rPr>
                <w:sz w:val="12"/>
                <w:szCs w:val="12"/>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3,735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2,135</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1880" w:type="dxa"/>
            <w:vAlign w:val="bottom"/>
            <w:gridSpan w:val="2"/>
          </w:tcPr>
          <w:p>
            <w:pPr>
              <w:jc w:val="right"/>
              <w:ind w:right="780"/>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1,684</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(2,674)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(1,888)</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transitional (asset) or obligation</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120" w:type="dxa"/>
            <w:vAlign w:val="bottom"/>
          </w:tcPr>
          <w:p>
            <w:pPr>
              <w:spacing w:after="0"/>
              <w:rPr>
                <w:sz w:val="18"/>
                <w:szCs w:val="18"/>
                <w:color w:val="auto"/>
              </w:rPr>
            </w:pPr>
          </w:p>
        </w:tc>
        <w:tc>
          <w:tcPr>
            <w:tcW w:w="1880" w:type="dxa"/>
            <w:vAlign w:val="bottom"/>
            <w:gridSpan w:val="2"/>
          </w:tcPr>
          <w:p>
            <w:pPr>
              <w:jc w:val="right"/>
              <w:ind w:right="78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166</w:t>
            </w:r>
          </w:p>
        </w:tc>
      </w:tr>
      <w:tr>
        <w:trPr>
          <w:trHeight w:val="27"/>
        </w:trPr>
        <w:tc>
          <w:tcPr>
            <w:tcW w:w="7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4,134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2,163</w:t>
            </w:r>
          </w:p>
        </w:tc>
      </w:tr>
      <w:tr>
        <w:trPr>
          <w:trHeight w:val="20"/>
        </w:trPr>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Contributions of $1.7 million have been made by the Company during the three months ended January 28, 2006. The Company presently anticipates contributing an additional $5.3 million to fund its defined benefit pension plans in fiscal year 2006 for a total of $7.0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Product Warranties</w:t>
      </w:r>
    </w:p>
    <w:p>
      <w:pPr>
        <w:spacing w:after="0" w:line="12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were not material during the three-month periods ended January 28, 2006 and January 29, 2005.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Tentative Settlement of the SEC’s Previously Announced Stock Option Investigation</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Company’s Form 10-K filing dated November 30, 2004, the Company disclosed that the Securities and Exchange Commission (SEC) had initiated an inquiry into its stock option granting practices, focusing on options that were granted shortly before the issuance of favorable financial results. On November 15, 2005, the Company announced that a tentative settlement has been reached.</w:t>
      </w:r>
    </w:p>
    <w:p>
      <w:pPr>
        <w:spacing w:after="0" w:line="73"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Since receiving notice of this inquiry, the Company has cooperated with the SEC and believes that the matter will be concluded in the near future. The Company and its President and CEO, Mr. Jerald G. Fishman, have made an offer of settlement to the Staff of the SEC, which is subject to agreement regarding the specific language of the SEC’s administrative order and other settlement documents. The SEC Staff has decided to recommend the offer of settlement to the Commission. A final settlement is subject to review and approval by the Commission.</w:t>
      </w:r>
    </w:p>
    <w:p>
      <w:pPr>
        <w:spacing w:after="0" w:line="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Board of Directors and Mr. Fishman believe that it is in the best interests of the Company’s shareholders to settle this case on the proposed terms rather than face a protracted dispute with the SEC.</w:t>
      </w:r>
    </w:p>
    <w:p>
      <w:pPr>
        <w:spacing w:after="0" w:line="62"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 xml:space="preserve">The contemplated settlement addresses two separate issues. The first issue concerns the Company’s disclosure regarding grants of options to employees and directors prior to the release of favorable financial results. Specifically, the issue relates to options granted to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of the Company on November 30, 1999 and to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and directors of the Company on November 10, 2000. The SEC settlement would conclude that the Company should have made disclosures in its proxy filings to the effect that the Company priced these stock options prior to releasing favorable financial results.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The second issue addressed by the tentative settlement concerns the grant dates for options granted to employees </w:t>
      </w:r>
      <w:r>
        <w:rPr>
          <w:rFonts w:ascii="Arial" w:cs="Arial" w:eastAsia="Arial" w:hAnsi="Arial"/>
          <w:sz w:val="16"/>
          <w:szCs w:val="16"/>
          <w:b w:val="1"/>
          <w:bCs w:val="1"/>
          <w:color w:val="auto"/>
        </w:rPr>
        <w:t>(</w:t>
      </w:r>
      <w:r>
        <w:rPr>
          <w:rFonts w:ascii="Arial" w:cs="Arial" w:eastAsia="Arial" w:hAnsi="Arial"/>
          <w:sz w:val="16"/>
          <w:szCs w:val="16"/>
          <w:color w:val="auto"/>
        </w:rPr>
        <w:t>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in 1998 and 1999, and the grant date for options granted to employees (including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and directors in 2001. Specifically, the settlement would conclude that the appropriate grant date for the September 4, 1998 options should have been September 8</w:t>
      </w:r>
      <w:r>
        <w:rPr>
          <w:rFonts w:ascii="Arial" w:cs="Arial" w:eastAsia="Arial" w:hAnsi="Arial"/>
          <w:sz w:val="13"/>
          <w:szCs w:val="13"/>
          <w:color w:val="auto"/>
        </w:rPr>
        <w:t>th</w:t>
      </w:r>
      <w:r>
        <w:rPr>
          <w:rFonts w:ascii="Arial" w:cs="Arial" w:eastAsia="Arial" w:hAnsi="Arial"/>
          <w:sz w:val="16"/>
          <w:szCs w:val="16"/>
          <w:color w:val="auto"/>
        </w:rPr>
        <w:t xml:space="preserve"> (which is one trading day later than the date that was used to price the options); the appropriate grant date for the November 30, 1999 options should have been November 29</w:t>
      </w:r>
      <w:r>
        <w:rPr>
          <w:rFonts w:ascii="Arial" w:cs="Arial" w:eastAsia="Arial" w:hAnsi="Arial"/>
          <w:sz w:val="13"/>
          <w:szCs w:val="13"/>
          <w:color w:val="auto"/>
        </w:rPr>
        <w:t>th</w:t>
      </w:r>
      <w:r>
        <w:rPr>
          <w:rFonts w:ascii="Arial" w:cs="Arial" w:eastAsia="Arial" w:hAnsi="Arial"/>
          <w:sz w:val="16"/>
          <w:szCs w:val="16"/>
          <w:color w:val="auto"/>
        </w:rPr>
        <w:t xml:space="preserve"> (which is one trading day earlier than the date that was used); and the appropriate grant date for the July 18, 2001 options should have been July 26</w:t>
      </w:r>
      <w:r>
        <w:rPr>
          <w:rFonts w:ascii="Arial" w:cs="Arial" w:eastAsia="Arial" w:hAnsi="Arial"/>
          <w:sz w:val="13"/>
          <w:szCs w:val="13"/>
          <w:color w:val="auto"/>
        </w:rPr>
        <w:t>th</w:t>
      </w:r>
      <w:r>
        <w:rPr>
          <w:rFonts w:ascii="Arial" w:cs="Arial" w:eastAsia="Arial" w:hAnsi="Arial"/>
          <w:sz w:val="16"/>
          <w:szCs w:val="16"/>
          <w:color w:val="auto"/>
        </w:rPr>
        <w:t xml:space="preserve"> (which is five trading days after the original date).</w:t>
      </w:r>
    </w:p>
    <w:p>
      <w:pPr>
        <w:spacing w:after="0" w:line="5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connection with the contemplated settlement, the Company would consent to a cease-and-desist order under Section 10(b) of the Securities Exchange Act and Rule 10b-5 thereunder, would pay a civil money penalty of $3 million, and would reprice options granted to Mr. Fishman and other directors in certain years. Options granted to all other employees would be excluded from the repricing. Mr. Fishman would consent to a cease-and-desist order under Sections 17(a)(2) and (3) of the Securities Act, would pay a civil money penalty of $1 million, and would make a disgorgement payment with respect to options granted in certain years. With the exception of options granted in 1998, Mr. Fishman has not exercised or sold any of the options identified in this matter. The Company and Mr. Fishman would settle this matter without admitting or denying the Commission’s findings.</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has determined that no restatement of its historical financial results would be necessary due to the proposed settlement, because the effects of using revised measurement dates for options granted in 1998, 1999 and 2001 are not material to any of the fiscal years 1998 through 2005, based on the materiality guidelines contained in SAB 99. If a stock-based compensation charge had been taken as a result of the revised measurement dates for these option grants to all employees (including officers) and directors, the net income of the Company for fiscal years 1998 through 2005 would have been reduced by $21.8 million in total. During this period, the Company earned cumulative net income of over $2.5 billion. There would be no impact on revenue, cash flow from operations, or shareholders’ equity as a result of using the revised measurement dates. The impact on net income in individual fiscal years would have been as follows: fiscal 1998 ($0.2 million), fiscal 1999 ($1.4 million), fiscal 2000 ($1.8 million), fiscal 2001 ($3.7 million), fiscal 2002 ($8.1 million), fiscal 2003 ($6.1 million), fiscal 2004 ($0.5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On June 14, 2005, Biax Corporation filed its first amended complaint for patent infringement in the United States District Court for the Eastern District of Texas against the Company and Intel Corporation, alleging that the Company infringed three patents owned by Biax relating to parallel processors. Prior to the filing of the first amended complaint, the Company was unaware of Biax or this action. The first amended complaint seeks injunctive relief, unspecified damages with interest, as well as Biax’s costs, expenses and fees. On August 3, 2005, the Company filed an answer and counterclaimed against Biax. In the counterclaim, the Company seeks rulings that the patents are not infringed, the patents are invalid and the patents are unenforceable. On November 7, 2005, Biax filed a second amended complaint alleging that the Company infringed two additional patents. The case has entered the discovery phase. The Company intends to vigorously defend against these allegations. The Company is unable at this time to predict the outcome of this litigation.</w:t>
      </w:r>
    </w:p>
    <w:p>
      <w:pPr>
        <w:spacing w:after="0" w:line="5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November 6, 2003, Enron Corporation commenced a proceeding in the United States Bankruptcy Court for the Southern District of New York. On December 1, 2003, Enron filed an amended complaint to add the Company as a defendant in such proceeding. The amended complaint alleges that transfers made by Enron in satisfaction of obligations it had under commercial paper are recoverable as preferential transfers and fraudulent transfers and are subject to avoidance under the United States Bankruptcy Code. It is alleged that payments made in premature satisfaction of obligations under commercial paper totaling approximately $20 million are recoverable from J.P. Morgan Securities, Inc., Fleet Capital Markets, Fleet National Bank and/or the Company. The Company sold $20 million of Enron commercial paper to Fleet and did not enter into any direct transactions with Enron. The Company filed a motion to dismiss the adversary proceeding. The motion to dismiss was denied by order dated June 30, 2005. The Company intends to vigorously defend against these claims. Although the Company believes it has meritorious defenses to the asserted claims, it is unable at this time to predict the outcome of this proceeding.</w:t>
      </w:r>
    </w:p>
    <w:p>
      <w:pPr>
        <w:spacing w:after="0" w:line="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currently under routine audit by the United States Internal Revenue Service (the “IRS”) for fiscal years 2001, 2002 and 2003. The audit has not been completed and the IRS has not issued a report on its audit. However, during February 2006, the IRS issued proposed adjustments to the Company and based on these proposed adjustments, the Company does not expect that the final outcome of this audit will have a material impact on its consolidated results of operations or financial condition.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From time to time as a normal incidence of the nature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w:t>
      </w:r>
    </w:p>
    <w:p>
      <w:pPr>
        <w:spacing w:after="0" w:line="5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does not believe that any of the matters above will have a material adverse effect on the Company’s consolidated results of operations or financial position, although an adverse outcome of any of these matters is possible and could have a material adverse effect on the Company’s consolidated results of operations or cash flows in the quarter or annual period in which one or more of these matters are resolved.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Stock Repurchase</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August 2004, the Company’s Board of Directors approved the repurchase of up to $500 million of the Company’s common stock. On May 11, 2005, the Company’s Board of Directors amended the stock repurchase program by increasing the total amount of the Company’s common stock the Company can repurchase from $500 million to $1 billion of common stock. Under the repurchase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The Company repurchased a total of 3.3 million shares for approximately $125 million during the first quarter of fiscal 2006. As of January 28, 2006, the Company had purchased approximately 21.8 million shares of its common stock for approximately $788 million under this program. The repurchased shares are held as authorized but unissued shares of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Common Stock Purchase Rights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March 1998, the Board of Directors adopted a Stockholder Rights Plan (the Stockholder Rights Plan) that replaced a plan adopted by the Board in 1988. Pursuant to the Stockholder Rights Plan, after giving effect to the Company’s two-for-one stock split effected on March 15, 2000, each share of the Company’s common stock had an associated one-half of a right. Under certain circumstances, each whole right would have entitled the registered holder to purchase from the Company one one-thousandth of a share of Series A Junior Participating Preferred Stock at a purchase price of $180 in cash, subject to adjustment.</w:t>
      </w:r>
    </w:p>
    <w:p>
      <w:pPr>
        <w:spacing w:after="0" w:line="8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January 23, 2006, the Company, by vote of its Board of Directors, terminated its Stockholder Rights Plan. All rights outstanding under the Stockholder Rights Plan will be redeemed at a redemption price of $0.0005 per right (as adjusted to reflect the two-for-one split of the Company’s common stock on March 15, 2000) (as adjusted, the “Redemption Price”) payable on March 15, 2006 to the holders of record of the Company’s common stock on February 24, 2006. All rights to exercise rights issued under the Stockholder Rights Plan terminated on January 23, 2006 and the only right thereafter of the holders of rights issued under the Stockholder Rights Plan is to receive the Redemption Price.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12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Certain of the Company’s directors are affiliated with companies that sell products to the Company. One of the Company’s directors, who has served on the Company’s Board since 1988, became a director of Taiwan Semiconductor Manufacturing Company, or TSMC, in fiscal 2002 and currently serves as a director of TSMC. The Company purchased approximately $63 million and $71 million of products from TSMC during the three-month periods ended January 28, 2006 and January 29, 2005, respectively. Approximately $28 million and $27 million was payable to TSMC as of January 28, 2006 and October 29, 2005, respectively. The Company anticipates that it will make significant purchases from TSMC in the remaining quarters of fiscal year 2006.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Changes and Error Corrections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May 2005, the FASB issued SFAS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(SFAS 154) which supersedes APB Opinion No. 20,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Changes </w:t>
      </w:r>
      <w:r>
        <w:rPr>
          <w:rFonts w:ascii="Arial" w:cs="Arial" w:eastAsia="Arial" w:hAnsi="Arial"/>
          <w:sz w:val="18"/>
          <w:szCs w:val="18"/>
          <w:color w:val="auto"/>
        </w:rPr>
        <w:t>and SFAS No. 3,</w:t>
      </w:r>
      <w:r>
        <w:rPr>
          <w:rFonts w:ascii="Arial" w:cs="Arial" w:eastAsia="Arial" w:hAnsi="Arial"/>
          <w:sz w:val="18"/>
          <w:szCs w:val="18"/>
          <w:i w:val="1"/>
          <w:iCs w:val="1"/>
          <w:color w:val="auto"/>
        </w:rPr>
        <w:t xml:space="preserve"> Reporting Accounting Changes in Interim Financial Statements. </w:t>
      </w:r>
      <w:r>
        <w:rPr>
          <w:rFonts w:ascii="Arial" w:cs="Arial" w:eastAsia="Arial" w:hAnsi="Arial"/>
          <w:sz w:val="18"/>
          <w:szCs w:val="18"/>
          <w:color w:val="auto"/>
        </w:rPr>
        <w:t>SFAS 154 provides guidance on the accounting for and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of accounting changes and error corrections. It establishes, unless impracticable, retrospective application as the required method for reporting a change in accounting principle in the absence of</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explicit transition requirements specific to the newly adopted accounting principle. The correction of an error in previously issued financial statements is not an accounting change. However, the reporting of an error correction involves adjustments to previously issued financial statements similar to those generally applicable to reporting an accounting change retroactively. Therefore, the reporting of a correction of an error by restating previously issued financial statements is also addressed by SFAS 154 and is effective for accounting changes and corrections of errors made in fiscal years beginning after December 15, 2005. The Company does not expect the adoption of SFAS 154 to have a material impact on its consolidated results of operations or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March 2005, the FASB issued FASB Interpretation No. 47, </w:t>
      </w:r>
      <w:r>
        <w:rPr>
          <w:rFonts w:ascii="Arial" w:cs="Arial" w:eastAsia="Arial" w:hAnsi="Arial"/>
          <w:sz w:val="17"/>
          <w:szCs w:val="17"/>
          <w:i w:val="1"/>
          <w:iCs w:val="1"/>
          <w:color w:val="auto"/>
        </w:rPr>
        <w:t>Accounting for Conditional Asset Retirement Obligations – an interpretation of FASB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 143 </w:t>
      </w:r>
      <w:r>
        <w:rPr>
          <w:rFonts w:ascii="Arial" w:cs="Arial" w:eastAsia="Arial" w:hAnsi="Arial"/>
          <w:sz w:val="17"/>
          <w:szCs w:val="17"/>
          <w:color w:val="auto"/>
        </w:rPr>
        <w:t>(FIN 47)</w:t>
      </w:r>
      <w:r>
        <w:rPr>
          <w:rFonts w:ascii="Arial" w:cs="Arial" w:eastAsia="Arial" w:hAnsi="Arial"/>
          <w:sz w:val="17"/>
          <w:szCs w:val="17"/>
          <w:i w:val="1"/>
          <w:iCs w:val="1"/>
          <w:color w:val="auto"/>
        </w:rPr>
        <w:t xml:space="preserve">. </w:t>
      </w:r>
      <w:r>
        <w:rPr>
          <w:rFonts w:ascii="Arial" w:cs="Arial" w:eastAsia="Arial" w:hAnsi="Arial"/>
          <w:sz w:val="17"/>
          <w:szCs w:val="17"/>
          <w:color w:val="auto"/>
        </w:rPr>
        <w:t>FIN 47 clarifies that the term conditional asset retirement obligation as used in SFAS 143,</w:t>
      </w:r>
      <w:r>
        <w:rPr>
          <w:rFonts w:ascii="Arial" w:cs="Arial" w:eastAsia="Arial" w:hAnsi="Arial"/>
          <w:sz w:val="17"/>
          <w:szCs w:val="17"/>
          <w:i w:val="1"/>
          <w:iCs w:val="1"/>
          <w:color w:val="auto"/>
        </w:rPr>
        <w:t xml:space="preserve"> Accounting for Asset Retirement Obligations, </w:t>
      </w:r>
      <w:r>
        <w:rPr>
          <w:rFonts w:ascii="Arial" w:cs="Arial" w:eastAsia="Arial" w:hAnsi="Arial"/>
          <w:sz w:val="17"/>
          <w:szCs w:val="17"/>
          <w:color w:val="auto"/>
        </w:rPr>
        <w:t>and refers to a legal obligation to perform an asset retirement activity in which the timing and (or) method of settlement are conditional on a future event that may or may not be within the control of the entity. The obligation to perform the asset retirement activity is unconditional even though uncertainty exists about the timing and (or) method of settlement. Uncertainty about the timing and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no later than the end of fiscal years ending after December 15, 2005. The Company is currently analyzing FIN 47 and believes the adoption of FIN 47 will not have a material impact on the Company’s financial condition, results of operations or liquidity.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Costs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November 2004, the FASB issued SFAS No. 151, </w:t>
      </w:r>
      <w:r>
        <w:rPr>
          <w:rFonts w:ascii="Arial" w:cs="Arial" w:eastAsia="Arial" w:hAnsi="Arial"/>
          <w:sz w:val="18"/>
          <w:szCs w:val="18"/>
          <w:i w:val="1"/>
          <w:iCs w:val="1"/>
          <w:color w:val="auto"/>
        </w:rPr>
        <w:t>Inventory Costs, an amendment of Accounting Research Bulletin (ARB) No. 43, Chapter 4</w:t>
      </w:r>
      <w:r>
        <w:rPr>
          <w:rFonts w:ascii="Arial" w:cs="Arial" w:eastAsia="Arial" w:hAnsi="Arial"/>
          <w:sz w:val="18"/>
          <w:szCs w:val="18"/>
          <w:color w:val="auto"/>
        </w:rPr>
        <w:t xml:space="preserve"> (SFAS 151). SFAS 151 amends the guidance in ARB No. 43, Chapter 4, “Inventory Pricing,” to clarify that abnormal amounts of idle facility expense, freight, handling costs, and wasted material (spoilage) should be recognized as current-period charges. In addition, SFAS 151 requires that allocation of fixed production overhead to the costs of conversion be based on the normal capacity of the production facilities. The provisions of SFAS 151 are effective for fiscal years beginning after June 15, 2005. The adoption of SFAS 151 in the first quarter of fiscal 2006 did not affect the Company’s financial condition, results of operations or liquidity.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Deferred Compensation Plan Investments and Liability</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a result of certain provisions of the American Jobs Creation Act, participants had the opportunity until December 31, 2005 to elect to withdraw amounts previously deferred under the Company’s Deferred Compensation Plan. As a result of withdrawals pursuant to elections under these provisions or upon termination of their employment with the Company, participants withdrew approximately $253.4 million of deferred compensation during the first quarter of fiscal 2006. This amount represented compensation and/or stock option gains previously deferred by those participants pursuant to the terms of the Deferred Compensation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February 8, 2006, the Company’s Board of Directors declared a cash dividend of $0.12 per outstanding share of common stock. The dividend will be paid on March 15, 2006 to all shareholders of record at the close of business on February 24, 2006.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October 29, 2005.</w:t>
      </w:r>
    </w:p>
    <w:p>
      <w:pPr>
        <w:spacing w:after="0" w:line="5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Quarterly Report on Form 10-Q, including the section entitled “Outlook,” contains or incorporates forward-looking statements within the meaning of section 27A of the Securities Act of 1933 and section 21E of the Securities Exchange Act of 1934. These forward-looking statements are based on current expectations, estimates, forecasts and projections about the industry and markets in which we operate and management’s beliefs and assumptions. In addition, other written or oral statements that constitute forward-looking statements may be made by or on our behalf. Words such as “expect,” “anticipate,” “intend,” “plan,” “believe,” “seek,” “estimate,” variations of such words and similar expressions are intended to identify such forward-looking statements. These statements are not guarantees of future performance and involve certain risks, uncertainties and assumptions that are difficult to predict. We have included important factors in the cautionary statements below under the heading “Factors That May Affect Future Results” that we believe could cause our actual results to differ materially from the forward-looking statements we make. We do not intend to update publicly any forward-looking statements, whether as a result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1500" w:type="dxa"/>
            <w:vAlign w:val="bottom"/>
            <w:tcBorders>
              <w:bottom w:val="single" w:sz="8" w:color="auto"/>
            </w:tcBorders>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rPr>
              <w:t>January 28, 2006</w:t>
            </w:r>
          </w:p>
        </w:tc>
        <w:tc>
          <w:tcPr>
            <w:tcW w:w="500" w:type="dxa"/>
            <w:vAlign w:val="bottom"/>
          </w:tcPr>
          <w:p>
            <w:pPr>
              <w:spacing w:after="0"/>
              <w:rPr>
                <w:sz w:val="12"/>
                <w:szCs w:val="12"/>
                <w:color w:val="auto"/>
              </w:rPr>
            </w:pPr>
          </w:p>
        </w:tc>
        <w:tc>
          <w:tcPr>
            <w:tcW w:w="148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January 29, 2005</w:t>
            </w: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86"/>
              </w:rPr>
              <w:t>621,302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9"/>
              </w:rPr>
              <w:t>580,536</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Gross Margin %</w:t>
            </w:r>
          </w:p>
        </w:tc>
        <w:tc>
          <w:tcPr>
            <w:tcW w:w="460" w:type="dxa"/>
            <w:vAlign w:val="bottom"/>
          </w:tcPr>
          <w:p>
            <w:pPr>
              <w:spacing w:after="0"/>
              <w:rPr>
                <w:sz w:val="18"/>
                <w:szCs w:val="18"/>
                <w:color w:val="auto"/>
              </w:rPr>
            </w:pP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58.1%</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57.8%</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0.32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0.28</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3"/>
              <w:spacing w:after="0"/>
              <w:rPr>
                <w:sz w:val="20"/>
                <w:szCs w:val="20"/>
                <w:color w:val="auto"/>
              </w:rPr>
            </w:pPr>
            <w:r>
              <w:rPr>
                <w:rFonts w:ascii="Arial" w:cs="Arial" w:eastAsia="Arial" w:hAnsi="Arial"/>
                <w:sz w:val="18"/>
                <w:szCs w:val="18"/>
                <w:color w:val="auto"/>
                <w:w w:val="86"/>
              </w:rPr>
              <w:t>120,557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w w:val="89"/>
              </w:rPr>
              <w:t>107,443</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a % of Sales</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19.4%</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Net sales in the first quarter of fiscal 2006 increased by $40.8 million or 7.0% from the amount recorded in the first quarter of fiscal 2005. The year-to-year increase in net sales was primarily the result of increases in orders for products used in industrial instrumentation and consumer applications, partially offset by decreases in revenue from products used in computer applications. Sales from products used in communications applications increased slightly in the first quarter of fiscal 2006 over the amounts recorded in the first quarter of fiscal 2005 due to growth in sales of products used in infrastructure equipment for wireless, broadband and optical networking, which was partially offset by the decline in sales of products used in wireless handsets.</w:t>
      </w:r>
    </w:p>
    <w:p>
      <w:pPr>
        <w:spacing w:after="0" w:line="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Approximately 82% of our net sales were from analog products in the three months ended January 28, 2006 as compared to 80% for the comparable period of fiscal 2005. Approximately 18% of our net sales were from digital signal processing, or DSP, products in the three months ended January 28, 2006 as compared to 20% for the comparable period of fiscal 2005. Our analog product sales were higher by 11% and our DSP product sales were lower by 9% for the three-month period ended January 28, 2006 from the comparable period of fiscal 2005.</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percentage of sales by geographic region, based upon point of sale, for the three-month periods ended January 28, 2006 and January 29, 2005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20" w:type="dxa"/>
            <w:vAlign w:val="bottom"/>
            <w:vMerge w:val="restart"/>
          </w:tcPr>
          <w:p>
            <w:pPr>
              <w:spacing w:after="0"/>
              <w:rPr>
                <w:sz w:val="20"/>
                <w:szCs w:val="20"/>
                <w:color w:val="auto"/>
              </w:rPr>
            </w:pPr>
            <w:r>
              <w:rPr>
                <w:rFonts w:ascii="Arial" w:cs="Arial" w:eastAsia="Arial" w:hAnsi="Arial"/>
                <w:sz w:val="14"/>
                <w:szCs w:val="14"/>
                <w:b w:val="1"/>
                <w:bCs w:val="1"/>
                <w:color w:val="auto"/>
              </w:rPr>
              <w:t>Region</w:t>
            </w:r>
          </w:p>
        </w:tc>
        <w:tc>
          <w:tcPr>
            <w:tcW w:w="27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8720" w:type="dxa"/>
            <w:vAlign w:val="bottom"/>
            <w:vMerge w:val="continue"/>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January 28, 2006</w:t>
            </w:r>
          </w:p>
        </w:tc>
        <w:tc>
          <w:tcPr>
            <w:tcW w:w="54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January 29, 2005</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25%</w:t>
            </w:r>
          </w:p>
        </w:tc>
        <w:tc>
          <w:tcPr>
            <w:tcW w:w="16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Europe</w:t>
            </w:r>
          </w:p>
        </w:tc>
        <w:tc>
          <w:tcPr>
            <w:tcW w:w="1080" w:type="dxa"/>
            <w:vAlign w:val="bottom"/>
          </w:tcPr>
          <w:p>
            <w:pPr>
              <w:jc w:val="right"/>
              <w:ind w:right="215"/>
              <w:spacing w:after="0"/>
              <w:rPr>
                <w:sz w:val="20"/>
                <w:szCs w:val="20"/>
                <w:color w:val="auto"/>
              </w:rPr>
            </w:pPr>
            <w:r>
              <w:rPr>
                <w:rFonts w:ascii="Arial" w:cs="Arial" w:eastAsia="Arial" w:hAnsi="Arial"/>
                <w:sz w:val="18"/>
                <w:szCs w:val="18"/>
                <w:color w:val="auto"/>
              </w:rPr>
              <w:t>22%</w:t>
            </w:r>
          </w:p>
        </w:tc>
        <w:tc>
          <w:tcPr>
            <w:tcW w:w="1620" w:type="dxa"/>
            <w:vAlign w:val="bottom"/>
            <w:gridSpan w:val="2"/>
          </w:tcPr>
          <w:p>
            <w:pPr>
              <w:jc w:val="right"/>
              <w:ind w:right="228"/>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0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18%</w:t>
            </w:r>
          </w:p>
        </w:tc>
        <w:tc>
          <w:tcPr>
            <w:tcW w:w="16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China</w:t>
            </w:r>
          </w:p>
        </w:tc>
        <w:tc>
          <w:tcPr>
            <w:tcW w:w="1080" w:type="dxa"/>
            <w:vAlign w:val="bottom"/>
          </w:tcPr>
          <w:p>
            <w:pPr>
              <w:jc w:val="right"/>
              <w:ind w:right="215"/>
              <w:spacing w:after="0"/>
              <w:rPr>
                <w:sz w:val="20"/>
                <w:szCs w:val="20"/>
                <w:color w:val="auto"/>
              </w:rPr>
            </w:pPr>
            <w:r>
              <w:rPr>
                <w:rFonts w:ascii="Arial" w:cs="Arial" w:eastAsia="Arial" w:hAnsi="Arial"/>
                <w:sz w:val="18"/>
                <w:szCs w:val="18"/>
                <w:color w:val="auto"/>
              </w:rPr>
              <w:t>13%</w:t>
            </w:r>
          </w:p>
        </w:tc>
        <w:tc>
          <w:tcPr>
            <w:tcW w:w="1620" w:type="dxa"/>
            <w:vAlign w:val="bottom"/>
            <w:gridSpan w:val="2"/>
          </w:tcPr>
          <w:p>
            <w:pPr>
              <w:jc w:val="right"/>
              <w:ind w:right="22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Rest of Asia</w:t>
            </w:r>
          </w:p>
        </w:tc>
        <w:tc>
          <w:tcPr>
            <w:tcW w:w="10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22%</w:t>
            </w:r>
          </w:p>
        </w:tc>
        <w:tc>
          <w:tcPr>
            <w:tcW w:w="16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increase in total net sales in dollars for the three months ended January 28, 2006 as compared to the same period of fiscal 2005 related primarily to increases in net sales in the Rest of Asia, Japan and North America, partially offset by a slight decrease in net sales in Europe.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Gross margin increased in the first quarter of fiscal 2006 to 58.1% of net sales, up 30 basis points from the first quarter of fiscal 2005, when gross margin was 57.8% of net sales. The increase in gross margin was primarily the result of the increased sales of higher margin products in the first quarter of fiscal 2006 as compared to the same period in the prior year. Gross margin in the first quarter of fiscal 2006 included $6.9 million of stock-based compensation expenses and restructuring related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During the first quarter of fiscal 2006, on October 30, 2005, we adopted the Financial Accounting Standards Board’s Statement of Financial Accounting Standard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or SFAS 123R, using the modified prospective application method. Compensation cost is calculated on the date of grant using the fair value of the options as determined by the Black-Scholes valuation model. The Black-Scholes valuation model requires us to make several assumptions. One of the key assumptions is expected volatility. For options granted prior to fiscal 2005, we used historical volatility to estimate the grant-date fair value of stock options. We changed our method of estimating expected volatility for all stock options granted after fiscal 2004 from exclusively relying on historical volatility to exclusively relying on implied volatility. This change was the result of a thorough review we undertook which included consultations with several third party advisors. We currently believe that the exclusive use of implied volatility results in a more accurate estimate of the grant-date fair value of employee stock options because it more appropriately reflects the market’s expectations of future volatility. Historical volatility during the period commensurate with the expected term of our stock options over the past several years included a period of time that our stock price experienced unprecedented increases and subsequent declines. We believe that this past stock price volatility is unlikely to be indicative of future stock price behavior.</w:t>
      </w:r>
    </w:p>
    <w:p>
      <w:pPr>
        <w:spacing w:after="0" w:line="7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the first quarter of fiscal 2006, we recognized $20.6 million of total stock-based compensation expense or 3.3% of net sales as a result of the adoption of SFAS 123R. The adoption of SFAS 123R impacted diluted EPS for the first quarter of fiscal 2006 by $0.04. We expect the impact of the adoption of SFAS 123R on diluted EPS to be approximately $0.04 in each of the remaining quarters of fiscal 2006.</w:t>
      </w:r>
    </w:p>
    <w:p>
      <w:pPr>
        <w:spacing w:after="0" w:line="7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Prior to the adoption of SFAS 123R, we accounted for share-based payments to employees using APB Opinion No. 25’s,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Employees</w:t>
      </w:r>
      <w:r>
        <w:rPr>
          <w:rFonts w:ascii="Arial" w:cs="Arial" w:eastAsia="Arial" w:hAnsi="Arial"/>
          <w:sz w:val="16"/>
          <w:szCs w:val="16"/>
          <w:color w:val="auto"/>
        </w:rPr>
        <w:t>, intrinsic value method and, as such, generally recognized no compensation cost for employee stock options. The adoption of SFAS 123R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modified prospective application method allowed us to recognize compensation cost beginning with the effective date (a) based on the requirement of SFAS 123R for all share-based payments granted after the effective date and (b) based on the requirements of SFAS 123 for all awards granted to employees prior to the effective date of SFAS 123R that remain unvested on the effective date. Under the modified prospective application method, prior periods are not restated for the effect of SFAS 123R. We used the graded attribution method for all options granted prior to the adoption of SFAS 123R. Upon adoption of SFAS 123R on October 30, 2005, we switched to the straight-line attribution method to recognize expense for all grants made after October 29, 2005. The expense associated with the unvested portion of the pre-adoption grants will continue to be expensed using the graded attribution method.</w:t>
      </w:r>
    </w:p>
    <w:p>
      <w:pPr>
        <w:spacing w:after="0" w:line="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Prior to the adoption of SFAS 123R, on October 18, 2005, we accelerated the vesting of all unvested stock options awarded to employees after December 31, 2000 that had exercise prices of $40.00 per share or greater. Options issued to our corporate officers and directors were not accelerated. Unvested options to purchase approximately 18 million shares became exercisable as a result of the vesting acceleration. Because the exercise price of all the modified options was greater than the market price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of our underlying common stock on the date of the modification, no stock-based compensation expense was recorded in the statement of income in accordance with APB Opinion No. 25. The primary purpose for modifying the terms of these options to accelerate their vesting was to eliminate the need to recognize the remaining unrecognized non-cash compensation expense in our statement of income associated with these options as measured under SFAS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The approximately $188 million ($134 million net of tax) of future expense associated with these options would have been disproportionately high compared to the economic value of the options at the date of modification.</w:t>
      </w:r>
    </w:p>
    <w:p>
      <w:pPr>
        <w:spacing w:after="0" w:line="64"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As of January 28, 2006, the total compensation cost related to unvested awards not yet recognized in the statement of income was approximately $214.6 million, which will be recognized over a weighted average period of 1.9 years.</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See Note 2 to our Consolidated Financial Statements contained in Item 1 of this Quarterly Report on Form 10-Q for further information regarding our adoption of SFAS 123R.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99"/>
              </w:rPr>
              <w:t>Three Months Ended</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6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28, 2006</w:t>
            </w:r>
          </w:p>
        </w:tc>
        <w:tc>
          <w:tcPr>
            <w:tcW w:w="2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29, 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460" w:type="dxa"/>
            <w:vAlign w:val="bottom"/>
            <w:vMerge w:val="continue"/>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131,288</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127,534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R&amp;D Expenses as a % of Net Sales</w:t>
            </w:r>
          </w:p>
        </w:tc>
        <w:tc>
          <w:tcPr>
            <w:tcW w:w="2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Research and development, or R&amp;D, expenses increased $3.8 million or 3.0% in the first quarter of fiscal 2006 as compared to the first quarter of fiscal 2005. The increase in R&amp;D expenses for the three months ended January 28, 2006 as compared to the same period in fiscal year 2005 was primarily the result of recognizing $9.6 million of stock-based compensation expense in the first quarter of fiscal 2006 as the result of the adoption of SFAS 123R, along with an increase in employee bonus expenses. These items were partially offset by a reduction in legal costs associated with intellectual property litigation and lower licensing fee expenses.</w:t>
      </w:r>
    </w:p>
    <w:p>
      <w:pPr>
        <w:spacing w:after="0" w:line="8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R&amp;D expense as a percentage of net sales will fluctuate from quarter to quarter depending on the amount of net sales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Therefore, we expect to continue to make significant R&amp;D investments in the future.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6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28, 2006</w:t>
            </w:r>
          </w:p>
        </w:tc>
        <w:tc>
          <w:tcPr>
            <w:tcW w:w="2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29, 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460" w:type="dxa"/>
            <w:vAlign w:val="bottom"/>
            <w:vMerge w:val="continue"/>
          </w:tcPr>
          <w:p>
            <w:pPr>
              <w:spacing w:after="0"/>
              <w:rPr>
                <w:sz w:val="16"/>
                <w:szCs w:val="16"/>
                <w:color w:val="auto"/>
              </w:rPr>
            </w:pPr>
          </w:p>
        </w:tc>
        <w:tc>
          <w:tcPr>
            <w:tcW w:w="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96,281</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83,341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SMG&amp;A Expenses as a % of Net Sales</w:t>
            </w:r>
          </w:p>
        </w:tc>
        <w:tc>
          <w:tcPr>
            <w:tcW w:w="3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Selling, marketing, general and administrative, or SMG&amp;A, expenses increased $12.9 million or 15.5% in the first quarter of fiscal 2006 as compared to the first quarter of fiscal 2005. This year-to-year increase in SMG&amp;A expenses was primarily the result of recording $10.1 million of stock-based compensation expense along with higher employee bonus expenses in the first quarter of fiscal 2006.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Closure of Wafer Fabrication Facility — </w:t>
      </w:r>
      <w:r>
        <w:rPr>
          <w:rFonts w:ascii="Arial" w:cs="Arial" w:eastAsia="Arial" w:hAnsi="Arial"/>
          <w:sz w:val="17"/>
          <w:szCs w:val="17"/>
          <w:color w:val="auto"/>
        </w:rPr>
        <w:t>During the fourth quarter of fiscal 2005, we recorded a special charge of $20 million as a result of a decision to close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California wafer fabrication operations and transfer production to facilities located in Massachusetts and Ireland, as well as to third-party wafer fabricators. The charge was for severance and fringe benefit costs that were recorded pursuant to SFAS 88, </w:t>
      </w:r>
      <w:r>
        <w:rPr>
          <w:rFonts w:ascii="Arial" w:cs="Arial" w:eastAsia="Arial" w:hAnsi="Arial"/>
          <w:sz w:val="17"/>
          <w:szCs w:val="17"/>
          <w:i w:val="1"/>
          <w:iCs w:val="1"/>
          <w:color w:val="auto"/>
        </w:rPr>
        <w:t>Employers’ Accounting for Settlements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Curtailments of Defined Benefit Pension Plans and for Termination Benefits</w:t>
      </w:r>
      <w:r>
        <w:rPr>
          <w:rFonts w:ascii="Arial" w:cs="Arial" w:eastAsia="Arial" w:hAnsi="Arial"/>
          <w:sz w:val="17"/>
          <w:szCs w:val="17"/>
          <w:color w:val="auto"/>
        </w:rPr>
        <w:t>, under our ongoing benefit plan for 339 manufacturing employees and 28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and administrative employees. The severance benefit is calculated based on length of past service, and employees must continue to be employed until they are involuntarily terminated in order to receive the severance benefit . As of January 28, 2006, all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affected employees remain employed by us. The employment of these employees is expected to terminate upon the closure of the wafer fabrication facility, which is planned for October of 2006. In addition to the charge recorded in the fourth quarter of fiscal 2005, we recorded additional expense in the first quarter of fiscal 2006, which consisted of $5.4 million of non-cash cost of sales expenses for additional depreciation due to shortened useful lives of certain manufacturing equipment and $0.5 million for stay-on bonuses. In accordance with GAAP, we expect to incur additional expenses related to this action during fiscal 2006 of approximately $23.6 million, of which approximately $16.2 million will be for non-cash cost of sales expense for additional depreciation, approximately $1.4 million will be for stay-on bonuses and approximately $6 million will be for estimated lease termination and clean-up costs. The closure of these facilities is expected to be completed by the end of fiscal 2006 and is estimated to result in cost savings of approximately $44 million per year beginning in fiscal 2007. These savings are expected to be realized as follows: approximately $43 million in cost of sales, of which approximately $7 million relates to non-cash depreciation savings, and approximately $1 million in selling, marketing, general and administrative expense.</w:t>
      </w:r>
    </w:p>
    <w:p>
      <w:pPr>
        <w:spacing w:after="0" w:line="59"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i w:val="1"/>
          <w:iCs w:val="1"/>
          <w:color w:val="auto"/>
        </w:rPr>
        <w:t xml:space="preserve">Reorganization of Product Development and Support Programs — </w:t>
      </w:r>
      <w:r>
        <w:rPr>
          <w:rFonts w:ascii="Arial" w:cs="Arial" w:eastAsia="Arial" w:hAnsi="Arial"/>
          <w:sz w:val="16"/>
          <w:szCs w:val="16"/>
          <w:color w:val="auto"/>
        </w:rPr>
        <w:t>During the fourth quarter of fiscal 2005, we recorded a special charge of $11 million as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result of our decision to reorganize our product development and support programs with the goal of providing greater focus on our analog and DSP product programs. The charge was for severance and fringe benefit costs that were recorded pursuant to SFAS 88, </w:t>
      </w:r>
      <w:r>
        <w:rPr>
          <w:rFonts w:ascii="Arial" w:cs="Arial" w:eastAsia="Arial" w:hAnsi="Arial"/>
          <w:sz w:val="16"/>
          <w:szCs w:val="16"/>
          <w:i w:val="1"/>
          <w:iCs w:val="1"/>
          <w:color w:val="auto"/>
        </w:rPr>
        <w:t>Employers’ Accounting for Settlements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Curtailments of Defined Benefit Pension Plans and for Termination Benefits</w:t>
      </w:r>
      <w:r>
        <w:rPr>
          <w:rFonts w:ascii="Arial" w:cs="Arial" w:eastAsia="Arial" w:hAnsi="Arial"/>
          <w:sz w:val="16"/>
          <w:szCs w:val="16"/>
          <w:color w:val="auto"/>
        </w:rPr>
        <w:t>, under our ongoing benefit plan or statutory requirements at foreign locations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60 manufacturing employees and 154 engineering and selling, marketing, general and administrative employees. These employees must continue to be employed until they are involuntarily terminated in order to receive the severance benefit. As of January 28, 2006, the employment of 98 of these employees had been terminated. During the first quarter of fiscal 2006, we recorded an additional special charge of $1 million related to this reorganization action. This charge was for lease obligation costs for a facility we ceased using during the first quarter of fiscal 2006 and the write-off of property, plant and equipment. We do not plan to incur any additional charges relating to this reorganization action. These organizational changes are expected to result in savings of approximately $19 million per year once fully completed by the end of fiscal 2006. These savings are expected to be realized as follows: approximately</w:t>
      </w:r>
    </w:p>
    <w:p>
      <w:pPr>
        <w:spacing w:after="0" w:line="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$9 million in research and development expense, approximately $6 million in selling, marketing, general and administrative expense and approximately $4 million in cost of sales.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 operating Income</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Non operating income increased to $20.6 million in the first quarter of fiscal 2006 from $14.0 million in the first quarter of fiscal 2005. The increase in non operating income was primarily the result of an increase in interest income that was primarily attributable to higher interest rates in the first quarter of fiscal 2006 as compared to the same period of fiscal 2005.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 Our effective income tax rate was 21.1% for the three months ended January 28, 2006 and 22.5% for the three months ended January 29, 2005. The tax rate was higher in the first three months of fiscal 2005 as compared to the first three months of fiscal 2006 primarily due to higher amounts of non-deductible executive compensation in the first quarter of fiscal 2005.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99"/>
              </w:rPr>
              <w:t>Three Months Ended</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8460" w:type="dxa"/>
            <w:vAlign w:val="bottom"/>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28, 2006</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29, 2005</w:t>
            </w:r>
          </w:p>
        </w:tc>
        <w:tc>
          <w:tcPr>
            <w:tcW w:w="160" w:type="dxa"/>
            <w:vAlign w:val="bottom"/>
          </w:tcPr>
          <w:p>
            <w:pPr>
              <w:spacing w:after="0"/>
              <w:rPr>
                <w:sz w:val="12"/>
                <w:szCs w:val="12"/>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120,557</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107,443</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Net Income as a % of Net Sales</w:t>
            </w: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0.32</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w:t>
            </w:r>
          </w:p>
        </w:tc>
      </w:tr>
    </w:tbl>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income in the first quarter of fiscal 2006 was higher than the first quarter of fiscal 2005 by approximately $13.1 million primarily as the result of the 7% increase in net sales, the slight improvement in gross margin percentage and the increase in interest income recorded in the first quarter of fiscal 2006 as compared to the same period of fiscal 2005. These items were offset by a year-to-year increase in R&amp;D and SMG&amp;A expenses of $16.7 million, caused primarily as a result of stock-based compensation expense amounting to $19.7 million recorded in the first quarter of fiscal 2006 due to the adoption of SFAS 123R.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the second quarter of fiscal 2006 we are planning for 5% to 6% sequential sales growth in our analog products, driven by anticipated seasonal strength from industrial, consumer, and communications customers. We believe this will be partially offset by a sequential decline in sales of DSP products as a result of the previously announced anticipated divestiture of our DSP-based DSL (digital subscriber line) ASIC and network processor products business, which represented approximately $12 million of revenue in the first quarter of fiscal 2006. While it is difficult to forecast revenue in the semiconductor industry, we are currently planning for revenue in the second quarter of fiscal 2006 to be in the range of $635 million to $650 million.</w:t>
      </w:r>
    </w:p>
    <w:p>
      <w:pPr>
        <w:spacing w:after="0" w:line="6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are also planning for our gross margin and operating margin to continue to improve and for diluted EPS to be in the range of $0.34 to $0.36 in the second quarter of fiscal 2006. This estimate of diluted EPS includes an approximately $0.05 per share impact related to stock-based compensation expense and previously announced restructuring-related expense that will be recorded in the second quarter of fiscal 2006. The estimate does not reflect a small gain we anticipate we will record as a result of the previously announced sale of the DSP-based DSL ASIC and network processor products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One of our directors, who has served on our Board since 1988, became a director of Taiwan Semiconductor Manufacturing Company, or TSMC, in fiscal 2002 and continues to serve as a director of TSMC. We purchased approximately $63 million and $71 million of products from TSMC during the three-month periods ended January 28, 2006 and January 29, 2005, respectively. Approximately $28 million and $27 million was payable to TSMC as of January 28, 2006 and October 29, 2005, respectively. We anticipate that we will make significant purchases from TSMC in the remaining quarters of fiscal year 2006.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At January 28, 2006, cash, cash equivalents and short-term investments totaled $2,735.1 million, an increase of $29.2 million from the fourth quarter of fiscal 2005. The primary sources of funds for the first three months of fiscal 2006 were net cash generated from operating activities of $175.3 million and proceeds of $38.7 million from our various employee stock plans. The principal uses of funds for the first three months of fiscal 2006 were the repurchase of approximately 3.3 million shares of our common stock for $125.1 million, dividend payments of $44.1 million and capital expenditures of $20.4 million.</w:t>
      </w:r>
    </w:p>
    <w:p>
      <w:pPr>
        <w:spacing w:after="0" w:line="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Accounts receivable of $317.7 million at the end of the first quarter of fiscal 2006 decreased $2.8 million, or 1%, from $320.5 million at the end of the fourth quarter of fiscal 2005. Days sales outstanding at January 28, 2006 and October 29, 2005 was 47 days.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Inventories increased by $12.2 million, or 3.8%, from $325.6 million at the end of fiscal 2005, to $337.8 million at the end of the first quarter of fiscal 2006. This increase includes $1.9 million of stock-based compensation expense as a result of the adoption of SFAS 123R in the first quarter of fiscal 2006 and additional purchases of externally fabricated wafers in anticipation of increased sales in our second fiscal quarter. Days cost of sales in inventory was 118 days at January 28, 2006 compared to 115 days at October 29, 2005.</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Current liabilities decreased to $604.2 million at the end of the first quarter of fiscal 2006, a decrease of $214.7 million, or 26.2%, from the $818.9 million at the end of fiscal 2005. The decrease in current liabilities was primarily the result of a $230.2 million decrease in the deferred compensation plan liability primarily as a result of withdrawals by plan participants in response to certain provisions of the American Jobs Creation Act as more fully described below. These decreases were partially offset by a $10.5 million increase to income taxes payable and a $10.5 million increase to deferred income on shipments to distributors.</w:t>
      </w:r>
    </w:p>
    <w:p>
      <w:pPr>
        <w:spacing w:after="0" w:line="8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During the first three months of fiscal 2006, we distributed $253.4 million from our amended and restated deferred compensation plan (the “Deferred Compensation Plan”) as a result of participant terminations or at the direction of the participants. This amount represented compensation and/or stock option gains previously deferred by those participants pursuant to the terms of our Deferred Compensation Plan. As a result of certain provisions of the American Jobs Creation Act, participants had the opportunity until December 31, 2005 to elect to withdraw amounts previously deferred. As a result of withdrawals pursuant to elections under these provisions or upon termination, participants have withdrawn approximately $253.4 million of deferred compensation, of which $234.4 million was previously reflected in the “Less than 1 Year” column and $19.0 million in the “More than 5 Years” column of the contractual obligations table contained in the section entitled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of the Analog Devices Annual Report on Form 10-K for the fiscal year ended October 29, 2005.</w:t>
      </w:r>
    </w:p>
    <w:p>
      <w:pPr>
        <w:spacing w:after="0" w:line="6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Net additions to property, plant and equipment were $20.4 million in the first three months of fiscal 2006 and were funded with a combination of cash on hand and cash generated from operations. Fiscal 2006 capital expenditures are expected to be approximately $110 million to $120 million.</w:t>
      </w:r>
    </w:p>
    <w:p>
      <w:pPr>
        <w:spacing w:after="0" w:line="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February 8, 2006, our Board of Directors declared a cash dividend of $0.12 per outstanding share of our common stock. The dividend is payable on March 15, 2006 to shareholders of record on February 24, 2006 and is expected to amount to approximately $44 million. The payment of future dividends, if any, will be based on several factors including our financial performance, outlook and liquidity.</w:t>
      </w:r>
    </w:p>
    <w:p>
      <w:pPr>
        <w:spacing w:after="0" w:line="7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At January 28, 2006, our principal source of liquidity was $2,735.1 million of cash and cash equivalents and short-term investments. We believe that our existing sources of liquidity and cash expected to be generated from future operations, together with anticipated available long-term financing, will be sufficient to fund operations, capital expenditures, research and development efforts, dividend payments (if any) and purchases of stock (if any) under our stock repurchase program for at least the next twelve months and thereafter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Changes and Error Corrections</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In May 2005, the Financial Accounting Standards Board (FASB) issued Statement of Financial Accounting Standards (SFAS) No. 154,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Error Corrections </w:t>
      </w:r>
      <w:r>
        <w:rPr>
          <w:rFonts w:ascii="Arial" w:cs="Arial" w:eastAsia="Arial" w:hAnsi="Arial"/>
          <w:sz w:val="16"/>
          <w:szCs w:val="16"/>
          <w:color w:val="auto"/>
        </w:rPr>
        <w:t>(SFAS 154) which supersedes APB Opinion No. 20,</w:t>
      </w:r>
      <w:r>
        <w:rPr>
          <w:rFonts w:ascii="Arial" w:cs="Arial" w:eastAsia="Arial" w:hAnsi="Arial"/>
          <w:sz w:val="16"/>
          <w:szCs w:val="16"/>
          <w:i w:val="1"/>
          <w:iCs w:val="1"/>
          <w:color w:val="auto"/>
        </w:rPr>
        <w:t xml:space="preserve"> Accounting Changes </w:t>
      </w:r>
      <w:r>
        <w:rPr>
          <w:rFonts w:ascii="Arial" w:cs="Arial" w:eastAsia="Arial" w:hAnsi="Arial"/>
          <w:sz w:val="16"/>
          <w:szCs w:val="16"/>
          <w:color w:val="auto"/>
        </w:rPr>
        <w:t>and SFAS No. 3,</w:t>
      </w:r>
      <w:r>
        <w:rPr>
          <w:rFonts w:ascii="Arial" w:cs="Arial" w:eastAsia="Arial" w:hAnsi="Arial"/>
          <w:sz w:val="16"/>
          <w:szCs w:val="16"/>
          <w:i w:val="1"/>
          <w:iCs w:val="1"/>
          <w:color w:val="auto"/>
        </w:rPr>
        <w:t xml:space="preserve"> Reporting Accounting Changes in Interim Financial Statements. </w:t>
      </w:r>
      <w:r>
        <w:rPr>
          <w:rFonts w:ascii="Arial" w:cs="Arial" w:eastAsia="Arial" w:hAnsi="Arial"/>
          <w:sz w:val="16"/>
          <w:szCs w:val="16"/>
          <w:color w:val="auto"/>
        </w:rPr>
        <w:t>SFAS 154 provides guidance on the accounting for and reporting of accounting changes and error corrections. It establishes, unless</w:t>
      </w:r>
      <w:r>
        <w:rPr>
          <w:rFonts w:ascii="Arial" w:cs="Arial" w:eastAsia="Arial" w:hAnsi="Arial"/>
          <w:sz w:val="16"/>
          <w:szCs w:val="16"/>
          <w:i w:val="1"/>
          <w:iCs w:val="1"/>
          <w:color w:val="auto"/>
        </w:rPr>
        <w:t xml:space="preserve"> </w:t>
      </w:r>
      <w:r>
        <w:rPr>
          <w:rFonts w:ascii="Arial" w:cs="Arial" w:eastAsia="Arial" w:hAnsi="Arial"/>
          <w:sz w:val="16"/>
          <w:szCs w:val="16"/>
          <w:color w:val="auto"/>
        </w:rPr>
        <w:t>impracticable, retrospective application as the required method for reporting a change in accounting principle in the absence of explicit transition requirements specific to the newly adopted accounting principle. The correction of an error in previously issued financial statements is not an accounting change. However, the reporting of an error correction involves adjustments to previously issued financial statements similar to those generally applicable to reporting an accounting change retroactively. Therefore, the reporting of a correction of an error by restating previously issued financial statements is also addressed by this Statement. SFAS 154 is effective for accounting changes and corrections of errors made in fiscal years beginning after December 15, 2005. We do not expect the adoption of SFAS 154 to have a material impact on our consolidated results of operations and financial condition.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March 2005, the FASB issued FASB Interpretation No. 47 (FIN 47), </w:t>
      </w:r>
      <w:r>
        <w:rPr>
          <w:rFonts w:ascii="Arial" w:cs="Arial" w:eastAsia="Arial" w:hAnsi="Arial"/>
          <w:sz w:val="18"/>
          <w:szCs w:val="18"/>
          <w:i w:val="1"/>
          <w:iCs w:val="1"/>
          <w:color w:val="auto"/>
        </w:rPr>
        <w:t>Accounting for Conditional Asset Retirement Obligations – an interpretation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143. </w:t>
      </w:r>
      <w:r>
        <w:rPr>
          <w:rFonts w:ascii="Arial" w:cs="Arial" w:eastAsia="Arial" w:hAnsi="Arial"/>
          <w:sz w:val="18"/>
          <w:szCs w:val="18"/>
          <w:color w:val="auto"/>
        </w:rPr>
        <w:t>FIN 47 clarifies that the term “conditional asset retirement obligation” as used in FASB Statement No. 143,</w:t>
      </w:r>
      <w:r>
        <w:rPr>
          <w:rFonts w:ascii="Arial" w:cs="Arial" w:eastAsia="Arial" w:hAnsi="Arial"/>
          <w:sz w:val="18"/>
          <w:szCs w:val="18"/>
          <w:i w:val="1"/>
          <w:iCs w:val="1"/>
          <w:color w:val="auto"/>
        </w:rPr>
        <w:t xml:space="preserve"> Accounting for Asset Retirement Obligations, </w:t>
      </w:r>
      <w:r>
        <w:rPr>
          <w:rFonts w:ascii="Arial" w:cs="Arial" w:eastAsia="Arial" w:hAnsi="Arial"/>
          <w:sz w:val="18"/>
          <w:szCs w:val="18"/>
          <w:color w:val="auto"/>
        </w:rPr>
        <w:t>refers to a legal obligation to perform an asset retirement activity in which the timing and (or) method of settlement are conditional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on a future event that may or may not be within the control of the entity. The obligation to perform the asset retirement activity is unconditional even though uncertainty exists about the timing and (or) method of settlement. Uncertainty about the timing and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no later than the end of fiscal years ending after December 15, 2005. We are currently analyzing FIN 47 and believe the adoption of FIN 47 will not have a material impact on our financial condition, results of operations or liquidity.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Costs</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 xml:space="preserve">In November 2004, the FASB issued SFAS No. 151, </w:t>
      </w:r>
      <w:r>
        <w:rPr>
          <w:rFonts w:ascii="Arial" w:cs="Arial" w:eastAsia="Arial" w:hAnsi="Arial"/>
          <w:sz w:val="16"/>
          <w:szCs w:val="16"/>
          <w:i w:val="1"/>
          <w:iCs w:val="1"/>
          <w:color w:val="auto"/>
        </w:rPr>
        <w:t>Inventory Costs, an amendment of Accounting Research Bulletin (ARB) No. 43, Chapter 4</w:t>
      </w:r>
      <w:r>
        <w:rPr>
          <w:rFonts w:ascii="Arial" w:cs="Arial" w:eastAsia="Arial" w:hAnsi="Arial"/>
          <w:sz w:val="16"/>
          <w:szCs w:val="16"/>
          <w:color w:val="auto"/>
        </w:rPr>
        <w:t xml:space="preserve"> (SFAS 151). SFAS 151 amends the guidance in ARB No 43, Chapter 4, “Inventory Pricing,” to clarify that abnormal amounts of idle facility expense, freight, handling costs, and wasted material (spoilage) should be recognized as current-period charges. In addition, SFAS 151 requires that allocation of fixed production overhead to the costs of conversion be based on the normal capacity of the production facilities. The provisions of SFAS 151 are effective for fiscal years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beginning after June 15, 2005. The adoption of SFAS 151 in the first quarter of fiscal 2006 did not affect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Management’s discussion and analysis of the financial condition and results of operations is based upon the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such as our policy for revenue recognition, including the deferral of revenue on sales to distributors until the products are sold to the end user; however, the application of these policies does not require us to make significant estimates or judgments that are difficult or subjective.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Inventories are valued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If actual demand for our products is less than our estimates, additional reserves for existing inventories may need to be recorded in future periods.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review property, plant, and equipment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Although we have recognized no material impairment adjustments related to our property, plant, and equipment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 estimated useful lives may have decreased. In these situations, we amortize the remaining net book values over the revised useful lives.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accordance with Statement of Financial Accounting Standards No. 142, or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goodwill is subject to annual impairment tests, or earlier if indicators of potential impairment exist and suggest that the carrying value of goodwill may not be recoverable from estimated discounted future cash flows. Because we have one reporting segment under SFAS 142, we utilize the entity-wide approach to assess goodwill for impairment and compare our market value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our net book value to determine if an impairment exists. These impairment tests may result in impairment losses that could have a material adverse impact on our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We account for income taxes in accordance with Statement of Financial Accounting Standards No. 109, or SFAS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which requires that deferred tax assets and liabilities be recognized using enacted tax rates for the effect of temporary differences between the book and tax bases of recorded assets and liabilities. SFAS 109 also requires that deferred tax assets be reduced by a valuation allowance if it is more likely than not that some portion or all of the deferred tax asset will not be realized. We evaluate the realizability of our deferred tax assets quarterly. At January 28, 2006, we had gross deferred tax assets of $165 million primarily resulting from temporary differences between the book and tax bases of assets and liabilities. We have conducted an assessment of the likelihood of realization of those deferred tax assets and concluded that a $46 million valuation allowance is needed to reserve the amount of the deferred tax assets that may not be realized due to the expiration of state credit carryovers. In reaching our conclusion, we evaluated certain relevant criteria including the existence of deferred tax liabilities that can be used to absorb deferred tax assets, the taxable income in prior carryback years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w:t>
      </w:r>
    </w:p>
    <w:p>
      <w:pPr>
        <w:spacing w:after="0" w:line="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in which such determination is made.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The adoption of SFAS 123R in the first quarter of fiscal 2006 requires that stock-based compensation expense associated with stock options be recognized in the statement of income, rather than being disclosed in a pro forma footnote to the consolidated financial statements. Determining the amount of stock-based compensation to be recorded requires us to develop estimates to be used in calculating the grant-date fair value of stock options. We calculate the grant-date fair values using the Black-Scholes valuation model. The use of valuation models requires us to make estimates of the following assumptions:</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Expected volatility – we are responsible for estimating volatility and have considered a number of factors, including third-party estimates, when estimating volatility. For options granted prior to fiscal 2005, we used historical volatility to estimate the grant-date fair value of stock options. We changed our method of estimating expected volatility for all stock options granted after fiscal 2004 from exclusively relying on historical volatility to exclusively relying on implied volatility. This change was the result of a thorough review we undertook which included consultations with several third party advisors. We currently believe that the exclusive use of implied volatility results in a more accurate estimate of the grant-date fair value of employee stock options because it more appropriately reflects the market’s expectations of future volatility. Historical volatility during the period commensurate with the expected term of our stock options over the past several years included a period of time that our stock price experienced unprecedented increases and subsequent declines. We believe that this past stock price volatility is unlikely to be indicative of future stock price behavior. Options in our stock are actively traded on several exchanges. Implied volatility is calculated for the period that is commensurate with the option’s expected term assumption. Because this term often exceeds the period for which there are exchange traded options in our stock, statistical techniques are used to derive the implied volatility for traded options with terms commensurate with the option’s expected term of five years. This calculation of implied volatility is based on the most recent five-day period of trades of our exchange-traded options as of the date of grant. In general, the higher the expected volatility used in the Black-Scholes valuation model, the higher the grant-date fair value of the option.</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Expected term – we use historical employee exercise and option expiration data to estimate the expected term assumption for the Black-Scholes grant date valuation. We believe that this historical data is currently the best estimate of the expected term of a new option, and that generally, all groups of our employees exhibit similar exercise behavior. In general, the longer the expected term used in the Black-Scholes valuation model, the higher the grant-date fair value of the option.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Risk-free interest rate – the yield on zero-coupon U.S. Treasury securities for a period that is commensurate with the expected term assumption is used as the risk-free interest rate.</w:t>
      </w:r>
    </w:p>
    <w:p>
      <w:pPr>
        <w:spacing w:after="0" w:line="6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Expected dividend yield – expected dividend yield is calculated by annualizing the cash dividend declared by our Board of Directors for the current quarter and dividing that result by the closing stock price on the date of grant. Until such time as our Board of Directors declares a cash dividend for an amount that is different from the current quarter’s cash dividend, the current dividend will be used in deriving this assumption. Dividends are not paid on options.</w:t>
      </w:r>
    </w:p>
    <w:p>
      <w:pPr>
        <w:spacing w:after="0" w:line="39"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amount of stock-based compensation recognized during a period is based on the value of the portion of the awards that are ultimately expected to vest.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option. We currently expect, based on an analysis of our historical forfeitures that approximately 86% of our options will actually vest, and therefore have applied an annual forfeiture rate of 3.1% to all unvested options as of January 28, 2006. This analysis will be re-evaluated quarterly and the forfeiture rate will be adjusted as necessary. Ultimately, the actual expense recognized over the vesting period will only be for those shares that vest.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From time to time, we receive notices that our products or manufacturing processes may be infringing the patent or intellectual property rights of others. We periodically assess each matter to determine if a contingent liability should be recorded in accordance with Statement of Financial Accounting Standards No. 5, or SFAS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Should a loss be probable and reasonably estimable, we record a contingent loss in accordance with SFAS 5. In determining the amount of a contingent loss, we consider advice received from experts in the specific matter, current status of legal proceedings, settlement negotiations that may be ongoing, prior case history and other factors. Should the judgments and estimates made by us be incorrect, we may need to record additional contingent losses that could materially adversely impact our results of operations. See Note 10 to our Consolidated Financial Statements contained in Item 1 of this Quarterly Report on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difficult to predict and may materially fluctuate.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future operating results are difficult to predict and may be materially affected by a number of factors, including the timing of new product announcements or introductions by us or our competitors, competitive pricing pressures, fluctuations in manufacturing yields, adequate availability of wafers and manufacturing capacity, the risk that our backlog could decline significantly, our ability to hire, retain and motivate adequate numbers of engineers and other qualified employees to meet the demands of our customers, changes in product mix, and the effect of adverse changes in economic conditions in the United States and international markets. In addition, the semiconductor market has historically been cyclical and subject to significant economic downturns.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cancelations or delays in orders for our products could adversely affect our operating results.</w:t>
      </w:r>
    </w:p>
    <w:p>
      <w:pPr>
        <w:spacing w:after="0" w:line="1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At any given time, this situation could affect a portion of our backlog. As a result, we are subject to the risk of cancelation of orders leading to a sharp fall-off of sales and backlog. Further, those orders may be for products that meet the customer’s unique requirements so that those canceled orders would, in addition, result in an inventory of unsaleable products, resulting in potential inventory write-offs. As a result of lengthy manufacturing cycles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certain of the products subject to these uncertainties, the amount of unsaleable product could be substantial. Reductions, cancelations or delays in orders for our products could adversely affect our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success depends upon our ability to develop and market new products and enter new markets.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success significantly depends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Furthermore, a decline in demand in one or several of our end-user markets could have a material adverse effect on the demand for our products and our results of operations. Also, some of our customers in these markets are less established, which could subject us to increased credit risk.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the semiconductor industry in the future.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Many other companies offer products that compete with our products. Some have greater financial, manufacturing, technical and marketing resources than we have. Additionally, some formerly independent competitors have been purchased by larger companies. Our competitors also include emerging companies selling specialized products to markets we serve. There can be no assurance that we will be able to compete successfully in the future against existing or new competitors, or that our operating results will not be adversely affected by increased price competition.</w:t>
      </w:r>
    </w:p>
    <w:p>
      <w:pPr>
        <w:spacing w:after="0" w:line="6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assembly/test services, and therefore cannot control their availability or conditions of supply.</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delivery schedules, manufacturing yields and costs. Additionally, we utilize third-party wafer fabricators as sole-source suppliers, primarily Taiwan Semiconductor Manufacturing Company. These suppliers manufacture components in accordance with our proprietary designs and specifications. We have no written supply agreements with these sole-source suppliers and purchase our custom components through individual purchase orders. If these sole-source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satisfy increasing demand for our products, and increased production may lead to overcapacity and lower prices.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cyclical nature of the semiconductor industry has resulted in sustained and short-term periods when demand for our products has increased or decreased rapidly. During these periods of rapid increases in demand, our available capacity may not be sufficient to satisfy the available demand. We, and the semiconductor industry generally, expand production facilities and access to third-party foundries in response to these periods of increased demand. These capacity expansions by us and other semiconductor manufacturers could lead to overcapacity in our target markets which could lead to price erosion that would adversely impact our operating results.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revenue may not increase enough to offset the expense of additional capacity.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and the semiconductor industry generally, expand production facilities and access to third-party foundries in response to periods of increased demand which can cause operating expenses to increase. Should customer demand fail to increase or should the semiconductor industry enter a period of reduced customer demand, our financial position and results of operations could be adversely impacted as a result of underutilization of capacity or asset impairment charges.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rely primarily upon know-how, rather than on patents, to develop and maintain our competitive position. There can be no assurance that others will not develop or patent similar technology or reverse engineer our products or that the confidentiality agreements upon which we rely will be adequate to protect our interests. Other companies have obtained patents covering a variety of semiconductor designs and processes, and we might be required to obtain licenses under some of these patents or be precluded from making and selling the infringing products, if such patents are found to be valid. There can be no assurance that we would be able to obtain licenses, if required, upon commercially reasonable terms, or at all. Moreover, the laws of foreign countries in which we design, manufacture and market our products may afford little or no effective protection of our proprietary technology.</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are involved in frequent litigation regarding intellectual property rights, which could be costly to defend and could require us to redesign products or pay significant royalties.</w:t>
      </w:r>
    </w:p>
    <w:p>
      <w:pPr>
        <w:spacing w:after="0" w:line="6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There can be no assurance that any patent will issue on pending applications or that any patent issued will provide substantive protection for the technology or product covered by it. We believe that patent and mask set protection is of less significance in our business than experience, innovation and management skill. There also can be no assurance that others will not develop or patent similar technology, or reverse engineer our products, or that our confidentiality agreements with employees, consultants, silicon foundries and other suppliers and vendors will be adequate to protect our interests.</w:t>
      </w:r>
    </w:p>
    <w:p>
      <w:pPr>
        <w:spacing w:after="0" w:line="4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indemnification of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See Note 10 in the Notes to our Consolidated Financial Statements contained in Item 1 of this Quarterly Report on Form 10-Q for information concerning pending litigation that involves us. An adverse outcome in this or other litigation could have a material adverse effect on our consolidated financial position or on our consolidated results of operations or cash flows in the period in which the litigation is resolved.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limited.</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success depends to a significant extent upon the continued service of our executive officers and key management and technical personnel, particularly our experienced engineers, and on our ability to continue to attract, retain, and motivate qualified personnel. The competition for these employees is intense. The loss of the services of one or more of our key personnel could have a material adverse effect on our operating results. In addition, there could be a material adverse effect on us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r>
        <w:rPr>
          <w:rFonts w:ascii="Arial" w:cs="Arial" w:eastAsia="Arial" w:hAnsi="Arial"/>
          <w:sz w:val="18"/>
          <w:szCs w:val="18"/>
          <w:color w:val="auto"/>
        </w:rPr>
        <w: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and many companies in the semiconductor industry, rely on internal manufacturing capacity located in California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Any prolonged inability to utilize one of our manufacturing facilities, or those of our subcontractors or third party wafer-fabrication foundries, as a result of fire, natural disaster, unavailability of electric power or otherwise, would have a material adverse effect on our results of operations and financial condition.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economic, political and other risks through our significant worldwide operations.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first quarter of fiscal 2006, approximately 75% of our revenues were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particularly in the United States and China, as well as high energy costs could have an adverse impact on industrial and consumer spending patterns and could adversely impact demand for our products. We have manufacturing facilities outside the United States in Ireland and the Philippines.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and the response to them by the United States and its allies. These risks include air transportation disruptions, expropriation, currency controls, currency exchange rate movement, and additional costs related to tax, tariff and freight rate increases.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dependent on the performance of independent distributors and sales representatives.</w:t>
      </w:r>
    </w:p>
    <w:p>
      <w:pPr>
        <w:spacing w:after="0" w:line="117"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results of operations. Termination of a significant distributor, whether at our initiative or the distributor’s initiative, could disrupt our current business. If we are unable to find suitable replacements in the event of terminations by significant distributors or sales representatives, our operating results could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manufacturing processes are highly complex and may be interrupted.</w:t>
      </w:r>
    </w:p>
    <w:p>
      <w:pPr>
        <w:spacing w:after="0" w:line="11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financial position or results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material changes in the information provided under ITEM 7A. “Qualitative and Quantitative Disclosures about Market Risk” set forth in our Annual Report on Form 10-K for the year ended October 29,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Analog’s disclosure controls and procedures as of January 28, 2006.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January 28, 2006, our Chief Executive Officer and Chief Financial Officer concluded that, as of such date, our disclosure controls and procedures were effective at the reasonable assurance level.</w:t>
      </w:r>
    </w:p>
    <w:p>
      <w:pPr>
        <w:spacing w:after="0" w:line="71" w:lineRule="exact"/>
        <w:rPr>
          <w:rFonts w:ascii="Arial" w:cs="Arial" w:eastAsia="Arial" w:hAnsi="Arial"/>
          <w:sz w:val="17"/>
          <w:szCs w:val="17"/>
          <w:color w:val="auto"/>
        </w:rPr>
      </w:pPr>
    </w:p>
    <w:p>
      <w:pPr>
        <w:jc w:val="both"/>
        <w:ind w:right="60" w:firstLine="8"/>
        <w:spacing w:after="0" w:line="264"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w:t>
      </w:r>
      <w:r>
        <w:rPr>
          <w:rFonts w:ascii="Arial" w:cs="Arial" w:eastAsia="Arial" w:hAnsi="Arial"/>
          <w:sz w:val="18"/>
          <w:szCs w:val="18"/>
          <w:color w:val="auto"/>
        </w:rPr>
        <w:t>No change in our internal control over financial reporting (as defined in Rules 13a-15(f) and 15d-15(f) under the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Act) occurred during the first quarter ended January 28, 2006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4"/>
          </w:tcPr>
          <w:p>
            <w:pPr>
              <w:jc w:val="right"/>
              <w:ind w:right="100"/>
              <w:spacing w:after="0"/>
              <w:rPr>
                <w:sz w:val="20"/>
                <w:szCs w:val="20"/>
                <w:color w:val="auto"/>
              </w:rPr>
            </w:pPr>
            <w:r>
              <w:rPr>
                <w:rFonts w:ascii="Arial" w:cs="Arial" w:eastAsia="Arial" w:hAnsi="Arial"/>
                <w:sz w:val="14"/>
                <w:szCs w:val="14"/>
                <w:color w:val="auto"/>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Total Number of</w:t>
            </w:r>
          </w:p>
        </w:tc>
        <w:tc>
          <w:tcPr>
            <w:tcW w:w="300" w:type="dxa"/>
            <w:vAlign w:val="bottom"/>
          </w:tcPr>
          <w:p>
            <w:pPr>
              <w:spacing w:after="0"/>
              <w:rPr>
                <w:sz w:val="12"/>
                <w:szCs w:val="12"/>
                <w:color w:val="auto"/>
              </w:rPr>
            </w:pPr>
          </w:p>
        </w:tc>
        <w:tc>
          <w:tcPr>
            <w:tcW w:w="12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88"/>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Shares Purchased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900" w:type="dxa"/>
            <w:vAlign w:val="bottom"/>
            <w:gridSpan w:val="3"/>
          </w:tcPr>
          <w:p>
            <w:pPr>
              <w:jc w:val="center"/>
              <w:ind w:left="199"/>
              <w:spacing w:after="0" w:line="149" w:lineRule="exact"/>
              <w:rPr>
                <w:sz w:val="20"/>
                <w:szCs w:val="20"/>
                <w:color w:val="auto"/>
              </w:rPr>
            </w:pPr>
            <w:r>
              <w:rPr>
                <w:rFonts w:ascii="Arial" w:cs="Arial" w:eastAsia="Arial" w:hAnsi="Arial"/>
                <w:sz w:val="14"/>
                <w:szCs w:val="14"/>
                <w:color w:val="auto"/>
                <w:w w:val="94"/>
              </w:rPr>
              <w:t>as Part of Publicly</w:t>
            </w:r>
          </w:p>
        </w:tc>
        <w:tc>
          <w:tcPr>
            <w:tcW w:w="30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Total Number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0"/>
              </w:rPr>
              <w:t>Average Price</w:t>
            </w:r>
          </w:p>
        </w:tc>
        <w:tc>
          <w:tcPr>
            <w:tcW w:w="5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Announced Plans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the Plans or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60" w:type="dxa"/>
            <w:vAlign w:val="bottom"/>
          </w:tcPr>
          <w:p>
            <w:pPr>
              <w:ind w:left="2240"/>
              <w:spacing w:after="0"/>
              <w:rPr>
                <w:sz w:val="20"/>
                <w:szCs w:val="20"/>
                <w:color w:val="auto"/>
              </w:rPr>
            </w:pPr>
            <w:r>
              <w:rPr>
                <w:rFonts w:ascii="Arial" w:cs="Arial" w:eastAsia="Arial" w:hAnsi="Arial"/>
                <w:sz w:val="14"/>
                <w:szCs w:val="14"/>
                <w:color w:val="auto"/>
              </w:rPr>
              <w:t>Period</w:t>
            </w:r>
          </w:p>
        </w:tc>
        <w:tc>
          <w:tcPr>
            <w:tcW w:w="4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color w:val="auto"/>
              </w:rPr>
              <w:t>Shares Purchased</w:t>
            </w:r>
          </w:p>
        </w:tc>
        <w:tc>
          <w:tcPr>
            <w:tcW w:w="2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w w:val="87"/>
              </w:rPr>
              <w:t>Paid Per Share (a)</w:t>
            </w:r>
          </w:p>
        </w:tc>
        <w:tc>
          <w:tcPr>
            <w:tcW w:w="5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or Programs (b)</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88"/>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October 30, 2005 through November 26, 2005</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5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400,000</w:t>
            </w: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322,438,376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November 27, 2005 through December 24, 2005</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2,862,488</w:t>
            </w:r>
          </w:p>
        </w:tc>
        <w:tc>
          <w:tcPr>
            <w:tcW w:w="28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38.47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2,862,488</w:t>
            </w:r>
          </w:p>
        </w:tc>
        <w:tc>
          <w:tcPr>
            <w:tcW w:w="280" w:type="dxa"/>
            <w:vAlign w:val="bottom"/>
          </w:tcPr>
          <w:p>
            <w:pPr>
              <w:spacing w:after="0"/>
              <w:rPr>
                <w:sz w:val="18"/>
                <w:szCs w:val="18"/>
                <w:color w:val="auto"/>
              </w:rPr>
            </w:pP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212,326,121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December 25, 2005 through January 28, 2006</w:t>
            </w:r>
          </w:p>
        </w:tc>
        <w:tc>
          <w:tcPr>
            <w:tcW w:w="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212,326,121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3,262,488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38.34</w:t>
            </w:r>
          </w:p>
        </w:tc>
        <w:tc>
          <w:tcPr>
            <w:tcW w:w="5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3,262,488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212,326,121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average price paid per share of stock repurchased under the stock repurchase program includes the commissions paid to the brokers.</w:t>
      </w:r>
    </w:p>
    <w:p>
      <w:pPr>
        <w:spacing w:after="0" w:line="88" w:lineRule="exact"/>
        <w:rPr>
          <w:rFonts w:ascii="Arial" w:cs="Arial" w:eastAsia="Arial" w:hAnsi="Arial"/>
          <w:sz w:val="17"/>
          <w:szCs w:val="17"/>
          <w:color w:val="auto"/>
        </w:rPr>
      </w:pPr>
    </w:p>
    <w:p>
      <w:pPr>
        <w:ind w:left="460" w:right="120" w:hanging="452"/>
        <w:spacing w:after="0" w:line="25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Repurchased pursuant to the stock repurchase program publicly announced on August 12, 2004, as amended on May 11, 2005, under which our Board of Directors authorized the repurchase of up to an aggregate of $1 billion of our common stock.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360" w:right="100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February 15, 2006</w:t>
      </w:r>
      <w:r>
        <w:rPr>
          <w:sz w:val="20"/>
          <w:szCs w:val="20"/>
          <w:color w:val="auto"/>
        </w:rPr>
        <w:tab/>
      </w:r>
      <w:r>
        <w:rPr>
          <w:rFonts w:ascii="Arial" w:cs="Arial" w:eastAsia="Arial" w:hAnsi="Arial"/>
          <w:sz w:val="16"/>
          <w:szCs w:val="16"/>
          <w:color w:val="auto"/>
        </w:rPr>
        <w:t>By:  /s/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23666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February 15, 2006</w:t>
      </w:r>
      <w:r>
        <w:rPr>
          <w:sz w:val="20"/>
          <w:szCs w:val="20"/>
          <w:color w:val="auto"/>
        </w:rPr>
        <w:tab/>
      </w:r>
      <w:r>
        <w:rPr>
          <w:rFonts w:ascii="Arial" w:cs="Arial" w:eastAsia="Arial" w:hAnsi="Arial"/>
          <w:sz w:val="16"/>
          <w:szCs w:val="16"/>
          <w:color w:val="auto"/>
        </w:rPr>
        <w:t>By:  /s/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23666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Joseph E. McDonough</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Financial and</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Accounting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2700" w:type="dxa"/>
            <w:vAlign w:val="bottom"/>
            <w:vMerge w:val="restart"/>
          </w:tcPr>
          <w:p>
            <w:pPr>
              <w:jc w:val="center"/>
              <w:ind w:right="2168"/>
              <w:spacing w:after="0"/>
              <w:rPr>
                <w:sz w:val="20"/>
                <w:szCs w:val="20"/>
                <w:color w:val="auto"/>
              </w:rPr>
            </w:pPr>
            <w:r>
              <w:rPr>
                <w:rFonts w:ascii="Arial" w:cs="Arial" w:eastAsia="Arial" w:hAnsi="Arial"/>
                <w:sz w:val="14"/>
                <w:szCs w:val="14"/>
                <w:b w:val="1"/>
                <w:bCs w:val="1"/>
                <w:color w:val="auto"/>
                <w:w w:val="98"/>
              </w:rPr>
              <w:t>Exhibit</w:t>
            </w:r>
          </w:p>
        </w:tc>
        <w:tc>
          <w:tcPr>
            <w:tcW w:w="2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70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146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2700" w:type="dxa"/>
            <w:vAlign w:val="bottom"/>
          </w:tcPr>
          <w:p>
            <w:pPr>
              <w:jc w:val="center"/>
              <w:ind w:right="2168"/>
              <w:spacing w:after="0"/>
              <w:rPr>
                <w:sz w:val="20"/>
                <w:szCs w:val="20"/>
                <w:color w:val="auto"/>
              </w:rPr>
            </w:pPr>
            <w:r>
              <w:rPr>
                <w:rFonts w:ascii="Arial" w:cs="Arial" w:eastAsia="Arial" w:hAnsi="Arial"/>
                <w:sz w:val="14"/>
                <w:szCs w:val="14"/>
                <w:b w:val="1"/>
                <w:bCs w:val="1"/>
                <w:color w:val="auto"/>
                <w:w w:val="97"/>
              </w:rPr>
              <w:t>No.</w:t>
            </w:r>
          </w:p>
        </w:tc>
        <w:tc>
          <w:tcPr>
            <w:tcW w:w="2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160" w:hanging="845"/>
        <w:spacing w:after="0" w:line="259"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Employment Agreement dated November 14, 2005 between Jerald G. Fishman and Analog Devices, Inc., filed as an exhibit to the Company’s Current Report on Form 8-K (File No. 1-7819) filed November 15, 2005 and incorporated herein by reference.</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10.2</w:t>
            </w:r>
          </w:p>
        </w:tc>
        <w:tc>
          <w:tcPr>
            <w:tcW w:w="10360" w:type="dxa"/>
            <w:vAlign w:val="bottom"/>
          </w:tcPr>
          <w:p>
            <w:pPr>
              <w:ind w:left="260"/>
              <w:spacing w:after="0"/>
              <w:rPr>
                <w:sz w:val="20"/>
                <w:szCs w:val="20"/>
                <w:color w:val="auto"/>
              </w:rPr>
            </w:pPr>
            <w:r>
              <w:rPr>
                <w:rFonts w:ascii="Arial" w:cs="Arial" w:eastAsia="Arial" w:hAnsi="Arial"/>
                <w:sz w:val="18"/>
                <w:szCs w:val="18"/>
                <w:color w:val="auto"/>
                <w:w w:val="94"/>
              </w:rPr>
              <w:t>Description of Executive Performance Bonus Plan for fiscal year 2006, incorporated herein by reference to Item 1.01 in the Company’s</w:t>
            </w:r>
          </w:p>
        </w:tc>
      </w:tr>
      <w:tr>
        <w:trPr>
          <w:trHeight w:val="230"/>
        </w:trPr>
        <w:tc>
          <w:tcPr>
            <w:tcW w:w="60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Current Report on Form 8-K (File No. 1-7819) filed January 25, 2006.</w:t>
            </w:r>
          </w:p>
        </w:tc>
      </w:tr>
      <w:tr>
        <w:trPr>
          <w:trHeight w:val="43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10.3</w:t>
            </w:r>
          </w:p>
        </w:tc>
        <w:tc>
          <w:tcPr>
            <w:tcW w:w="10360" w:type="dxa"/>
            <w:vAlign w:val="bottom"/>
          </w:tcPr>
          <w:p>
            <w:pPr>
              <w:ind w:left="260"/>
              <w:spacing w:after="0"/>
              <w:rPr>
                <w:sz w:val="20"/>
                <w:szCs w:val="20"/>
                <w:color w:val="auto"/>
              </w:rPr>
            </w:pPr>
            <w:r>
              <w:rPr>
                <w:rFonts w:ascii="Arial" w:cs="Arial" w:eastAsia="Arial" w:hAnsi="Arial"/>
                <w:sz w:val="18"/>
                <w:szCs w:val="18"/>
                <w:color w:val="auto"/>
              </w:rPr>
              <w:t>Analog Devices, Inc. Amended and Restated Deferred Compensation Plan.</w:t>
            </w:r>
          </w:p>
        </w:tc>
      </w:tr>
      <w:tr>
        <w:trPr>
          <w:trHeight w:val="418"/>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31.1</w:t>
            </w:r>
          </w:p>
        </w:tc>
        <w:tc>
          <w:tcPr>
            <w:tcW w:w="10360" w:type="dxa"/>
            <w:vAlign w:val="bottom"/>
          </w:tcPr>
          <w:p>
            <w:pPr>
              <w:ind w:left="260"/>
              <w:spacing w:after="0"/>
              <w:rPr>
                <w:sz w:val="20"/>
                <w:szCs w:val="20"/>
                <w:color w:val="auto"/>
              </w:rPr>
            </w:pPr>
            <w:r>
              <w:rPr>
                <w:rFonts w:ascii="Arial" w:cs="Arial" w:eastAsia="Arial" w:hAnsi="Arial"/>
                <w:sz w:val="18"/>
                <w:szCs w:val="18"/>
                <w:color w:val="auto"/>
                <w:w w:val="89"/>
              </w:rPr>
              <w:t>Certification Pursuant to Rule 13a-14(a) and 15d-14(a) of the Securities Exchange Act, as Adopted Pursuant to Section 302 of the Sarbanes-</w:t>
            </w:r>
          </w:p>
        </w:tc>
      </w:tr>
      <w:tr>
        <w:trPr>
          <w:trHeight w:val="230"/>
        </w:trPr>
        <w:tc>
          <w:tcPr>
            <w:tcW w:w="60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Oxley Act of 2002 (Chief Executive Officer).</w:t>
            </w:r>
          </w:p>
        </w:tc>
      </w:tr>
      <w:tr>
        <w:trPr>
          <w:trHeight w:val="418"/>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31.2</w:t>
            </w:r>
          </w:p>
        </w:tc>
        <w:tc>
          <w:tcPr>
            <w:tcW w:w="10360" w:type="dxa"/>
            <w:vAlign w:val="bottom"/>
          </w:tcPr>
          <w:p>
            <w:pPr>
              <w:ind w:left="260"/>
              <w:spacing w:after="0"/>
              <w:rPr>
                <w:sz w:val="20"/>
                <w:szCs w:val="20"/>
                <w:color w:val="auto"/>
              </w:rPr>
            </w:pPr>
            <w:r>
              <w:rPr>
                <w:rFonts w:ascii="Arial" w:cs="Arial" w:eastAsia="Arial" w:hAnsi="Arial"/>
                <w:sz w:val="18"/>
                <w:szCs w:val="18"/>
                <w:color w:val="auto"/>
                <w:w w:val="89"/>
              </w:rPr>
              <w:t>Certification Pursuant to Rule 13a-14(a) and 15d-14(a) of the Securities Exchange Act, as Adopted Pursuant to Section 302 of the Sarbanes-</w:t>
            </w:r>
          </w:p>
        </w:tc>
      </w:tr>
      <w:tr>
        <w:trPr>
          <w:trHeight w:val="230"/>
        </w:trPr>
        <w:tc>
          <w:tcPr>
            <w:tcW w:w="60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Oxley Act of 2002 (Chief Financial Officer).</w:t>
            </w:r>
          </w:p>
        </w:tc>
      </w:tr>
      <w:tr>
        <w:trPr>
          <w:trHeight w:val="43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32.1</w:t>
            </w:r>
          </w:p>
        </w:tc>
        <w:tc>
          <w:tcPr>
            <w:tcW w:w="10360" w:type="dxa"/>
            <w:vAlign w:val="bottom"/>
          </w:tcPr>
          <w:p>
            <w:pPr>
              <w:ind w:left="260"/>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432"/>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32.2</w:t>
            </w:r>
          </w:p>
        </w:tc>
        <w:tc>
          <w:tcPr>
            <w:tcW w:w="10360" w:type="dxa"/>
            <w:vAlign w:val="bottom"/>
          </w:tcPr>
          <w:p>
            <w:pPr>
              <w:ind w:left="260"/>
              <w:spacing w:after="0"/>
              <w:rPr>
                <w:sz w:val="20"/>
                <w:szCs w:val="20"/>
                <w:color w:val="auto"/>
              </w:rPr>
            </w:pPr>
            <w:r>
              <w:rPr>
                <w:rFonts w:ascii="Arial" w:cs="Arial" w:eastAsia="Arial" w:hAnsi="Arial"/>
                <w:sz w:val="18"/>
                <w:szCs w:val="18"/>
                <w:color w:val="auto"/>
              </w:rPr>
              <w:t>Certification Pursuant to 18 U.S.C. Section 1350 (Chief Financial Officer).</w:t>
            </w:r>
          </w:p>
        </w:tc>
      </w:tr>
      <w:tr>
        <w:trPr>
          <w:trHeight w:val="405"/>
        </w:trPr>
        <w:tc>
          <w:tcPr>
            <w:tcW w:w="600" w:type="dxa"/>
            <w:vAlign w:val="bottom"/>
          </w:tcPr>
          <w:p>
            <w:pPr>
              <w:spacing w:after="0"/>
              <w:rPr>
                <w:sz w:val="24"/>
                <w:szCs w:val="24"/>
                <w:color w:val="auto"/>
              </w:rPr>
            </w:pPr>
          </w:p>
        </w:tc>
        <w:tc>
          <w:tcPr>
            <w:tcW w:w="10360" w:type="dxa"/>
            <w:vAlign w:val="bottom"/>
          </w:tcPr>
          <w:p>
            <w:pPr>
              <w:ind w:left="472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00"/>
          </w:cols>
          <w:pgMar w:left="240" w:top="419" w:right="259" w:bottom="1440" w:gutter="0" w:footer="0" w:header="0"/>
        </w:sectPr>
      </w:pPr>
    </w:p>
    <w:bookmarkStart w:id="35" w:name="page36"/>
    <w:bookmarkEnd w:id="35"/>
    <w:p>
      <w:pPr>
        <w:jc w:val="right"/>
        <w:ind w:right="1779"/>
        <w:spacing w:after="0"/>
        <w:rPr>
          <w:sz w:val="20"/>
          <w:szCs w:val="20"/>
          <w:color w:val="auto"/>
        </w:rPr>
      </w:pPr>
      <w:r>
        <w:rPr>
          <w:rFonts w:ascii="Courier New" w:cs="Courier New" w:eastAsia="Courier New" w:hAnsi="Courier New"/>
          <w:sz w:val="18"/>
          <w:szCs w:val="18"/>
          <w:color w:val="auto"/>
        </w:rPr>
        <w:t>EXHIBIT 10.3</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AMENDED AND RESTATED DEFERRED COMPENSATION PLAN</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EFFECTIVE AS OF DECEMBER 6, 2005</w:t>
      </w:r>
    </w:p>
    <w:p>
      <w:pPr>
        <w:spacing w:after="0" w:line="201"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9019"/>
          </w:cols>
          <w:pgMar w:left="1440" w:top="541" w:right="1440" w:bottom="1440" w:gutter="0" w:footer="0" w:header="0"/>
        </w:sectPr>
      </w:pPr>
    </w:p>
    <w:bookmarkStart w:id="36" w:name="page37"/>
    <w:bookmarkEnd w:id="36"/>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DEFERRED COMPENSATION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42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6"/>
              </w:rPr>
              <w:t>Table of Contents</w:t>
            </w:r>
          </w:p>
        </w:tc>
      </w:tr>
      <w:tr>
        <w:trPr>
          <w:trHeight w:val="810"/>
        </w:trPr>
        <w:tc>
          <w:tcPr>
            <w:tcW w:w="6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8"/>
              </w:rPr>
              <w:t>ARTICLE I.....................................................................</w:t>
            </w: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6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8"/>
              </w:rPr>
              <w:t>INTRODUCTION..................................................................</w:t>
            </w: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1.1</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History.............................................................</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1.2</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Statement of Purpose and Compliance with Law........................</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ARTICLE II</w:t>
            </w:r>
          </w:p>
        </w:tc>
        <w:tc>
          <w:tcPr>
            <w:tcW w:w="5580" w:type="dxa"/>
            <w:vAlign w:val="bottom"/>
          </w:tcPr>
          <w:p>
            <w:pPr>
              <w:jc w:val="right"/>
              <w:spacing w:after="0"/>
              <w:rPr>
                <w:sz w:val="20"/>
                <w:szCs w:val="20"/>
                <w:color w:val="auto"/>
              </w:rPr>
            </w:pPr>
            <w:r>
              <w:rPr>
                <w:rFonts w:ascii="Courier New" w:cs="Courier New" w:eastAsia="Courier New" w:hAnsi="Courier New"/>
                <w:sz w:val="18"/>
                <w:szCs w:val="18"/>
                <w:color w:val="auto"/>
                <w:w w:val="75"/>
              </w:rPr>
              <w:t>....................................................................</w:t>
            </w: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6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8"/>
              </w:rPr>
              <w:t>DEFINITIONS...................................................................</w:t>
            </w: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2.1</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Account.............................................................</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2.2</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Administrative Procedures...........................................</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2.3</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Base Salary.........................................................</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2.4</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Beneficiary.........................................................</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2.5</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Board...............................................................</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2.6</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Bonus...............................................................</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2.7</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Change in Control...................................................</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2.8</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Code................................................................</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2.9</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Committee...........................................................</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2.10</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Compensation........................................................</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2.11</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Company Contribution Account........................................</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2.12</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Company Contribution Amount.........................................</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2.13</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Company.............................................................</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2.14</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Deferral Account....................................................</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2.15</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Deferral Benefit....................................................</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2.16</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Deferral Election...................................................</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2.17</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Disability..........................................................</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2.18</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Eligible Employee...................................................</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2.19</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Employer............................................................</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2.20</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Investment Return Rate..............................................</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2.21</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Participant.........................................................</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2.22</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Participation Election..............................................</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2.23</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Plan................................................................</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2.24</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Plan Year...........................................................</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2.25</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Recordkeeper........................................................</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2.26</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Retirement..........................................................</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2.27</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Section 409A........................................................</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2.28</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Selected Affiliate..................................................</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2.29</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TIP.................................................................</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2.30</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Unforseeable Emergency..............................................</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2.31</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Valuation Date......................................................</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608"/>
        </w:trPr>
        <w:tc>
          <w:tcPr>
            <w:tcW w:w="1060" w:type="dxa"/>
            <w:vAlign w:val="bottom"/>
          </w:tcPr>
          <w:p>
            <w:pPr>
              <w:spacing w:after="0"/>
              <w:rPr>
                <w:sz w:val="24"/>
                <w:szCs w:val="24"/>
                <w:color w:val="auto"/>
              </w:rPr>
            </w:pPr>
          </w:p>
        </w:tc>
        <w:tc>
          <w:tcPr>
            <w:tcW w:w="5580" w:type="dxa"/>
            <w:vAlign w:val="bottom"/>
          </w:tcPr>
          <w:p>
            <w:pPr>
              <w:jc w:val="right"/>
              <w:ind w:right="2332"/>
              <w:spacing w:after="0"/>
              <w:rPr>
                <w:sz w:val="20"/>
                <w:szCs w:val="20"/>
                <w:color w:val="auto"/>
              </w:rPr>
            </w:pPr>
            <w:r>
              <w:rPr>
                <w:rFonts w:ascii="Courier New" w:cs="Courier New" w:eastAsia="Courier New" w:hAnsi="Courier New"/>
                <w:sz w:val="18"/>
                <w:szCs w:val="18"/>
                <w:color w:val="auto"/>
              </w:rPr>
              <w:t>2</w:t>
            </w:r>
          </w:p>
        </w:tc>
        <w:tc>
          <w:tcPr>
            <w:tcW w:w="24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ARTICLE III...................................................................</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ELIGIBILITY AND PARTICIPATION.................................................</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Eligibility.........................................................</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Participation.......................................................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Participation Status......................................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Ineligible Participant..............................................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ARTICLE IV</w:t>
            </w:r>
          </w:p>
        </w:tc>
        <w:tc>
          <w:tcPr>
            <w:tcW w:w="7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DEFERRAL OF COMPENSATION......................................................</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 of Deferral..................................................</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Crediting Deferred Compensation and Company Contribution Amounts....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405"/>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ARTICLE V.....................................................................</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BENEFIT ACCOUNTS..............................................................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Valuation of Account................................................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Crediting of Investment Return......................................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 of Accounts...............................................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Vesting of Account..................................................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Vehicles.................................................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ARTICLE VI</w:t>
            </w:r>
          </w:p>
        </w:tc>
        <w:tc>
          <w:tcPr>
            <w:tcW w:w="7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PAYMENT OF BENEFITS...........................................................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 of Deferral Benefit.........................................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Payments to Beneficiaries...........................................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Unforseeable Emergency..............................................</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Form of Payment.....................................................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Commencement of Payments............................................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Small Benefit.......................................................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Changes in Form of Benefit..........................................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 2005 Distribution and Election Changes......................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405"/>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ARTICLE VII...................................................................</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BENEFICIARY DESIGNATION.......................................................</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Beneficiary Designation.............................................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of Beneficiary Designation...................................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No Designation......................................................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Payment...................................................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405"/>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ARTICLE VIII..................................................................</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ADMINISTRATION................................................................</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Committee...........................................................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Binding Effect of Decisions.........................................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w:t>
            </w:r>
          </w:p>
        </w:tc>
        <w:tc>
          <w:tcPr>
            <w:tcW w:w="7480" w:type="dxa"/>
            <w:vAlign w:val="bottom"/>
          </w:tcPr>
          <w:p>
            <w:pPr>
              <w:spacing w:after="0" w:line="203" w:lineRule="exact"/>
              <w:rPr>
                <w:sz w:val="20"/>
                <w:szCs w:val="20"/>
                <w:color w:val="auto"/>
              </w:rPr>
            </w:pPr>
            <w:r>
              <w:rPr>
                <w:rFonts w:ascii="Courier New" w:cs="Courier New" w:eastAsia="Courier New" w:hAnsi="Courier New"/>
                <w:sz w:val="18"/>
                <w:szCs w:val="18"/>
                <w:color w:val="auto"/>
              </w:rPr>
              <w:t>Indemnification of Committee........................................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ARTICLE IX</w:t>
            </w:r>
          </w:p>
        </w:tc>
        <w:tc>
          <w:tcPr>
            <w:tcW w:w="7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AMENDMENT AND TERMINATION OF THE PLAN.........................................</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608"/>
        </w:trPr>
        <w:tc>
          <w:tcPr>
            <w:tcW w:w="1060" w:type="dxa"/>
            <w:vAlign w:val="bottom"/>
          </w:tcPr>
          <w:p>
            <w:pPr>
              <w:spacing w:after="0"/>
              <w:rPr>
                <w:sz w:val="24"/>
                <w:szCs w:val="24"/>
                <w:color w:val="auto"/>
              </w:rPr>
            </w:pPr>
          </w:p>
        </w:tc>
        <w:tc>
          <w:tcPr>
            <w:tcW w:w="7480" w:type="dxa"/>
            <w:vAlign w:val="bottom"/>
          </w:tcPr>
          <w:p>
            <w:pPr>
              <w:ind w:left="3060"/>
              <w:spacing w:after="0"/>
              <w:rPr>
                <w:sz w:val="20"/>
                <w:szCs w:val="20"/>
                <w:color w:val="auto"/>
              </w:rPr>
            </w:pPr>
            <w:r>
              <w:rPr>
                <w:rFonts w:ascii="Courier New" w:cs="Courier New" w:eastAsia="Courier New" w:hAnsi="Courier New"/>
                <w:sz w:val="18"/>
                <w:szCs w:val="18"/>
                <w:color w:val="auto"/>
              </w:rPr>
              <w:t>3</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1122" w:right="1440" w:bottom="1440" w:gutter="0" w:footer="0" w:header="0"/>
        </w:sectPr>
      </w:pPr>
    </w:p>
    <w:bookmarkStart w:id="38" w:name="page39"/>
    <w:bookmarkEnd w:id="38"/>
    <w:p>
      <w:pPr>
        <w:ind w:left="540"/>
        <w:spacing w:after="0"/>
        <w:tabs>
          <w:tab w:leader="none" w:pos="1040" w:val="left"/>
          <w:tab w:leader="dot" w:pos="8840" w:val="left"/>
        </w:tabs>
        <w:rPr>
          <w:sz w:val="20"/>
          <w:szCs w:val="20"/>
          <w:color w:val="auto"/>
        </w:rPr>
      </w:pPr>
      <w:r>
        <w:rPr>
          <w:rFonts w:ascii="Courier New" w:cs="Courier New" w:eastAsia="Courier New" w:hAnsi="Courier New"/>
          <w:sz w:val="18"/>
          <w:szCs w:val="18"/>
          <w:color w:val="auto"/>
        </w:rPr>
        <w:t>9.1</w:t>
        <w:tab/>
        <w:t>Amendment</w:t>
      </w:r>
      <w:r>
        <w:rPr>
          <w:sz w:val="20"/>
          <w:szCs w:val="20"/>
          <w:color w:val="auto"/>
        </w:rPr>
        <w:tab/>
      </w:r>
      <w:r>
        <w:rPr>
          <w:rFonts w:ascii="Courier New" w:cs="Courier New" w:eastAsia="Courier New" w:hAnsi="Courier New"/>
          <w:sz w:val="16"/>
          <w:szCs w:val="16"/>
          <w:color w:val="auto"/>
        </w:rPr>
        <w:t>15</w:t>
      </w:r>
    </w:p>
    <w:p>
      <w:pPr>
        <w:ind w:left="540"/>
        <w:spacing w:after="0"/>
        <w:tabs>
          <w:tab w:leader="none" w:pos="1040" w:val="left"/>
          <w:tab w:leader="dot" w:pos="8840" w:val="left"/>
        </w:tabs>
        <w:rPr>
          <w:sz w:val="20"/>
          <w:szCs w:val="20"/>
          <w:color w:val="auto"/>
        </w:rPr>
      </w:pPr>
      <w:r>
        <w:rPr>
          <w:rFonts w:ascii="Courier New" w:cs="Courier New" w:eastAsia="Courier New" w:hAnsi="Courier New"/>
          <w:sz w:val="18"/>
          <w:szCs w:val="18"/>
          <w:color w:val="auto"/>
        </w:rPr>
        <w:t>9.2</w:t>
        <w:tab/>
        <w:t>Termination</w:t>
      </w:r>
      <w:r>
        <w:rPr>
          <w:sz w:val="20"/>
          <w:szCs w:val="20"/>
          <w:color w:val="auto"/>
        </w:rPr>
        <w:tab/>
      </w:r>
      <w:r>
        <w:rPr>
          <w:rFonts w:ascii="Courier New" w:cs="Courier New" w:eastAsia="Courier New" w:hAnsi="Courier New"/>
          <w:sz w:val="16"/>
          <w:szCs w:val="16"/>
          <w:color w:val="auto"/>
        </w:rPr>
        <w:t>15</w:t>
      </w:r>
    </w:p>
    <w:p>
      <w:pPr>
        <w:spacing w:after="0" w:line="202" w:lineRule="exact"/>
        <w:rPr>
          <w:sz w:val="20"/>
          <w:szCs w:val="20"/>
          <w:color w:val="auto"/>
        </w:rPr>
      </w:pPr>
    </w:p>
    <w:p>
      <w:pPr>
        <w:spacing w:after="0"/>
        <w:tabs>
          <w:tab w:leader="dot" w:pos="8840" w:val="left"/>
        </w:tabs>
        <w:rPr>
          <w:sz w:val="20"/>
          <w:szCs w:val="20"/>
          <w:color w:val="auto"/>
        </w:rPr>
      </w:pPr>
      <w:r>
        <w:rPr>
          <w:rFonts w:ascii="Courier New" w:cs="Courier New" w:eastAsia="Courier New" w:hAnsi="Courier New"/>
          <w:sz w:val="18"/>
          <w:szCs w:val="18"/>
          <w:color w:val="auto"/>
        </w:rPr>
        <w:t>ARTICLE X</w:t>
      </w:r>
      <w:r>
        <w:rPr>
          <w:sz w:val="20"/>
          <w:szCs w:val="20"/>
          <w:color w:val="auto"/>
        </w:rPr>
        <w:tab/>
      </w:r>
      <w:r>
        <w:rPr>
          <w:rFonts w:ascii="Courier New" w:cs="Courier New" w:eastAsia="Courier New" w:hAnsi="Courier New"/>
          <w:sz w:val="16"/>
          <w:szCs w:val="16"/>
          <w:color w:val="auto"/>
        </w:rPr>
        <w:t>16</w:t>
      </w:r>
    </w:p>
    <w:p>
      <w:pPr>
        <w:spacing w:after="0" w:line="201" w:lineRule="exact"/>
        <w:rPr>
          <w:sz w:val="20"/>
          <w:szCs w:val="20"/>
          <w:color w:val="auto"/>
        </w:rPr>
      </w:pPr>
    </w:p>
    <w:p>
      <w:pPr>
        <w:spacing w:after="0"/>
        <w:tabs>
          <w:tab w:leader="dot" w:pos="8840" w:val="left"/>
        </w:tabs>
        <w:rPr>
          <w:sz w:val="20"/>
          <w:szCs w:val="20"/>
          <w:color w:val="auto"/>
        </w:rPr>
      </w:pPr>
      <w:r>
        <w:rPr>
          <w:rFonts w:ascii="Courier New" w:cs="Courier New" w:eastAsia="Courier New" w:hAnsi="Courier New"/>
          <w:sz w:val="18"/>
          <w:szCs w:val="18"/>
          <w:color w:val="auto"/>
        </w:rPr>
        <w:t>MISCELLANEOUS</w:t>
      </w:r>
      <w:r>
        <w:rPr>
          <w:sz w:val="20"/>
          <w:szCs w:val="20"/>
          <w:color w:val="auto"/>
        </w:rPr>
        <w:tab/>
      </w:r>
      <w:r>
        <w:rPr>
          <w:rFonts w:ascii="Courier New" w:cs="Courier New" w:eastAsia="Courier New" w:hAnsi="Courier New"/>
          <w:sz w:val="16"/>
          <w:szCs w:val="16"/>
          <w:color w:val="auto"/>
        </w:rPr>
        <w:t>16</w:t>
      </w:r>
    </w:p>
    <w:p>
      <w:pPr>
        <w:ind w:left="540"/>
        <w:spacing w:after="0"/>
        <w:tabs>
          <w:tab w:leader="dot" w:pos="8840" w:val="left"/>
        </w:tabs>
        <w:rPr>
          <w:sz w:val="20"/>
          <w:szCs w:val="20"/>
          <w:color w:val="auto"/>
        </w:rPr>
      </w:pPr>
      <w:r>
        <w:rPr>
          <w:rFonts w:ascii="Courier New" w:cs="Courier New" w:eastAsia="Courier New" w:hAnsi="Courier New"/>
          <w:sz w:val="18"/>
          <w:szCs w:val="18"/>
          <w:color w:val="auto"/>
        </w:rPr>
        <w:t>10.1 Funding</w:t>
      </w:r>
      <w:r>
        <w:rPr>
          <w:sz w:val="20"/>
          <w:szCs w:val="20"/>
          <w:color w:val="auto"/>
        </w:rPr>
        <w:tab/>
      </w:r>
      <w:r>
        <w:rPr>
          <w:rFonts w:ascii="Courier New" w:cs="Courier New" w:eastAsia="Courier New" w:hAnsi="Courier New"/>
          <w:sz w:val="16"/>
          <w:szCs w:val="16"/>
          <w:color w:val="auto"/>
        </w:rPr>
        <w:t>16</w:t>
      </w:r>
    </w:p>
    <w:p>
      <w:pPr>
        <w:ind w:left="540"/>
        <w:spacing w:after="0"/>
        <w:tabs>
          <w:tab w:leader="dot" w:pos="8840" w:val="left"/>
        </w:tabs>
        <w:rPr>
          <w:sz w:val="20"/>
          <w:szCs w:val="20"/>
          <w:color w:val="auto"/>
        </w:rPr>
      </w:pPr>
      <w:r>
        <w:rPr>
          <w:rFonts w:ascii="Courier New" w:cs="Courier New" w:eastAsia="Courier New" w:hAnsi="Courier New"/>
          <w:sz w:val="18"/>
          <w:szCs w:val="18"/>
          <w:color w:val="auto"/>
        </w:rPr>
        <w:t>10.2 Nonassignability</w:t>
      </w:r>
      <w:r>
        <w:rPr>
          <w:sz w:val="20"/>
          <w:szCs w:val="20"/>
          <w:color w:val="auto"/>
        </w:rPr>
        <w:tab/>
      </w:r>
      <w:r>
        <w:rPr>
          <w:rFonts w:ascii="Courier New" w:cs="Courier New" w:eastAsia="Courier New" w:hAnsi="Courier New"/>
          <w:sz w:val="16"/>
          <w:szCs w:val="16"/>
          <w:color w:val="auto"/>
        </w:rPr>
        <w:t>16</w:t>
      </w:r>
    </w:p>
    <w:p>
      <w:pPr>
        <w:ind w:left="540"/>
        <w:spacing w:after="0"/>
        <w:tabs>
          <w:tab w:leader="dot" w:pos="8840" w:val="left"/>
        </w:tabs>
        <w:rPr>
          <w:sz w:val="20"/>
          <w:szCs w:val="20"/>
          <w:color w:val="auto"/>
        </w:rPr>
      </w:pPr>
      <w:r>
        <w:rPr>
          <w:rFonts w:ascii="Courier New" w:cs="Courier New" w:eastAsia="Courier New" w:hAnsi="Courier New"/>
          <w:sz w:val="18"/>
          <w:szCs w:val="18"/>
          <w:color w:val="auto"/>
        </w:rPr>
        <w:t>10.3 Legal Fees and Expenses</w:t>
      </w:r>
      <w:r>
        <w:rPr>
          <w:sz w:val="20"/>
          <w:szCs w:val="20"/>
          <w:color w:val="auto"/>
        </w:rPr>
        <w:tab/>
      </w:r>
      <w:r>
        <w:rPr>
          <w:rFonts w:ascii="Courier New" w:cs="Courier New" w:eastAsia="Courier New" w:hAnsi="Courier New"/>
          <w:sz w:val="16"/>
          <w:szCs w:val="16"/>
          <w:color w:val="auto"/>
        </w:rPr>
        <w:t>17</w:t>
      </w:r>
    </w:p>
    <w:p>
      <w:pPr>
        <w:ind w:left="540"/>
        <w:spacing w:after="0"/>
        <w:tabs>
          <w:tab w:leader="dot" w:pos="8840" w:val="left"/>
        </w:tabs>
        <w:rPr>
          <w:sz w:val="20"/>
          <w:szCs w:val="20"/>
          <w:color w:val="auto"/>
        </w:rPr>
      </w:pPr>
      <w:r>
        <w:rPr>
          <w:rFonts w:ascii="Courier New" w:cs="Courier New" w:eastAsia="Courier New" w:hAnsi="Courier New"/>
          <w:sz w:val="18"/>
          <w:szCs w:val="18"/>
          <w:color w:val="auto"/>
        </w:rPr>
        <w:t>10.4 Captions</w:t>
      </w:r>
      <w:r>
        <w:rPr>
          <w:sz w:val="20"/>
          <w:szCs w:val="20"/>
          <w:color w:val="auto"/>
        </w:rPr>
        <w:tab/>
      </w:r>
      <w:r>
        <w:rPr>
          <w:rFonts w:ascii="Courier New" w:cs="Courier New" w:eastAsia="Courier New" w:hAnsi="Courier New"/>
          <w:sz w:val="16"/>
          <w:szCs w:val="16"/>
          <w:color w:val="auto"/>
        </w:rPr>
        <w:t>17</w:t>
      </w:r>
    </w:p>
    <w:p>
      <w:pPr>
        <w:ind w:left="540"/>
        <w:spacing w:after="0"/>
        <w:tabs>
          <w:tab w:leader="dot" w:pos="8840" w:val="left"/>
        </w:tabs>
        <w:rPr>
          <w:sz w:val="20"/>
          <w:szCs w:val="20"/>
          <w:color w:val="auto"/>
        </w:rPr>
      </w:pPr>
      <w:r>
        <w:rPr>
          <w:rFonts w:ascii="Courier New" w:cs="Courier New" w:eastAsia="Courier New" w:hAnsi="Courier New"/>
          <w:sz w:val="18"/>
          <w:szCs w:val="18"/>
          <w:color w:val="auto"/>
        </w:rPr>
        <w:t>10.5 Governing Law</w:t>
      </w:r>
      <w:r>
        <w:rPr>
          <w:sz w:val="20"/>
          <w:szCs w:val="20"/>
          <w:color w:val="auto"/>
        </w:rPr>
        <w:tab/>
      </w:r>
      <w:r>
        <w:rPr>
          <w:rFonts w:ascii="Courier New" w:cs="Courier New" w:eastAsia="Courier New" w:hAnsi="Courier New"/>
          <w:sz w:val="16"/>
          <w:szCs w:val="16"/>
          <w:color w:val="auto"/>
        </w:rPr>
        <w:t>17</w:t>
      </w:r>
    </w:p>
    <w:p>
      <w:pPr>
        <w:ind w:left="540"/>
        <w:spacing w:after="0"/>
        <w:tabs>
          <w:tab w:leader="dot" w:pos="8840" w:val="left"/>
        </w:tabs>
        <w:rPr>
          <w:sz w:val="20"/>
          <w:szCs w:val="20"/>
          <w:color w:val="auto"/>
        </w:rPr>
      </w:pPr>
      <w:r>
        <w:rPr>
          <w:rFonts w:ascii="Courier New" w:cs="Courier New" w:eastAsia="Courier New" w:hAnsi="Courier New"/>
          <w:sz w:val="18"/>
          <w:szCs w:val="18"/>
          <w:color w:val="auto"/>
        </w:rPr>
        <w:t>10.6 Successors</w:t>
      </w:r>
      <w:r>
        <w:rPr>
          <w:sz w:val="20"/>
          <w:szCs w:val="20"/>
          <w:color w:val="auto"/>
        </w:rPr>
        <w:tab/>
      </w:r>
      <w:r>
        <w:rPr>
          <w:rFonts w:ascii="Courier New" w:cs="Courier New" w:eastAsia="Courier New" w:hAnsi="Courier New"/>
          <w:sz w:val="16"/>
          <w:szCs w:val="16"/>
          <w:color w:val="auto"/>
        </w:rPr>
        <w:t>17</w:t>
      </w:r>
    </w:p>
    <w:p>
      <w:pPr>
        <w:ind w:left="540"/>
        <w:spacing w:after="0"/>
        <w:tabs>
          <w:tab w:leader="dot" w:pos="8840" w:val="left"/>
        </w:tabs>
        <w:rPr>
          <w:sz w:val="20"/>
          <w:szCs w:val="20"/>
          <w:color w:val="auto"/>
        </w:rPr>
      </w:pPr>
      <w:r>
        <w:rPr>
          <w:rFonts w:ascii="Courier New" w:cs="Courier New" w:eastAsia="Courier New" w:hAnsi="Courier New"/>
          <w:sz w:val="18"/>
          <w:szCs w:val="18"/>
          <w:color w:val="auto"/>
        </w:rPr>
        <w:t>10.7 Right to Continued Service</w:t>
      </w:r>
      <w:r>
        <w:rPr>
          <w:sz w:val="20"/>
          <w:szCs w:val="20"/>
          <w:color w:val="auto"/>
        </w:rPr>
        <w:tab/>
      </w:r>
      <w:r>
        <w:rPr>
          <w:rFonts w:ascii="Courier New" w:cs="Courier New" w:eastAsia="Courier New" w:hAnsi="Courier New"/>
          <w:sz w:val="16"/>
          <w:szCs w:val="16"/>
          <w:color w:val="auto"/>
        </w:rPr>
        <w:t>17</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2" w:right="1440" w:bottom="1440" w:gutter="0" w:footer="0" w:header="0"/>
        </w:sectPr>
      </w:pPr>
    </w:p>
    <w:bookmarkStart w:id="39" w:name="page40"/>
    <w:bookmarkEnd w:id="39"/>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HISTORY</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Analog Devices, Inc. Deferred Compensation Plan (the "Plan") was established by Analog Devices, Inc. (the "Company") effective December 1, 1995 and thereafter amended from time to time. In accordance with the provisions of Notice 2005-1 issued by the Internal Revenue Service this Plan was amended and restated on February 3, 2005, effective January 1, 2005, to permit certain withdrawals and changes in deferrals as set forth in Section 6.9 and to conform the plan in its entirety to new Section 409A of the Internal Revenue Code. This Plan is subsequently amended and restated on December 6, 2005 effective as of that same day to eliminate the "TIP Restoration Payment", formerly defined in Section 2.31 of the previous amended and restated Plan. The terms of this restatement are applicable to all account balances maintained under the Plan as of January 1, 2005 as well as all contributions made after that date.</w:t>
      </w:r>
    </w:p>
    <w:p>
      <w:pPr>
        <w:spacing w:after="0" w:line="38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STATEMENT OF PURPOSE AND COMPLIANCE WITH LAW</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purpose of the Plan is to provide deferred compensation benefits to a select group of management and highly compensated employees of the Company and the Directors and to assist in attracting and retaining qualified individuals to serve as officers and managers or Directors of the Company.</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Plan is intended to defer the recognition of taxable income by participants until the distribution of amounts they have deferred or the Company has contributed in accordance with the plan terms without the imposition of any penalties. Therefore, the Plan is intended to comply with all applicable law consistent with that intent, including new Section 409A of the Internal Revenue Code of 1986, as amended and shall be operated and interpreted in accordance with this intention and any action or failure to act which is determined to be inconsistent with Section 409A shall be corrected as soon as possible in order to comply with such Section 409A. To the extent of any inconsistency between this Plan and Section 409A, Section 409A shall govern and control.</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Plan may be further amended (the "Modifications") to comply with the terms of Section 409A (and any other applicable law). The Plan terms and its interpretation and administration, shall be modified from time to time (whether or not formal amendments have yet been adopted to the plan terms) to the extent necessary in order to comply with Section 409A. In addition, Modifications made to the plan terms may include any elective provisions permitted under applicable law to the extent set forth in such Modifications.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40" w:name="page41"/>
    <w:bookmarkEnd w:id="40"/>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When used in this Plan and initially capitalized, the following words and phrases shall have the meanings indicated:</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ACCOUNT.</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"Account" means the sum of a Participant's Deferral Account and Company Contribution Account.</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ADMINISTRATIVE PROCEDURES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"Administrative Procedures" means the detailed terms governing the operation of the Plan which are to be adopted and may thereafter be modified from time to time by the Committee and which shall conform in their terms and operation with Section 409A.</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BASE SALARY.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"Base Salary" means a Participant's base earnings earned by an Eligible Employee without regard to any increases or decreases in base earnings as a result of (i) an election to defer base earnings under this Plan or (ii) an election between benefits or cash provided under any Plan of an Employer maintained pursuant to Section 125 or 401(k) of the Code, and as limited in the Administrative Procedures.</w:t>
      </w: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BENEFICIARY.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"Beneficiary" means the person or persons designated or deemed to be designated by the Participant pursuant to Article VII to receive benefits payable under the Plan in the event of the Participant's death.</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BOARD.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means the Board of Directors of the Company.</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BONUS.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"Bonus" means a Participant's bonus or sales commission earned by an Eligible Employee under the plans identified in the Administrative Procedures and to the degree limited therein, without regard to any decreases as a result of (i) an election to defer all or any portion of a bonus under this Plan or (ii) an election between benefits or cash provided under any plan of the Employer maintained pursuant to Section 401(k) of the Code.</w:t>
      </w: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CHANGE IN CONTROL.</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"Change in Control" means a Change in Control Event as defined in Internal Revenue Service Notice 2005-1, as modified from time to time.</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6"/>
          <w:szCs w:val="16"/>
          <w:color w:val="auto"/>
        </w:rPr>
        <w:t>CODE.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4" w:right="1440" w:bottom="1440" w:gutter="0" w:footer="0" w:header="0"/>
        </w:sectPr>
      </w:pPr>
    </w:p>
    <w:bookmarkStart w:id="41" w:name="page42"/>
    <w:bookmarkEnd w:id="41"/>
    <w:p>
      <w:pPr>
        <w:spacing w:after="0"/>
        <w:tabs>
          <w:tab w:leader="none" w:pos="620" w:val="left"/>
        </w:tabs>
        <w:rPr>
          <w:sz w:val="20"/>
          <w:szCs w:val="20"/>
          <w:color w:val="auto"/>
        </w:rPr>
      </w:pP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6"/>
          <w:szCs w:val="16"/>
          <w:color w:val="auto"/>
        </w:rPr>
        <w:t>COMMITTEE.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 has the meaning set forth in Section 8.1.</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2.10</w:t>
      </w:r>
      <w:r>
        <w:rPr>
          <w:sz w:val="20"/>
          <w:szCs w:val="20"/>
          <w:color w:val="auto"/>
        </w:rPr>
        <w:tab/>
      </w:r>
      <w:r>
        <w:rPr>
          <w:rFonts w:ascii="Courier New" w:cs="Courier New" w:eastAsia="Courier New" w:hAnsi="Courier New"/>
          <w:sz w:val="16"/>
          <w:szCs w:val="16"/>
          <w:color w:val="auto"/>
        </w:rPr>
        <w:t>COMPENSATION.</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"Compensation" means the Base Salary and Bonus earned by an Eligible Employee for each Plan Year or the fees earned by any non-employee Board member in each Plan Year.</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COMPANY CONTRIBUTION ACCOUNT.</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"Company Contribution Account" means the account maintained on the books of the Employer for the purpose of accounting for the Company Contribution Amount and the investment return credited to such Account pursuant to Article V.</w:t>
      </w:r>
    </w:p>
    <w:p>
      <w:pPr>
        <w:spacing w:after="0" w:line="17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6"/>
          <w:szCs w:val="16"/>
          <w:color w:val="auto"/>
        </w:rPr>
        <w:t>COMPANY CONTRIBUTION AMOUNT.</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"Company Contribution Amount" means the amount credited to a Participant's Company Contribution Account under Section 4.2.</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2.13</w:t>
      </w:r>
      <w:r>
        <w:rPr>
          <w:sz w:val="20"/>
          <w:szCs w:val="20"/>
          <w:color w:val="auto"/>
        </w:rPr>
        <w:tab/>
      </w:r>
      <w:r>
        <w:rPr>
          <w:rFonts w:ascii="Courier New" w:cs="Courier New" w:eastAsia="Courier New" w:hAnsi="Courier New"/>
          <w:sz w:val="16"/>
          <w:szCs w:val="16"/>
          <w:color w:val="auto"/>
        </w:rPr>
        <w:t>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means Analog Devices, Inc. (Analog) and any successor thereto.</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2.14</w:t>
      </w:r>
      <w:r>
        <w:rPr>
          <w:sz w:val="20"/>
          <w:szCs w:val="20"/>
          <w:color w:val="auto"/>
        </w:rPr>
        <w:tab/>
      </w:r>
      <w:r>
        <w:rPr>
          <w:rFonts w:ascii="Courier New" w:cs="Courier New" w:eastAsia="Courier New" w:hAnsi="Courier New"/>
          <w:sz w:val="16"/>
          <w:szCs w:val="16"/>
          <w:color w:val="auto"/>
        </w:rPr>
        <w:t>DEFERRAL ACCOUNT.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"Deferral Account" means the account maintained on the books of the Employer for the purpose of accounting for the amount of Compensation that each Participant elects to defer under the Plan and for the amount of investment return credited thereto for each Participant pursuant to Article V.</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2.15</w:t>
      </w:r>
      <w:r>
        <w:rPr>
          <w:sz w:val="20"/>
          <w:szCs w:val="20"/>
          <w:color w:val="auto"/>
        </w:rPr>
        <w:tab/>
      </w:r>
      <w:r>
        <w:rPr>
          <w:rFonts w:ascii="Courier New" w:cs="Courier New" w:eastAsia="Courier New" w:hAnsi="Courier New"/>
          <w:sz w:val="16"/>
          <w:szCs w:val="16"/>
          <w:color w:val="auto"/>
        </w:rPr>
        <w:t>DEFERRAL BENEFIT.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"Deferral Benefit" means the benefit payable to a Participant or his or her Beneficiary pursuant to Article VI.</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2.16</w:t>
      </w:r>
      <w:r>
        <w:rPr>
          <w:sz w:val="20"/>
          <w:szCs w:val="20"/>
          <w:color w:val="auto"/>
        </w:rPr>
        <w:tab/>
      </w:r>
      <w:r>
        <w:rPr>
          <w:rFonts w:ascii="Courier New" w:cs="Courier New" w:eastAsia="Courier New" w:hAnsi="Courier New"/>
          <w:sz w:val="16"/>
          <w:szCs w:val="16"/>
          <w:color w:val="auto"/>
        </w:rPr>
        <w:t>DEFERRAL ELECTION.</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"Deferral Election" means the election made by a Participant to defer Compensation pursuant to Article IV which will be made in accordance with the Administrative Procedures.</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2.17</w:t>
      </w:r>
      <w:r>
        <w:rPr>
          <w:sz w:val="20"/>
          <w:szCs w:val="20"/>
          <w:color w:val="auto"/>
        </w:rPr>
        <w:tab/>
      </w:r>
      <w:r>
        <w:rPr>
          <w:rFonts w:ascii="Courier New" w:cs="Courier New" w:eastAsia="Courier New" w:hAnsi="Courier New"/>
          <w:sz w:val="16"/>
          <w:szCs w:val="16"/>
          <w:color w:val="auto"/>
        </w:rPr>
        <w:t>DISABILITY.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"Disability" means Disability as defined in Section 409A.</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42" w:name="page43"/>
    <w:bookmarkEnd w:id="42"/>
    <w:p>
      <w:pPr>
        <w:spacing w:after="0"/>
        <w:tabs>
          <w:tab w:leader="none" w:pos="620" w:val="left"/>
        </w:tabs>
        <w:rPr>
          <w:sz w:val="20"/>
          <w:szCs w:val="20"/>
          <w:color w:val="auto"/>
        </w:rPr>
      </w:pPr>
      <w:r>
        <w:rPr>
          <w:rFonts w:ascii="Courier New" w:cs="Courier New" w:eastAsia="Courier New" w:hAnsi="Courier New"/>
          <w:sz w:val="18"/>
          <w:szCs w:val="18"/>
          <w:color w:val="auto"/>
        </w:rPr>
        <w:t>2.18</w:t>
      </w:r>
      <w:r>
        <w:rPr>
          <w:sz w:val="20"/>
          <w:szCs w:val="20"/>
          <w:color w:val="auto"/>
        </w:rPr>
        <w:tab/>
      </w:r>
      <w:r>
        <w:rPr>
          <w:rFonts w:ascii="Courier New" w:cs="Courier New" w:eastAsia="Courier New" w:hAnsi="Courier New"/>
          <w:sz w:val="16"/>
          <w:szCs w:val="16"/>
          <w:color w:val="auto"/>
        </w:rPr>
        <w:t>ELIGIBLE EMPLOYEE.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"Eligible Employee" means (i) a highly compensated or management employee of the Company who is designated by the Committee in accordance with Section 3.1 as eligible to participate in the Plan, or (ii) any non-employee member of the Board serving from time to time.</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2.19</w:t>
      </w:r>
      <w:r>
        <w:rPr>
          <w:sz w:val="20"/>
          <w:szCs w:val="20"/>
          <w:color w:val="auto"/>
        </w:rPr>
        <w:tab/>
      </w:r>
      <w:r>
        <w:rPr>
          <w:rFonts w:ascii="Courier New" w:cs="Courier New" w:eastAsia="Courier New" w:hAnsi="Courier New"/>
          <w:sz w:val="16"/>
          <w:szCs w:val="16"/>
          <w:color w:val="auto"/>
        </w:rPr>
        <w:t>EMPLOYER.</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"Employer" means, with respect to a Participant, the Company or the Selected Affiliate which pays such Participant's Compensation.</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2.20</w:t>
      </w:r>
      <w:r>
        <w:rPr>
          <w:sz w:val="20"/>
          <w:szCs w:val="20"/>
          <w:color w:val="auto"/>
        </w:rPr>
        <w:tab/>
      </w:r>
      <w:r>
        <w:rPr>
          <w:rFonts w:ascii="Courier New" w:cs="Courier New" w:eastAsia="Courier New" w:hAnsi="Courier New"/>
          <w:sz w:val="16"/>
          <w:szCs w:val="16"/>
          <w:color w:val="auto"/>
        </w:rPr>
        <w:t>INVESTMENT RETURN RATE.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"Investment Return Rate" means the rate credited on Accounts in accordance with the Administrative Procedures.</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2.21</w:t>
      </w:r>
      <w:r>
        <w:rPr>
          <w:sz w:val="20"/>
          <w:szCs w:val="20"/>
          <w:color w:val="auto"/>
        </w:rPr>
        <w:tab/>
      </w:r>
      <w:r>
        <w:rPr>
          <w:rFonts w:ascii="Courier New" w:cs="Courier New" w:eastAsia="Courier New" w:hAnsi="Courier New"/>
          <w:sz w:val="16"/>
          <w:szCs w:val="16"/>
          <w:color w:val="auto"/>
        </w:rPr>
        <w:t>PARTICIPANT.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"Participant" means any Eligible Employee who elects to participate by filing a Participation Election.</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2.22</w:t>
      </w:r>
      <w:r>
        <w:rPr>
          <w:sz w:val="20"/>
          <w:szCs w:val="20"/>
          <w:color w:val="auto"/>
        </w:rPr>
        <w:tab/>
      </w:r>
      <w:r>
        <w:rPr>
          <w:rFonts w:ascii="Courier New" w:cs="Courier New" w:eastAsia="Courier New" w:hAnsi="Courier New"/>
          <w:sz w:val="16"/>
          <w:szCs w:val="16"/>
          <w:color w:val="auto"/>
        </w:rPr>
        <w:t>PARTICIPATION ELECTION.</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"Participation Election" means the Participant's election, in whatever manner is prescribed in the Administrative Procedures, to make Deferral Elections under the Plan.</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2.23</w:t>
      </w:r>
      <w:r>
        <w:rPr>
          <w:sz w:val="20"/>
          <w:szCs w:val="20"/>
          <w:color w:val="auto"/>
        </w:rPr>
        <w:tab/>
      </w:r>
      <w:r>
        <w:rPr>
          <w:rFonts w:ascii="Courier New" w:cs="Courier New" w:eastAsia="Courier New" w:hAnsi="Courier New"/>
          <w:sz w:val="16"/>
          <w:szCs w:val="16"/>
          <w:color w:val="auto"/>
        </w:rPr>
        <w:t>PLAN.</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"Plan" means the Analog Devices, Inc. Amended and Restated Deferred Compensation Plan, as amended from time to time.</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2.24</w:t>
      </w:r>
      <w:r>
        <w:rPr>
          <w:sz w:val="20"/>
          <w:szCs w:val="20"/>
          <w:color w:val="auto"/>
        </w:rPr>
        <w:tab/>
      </w:r>
      <w:r>
        <w:rPr>
          <w:rFonts w:ascii="Courier New" w:cs="Courier New" w:eastAsia="Courier New" w:hAnsi="Courier New"/>
          <w:sz w:val="16"/>
          <w:szCs w:val="16"/>
          <w:color w:val="auto"/>
        </w:rPr>
        <w:t>PLAN YEAR.</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"Plan Year" means a twelve-month period commencing January 1 and ending the following December 31.</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2.25</w:t>
      </w:r>
      <w:r>
        <w:rPr>
          <w:sz w:val="20"/>
          <w:szCs w:val="20"/>
          <w:color w:val="auto"/>
        </w:rPr>
        <w:tab/>
      </w:r>
      <w:r>
        <w:rPr>
          <w:rFonts w:ascii="Courier New" w:cs="Courier New" w:eastAsia="Courier New" w:hAnsi="Courier New"/>
          <w:sz w:val="16"/>
          <w:szCs w:val="16"/>
          <w:color w:val="auto"/>
        </w:rPr>
        <w:t>RECORDKEEPER</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"Recordkeeper" means the organization which is responsible for maintaining the records of the Plan from time to time.</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2.26</w:t>
      </w:r>
      <w:r>
        <w:rPr>
          <w:sz w:val="20"/>
          <w:szCs w:val="20"/>
          <w:color w:val="auto"/>
        </w:rPr>
        <w:tab/>
      </w:r>
      <w:r>
        <w:rPr>
          <w:rFonts w:ascii="Courier New" w:cs="Courier New" w:eastAsia="Courier New" w:hAnsi="Courier New"/>
          <w:sz w:val="16"/>
          <w:szCs w:val="16"/>
          <w:color w:val="auto"/>
        </w:rPr>
        <w:t>RETIREMENT</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"Retirement" means the separation from service of a Participant who has reached age 62 and completed 10 years of vesting service under the Company's TIP as an employee, or, 10 years of service as a non-employee member of the Board.</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43" w:name="page44"/>
    <w:bookmarkEnd w:id="43"/>
    <w:p>
      <w:pPr>
        <w:spacing w:after="0"/>
        <w:tabs>
          <w:tab w:leader="none" w:pos="620" w:val="left"/>
        </w:tabs>
        <w:rPr>
          <w:sz w:val="20"/>
          <w:szCs w:val="20"/>
          <w:color w:val="auto"/>
        </w:rPr>
      </w:pPr>
      <w:r>
        <w:rPr>
          <w:rFonts w:ascii="Courier New" w:cs="Courier New" w:eastAsia="Courier New" w:hAnsi="Courier New"/>
          <w:sz w:val="18"/>
          <w:szCs w:val="18"/>
          <w:color w:val="auto"/>
        </w:rPr>
        <w:t>2.27</w:t>
      </w:r>
      <w:r>
        <w:rPr>
          <w:sz w:val="20"/>
          <w:szCs w:val="20"/>
          <w:color w:val="auto"/>
        </w:rPr>
        <w:tab/>
      </w:r>
      <w:r>
        <w:rPr>
          <w:rFonts w:ascii="Courier New" w:cs="Courier New" w:eastAsia="Courier New" w:hAnsi="Courier New"/>
          <w:sz w:val="16"/>
          <w:szCs w:val="16"/>
          <w:color w:val="auto"/>
        </w:rPr>
        <w:t>SECTION 409A</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"Section 409A" means Section 409A of the Code and all other applicable statutes and the regulations, notices and other guidance issued and modified from time to time by state and federal agencies with respect to such laws.</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2.28</w:t>
      </w:r>
      <w:r>
        <w:rPr>
          <w:sz w:val="20"/>
          <w:szCs w:val="20"/>
          <w:color w:val="auto"/>
        </w:rPr>
        <w:tab/>
      </w:r>
      <w:r>
        <w:rPr>
          <w:rFonts w:ascii="Courier New" w:cs="Courier New" w:eastAsia="Courier New" w:hAnsi="Courier New"/>
          <w:sz w:val="16"/>
          <w:szCs w:val="16"/>
          <w:color w:val="auto"/>
        </w:rPr>
        <w:t>SELECTED AFFILIATE.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"Selected Affiliate" means (1) any entity in an unbroken chain of companies beginning with the Company if each of the companies other than the last company in the chain owns or controls, directly or indirectly, stock possessing not less than 50 percent of the total combined voting power of all classes of stock in one of the other companies, or (2) any partnership or joint venture in which one or more of such companies is a partner or venturer, each of which shall be selected by the Committee.</w:t>
      </w:r>
    </w:p>
    <w:p>
      <w:pPr>
        <w:spacing w:after="0" w:line="20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2.29</w:t>
      </w:r>
      <w:r>
        <w:rPr>
          <w:sz w:val="20"/>
          <w:szCs w:val="20"/>
          <w:color w:val="auto"/>
        </w:rPr>
        <w:tab/>
      </w:r>
      <w:r>
        <w:rPr>
          <w:rFonts w:ascii="Courier New" w:cs="Courier New" w:eastAsia="Courier New" w:hAnsi="Courier New"/>
          <w:sz w:val="16"/>
          <w:szCs w:val="16"/>
          <w:color w:val="auto"/>
        </w:rPr>
        <w:t>TIP.</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"TIP" means, with respect to a Participant, the Analog Devices, Inc. "The Investment Partnership", a qualified retirement plan under Section 401(a) and 401(k) of the Code, or its successor, or as it may be amended from time to time</w:t>
      </w:r>
    </w:p>
    <w:p>
      <w:pPr>
        <w:spacing w:after="0" w:line="17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2.30</w:t>
      </w:r>
      <w:r>
        <w:rPr>
          <w:sz w:val="20"/>
          <w:szCs w:val="20"/>
          <w:color w:val="auto"/>
        </w:rPr>
        <w:tab/>
      </w:r>
      <w:r>
        <w:rPr>
          <w:rFonts w:ascii="Courier New" w:cs="Courier New" w:eastAsia="Courier New" w:hAnsi="Courier New"/>
          <w:sz w:val="16"/>
          <w:szCs w:val="16"/>
          <w:color w:val="auto"/>
        </w:rPr>
        <w:t>UNFORSEEABLE EMERGENCY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"Unforseeable Emergency" has the meaning set forth in Section 6.4.</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VALUATION DATE.</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"Valuation Date" means a date on which the Participant's Account is valued as provided in Article V. The Valuation Date shall be the end of the Plan Year and any other date determined in the Administrative Procedures</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ELIGIBILITY AND PARTICIPATION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ELIGIBILITY.</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Eligibility to participate in the Plan is limited to Eligible Employees. From time to time, and subject to Section 3.4, the Committee shall identify Eligible Employees in accordance with the Administrative Procedures.</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PARTICIPATION.</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Participation in the Plan shall be limited to Eligible Employees who complete a Participation Election in accordance with the Administrative Procedures.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44" w:name="page45"/>
    <w:bookmarkEnd w:id="44"/>
    <w:p>
      <w:pPr>
        <w:spacing w:after="0"/>
        <w:tabs>
          <w:tab w:leader="none" w:pos="62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CHANGE IN PARTICIPATION STATUS</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 Participant may change a Participant election or terminate his or her participation in the Plan only in accordance with the Administrative Procedures.</w:t>
      </w:r>
    </w:p>
    <w:p>
      <w:pPr>
        <w:spacing w:after="0" w:line="16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INELIGIBLE PARTICIPANT</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Notwithstanding any other provisions of this Plan to the contrary, if the Committee determines that any Participant may not qualify as a "management or highly compensated employee" within the meaning of the Employee Retirement Income Security Act of 1974, as amended ("ERISA"), or regulations thereunder, the Committee may determine, in its sole discretion, that such Participant shall cease to be eligible to participate in this Plan. Upon such determination and to the extent permitted by Section 409A, the Employer shall make a lump sum payment to the Participant equal to the vested amount credited to his Account as soon as administratively practicable. Upon such payment, no benefit shall thereafter be payable under this Plan either to the Participant or any Beneficiary of the Participant, and all of the Participant's elections as to the time and manner of payment of his Account will be deemed to be canceled.</w:t>
      </w:r>
    </w:p>
    <w:p>
      <w:pPr>
        <w:spacing w:after="0" w:line="38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DEFERRAL OF COMPENSATION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AMOUNT OF DEFERRAL.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respect to each Plan Year, a Participant may make Deferral Elections of a specified percentage of his or her Compensation in accordance with the Administrative Procedures. Deferral Elections in effect prior to the effective date of this amendment and restatement shall remain in effect unless modified to the extent and in the manner permitted under the Administrative Procedures.</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CREDITING DEFERRED COMPENSATION AND COMPANY CONTRIBUTION AMOUNTS.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amount of Compensation subject to a Deferral Election under Section 4.1 shall be credited by the Employer to the Participant's Deferral Account periodically, the frequency of which will be determined in accordance with the Administrative Procedures. To the extent that the Employer is required to withhold any taxes or other amounts from a Participant's deferred Compensation pursuant to any state, federal or local law, such amounts shall be withheld from the Participant's compensation before such amounts are credited.</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each deferral of Compensation, the Company shall credit the Company Contribution Account of each Participant, other than a non-employee Director, with an amount equal to (a) 7% of the amount of Compensation deferred or (b) if the Participant has elected to defer 100% of his or her Compensation, 7% of the total Compensation. For purposes of this paragraph, Compensation shall exclude Company bonus but shall include sales commissions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45" w:name="page46"/>
    <w:bookmarkEnd w:id="45"/>
    <w:p>
      <w:pPr>
        <w:ind w:left="37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BENEFIT ACCOUNTS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VALUATION OF ACCOUNT.</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As of each Valuation Date, a Participant's Account shall consist of the Account balance as of the immediately preceding Valuation Date, plus any amounts credited under Article IV since the immediately preceding Valuation Date, plus investment return credited pursuant to Section 5.2 since the immediately preceding Valuation Date, minus the aggregate amount of distributions, if any, made from such Account since the immediately preceding Valuation Date.</w:t>
      </w:r>
    </w:p>
    <w:p>
      <w:pPr>
        <w:spacing w:after="0" w:line="18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CREDITING OF INVESTMENT RETURN.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of each Valuation Date until all of a Participant's Account is distributed, each Participant's Deferral Account and Company Contribution shall be credited with the Investment Return Rate earned since the immediately preceding Valuation Date as provided in the Administrative Procedures.</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STATEMENT OF ACCOUNTS.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Recordkeeper shall provide statements of account to Participants in accordance with the Administrative Procedures.</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VESTING OF ACCOUNT.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Except as provided in Sections 10.1 and 10.2, a Participant shall be 100% vested in his or her Deferral Account at all times. A Participant's interest in his or her Company Contribution Account shall be 100% vested as of a Change in Control and on death or Disability. A Participant's interest in his or her Company Contribution Account shall vest under the vesting schedule for the employer basic contributions under TIP.</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Any nonvested portion of a Participant's Company Contribution Account shall be forfeited at separation from service. Forfeitures under the Plan shall not be credited to other Participants.</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INVESTMENT VEHICLES.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A Participant may elect, from time to time, to have his Account credited with an Investment Return Rate as if it were invested in one or more investment vehicles selected by the Committee and made available for such election in accordance with the Administrative Procedures. The Committee may also establish a deemed investment which shall apply if the Participant makes no election.</w:t>
      </w:r>
    </w:p>
    <w:p>
      <w:pPr>
        <w:spacing w:after="0" w:line="17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BENEFITS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PAYMENT OF DEFERRAL BENEFIT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Upon the death, Disability, or Retirement of a Participant, the Employer shall pay to the Participant or his Beneficiary a Deferral Benefit equal to the vested balance of his or her Account determined pursuant to Article V, less applicable withholding, based on his election in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46" w:name="page47"/>
    <w:bookmarkEnd w:id="46"/>
    <w:p>
      <w:pPr>
        <w:ind w:right="1879"/>
        <w:spacing w:after="0" w:line="237" w:lineRule="auto"/>
        <w:rPr>
          <w:sz w:val="20"/>
          <w:szCs w:val="20"/>
          <w:color w:val="auto"/>
        </w:rPr>
      </w:pPr>
      <w:r>
        <w:rPr>
          <w:rFonts w:ascii="Courier New" w:cs="Courier New" w:eastAsia="Courier New" w:hAnsi="Courier New"/>
          <w:sz w:val="18"/>
          <w:szCs w:val="18"/>
          <w:color w:val="auto"/>
        </w:rPr>
        <w:t>accordance with Section 6.4. The distribution shall be subject to any waiting period required by Section 409A with respect to Participants who are Key Employees as defined therein. Elections with respect to such payment made under the Plan prior to the effective date of this amendment and restatement shall continue in effect until changed in accordance with the provisions of this Article VI and the Administrative Procedures.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Upon a Change in Control or upon a Participant's separation from service for reasons other than death, Disability, or Retirement, the Employer shall pay to the Participant a Deferral Benefit in a lump sum equal to the vested balance of his or her Account determined pursuant to Article V, less applicable withholdings, as soon as administratively practicable; provided that such distribution shall be subject to any waiting period required by Section 409A with respect to Key Employees as defined therein.</w:t>
      </w:r>
    </w:p>
    <w:p>
      <w:pPr>
        <w:spacing w:after="0" w:line="20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PAYMENTS TO BENEFICIARIES.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the event of the Participant's death prior to his or her receipt of his or her entire vested Account, the vested balance shall be distributed to his or her Beneficiary as determined under Article VII, in a lump sum; provided that if the Participant was receiving installment distributions at the time of death, or had made an installment election pursuant to Section 6.4 at least 12 months prior to death, the Beneficiary will receive the annual installments at such times as such installments would have become distributable to the Participant.</w:t>
      </w:r>
    </w:p>
    <w:p>
      <w:pPr>
        <w:spacing w:after="0" w:line="18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UNFORSEEABLE EMERGENCY</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the event that the Committee, upon request of a Participant, determines, that the Participant has suffered an Unforeseeable Emergency the Employer shall distribute to the Participant, as soon as practicable following such determination, the amounts provided for under this Section 6.3. Such distribution shall consist of an amount necessary to meet the emergency,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 but not exceeding the aggregate balance of such Participant's Deferral Account as of the date of such payment. The amount of the Deferral Benefit otherwise payable under the Plan to such Participant shall be adjusted to reflect the early payment of the Unforseeable Emergency. Any distribution under this Section 6.3 shall be made only to the extent that it is in compliance with Section 409A.</w:t>
      </w:r>
    </w:p>
    <w:p>
      <w:pPr>
        <w:spacing w:after="0" w:line="38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FORM OF PAYMENT.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Deferral Benefit payable pursuant to Section 6.1 on death, Disability or Retirement, shall be paid in one of the following forms as further described in the Administrative Procedures, as elected by the Participant. The Participant shall elect the form of such distribution at the time he or she first completes the Participation Election and such election shall apply to the entire amount of the Participant's vested Account.</w:t>
      </w:r>
    </w:p>
    <w:p>
      <w:pPr>
        <w:spacing w:after="0" w:line="204" w:lineRule="exact"/>
        <w:rPr>
          <w:sz w:val="20"/>
          <w:szCs w:val="20"/>
          <w:color w:val="auto"/>
        </w:rPr>
      </w:pPr>
    </w:p>
    <w:p>
      <w:pPr>
        <w:ind w:left="1280" w:hanging="640"/>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Installments; or,</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lump sum.</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47" w:name="page48"/>
    <w:bookmarkEnd w:id="47"/>
    <w:p>
      <w:pPr>
        <w:ind w:right="1879"/>
        <w:spacing w:after="0" w:line="237" w:lineRule="auto"/>
        <w:rPr>
          <w:sz w:val="20"/>
          <w:szCs w:val="20"/>
          <w:color w:val="auto"/>
        </w:rPr>
      </w:pPr>
      <w:r>
        <w:rPr>
          <w:rFonts w:ascii="Courier New" w:cs="Courier New" w:eastAsia="Courier New" w:hAnsi="Courier New"/>
          <w:sz w:val="18"/>
          <w:szCs w:val="18"/>
          <w:color w:val="auto"/>
        </w:rPr>
        <w:t>In the event a Participant fails to make a distribution election, his or her vested Account Balance shall be distributed as a lump sum as soon as administratively practicable after his or her separation from service, death or Disability; subject to such waiting period as required by Section 409A with respect to a Key Employee as defined therein.</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COMMENCEMENT OF PAYMENTS.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Notwithstanding the foregoing, the distribution of a lump sum or the commencement of installment payments under Sections 6.1 and 6.2 of the Plan shall begin following an event which entitles a Participant (or a Beneficiary) to payments under the Plan and the end of any waiting period required with respect to such Participant as required by Section 409A.</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6"/>
          <w:szCs w:val="16"/>
          <w:color w:val="auto"/>
        </w:rPr>
        <w:t>SMALL BENEFIT.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event the Committee determines that the vested balance of a Participant's Account is less than $10,000 at the time of commencement of payments, or the portion of the vested balance of the Participant's Account payable to any Beneficiary is less than $10,000 at the time of commencement of payments to such Beneficiary, the Committee may inform the Employer and the Employer, will pay the entire amount in the form of a lump sum payment, notwithstanding any Participant election to the contrary.</w:t>
      </w:r>
    </w:p>
    <w:p>
      <w:pPr>
        <w:spacing w:after="0" w:line="20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6.7</w:t>
      </w:r>
      <w:r>
        <w:rPr>
          <w:sz w:val="20"/>
          <w:szCs w:val="20"/>
          <w:color w:val="auto"/>
        </w:rPr>
        <w:tab/>
      </w:r>
      <w:r>
        <w:rPr>
          <w:rFonts w:ascii="Courier New" w:cs="Courier New" w:eastAsia="Courier New" w:hAnsi="Courier New"/>
          <w:sz w:val="16"/>
          <w:szCs w:val="16"/>
          <w:color w:val="auto"/>
        </w:rPr>
        <w:t>CHANGES IN FORM OF BENEFIT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 Participant's election to change the form in which his or her benefit is to be paid under Section 6.1 on death, Disability or Retirement, shall, to the extent required by Section 409A, meet the following requirements:</w:t>
      </w:r>
    </w:p>
    <w:p>
      <w:pPr>
        <w:spacing w:after="0" w:line="209" w:lineRule="exact"/>
        <w:rPr>
          <w:sz w:val="20"/>
          <w:szCs w:val="20"/>
          <w:color w:val="auto"/>
        </w:rPr>
      </w:pPr>
    </w:p>
    <w:p>
      <w:pPr>
        <w:ind w:right="1879" w:firstLine="640"/>
        <w:spacing w:after="0" w:line="235"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new election may not take effect until at least 12 months after the date on which the election is made; and</w:t>
      </w:r>
    </w:p>
    <w:p>
      <w:pPr>
        <w:spacing w:after="0" w:line="208" w:lineRule="exact"/>
        <w:rPr>
          <w:rFonts w:ascii="Courier New" w:cs="Courier New" w:eastAsia="Courier New" w:hAnsi="Courier New"/>
          <w:sz w:val="18"/>
          <w:szCs w:val="18"/>
          <w:color w:val="auto"/>
        </w:rPr>
      </w:pPr>
    </w:p>
    <w:p>
      <w:pPr>
        <w:ind w:right="1879" w:firstLine="640"/>
        <w:spacing w:after="0" w:line="237"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election related to a payment other than Disability or death, the payment with respect to which such change is made must be deferred for a period of not less than 5 years from the date such payment would otherwise have been made.</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6.8</w:t>
      </w:r>
      <w:r>
        <w:rPr>
          <w:sz w:val="20"/>
          <w:szCs w:val="20"/>
          <w:color w:val="auto"/>
        </w:rPr>
        <w:tab/>
      </w:r>
      <w:r>
        <w:rPr>
          <w:rFonts w:ascii="Courier New" w:cs="Courier New" w:eastAsia="Courier New" w:hAnsi="Courier New"/>
          <w:sz w:val="16"/>
          <w:szCs w:val="16"/>
          <w:color w:val="auto"/>
        </w:rPr>
        <w:t>SPECIAL 2005 DISTRIBUTION AND ELECTION CHANGES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To the extent and in the manner permitted under Section 409A, and at the election of any Participant, the following distributions and election changes may be made, in accordance with the Administrative Procedures:</w:t>
      </w:r>
    </w:p>
    <w:p>
      <w:pPr>
        <w:spacing w:after="0" w:line="209" w:lineRule="exact"/>
        <w:rPr>
          <w:sz w:val="20"/>
          <w:szCs w:val="20"/>
          <w:color w:val="auto"/>
        </w:rPr>
      </w:pPr>
    </w:p>
    <w:p>
      <w:pPr>
        <w:ind w:right="1879" w:firstLine="640"/>
        <w:spacing w:after="0" w:line="236" w:lineRule="auto"/>
        <w:tabs>
          <w:tab w:leader="none" w:pos="126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or any part of the Account may be withdrawn by any Participant during calendar year 2005 subject to such procedures and limitations as imposed by the Committee;</w:t>
      </w:r>
    </w:p>
    <w:p>
      <w:pPr>
        <w:spacing w:after="0" w:line="208" w:lineRule="exact"/>
        <w:rPr>
          <w:rFonts w:ascii="Courier New" w:cs="Courier New" w:eastAsia="Courier New" w:hAnsi="Courier New"/>
          <w:sz w:val="18"/>
          <w:szCs w:val="18"/>
          <w:color w:val="auto"/>
        </w:rPr>
      </w:pPr>
    </w:p>
    <w:p>
      <w:pPr>
        <w:ind w:right="1879" w:firstLine="640"/>
        <w:spacing w:after="0" w:line="235" w:lineRule="auto"/>
        <w:tabs>
          <w:tab w:leader="none" w:pos="126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deferral election for Compensation in effect during 2005 may be cancelled in whole or in part; and</w:t>
      </w:r>
    </w:p>
    <w:p>
      <w:pPr>
        <w:spacing w:after="0" w:line="208" w:lineRule="exact"/>
        <w:rPr>
          <w:rFonts w:ascii="Courier New" w:cs="Courier New" w:eastAsia="Courier New" w:hAnsi="Courier New"/>
          <w:sz w:val="18"/>
          <w:szCs w:val="18"/>
          <w:color w:val="auto"/>
        </w:rPr>
      </w:pPr>
    </w:p>
    <w:p>
      <w:pPr>
        <w:ind w:right="1879" w:firstLine="640"/>
        <w:spacing w:after="0" w:line="236" w:lineRule="auto"/>
        <w:tabs>
          <w:tab w:leader="none" w:pos="126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 deferral which relates in whole or in part to services performed on or before December 31, 2005, an election to defer receipt of such Compensation under this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48" w:name="page49"/>
    <w:bookmarkEnd w:id="48"/>
    <w:p>
      <w:pPr>
        <w:ind w:right="1999"/>
        <w:spacing w:after="0" w:line="235" w:lineRule="auto"/>
        <w:rPr>
          <w:sz w:val="20"/>
          <w:szCs w:val="20"/>
          <w:color w:val="auto"/>
        </w:rPr>
      </w:pPr>
      <w:r>
        <w:rPr>
          <w:rFonts w:ascii="Courier New" w:cs="Courier New" w:eastAsia="Courier New" w:hAnsi="Courier New"/>
          <w:sz w:val="18"/>
          <w:szCs w:val="18"/>
          <w:color w:val="auto"/>
        </w:rPr>
        <w:t>Plan may be made on or before March 15, 2005 with respect to amounts that have not been paid or become payable at the time of the election.</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BENEFICIARY DESIGNATION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BENEFICIARY DESIGNATION.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Each Participant shall have the sole right, at any time, to designate any person or persons as his Beneficiary to whom payment under the Plan shall be made in the event of his or her death prior to complete distribution to the Participant of his or her Account. All Beneficiary designations must be made in the manner required by the Committee or the Recordkeeper. Any designation of a Beneficiary in effect under the Plan prior to this amendment and restatement shall continue in full force and effect until changed in accordance with the terms of this Plan.</w:t>
      </w:r>
    </w:p>
    <w:p>
      <w:pPr>
        <w:spacing w:after="0" w:line="20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CHANGE OF BENEFICIARY DESIGNATION.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Any Beneficiary designation may be changed by a Participant by making a new Beneficiary designation in the manner required by the Committee or the Recordkeeper, which will cancel all Beneficiary designations previously filed. The designation of a Beneficiary may be made or changed at any time without the consent of any other person.</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NO DESIGNATION.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a Participant fails to designate a Beneficiary as provided above, or if all designated Beneficiaries predecease the Participant, then the Participant's designated Beneficiary shall be the Participant's Beneficiary under the terms of the TIP.</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EFFECT OF PAYMENT.</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Payment to a Participant's Beneficiary shall completely discharge the Employer's obligations under the Plan. The Beneficiary shall have no right to change or in any way modify the manner in which the Participant's Account is being paid.</w:t>
      </w:r>
    </w:p>
    <w:p>
      <w:pPr>
        <w:spacing w:after="0" w:line="17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COMMITTEE.</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Deferred Compensation Plan Committee shall be appointed by the Board and consist of up to three members of the Board who are not Participants in the Plan. The Committee shall have complete discretion to (i) supervise the administration and operation of the Plan, (ii) adopt rules and procedures governing the Plan from time to time, (iii) make interpretive rulings with respect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49" w:name="page50"/>
    <w:bookmarkEnd w:id="49"/>
    <w:p>
      <w:pPr>
        <w:jc w:val="both"/>
        <w:ind w:right="2099"/>
        <w:spacing w:after="0" w:line="236" w:lineRule="auto"/>
        <w:rPr>
          <w:sz w:val="20"/>
          <w:szCs w:val="20"/>
          <w:color w:val="auto"/>
        </w:rPr>
      </w:pPr>
      <w:r>
        <w:rPr>
          <w:rFonts w:ascii="Courier New" w:cs="Courier New" w:eastAsia="Courier New" w:hAnsi="Courier New"/>
          <w:sz w:val="18"/>
          <w:szCs w:val="18"/>
          <w:color w:val="auto"/>
        </w:rPr>
        <w:t>to the Plan terms and determine all questions of fact arising with respect to the Plan terms and any Participant and (iv) to adopt and modify from time to time the Administrative Procedures..</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AGENTS.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Committee may appoint an individual, who may be an employee of the Company, to be the Committee's agent with respect to the day-to-day administration of the Plan. In addition, the Committee may, from time to time, employ other agents and delegate to them such administrative duties as it sees fit, and may from time to time consult with counsel who may be counsel to the Company.</w:t>
      </w:r>
    </w:p>
    <w:p>
      <w:pPr>
        <w:spacing w:after="0" w:line="17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BINDING EFFECT OF DECISIONS.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decision or action of the Committee with respect to any question arising out of or in connection with the administration, interpretation and application of the Plan shall be final and binding upon all persons having any interest in the Plan.</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INDEMNIFICATION OF COMMITTEE.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shall indemnify and hold harmless the members of the Committee and their duly appointed agents under Section 8.2 against any and all claims, loss, damage, expense or liability arising from any action or failure to act with respect to the Plan, to the maximum extent permitted by law.</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TERMINATION OF THE PLAN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AMENDMENT.</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Board or the Committee, acting on behalf of the Company and of each Selected Affiliate shall amend the terms of this Plan from time to time to comply with Section 409A. In addition, the Board or the Committee may, on behalf of the Company and of each Selected Affiliate, amend, suspend or reinstate any or all of the provisions of the Plan, including, without limitation, reduce or eliminate employer contributions or Participant deferrals under the Plan; provided that any such amendment, suspension or reinstatement which is inconsistent with Section 409A shall be ineffective to the extent inconsistent with Section 409A. No amendment may reduce the value of any Participant's Account at the end of the calendar year prior to the date such amendment is adopted, except to the extent required for conformance with Section 409A.</w:t>
      </w:r>
    </w:p>
    <w:p>
      <w:pPr>
        <w:spacing w:after="0" w:line="38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TERMINATION.</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Board or the Committee, acting on behalf of the Company and of each Selected Affiliate, may terminate this Plan at any time and for any reason whatsoever to the extent permitted by Section 409A. If the Plan is terminated under the provisions of this Section 9.2 all vested Accounts shall be distributed in a lump sum to the Participants or in such other manner as is permitted under Section 409A. A termination of the Plan shall not reduce the value of a</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50" w:name="page51"/>
    <w:bookmarkEnd w:id="50"/>
    <w:p>
      <w:pPr>
        <w:ind w:right="1879"/>
        <w:spacing w:after="0" w:line="236" w:lineRule="auto"/>
        <w:rPr>
          <w:sz w:val="20"/>
          <w:szCs w:val="20"/>
          <w:color w:val="auto"/>
        </w:rPr>
      </w:pPr>
      <w:r>
        <w:rPr>
          <w:rFonts w:ascii="Courier New" w:cs="Courier New" w:eastAsia="Courier New" w:hAnsi="Courier New"/>
          <w:sz w:val="18"/>
          <w:szCs w:val="18"/>
          <w:color w:val="auto"/>
        </w:rPr>
        <w:t>Participant's Account, as it existed as of the day before the effective date of such termination except to the extent distributed to the Participant or a Beneficiary.</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FUNDING.</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Participants, their Beneficiaries, and their heirs, successors and assigns, shall have no secured interest or claim in any property or assets of the Employer. The Employer's obligation under the Plan shall be merely that of an unfunded and unsecured promise of the Employer to pay money in the future. Notwithstanding the foregoing, the Company has a related so-called `Rabbi Trust' to hold funds to be used in payment of the obligations of Employers under the Plan. In the event of a Change in Control or prior thereto, the Employers shall fund such trust in an amount equal to not less than the total value of the Participants' Accounts under the Plan as of the Valuation Date immediately preceding the Change in Control; provided that any funds contained therein shall be liable for the claims of the respective Employer's general creditors as provided therein.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NONASSIGNABILITY.</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No right or interest under the Plan of a Participant or his or her Beneficiary (or any person claiming through or under any of them) shall be assignable or transferable in any manner or be subject to alienation, anticipation, sale, pledge, encumbrance or other legal process or in any manner be liable for or subject to the debts or liabilities of any such Participant or Beneficiary. If any Participant or Beneficiary shall attempt to or shall transfer, assign, alienate, anticipate, sell, pledge or otherwise encumber his or her benefits hereunder or any part thereof, or if by reason of his or her bankruptcy or other event happening at any time such benefits would devolve upon anyone else or would not be enjoyed by him or her, then the Committee, in its discretion, may terminate his or her interest in any such benefit (including the Deferral Account) to the extent the Committee considers necessary or advisable to prevent or limit the effects of such occurrence. Termination shall be effected by filing a written "termination declaration" with the Clerk of the Company and making reasonable efforts to deliver a copy to the Participant or Beneficiary whose interest is adversely affected (the "terminated participant").</w:t>
      </w:r>
    </w:p>
    <w:p>
      <w:pPr>
        <w:spacing w:after="0" w:line="39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As long as the terminated participant is alive, any benefits affected by the termination shall be retained by the Employer and, in the Committee's sole and absolute judgment, may be paid to or expended for the benefit of the terminated participant, his or her spouse, his or her children or any other person or persons in fact dependent upon him or her in such a manner as the Committee shall deem proper; provided that no such action shall result in any acceleration of the payment of the Participant's Account. Upon the death of the terminated participant, all benefits withheld from him or her and not paid to others in accordance with the preceding sentence shall be disposed of according to the provisions of the Plan that would apply if he or she died prior to the time that all benefits to which he or she was entitled were paid to him or her.</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51" w:name="page52"/>
    <w:bookmarkEnd w:id="51"/>
    <w:p>
      <w:pPr>
        <w:spacing w:after="0"/>
        <w:tabs>
          <w:tab w:leader="none" w:pos="62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LEGAL FEES AND EXPENSES.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after a Change in Control, (1) an Eligible Employee initiates or is required to defend against a claim in court concerning the benefits intended to be provided to such Eligible Employee under the Plan (the "Claim"); and (2) the Eligible Employee prevails on the Claim, the Eligible Employee shall be entitled to attorneys' fees and costs of the litigation.</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CAPTIONS.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captions contained herein are for convenience only and shall not control or affect the meaning or construction hereof.</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provisions of the Plan shall be construed and interpreted according to the laws of the Commonwealth of Massachusetts. The Employee hereby irrevocably submits to and acknowledges and recognizes the jurisdiction of a federal court of the Commonwealth of Massachusetts without regard to conflict of law provisions, or if jurisdiction is not appropriate in a federal court located in Massachusetts, then a state court within the Commonwealth of Massachusetts (which courts, for purposes of this Agreement, are the only courts of competent jurisdiction) over any suit, action or other proceeding arising out of, under or in connection with this Agreement or its subject matter.</w:t>
      </w:r>
    </w:p>
    <w:p>
      <w:pPr>
        <w:spacing w:after="0" w:line="20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6"/>
          <w:szCs w:val="16"/>
          <w:color w:val="auto"/>
        </w:rPr>
        <w:t>SUCCESSORS.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provisions of the Plan shall bind and inure to the benefit of the Company, its Selected Affiliates, and their respective successors and assigns. The term successors as used herein shall include any corporate or other business entity which shall, whether by merger, consolidation, purchase or otherwise, acquire all or substantially all of the business and assets of the Company or a Selected Affiliate and successors of any such Company or other business entity.</w:t>
      </w:r>
    </w:p>
    <w:p>
      <w:pPr>
        <w:spacing w:after="0" w:line="18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6"/>
          <w:szCs w:val="16"/>
          <w:color w:val="auto"/>
        </w:rPr>
        <w:t>RIGHT TO CONTINUED SERVICE.</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Nothing contained herein shall be construed to confer upon any Eligible Employee the right to continue to serve as an Eligible Employee of the Employer or in any other capacity.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52" w:name="page53"/>
    <w:bookmarkEnd w:id="52"/>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Jerald G. Fishman, certify that:</w:t>
      </w:r>
    </w:p>
    <w:p>
      <w:pPr>
        <w:spacing w:after="0" w:line="207" w:lineRule="exact"/>
        <w:rPr>
          <w:sz w:val="20"/>
          <w:szCs w:val="20"/>
          <w:color w:val="auto"/>
        </w:rPr>
      </w:pPr>
    </w:p>
    <w:p>
      <w:pPr>
        <w:ind w:left="1280" w:right="2619" w:hanging="640"/>
        <w:spacing w:after="0" w:line="235"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Analog Devices, Inc.;</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jc w:val="both"/>
        <w:ind w:left="1280" w:right="1879" w:hanging="640"/>
        <w:spacing w:after="0" w:line="268" w:lineRule="auto"/>
        <w:tabs>
          <w:tab w:leader="none" w:pos="12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13a-15(f) and 15d-15(f))for the registrant and have:</w:t>
      </w:r>
    </w:p>
    <w:p>
      <w:pPr>
        <w:spacing w:after="0" w:line="207" w:lineRule="exact"/>
        <w:rPr>
          <w:rFonts w:ascii="Courier New" w:cs="Courier New" w:eastAsia="Courier New" w:hAnsi="Courier New"/>
          <w:sz w:val="16"/>
          <w:szCs w:val="16"/>
          <w:color w:val="auto"/>
        </w:rPr>
      </w:pPr>
    </w:p>
    <w:p>
      <w:pPr>
        <w:ind w:left="2540" w:right="1779" w:hanging="636"/>
        <w:spacing w:after="0" w:line="271" w:lineRule="auto"/>
        <w:tabs>
          <w:tab w:leader="none" w:pos="25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Courier New" w:cs="Courier New" w:eastAsia="Courier New" w:hAnsi="Courier New"/>
          <w:sz w:val="16"/>
          <w:szCs w:val="16"/>
          <w:color w:val="auto"/>
        </w:rPr>
      </w:pPr>
    </w:p>
    <w:p>
      <w:pPr>
        <w:ind w:left="2540" w:right="1779" w:hanging="636"/>
        <w:spacing w:after="0" w:line="271" w:lineRule="auto"/>
        <w:tabs>
          <w:tab w:leader="none" w:pos="25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Courier New" w:cs="Courier New" w:eastAsia="Courier New" w:hAnsi="Courier New"/>
          <w:sz w:val="16"/>
          <w:szCs w:val="16"/>
          <w:color w:val="auto"/>
        </w:rPr>
      </w:pPr>
    </w:p>
    <w:p>
      <w:pPr>
        <w:ind w:left="2540" w:right="1779" w:hanging="636"/>
        <w:spacing w:after="0" w:line="237" w:lineRule="auto"/>
        <w:tabs>
          <w:tab w:leader="none" w:pos="2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540" w:right="1779" w:hanging="636"/>
        <w:spacing w:after="0" w:line="271" w:lineRule="auto"/>
        <w:tabs>
          <w:tab w:leader="none" w:pos="25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1280" w:right="2319" w:hanging="640"/>
        <w:spacing w:after="0" w:line="237"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540" w:right="1779" w:hanging="636"/>
        <w:spacing w:after="0" w:line="273" w:lineRule="auto"/>
        <w:tabs>
          <w:tab w:leader="none" w:pos="25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Courier New" w:cs="Courier New" w:eastAsia="Courier New" w:hAnsi="Courier New"/>
          <w:sz w:val="16"/>
          <w:szCs w:val="16"/>
          <w:color w:val="auto"/>
        </w:rPr>
      </w:pPr>
    </w:p>
    <w:p>
      <w:pPr>
        <w:ind w:left="2540" w:right="1779" w:hanging="636"/>
        <w:spacing w:after="0" w:line="237" w:lineRule="auto"/>
        <w:tabs>
          <w:tab w:leader="none" w:pos="2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41"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15, 2006</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Jerald G. Fishman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Jerald G. Fishman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ectPr>
          <w:pgSz w:w="11900" w:h="16838" w:orient="portrait"/>
          <w:cols w:equalWidth="0" w:num="2">
            <w:col w:w="3820" w:space="720"/>
            <w:col w:w="5679"/>
          </w:cols>
          <w:pgMar w:left="240" w:top="541" w:right="1440" w:bottom="0" w:gutter="0" w:footer="0" w:header="0"/>
          <w:type w:val="continuous"/>
        </w:sectPr>
      </w:pPr>
    </w:p>
    <w:bookmarkStart w:id="53" w:name="page54"/>
    <w:bookmarkEnd w:id="53"/>
    <w:p>
      <w:pPr>
        <w:ind w:left="3340"/>
        <w:spacing w:after="0"/>
        <w:rPr>
          <w:sz w:val="20"/>
          <w:szCs w:val="20"/>
          <w:color w:val="auto"/>
        </w:rPr>
      </w:pPr>
      <w:r>
        <w:rPr>
          <w:rFonts w:ascii="Courier New" w:cs="Courier New" w:eastAsia="Courier New" w:hAnsi="Courier New"/>
          <w:sz w:val="16"/>
          <w:szCs w:val="16"/>
          <w:color w:val="auto"/>
        </w:rPr>
        <w:t>(Principal Executive Officer)</w:t>
      </w:r>
    </w:p>
    <w:p>
      <w:pPr>
        <w:sectPr>
          <w:pgSz w:w="11900" w:h="16838" w:orient="portrait"/>
          <w:cols w:equalWidth="0" w:num="1">
            <w:col w:w="9019"/>
          </w:cols>
          <w:pgMar w:left="1440" w:top="142" w:right="1440" w:bottom="1440" w:gutter="0" w:footer="0" w:header="0"/>
        </w:sectPr>
      </w:pPr>
    </w:p>
    <w:bookmarkStart w:id="54" w:name="page55"/>
    <w:bookmarkEnd w:id="54"/>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Joseph E. McDonough, certify that:</w:t>
      </w:r>
    </w:p>
    <w:p>
      <w:pPr>
        <w:spacing w:after="0" w:line="207" w:lineRule="exact"/>
        <w:rPr>
          <w:sz w:val="20"/>
          <w:szCs w:val="20"/>
          <w:color w:val="auto"/>
        </w:rPr>
      </w:pPr>
    </w:p>
    <w:p>
      <w:pPr>
        <w:ind w:left="1280" w:right="2619" w:hanging="640"/>
        <w:spacing w:after="0" w:line="235"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Analog Devices, Inc.;</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jc w:val="both"/>
        <w:ind w:left="1280" w:right="1879" w:hanging="640"/>
        <w:spacing w:after="0" w:line="268" w:lineRule="auto"/>
        <w:tabs>
          <w:tab w:leader="none" w:pos="12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13a-15(f) and 15d-15(f)) for the registrant and have:</w:t>
      </w:r>
    </w:p>
    <w:p>
      <w:pPr>
        <w:spacing w:after="0" w:line="207" w:lineRule="exact"/>
        <w:rPr>
          <w:rFonts w:ascii="Courier New" w:cs="Courier New" w:eastAsia="Courier New" w:hAnsi="Courier New"/>
          <w:sz w:val="16"/>
          <w:szCs w:val="16"/>
          <w:color w:val="auto"/>
        </w:rPr>
      </w:pPr>
    </w:p>
    <w:p>
      <w:pPr>
        <w:ind w:left="2540" w:right="1779" w:hanging="636"/>
        <w:spacing w:after="0" w:line="271" w:lineRule="auto"/>
        <w:tabs>
          <w:tab w:leader="none" w:pos="254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Courier New" w:cs="Courier New" w:eastAsia="Courier New" w:hAnsi="Courier New"/>
          <w:sz w:val="16"/>
          <w:szCs w:val="16"/>
          <w:color w:val="auto"/>
        </w:rPr>
      </w:pPr>
    </w:p>
    <w:p>
      <w:pPr>
        <w:ind w:left="2540" w:right="1779" w:hanging="636"/>
        <w:spacing w:after="0" w:line="271" w:lineRule="auto"/>
        <w:tabs>
          <w:tab w:leader="none" w:pos="254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Courier New" w:cs="Courier New" w:eastAsia="Courier New" w:hAnsi="Courier New"/>
          <w:sz w:val="16"/>
          <w:szCs w:val="16"/>
          <w:color w:val="auto"/>
        </w:rPr>
      </w:pPr>
    </w:p>
    <w:p>
      <w:pPr>
        <w:ind w:left="2540" w:right="1779" w:hanging="636"/>
        <w:spacing w:after="0" w:line="237" w:lineRule="auto"/>
        <w:tabs>
          <w:tab w:leader="none" w:pos="2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540" w:right="1779" w:hanging="636"/>
        <w:spacing w:after="0" w:line="271" w:lineRule="auto"/>
        <w:tabs>
          <w:tab w:leader="none" w:pos="254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1280" w:right="2319" w:hanging="640"/>
        <w:spacing w:after="0" w:line="237"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540" w:right="1779" w:hanging="636"/>
        <w:spacing w:after="0" w:line="273" w:lineRule="auto"/>
        <w:tabs>
          <w:tab w:leader="none" w:pos="254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Courier New" w:cs="Courier New" w:eastAsia="Courier New" w:hAnsi="Courier New"/>
          <w:sz w:val="16"/>
          <w:szCs w:val="16"/>
          <w:color w:val="auto"/>
        </w:rPr>
      </w:pPr>
    </w:p>
    <w:p>
      <w:pPr>
        <w:ind w:left="2540" w:right="1779" w:hanging="636"/>
        <w:spacing w:after="0" w:line="237" w:lineRule="auto"/>
        <w:tabs>
          <w:tab w:leader="none" w:pos="2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41"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15, 2006</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Joseph E. McDonough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38" w:lineRule="auto"/>
        <w:rPr>
          <w:sz w:val="20"/>
          <w:szCs w:val="20"/>
          <w:color w:val="auto"/>
        </w:rPr>
      </w:pPr>
      <w:r>
        <w:rPr>
          <w:rFonts w:ascii="Courier New" w:cs="Courier New" w:eastAsia="Courier New" w:hAnsi="Courier New"/>
          <w:sz w:val="18"/>
          <w:szCs w:val="18"/>
          <w:color w:val="auto"/>
        </w:rPr>
        <w:t>Vice President-Finance</w:t>
      </w:r>
    </w:p>
    <w:p>
      <w:pPr>
        <w:sectPr>
          <w:pgSz w:w="11900" w:h="16838" w:orient="portrait"/>
          <w:cols w:equalWidth="0" w:num="2">
            <w:col w:w="2760" w:space="720"/>
            <w:col w:w="6739"/>
          </w:cols>
          <w:pgMar w:left="240" w:top="541" w:right="1440" w:bottom="0" w:gutter="0" w:footer="0" w:header="0"/>
          <w:type w:val="continuous"/>
        </w:sectPr>
      </w:pPr>
    </w:p>
    <w:bookmarkStart w:id="55" w:name="page56"/>
    <w:bookmarkEnd w:id="55"/>
    <w:p>
      <w:pPr>
        <w:ind w:left="2280"/>
        <w:spacing w:after="0"/>
        <w:rPr>
          <w:sz w:val="20"/>
          <w:szCs w:val="20"/>
          <w:color w:val="auto"/>
        </w:rPr>
      </w:pPr>
      <w:r>
        <w:rPr>
          <w:rFonts w:ascii="Courier New" w:cs="Courier New" w:eastAsia="Courier New" w:hAnsi="Courier New"/>
          <w:sz w:val="18"/>
          <w:szCs w:val="18"/>
          <w:color w:val="auto"/>
        </w:rPr>
        <w:t>and Chief Financial Officer</w:t>
      </w:r>
    </w:p>
    <w:p>
      <w:pPr>
        <w:spacing w:after="0" w:line="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(Principal Financial and Accounting Officer)</w:t>
      </w:r>
    </w:p>
    <w:p>
      <w:pPr>
        <w:sectPr>
          <w:pgSz w:w="11900" w:h="16838" w:orient="portrait"/>
          <w:cols w:equalWidth="0" w:num="1">
            <w:col w:w="9019"/>
          </w:cols>
          <w:pgMar w:left="1440" w:top="136" w:right="1440" w:bottom="1440" w:gutter="0" w:footer="0" w:header="0"/>
        </w:sectPr>
      </w:pPr>
    </w:p>
    <w:bookmarkStart w:id="56" w:name="page57"/>
    <w:bookmarkEnd w:id="56"/>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connection with the Quarterly Report on Form 10-Q of Analog Devices, Inc. (the "Company") for the period ended January 28, 2006 as filed with the Securities and Exchange Commission on the date hereof (the "Report"), the undersigned, Jerald G. Fishman, Chief Executive Officer of the Company, hereby certifies, pursuant to 18 U.S.C. Section 1350, that:</w:t>
      </w:r>
    </w:p>
    <w:p>
      <w:pPr>
        <w:spacing w:after="0" w:line="209" w:lineRule="exact"/>
        <w:rPr>
          <w:sz w:val="20"/>
          <w:szCs w:val="20"/>
          <w:color w:val="auto"/>
        </w:rPr>
      </w:pPr>
    </w:p>
    <w:p>
      <w:pPr>
        <w:ind w:left="1280" w:right="1879" w:hanging="640"/>
        <w:spacing w:after="0" w:line="235" w:lineRule="auto"/>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541"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15, 2006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Jerald G. Fishman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Jerald G. Fishman</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2">
            <w:col w:w="5180" w:space="720"/>
            <w:col w:w="4319"/>
          </w:cols>
          <w:pgMar w:left="240" w:top="541" w:right="1440" w:bottom="1440" w:gutter="0" w:footer="0" w:header="0"/>
          <w:type w:val="continuous"/>
        </w:sectPr>
      </w:pPr>
    </w:p>
    <w:bookmarkStart w:id="57" w:name="page58"/>
    <w:bookmarkEnd w:id="57"/>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on Form 10-Q of Analog Devices, Inc. (the "Company") for the period ended January 28, 2006 as filed with the Securities and Exchange Commission on the date hereof (the "Report"), the undersigned, Joseph E. McDonough, Chief Financial Officer of the Company, hereby certifies, pursuant to 18 U.S.C. Section 1350, that:</w:t>
      </w:r>
    </w:p>
    <w:p>
      <w:pPr>
        <w:spacing w:after="0" w:line="209" w:lineRule="exact"/>
        <w:rPr>
          <w:sz w:val="20"/>
          <w:szCs w:val="20"/>
          <w:color w:val="auto"/>
        </w:rPr>
      </w:pPr>
    </w:p>
    <w:p>
      <w:pPr>
        <w:ind w:left="1280" w:right="1879" w:hanging="640"/>
        <w:spacing w:after="0" w:line="235"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541"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15, 2006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Joseph E. McDonough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3">
        <w:col w:w="640" w:space="640"/>
        <w:col w:w="3900" w:space="720"/>
        <w:col w:w="43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2019-12-20T05:15:38Z</dcterms:created>
  <dcterms:modified xsi:type="dcterms:W3CDTF">2019-12-20T05:15:38Z</dcterms:modified>
</cp:coreProperties>
</file>