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7"/>
          <w:szCs w:val="17"/>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23" w:lineRule="exact"/>
        <w:rPr>
          <w:sz w:val="24"/>
          <w:szCs w:val="24"/>
          <w:color w:val="auto"/>
        </w:rPr>
      </w:pPr>
    </w:p>
    <w:p>
      <w:pPr>
        <w:sectPr>
          <w:pgSz w:w="11900" w:h="16838" w:orient="portrait"/>
          <w:cols w:equalWidth="0" w:num="3">
            <w:col w:w="4644" w:space="720"/>
            <w:col w:w="2740" w:space="720"/>
            <w:col w:w="2200"/>
          </w:cols>
          <w:pgMar w:left="436" w:top="362"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spacing w:after="0" w:line="28" w:lineRule="exact"/>
        <w:rPr>
          <w:sz w:val="24"/>
          <w:szCs w:val="24"/>
          <w:color w:val="auto"/>
        </w:rPr>
      </w:pPr>
    </w:p>
    <w:p>
      <w:pPr>
        <w:ind w:left="1384"/>
        <w:spacing w:after="0"/>
        <w:rPr>
          <w:sz w:val="20"/>
          <w:szCs w:val="20"/>
          <w:color w:val="auto"/>
        </w:rPr>
      </w:pPr>
      <w:r>
        <w:rPr>
          <w:rFonts w:ascii="Times New Roman" w:cs="Times New Roman" w:eastAsia="Times New Roman" w:hAnsi="Times New Roman"/>
          <w:sz w:val="17"/>
          <w:szCs w:val="17"/>
          <w:b w:val="1"/>
          <w:bCs w:val="1"/>
          <w:color w:val="auto"/>
        </w:rPr>
        <w:t>One Technology Way, Norwood, MA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02062</w:t>
      </w:r>
    </w:p>
    <w:p>
      <w:pPr>
        <w:spacing w:after="0" w:line="43" w:lineRule="exact"/>
        <w:rPr>
          <w:sz w:val="24"/>
          <w:szCs w:val="24"/>
          <w:color w:val="auto"/>
        </w:rPr>
      </w:pPr>
    </w:p>
    <w:p>
      <w:pPr>
        <w:sectPr>
          <w:pgSz w:w="11900" w:h="16838" w:orient="portrait"/>
          <w:cols w:equalWidth="0" w:num="2">
            <w:col w:w="7404" w:space="720"/>
            <w:col w:w="2900"/>
          </w:cols>
          <w:pgMar w:left="436" w:top="362"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329-4700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$0.16 2/3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ADI</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u w:val="single" w:color="auto"/>
          <w:color w:val="auto"/>
        </w:rPr>
        <w:t>Other Events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August 17, 2020, Analog Devices, Inc. (“</w:t>
      </w:r>
      <w:r>
        <w:rPr>
          <w:rFonts w:ascii="Times New Roman" w:cs="Times New Roman" w:eastAsia="Times New Roman" w:hAnsi="Times New Roman"/>
          <w:sz w:val="18"/>
          <w:szCs w:val="18"/>
          <w:u w:val="single" w:color="auto"/>
          <w:color w:val="auto"/>
        </w:rPr>
        <w:t>ADI</w:t>
      </w:r>
      <w:r>
        <w:rPr>
          <w:rFonts w:ascii="Times New Roman" w:cs="Times New Roman" w:eastAsia="Times New Roman" w:hAnsi="Times New Roman"/>
          <w:sz w:val="18"/>
          <w:szCs w:val="18"/>
          <w:color w:val="auto"/>
        </w:rPr>
        <w:t>”) filed a registration statement on Form S-4 (File No. 333-248092) (as amended, the</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 connection with ADI’s proposed acquisition of Maxim Integrated Products, Inc. (“</w:t>
      </w:r>
      <w:r>
        <w:rPr>
          <w:rFonts w:ascii="Times New Roman" w:cs="Times New Roman" w:eastAsia="Times New Roman" w:hAnsi="Times New Roman"/>
          <w:sz w:val="18"/>
          <w:szCs w:val="18"/>
          <w:u w:val="single" w:color="auto"/>
          <w:color w:val="auto"/>
        </w:rPr>
        <w:t>Maxim</w:t>
      </w:r>
      <w:r>
        <w:rPr>
          <w:rFonts w:ascii="Times New Roman" w:cs="Times New Roman" w:eastAsia="Times New Roman" w:hAnsi="Times New Roman"/>
          <w:sz w:val="18"/>
          <w:szCs w:val="18"/>
          <w:color w:val="auto"/>
        </w:rPr>
        <w:t>”) pursuant to an Agreement and Plan of Merger, dated as of July 12, 2020 (as it may be amended from time to time,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ADI, Magneto Corp., a wholly owned subsidiary of ADI (“</w:t>
      </w:r>
      <w:r>
        <w:rPr>
          <w:rFonts w:ascii="Times New Roman" w:cs="Times New Roman" w:eastAsia="Times New Roman" w:hAnsi="Times New Roman"/>
          <w:sz w:val="18"/>
          <w:szCs w:val="18"/>
          <w:u w:val="single" w:color="auto"/>
          <w:color w:val="auto"/>
        </w:rPr>
        <w:t>Acquisition Sub</w:t>
      </w:r>
      <w:r>
        <w:rPr>
          <w:rFonts w:ascii="Times New Roman" w:cs="Times New Roman" w:eastAsia="Times New Roman" w:hAnsi="Times New Roman"/>
          <w:sz w:val="18"/>
          <w:szCs w:val="18"/>
          <w:color w:val="auto"/>
        </w:rPr>
        <w:t>”) and Maxim. On September 4, 2020, ADI filed with the SEC the definitive joint proxy statement/prospectus relating to the special meeting of shareholders of ADI scheduled to be held on October 8, 2020 (the “</w:t>
      </w:r>
      <w:r>
        <w:rPr>
          <w:rFonts w:ascii="Times New Roman" w:cs="Times New Roman" w:eastAsia="Times New Roman" w:hAnsi="Times New Roman"/>
          <w:sz w:val="18"/>
          <w:szCs w:val="18"/>
          <w:u w:val="single" w:color="auto"/>
          <w:color w:val="auto"/>
        </w:rPr>
        <w:t>Definitive Proxy Statement</w:t>
      </w:r>
      <w:r>
        <w:rPr>
          <w:rFonts w:ascii="Times New Roman" w:cs="Times New Roman" w:eastAsia="Times New Roman" w:hAnsi="Times New Roman"/>
          <w:sz w:val="18"/>
          <w:szCs w:val="18"/>
          <w:color w:val="auto"/>
        </w:rPr>
        <w:t>”) to, among other things, vote on a proposal to approve the issuance of shares of ADI common stock to Maxim stockholders in connection with the merger.</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Since the initial filing of the Form S-4, six complaints (collectively, the “</w:t>
      </w:r>
      <w:r>
        <w:rPr>
          <w:rFonts w:ascii="Times New Roman" w:cs="Times New Roman" w:eastAsia="Times New Roman" w:hAnsi="Times New Roman"/>
          <w:sz w:val="18"/>
          <w:szCs w:val="18"/>
          <w:u w:val="single" w:color="auto"/>
          <w:color w:val="auto"/>
        </w:rPr>
        <w:t>Maxim Stockholder Complaints</w:t>
      </w:r>
      <w:r>
        <w:rPr>
          <w:rFonts w:ascii="Times New Roman" w:cs="Times New Roman" w:eastAsia="Times New Roman" w:hAnsi="Times New Roman"/>
          <w:sz w:val="18"/>
          <w:szCs w:val="18"/>
          <w:color w:val="auto"/>
        </w:rPr>
        <w:t>”), including two putative securities class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lawsuits, have been filed in federal courts in California, Delaware and New York by purported Maxim stockholders against Maxim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members of the Maxim board of directors in connection with the transactions contemplated by the Merger Agreement: </w:t>
      </w:r>
      <w:r>
        <w:rPr>
          <w:rFonts w:ascii="Times New Roman" w:cs="Times New Roman" w:eastAsia="Times New Roman" w:hAnsi="Times New Roman"/>
          <w:sz w:val="18"/>
          <w:szCs w:val="18"/>
          <w:i w:val="1"/>
          <w:iCs w:val="1"/>
          <w:color w:val="auto"/>
        </w:rPr>
        <w:t>Shiva Stein v. Maxim Integrated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Products, Inc., et al., </w:t>
      </w:r>
      <w:r>
        <w:rPr>
          <w:rFonts w:ascii="Times New Roman" w:cs="Times New Roman" w:eastAsia="Times New Roman" w:hAnsi="Times New Roman"/>
          <w:sz w:val="18"/>
          <w:szCs w:val="18"/>
          <w:color w:val="auto"/>
        </w:rPr>
        <w:t>Case No. 5:20-cv-05830 (N.D. Cal., filed August 18, 2020);</w:t>
      </w:r>
      <w:r>
        <w:rPr>
          <w:rFonts w:ascii="Times New Roman" w:cs="Times New Roman" w:eastAsia="Times New Roman" w:hAnsi="Times New Roman"/>
          <w:sz w:val="18"/>
          <w:szCs w:val="18"/>
          <w:i w:val="1"/>
          <w:iCs w:val="1"/>
          <w:color w:val="auto"/>
        </w:rPr>
        <w:t xml:space="preserve"> Joseph Post v. Maxim Integrated Products, Inc., et al., </w:t>
      </w:r>
      <w:r>
        <w:rPr>
          <w:rFonts w:ascii="Times New Roman" w:cs="Times New Roman" w:eastAsia="Times New Roman" w:hAnsi="Times New Roman"/>
          <w:sz w:val="18"/>
          <w:szCs w:val="18"/>
          <w:color w:val="auto"/>
        </w:rPr>
        <w:t>Case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1:99-mc-09999 (D. Del., filed August 24, 2020) (the “</w:t>
      </w:r>
      <w:r>
        <w:rPr>
          <w:rFonts w:ascii="Times New Roman" w:cs="Times New Roman" w:eastAsia="Times New Roman" w:hAnsi="Times New Roman"/>
          <w:sz w:val="18"/>
          <w:szCs w:val="18"/>
          <w:u w:val="single" w:color="auto"/>
          <w:color w:val="auto"/>
        </w:rPr>
        <w:t>Post 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Waseem Khan v. Maxim Integrated Products, Inc., et al.,</w:t>
      </w:r>
      <w:r>
        <w:rPr>
          <w:rFonts w:ascii="Times New Roman" w:cs="Times New Roman" w:eastAsia="Times New Roman" w:hAnsi="Times New Roman"/>
          <w:sz w:val="18"/>
          <w:szCs w:val="18"/>
          <w:color w:val="auto"/>
        </w:rPr>
        <w:t xml:space="preserve"> Case No. 1:20-cv-03982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(E.D.N.Y., filed August 26, 2020); </w:t>
      </w:r>
      <w:r>
        <w:rPr>
          <w:rFonts w:ascii="Times New Roman" w:cs="Times New Roman" w:eastAsia="Times New Roman" w:hAnsi="Times New Roman"/>
          <w:sz w:val="18"/>
          <w:szCs w:val="18"/>
          <w:i w:val="1"/>
          <w:iCs w:val="1"/>
          <w:color w:val="auto"/>
        </w:rPr>
        <w:t>Joseph Burns v. Maxim Integrated Products, Inc., et al.</w:t>
      </w:r>
      <w:r>
        <w:rPr>
          <w:rFonts w:ascii="Times New Roman" w:cs="Times New Roman" w:eastAsia="Times New Roman" w:hAnsi="Times New Roman"/>
          <w:sz w:val="18"/>
          <w:szCs w:val="18"/>
          <w:color w:val="auto"/>
        </w:rPr>
        <w:t>, No. 1:20-cv-07168 (S.D.N.Y., filed September 2,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John Husselman v. Maxim Integrated Products, Inc., et al.</w:t>
      </w:r>
      <w:r>
        <w:rPr>
          <w:rFonts w:ascii="Times New Roman" w:cs="Times New Roman" w:eastAsia="Times New Roman" w:hAnsi="Times New Roman"/>
          <w:sz w:val="17"/>
          <w:szCs w:val="17"/>
          <w:color w:val="auto"/>
        </w:rPr>
        <w:t>, Case No. 1:20-cv-07525 (S.D.N.Y., filed September 14, 2020); and</w:t>
      </w:r>
      <w:r>
        <w:rPr>
          <w:rFonts w:ascii="Times New Roman" w:cs="Times New Roman" w:eastAsia="Times New Roman" w:hAnsi="Times New Roman"/>
          <w:sz w:val="17"/>
          <w:szCs w:val="17"/>
          <w:i w:val="1"/>
          <w:iCs w:val="1"/>
          <w:color w:val="auto"/>
        </w:rPr>
        <w:t xml:space="preserve"> Joseph Schaffer v. Maxim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Integrated Products, Inc., et al.</w:t>
      </w:r>
      <w:r>
        <w:rPr>
          <w:rFonts w:ascii="Times New Roman" w:cs="Times New Roman" w:eastAsia="Times New Roman" w:hAnsi="Times New Roman"/>
          <w:sz w:val="18"/>
          <w:szCs w:val="18"/>
          <w:color w:val="auto"/>
        </w:rPr>
        <w:t>, Case No. 5:20-cv-06816 (N.D. Cal., filed September 30, 2020). The Post Action also names ADI and Acquisition Sub</w:t>
      </w:r>
    </w:p>
    <w:p>
      <w:pPr>
        <w:spacing w:after="0" w:line="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as defendants. In addition, one complaint, </w:t>
      </w:r>
      <w:r>
        <w:rPr>
          <w:rFonts w:ascii="Times New Roman" w:cs="Times New Roman" w:eastAsia="Times New Roman" w:hAnsi="Times New Roman"/>
          <w:sz w:val="18"/>
          <w:szCs w:val="18"/>
          <w:i w:val="1"/>
          <w:iCs w:val="1"/>
          <w:color w:val="auto"/>
        </w:rPr>
        <w:t>Coe Living Trust v. Analog Devices, Inc., et al.</w:t>
      </w:r>
      <w:r>
        <w:rPr>
          <w:rFonts w:ascii="Times New Roman" w:cs="Times New Roman" w:eastAsia="Times New Roman" w:hAnsi="Times New Roman"/>
          <w:sz w:val="18"/>
          <w:szCs w:val="18"/>
          <w:color w:val="auto"/>
        </w:rPr>
        <w:t>, Case No. 1:20-cv-11682 (D. Mass., filed September 11, 2020), has been filed by a purported ADI shareholder in federal court in Massachusetts against ADI and the members of the ADI board of directors (the “</w:t>
      </w:r>
      <w:r>
        <w:rPr>
          <w:rFonts w:ascii="Times New Roman" w:cs="Times New Roman" w:eastAsia="Times New Roman" w:hAnsi="Times New Roman"/>
          <w:sz w:val="18"/>
          <w:szCs w:val="18"/>
          <w:u w:val="single" w:color="auto"/>
          <w:color w:val="auto"/>
        </w:rPr>
        <w:t>Coe Action</w:t>
      </w:r>
      <w:r>
        <w:rPr>
          <w:rFonts w:ascii="Times New Roman" w:cs="Times New Roman" w:eastAsia="Times New Roman" w:hAnsi="Times New Roman"/>
          <w:sz w:val="18"/>
          <w:szCs w:val="18"/>
          <w:color w:val="auto"/>
        </w:rPr>
        <w:t>” and, together with the Maxim Stockholder Complaints, the “</w:t>
      </w:r>
      <w:r>
        <w:rPr>
          <w:rFonts w:ascii="Times New Roman" w:cs="Times New Roman" w:eastAsia="Times New Roman" w:hAnsi="Times New Roman"/>
          <w:sz w:val="18"/>
          <w:szCs w:val="18"/>
          <w:u w:val="single" w:color="auto"/>
          <w:color w:val="auto"/>
        </w:rPr>
        <w:t>Federal Stockholder Complaints</w:t>
      </w:r>
      <w:r>
        <w:rPr>
          <w:rFonts w:ascii="Times New Roman" w:cs="Times New Roman" w:eastAsia="Times New Roman" w:hAnsi="Times New Roman"/>
          <w:sz w:val="18"/>
          <w:szCs w:val="18"/>
          <w:color w:val="auto"/>
        </w:rPr>
        <w:t>”) and one derivative lawsuit has been filed against the members of the ADI board of directors in state court in the Commonwealth of Massachusetts (Mass. Sup. Ct., Norfolk Cnty., Case</w:t>
      </w:r>
    </w:p>
    <w:p>
      <w:pPr>
        <w:spacing w:after="0" w:line="2"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8"/>
          <w:szCs w:val="18"/>
          <w:color w:val="auto"/>
        </w:rPr>
        <w:t>No. 20-0864, filed September 11, 2020) (the “</w:t>
      </w:r>
      <w:r>
        <w:rPr>
          <w:rFonts w:ascii="Times New Roman" w:cs="Times New Roman" w:eastAsia="Times New Roman" w:hAnsi="Times New Roman"/>
          <w:sz w:val="18"/>
          <w:szCs w:val="18"/>
          <w:u w:val="single" w:color="auto"/>
          <w:color w:val="auto"/>
        </w:rPr>
        <w:t>ADI State Action</w:t>
      </w:r>
      <w:r>
        <w:rPr>
          <w:rFonts w:ascii="Times New Roman" w:cs="Times New Roman" w:eastAsia="Times New Roman" w:hAnsi="Times New Roman"/>
          <w:sz w:val="18"/>
          <w:szCs w:val="18"/>
          <w:color w:val="auto"/>
        </w:rPr>
        <w:t>” and, together with the Federal Stockholder Complaints, the “</w:t>
      </w:r>
      <w:r>
        <w:rPr>
          <w:rFonts w:ascii="Times New Roman" w:cs="Times New Roman" w:eastAsia="Times New Roman" w:hAnsi="Times New Roman"/>
          <w:sz w:val="18"/>
          <w:szCs w:val="18"/>
          <w:u w:val="single" w:color="auto"/>
          <w:color w:val="auto"/>
        </w:rPr>
        <w:t>Stockholder Actions</w:t>
      </w:r>
      <w:r>
        <w:rPr>
          <w:rFonts w:ascii="Times New Roman" w:cs="Times New Roman" w:eastAsia="Times New Roman" w:hAnsi="Times New Roman"/>
          <w:sz w:val="18"/>
          <w:szCs w:val="18"/>
          <w:color w:val="auto"/>
        </w:rPr>
        <w:t>”). Each of the Federal Stockholder Complaints alleges, among other things, that the Form S-4 omits material information concerning the transactions contemplated by the Merger Agreement in violation of Sections 14(a) and 20(a) of the Securities Exchange Act of 1934, as amended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Rule 14a-9 promulgated under the Exchange Act. The ADI State Action alleges breach of fiduciary duty claims against ADI’s directors in connection with the transactions contemplated by the Merger Agreement, including that the directors fraudulently concealed information based on allegations that the Form S-4 misrepresents or omits material information concerning the transactions contemplated by the Merger Agreement. The plaintiffs in the Federal Stockholder Complaints and the ADI State Action, among other things, seek to enjoin the transactions contemplated by the Merger Agreement (and in two cases, to enjoin the shareholder vote) or, in the alternative, rescission of the merger or rescissionary damages, and an award of attorneys’ fees and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DISCLOSURES</w:t>
      </w:r>
    </w:p>
    <w:p>
      <w:pPr>
        <w:spacing w:after="0" w:line="227" w:lineRule="exact"/>
        <w:rPr>
          <w:sz w:val="20"/>
          <w:szCs w:val="20"/>
          <w:color w:val="auto"/>
        </w:rPr>
      </w:pPr>
    </w:p>
    <w:p>
      <w:pPr>
        <w:ind w:righ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This supplemental information should be read in conjunction with the Definitive Proxy Statement, which should be read in its entirety. Page references in the below disclosures are to pages in the Definitive Proxy Statement, and defined terms used but not defined herein have the meanings set forth in the Definitive Proxy Statement. To the extent the following information differs from or conflicts with the information contained in the Definitive Proxy Statement, the information set forth below shall be deemed to supersede the respective information in the Definitive Proxy Statement. ADI and Maxim deny the allegations in the complaints related to the Stockholder Actions and deny any alleged violations of law or any legal or equitable duty. Without admitting in any way that the disclosures below are material or otherwise required by law, ADI and Maxim make the following amended and supplemental disclosures solely for the purpose of mooting the allegations in the complaints related to the Stockholder Actions.</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section of the Definitive Proxy Statement entitled “THE MERGER—Background of the Merger” is amended and supplemented as follows: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full paragraph on page 73 of the Definitive Proxy Statement is amended and restated in its entirety to read as follows:</w:t>
      </w:r>
    </w:p>
    <w:p>
      <w:pPr>
        <w:spacing w:after="0" w:line="117" w:lineRule="exact"/>
        <w:rPr>
          <w:sz w:val="20"/>
          <w:szCs w:val="20"/>
          <w:color w:val="auto"/>
        </w:rPr>
      </w:pPr>
    </w:p>
    <w:p>
      <w:pPr>
        <w:ind w:left="440" w:right="40"/>
        <w:spacing w:after="0" w:line="261" w:lineRule="auto"/>
        <w:rPr>
          <w:sz w:val="20"/>
          <w:szCs w:val="20"/>
          <w:color w:val="auto"/>
        </w:rPr>
      </w:pPr>
      <w:r>
        <w:rPr>
          <w:rFonts w:ascii="Times New Roman" w:cs="Times New Roman" w:eastAsia="Times New Roman" w:hAnsi="Times New Roman"/>
          <w:sz w:val="18"/>
          <w:szCs w:val="18"/>
          <w:color w:val="auto"/>
        </w:rPr>
        <w:t>“On February 17, 2020, the standing M&amp;A subcommittee of the Analog Devices board of directors composed of Vincent Roche, Ray Stata, Bruce R. Evans, Edward H. Frank and Mark M. Little, which is referred to as the “M&amp;A subcommittee,” met with Analog Devices’ senior management to review and discuss the landscape for potential strategic acquisition opportunities and the potential actionability of, and the benefits and challenges associated with, various potential counterparties, including Maxim.”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sentence of the second paragraph on page 74 of the Definitive Proxy Statement is amended and restated in its entirety to read as follows:</w:t>
      </w:r>
    </w:p>
    <w:p>
      <w:pPr>
        <w:spacing w:after="0" w:line="117" w:lineRule="exact"/>
        <w:rPr>
          <w:sz w:val="20"/>
          <w:szCs w:val="20"/>
          <w:color w:val="auto"/>
        </w:rPr>
      </w:pPr>
    </w:p>
    <w:p>
      <w:pPr>
        <w:ind w:left="440" w:right="40"/>
        <w:spacing w:after="0" w:line="266" w:lineRule="auto"/>
        <w:rPr>
          <w:sz w:val="20"/>
          <w:szCs w:val="20"/>
          <w:color w:val="auto"/>
        </w:rPr>
      </w:pPr>
      <w:r>
        <w:rPr>
          <w:rFonts w:ascii="Times New Roman" w:cs="Times New Roman" w:eastAsia="Times New Roman" w:hAnsi="Times New Roman"/>
          <w:sz w:val="18"/>
          <w:szCs w:val="18"/>
          <w:color w:val="auto"/>
        </w:rPr>
        <w:t>“On April 22, 2020, the M&amp;A subcommittee met telephonically, together with members of Analog Devices senior management and representatives of Morgan Stanley, to review the potential benefits and challenges of a transaction with Maxim and to discuss potential transaction terms.”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disclosure on page 75 of the Definitive Proxy Statement is amended and supplemented by adding the following new phrases following the phrase “The Maxim board of directors authorized Mr. Doluca to inform the Chief Executive Officer of Company B that the Maxim board of directors was not interested in pursuing a possible transaction with Company B at that time” at the end of the first partial paragraph on such page:</w:t>
      </w:r>
    </w:p>
    <w:p>
      <w:pPr>
        <w:spacing w:after="0" w:line="68" w:lineRule="exact"/>
        <w:rPr>
          <w:sz w:val="20"/>
          <w:szCs w:val="20"/>
          <w:color w:val="auto"/>
        </w:rPr>
      </w:pPr>
    </w:p>
    <w:p>
      <w:pPr>
        <w:ind w:left="440" w:right="80"/>
        <w:spacing w:after="0" w:line="266" w:lineRule="auto"/>
        <w:rPr>
          <w:sz w:val="20"/>
          <w:szCs w:val="20"/>
          <w:color w:val="auto"/>
        </w:rPr>
      </w:pPr>
      <w:r>
        <w:rPr>
          <w:rFonts w:ascii="Times New Roman" w:cs="Times New Roman" w:eastAsia="Times New Roman" w:hAnsi="Times New Roman"/>
          <w:sz w:val="18"/>
          <w:szCs w:val="18"/>
          <w:color w:val="auto"/>
        </w:rPr>
        <w:t>“, which Mr. Doluca communicated to Company B. Following such communication, Company B did not make any further proposals with respect to or otherwise seek to discuss a potential strategic transaction with Maxim, and Maxim and Company B did not enter into a confidentiality, standstill or similar agreement in connection with a potential transaction.”</w:t>
      </w:r>
    </w:p>
    <w:p>
      <w:pPr>
        <w:spacing w:after="0" w:line="176"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The disclosure on page 76 of the Definitive Proxy Statement is amended and supplemented by adding the following new phrases following the phrase “During this period, Analog Devices engaged BofA Securities as an additional financial advisor” at the end of the final paragraph on such page:</w:t>
      </w:r>
    </w:p>
    <w:p>
      <w:pPr>
        <w:spacing w:after="0" w:line="32" w:lineRule="exact"/>
        <w:rPr>
          <w:sz w:val="20"/>
          <w:szCs w:val="20"/>
          <w:color w:val="auto"/>
        </w:rPr>
      </w:pPr>
    </w:p>
    <w:p>
      <w:pPr>
        <w:ind w:left="440" w:right="180"/>
        <w:spacing w:after="0" w:line="258" w:lineRule="auto"/>
        <w:rPr>
          <w:sz w:val="20"/>
          <w:szCs w:val="20"/>
          <w:color w:val="auto"/>
        </w:rPr>
      </w:pPr>
      <w:r>
        <w:rPr>
          <w:rFonts w:ascii="Times New Roman" w:cs="Times New Roman" w:eastAsia="Times New Roman" w:hAnsi="Times New Roman"/>
          <w:sz w:val="18"/>
          <w:szCs w:val="18"/>
          <w:color w:val="auto"/>
        </w:rPr>
        <w:t>“, due to a belief that, based on the significance and size of the proposed transaction, it would be beneficial for Analog Devices and its board of directors to receive the advice of a second independent financial advisor. Analog Devices determined to engage BofA Securities as Analog Devices’ second independent financial advisor based on, among other factors, BofA Securities’ reputation, its substantial experience in transactions similar to the proposed transaction, and its familiarity with Analog Devices and the industries in which Analog Devices and Maxim operate.”</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section of the Definitive Proxy Statement entitled “THE MERGER—Opinions of Analog Devices’ Financial Advisors—Opinion of Morgan Stanley” is amended and supplemented as follows:</w:t>
      </w:r>
    </w:p>
    <w:p>
      <w:pPr>
        <w:spacing w:after="0" w:line="5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final sentence of the first paragraph on page 89 of the Definitive Proxy Statement (including the bulleted items at the end of such sentence) is amended and restated to read as follows:</w:t>
      </w:r>
    </w:p>
    <w:p>
      <w:pPr>
        <w:spacing w:after="0" w:line="54" w:lineRule="exact"/>
        <w:rPr>
          <w:sz w:val="20"/>
          <w:szCs w:val="20"/>
          <w:color w:val="auto"/>
        </w:rPr>
      </w:pPr>
    </w:p>
    <w:p>
      <w:pPr>
        <w:ind w:left="440" w:right="320"/>
        <w:spacing w:after="0" w:line="282" w:lineRule="auto"/>
        <w:rPr>
          <w:sz w:val="20"/>
          <w:szCs w:val="20"/>
          <w:color w:val="auto"/>
        </w:rPr>
      </w:pPr>
      <w:r>
        <w:rPr>
          <w:rFonts w:ascii="Times New Roman" w:cs="Times New Roman" w:eastAsia="Times New Roman" w:hAnsi="Times New Roman"/>
          <w:sz w:val="18"/>
          <w:szCs w:val="18"/>
          <w:color w:val="auto"/>
        </w:rPr>
        <w:t>These companies and their applicable multiples, as well as the corresponding multiples for Analog Devices and Maxim, respectively, were the following:</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8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 Peers</w:t>
            </w:r>
          </w:p>
        </w:tc>
        <w:tc>
          <w:tcPr>
            <w:tcW w:w="3140" w:type="dxa"/>
            <w:vAlign w:val="bottom"/>
            <w:gridSpan w:val="4"/>
          </w:tcPr>
          <w:p>
            <w:pPr>
              <w:ind w:left="440"/>
              <w:spacing w:after="0"/>
              <w:rPr>
                <w:sz w:val="20"/>
                <w:szCs w:val="20"/>
                <w:color w:val="auto"/>
              </w:rPr>
            </w:pPr>
            <w:r>
              <w:rPr>
                <w:rFonts w:ascii="Times New Roman" w:cs="Times New Roman" w:eastAsia="Times New Roman" w:hAnsi="Times New Roman"/>
                <w:sz w:val="14"/>
                <w:szCs w:val="14"/>
                <w:color w:val="auto"/>
              </w:rPr>
              <w:t>Calendar Year 2021 Estimated Metrics</w:t>
            </w:r>
          </w:p>
        </w:tc>
      </w:tr>
      <w:tr>
        <w:trPr>
          <w:trHeight w:val="124"/>
        </w:trPr>
        <w:tc>
          <w:tcPr>
            <w:tcW w:w="880" w:type="dxa"/>
            <w:vAlign w:val="bottom"/>
            <w:tcBorders>
              <w:top w:val="single" w:sz="8" w:color="auto"/>
            </w:tcBorders>
          </w:tcPr>
          <w:p>
            <w:pPr>
              <w:spacing w:after="0"/>
              <w:rPr>
                <w:sz w:val="10"/>
                <w:szCs w:val="10"/>
                <w:color w:val="auto"/>
              </w:rPr>
            </w:pPr>
          </w:p>
        </w:tc>
        <w:tc>
          <w:tcPr>
            <w:tcW w:w="4340" w:type="dxa"/>
            <w:vAlign w:val="bottom"/>
          </w:tcPr>
          <w:p>
            <w:pPr>
              <w:spacing w:after="0"/>
              <w:rPr>
                <w:sz w:val="10"/>
                <w:szCs w:val="10"/>
                <w:color w:val="auto"/>
              </w:rPr>
            </w:pPr>
          </w:p>
        </w:tc>
        <w:tc>
          <w:tcPr>
            <w:tcW w:w="2020" w:type="dxa"/>
            <w:vAlign w:val="bottom"/>
            <w:tcBorders>
              <w:top w:val="single" w:sz="8" w:color="auto"/>
            </w:tcBorders>
            <w:gridSpan w:val="2"/>
          </w:tcPr>
          <w:p>
            <w:pPr>
              <w:jc w:val="right"/>
              <w:ind w:right="840"/>
              <w:spacing w:after="0" w:line="124" w:lineRule="exact"/>
              <w:rPr>
                <w:sz w:val="20"/>
                <w:szCs w:val="20"/>
                <w:color w:val="auto"/>
              </w:rPr>
            </w:pPr>
            <w:r>
              <w:rPr>
                <w:rFonts w:ascii="Times New Roman" w:cs="Times New Roman" w:eastAsia="Times New Roman" w:hAnsi="Times New Roman"/>
                <w:sz w:val="14"/>
                <w:szCs w:val="14"/>
                <w:b w:val="1"/>
                <w:bCs w:val="1"/>
                <w:color w:val="auto"/>
              </w:rPr>
              <w:t>Aggregate Value to</w:t>
            </w:r>
          </w:p>
        </w:tc>
        <w:tc>
          <w:tcPr>
            <w:tcW w:w="10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Price to Earnings</w:t>
            </w:r>
          </w:p>
        </w:tc>
        <w:tc>
          <w:tcPr>
            <w:tcW w:w="40" w:type="dxa"/>
            <w:vAlign w:val="bottom"/>
          </w:tcPr>
          <w:p>
            <w:pPr>
              <w:spacing w:after="0"/>
              <w:rPr>
                <w:sz w:val="10"/>
                <w:szCs w:val="10"/>
                <w:color w:val="auto"/>
              </w:rPr>
            </w:pPr>
          </w:p>
        </w:tc>
      </w:tr>
      <w:tr>
        <w:trPr>
          <w:trHeight w:val="173"/>
        </w:trPr>
        <w:tc>
          <w:tcPr>
            <w:tcW w:w="8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EBITDA Multiples</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Multiples</w:t>
            </w:r>
          </w:p>
        </w:tc>
      </w:tr>
      <w:tr>
        <w:trPr>
          <w:trHeight w:val="209"/>
        </w:trPr>
        <w:tc>
          <w:tcPr>
            <w:tcW w:w="5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 Instruments Incorporated</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19.3x</w:t>
            </w:r>
          </w:p>
        </w:tc>
        <w:tc>
          <w:tcPr>
            <w:tcW w:w="8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26.6x</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Microchip Technology Inc.</w:t>
            </w:r>
          </w:p>
        </w:tc>
        <w:tc>
          <w:tcPr>
            <w:tcW w:w="2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18.2x</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18.4x</w:t>
            </w:r>
          </w:p>
        </w:tc>
      </w:tr>
      <w:tr>
        <w:trPr>
          <w:trHeight w:val="21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NXP Semiconductors NV</w:t>
            </w:r>
          </w:p>
        </w:tc>
        <w:tc>
          <w:tcPr>
            <w:tcW w:w="20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15.5x</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21.3x</w:t>
            </w: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Analog Devices</w:t>
            </w:r>
          </w:p>
        </w:tc>
        <w:tc>
          <w:tcPr>
            <w:tcW w:w="2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19.1x</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23.8x</w:t>
            </w:r>
          </w:p>
        </w:tc>
      </w:tr>
      <w:tr>
        <w:trPr>
          <w:trHeight w:val="21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w:t>
            </w:r>
          </w:p>
        </w:tc>
        <w:tc>
          <w:tcPr>
            <w:tcW w:w="20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18.8x</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26.0x</w:t>
            </w:r>
          </w:p>
        </w:tc>
      </w:tr>
    </w:tbl>
    <w:p>
      <w:pPr>
        <w:sectPr>
          <w:pgSz w:w="11900" w:h="16838" w:orient="portrait"/>
          <w:cols w:equalWidth="0" w:num="1">
            <w:col w:w="11000"/>
          </w:cols>
          <w:pgMar w:left="440" w:top="266" w:right="459" w:bottom="1440" w:gutter="0" w:footer="0" w:header="0"/>
        </w:sectPr>
      </w:pPr>
    </w:p>
    <w:bookmarkStart w:id="3" w:name="page4"/>
    <w:bookmarkEnd w:id="3"/>
    <w:p>
      <w:pPr>
        <w:ind w:left="4"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disclosure on page 93 of the Definitive Proxy Statement is amended and supplemented by adding the following new disclosure following the last paragraph on such page:</w:t>
      </w:r>
    </w:p>
    <w:p>
      <w:pPr>
        <w:spacing w:after="0" w:line="2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Street Cases for Financial Projections Disclosure</w:t>
      </w:r>
    </w:p>
    <w:p>
      <w:pPr>
        <w:spacing w:after="0" w:line="119" w:lineRule="exact"/>
        <w:rPr>
          <w:sz w:val="20"/>
          <w:szCs w:val="20"/>
          <w:color w:val="auto"/>
        </w:rPr>
      </w:pPr>
    </w:p>
    <w:p>
      <w:pPr>
        <w:ind w:left="444"/>
        <w:spacing w:after="0" w:line="282" w:lineRule="auto"/>
        <w:rPr>
          <w:sz w:val="20"/>
          <w:szCs w:val="20"/>
          <w:color w:val="auto"/>
        </w:rPr>
      </w:pPr>
      <w:r>
        <w:rPr>
          <w:rFonts w:ascii="Times New Roman" w:cs="Times New Roman" w:eastAsia="Times New Roman" w:hAnsi="Times New Roman"/>
          <w:sz w:val="18"/>
          <w:szCs w:val="18"/>
          <w:color w:val="auto"/>
        </w:rPr>
        <w:t>Below are the Analog Devices Street Case and the Maxim Street Case that Morgan Stanley utilized for the purposes of certain analyses described above.</w:t>
      </w:r>
    </w:p>
    <w:p>
      <w:pPr>
        <w:spacing w:after="0" w:line="27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Analog Devices Street Case (in millions unless otherwise noted below)</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 Per Share</w:t>
            </w:r>
          </w:p>
        </w:tc>
      </w:tr>
      <w:tr>
        <w:trPr>
          <w:trHeight w:val="187"/>
        </w:trPr>
        <w:tc>
          <w:tcPr>
            <w:tcW w:w="3040" w:type="dxa"/>
            <w:vAlign w:val="bottom"/>
          </w:tcPr>
          <w:p>
            <w:pPr>
              <w:spacing w:after="0"/>
              <w:rPr>
                <w:sz w:val="16"/>
                <w:szCs w:val="16"/>
                <w:color w:val="auto"/>
              </w:rPr>
            </w:pPr>
          </w:p>
        </w:tc>
        <w:tc>
          <w:tcPr>
            <w:tcW w:w="3120" w:type="dxa"/>
            <w:vAlign w:val="bottom"/>
          </w:tcPr>
          <w:p>
            <w:pPr>
              <w:ind w:left="2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5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 / Share)</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CY2018A</w:t>
            </w:r>
          </w:p>
        </w:tc>
        <w:tc>
          <w:tcPr>
            <w:tcW w:w="31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$ 6,223</w:t>
            </w:r>
          </w:p>
        </w:tc>
        <w:tc>
          <w:tcPr>
            <w:tcW w:w="1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$ 3,430</w:t>
            </w:r>
          </w:p>
        </w:tc>
        <w:tc>
          <w:tcPr>
            <w:tcW w:w="13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$4,374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CY2019A</w:t>
            </w:r>
          </w:p>
        </w:tc>
        <w:tc>
          <w:tcPr>
            <w:tcW w:w="31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$ 5,754</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$ 3,093</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$3,955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CY2020E</w:t>
            </w:r>
          </w:p>
        </w:tc>
        <w:tc>
          <w:tcPr>
            <w:tcW w:w="31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$ 5,306</w:t>
            </w:r>
          </w:p>
        </w:tc>
        <w:tc>
          <w:tcPr>
            <w:tcW w:w="1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$ 2,418</w:t>
            </w:r>
          </w:p>
        </w:tc>
        <w:tc>
          <w:tcPr>
            <w:tcW w:w="13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$3,616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CY2021E</w:t>
            </w:r>
          </w:p>
        </w:tc>
        <w:tc>
          <w:tcPr>
            <w:tcW w:w="31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$ 5,825</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$ 2,705</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$4,070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CY2022E</w:t>
            </w:r>
          </w:p>
        </w:tc>
        <w:tc>
          <w:tcPr>
            <w:tcW w:w="31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$ 6,174</w:t>
            </w:r>
          </w:p>
        </w:tc>
        <w:tc>
          <w:tcPr>
            <w:tcW w:w="1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$ 2,879</w:t>
            </w:r>
          </w:p>
        </w:tc>
        <w:tc>
          <w:tcPr>
            <w:tcW w:w="13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$4,314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bl>
    <w:p>
      <w:pPr>
        <w:spacing w:after="0" w:line="225" w:lineRule="exact"/>
        <w:rPr>
          <w:sz w:val="20"/>
          <w:szCs w:val="20"/>
          <w:color w:val="auto"/>
        </w:rPr>
      </w:pPr>
    </w:p>
    <w:p>
      <w:pPr>
        <w:ind w:left="444" w:right="4800" w:hanging="444"/>
        <w:spacing w:after="0" w:line="575" w:lineRule="auto"/>
        <w:tabs>
          <w:tab w:leader="none" w:pos="4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Based on publicly available Thomson consensus estimates as of July 10, 2020. </w:t>
      </w:r>
      <w:r>
        <w:rPr>
          <w:rFonts w:ascii="Times New Roman" w:cs="Times New Roman" w:eastAsia="Times New Roman" w:hAnsi="Times New Roman"/>
          <w:sz w:val="18"/>
          <w:szCs w:val="18"/>
          <w:u w:val="single" w:color="auto"/>
          <w:color w:val="auto"/>
        </w:rPr>
        <w:t>Maxim Street Case (in millions unless otherwise noted below)</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bl>
      <w:tblPr>
        <w:tblLayout w:type="fixed"/>
        <w:tblInd w:w="444"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w:t>
            </w:r>
          </w:p>
        </w:tc>
      </w:tr>
      <w:tr>
        <w:trPr>
          <w:trHeight w:val="187"/>
        </w:trPr>
        <w:tc>
          <w:tcPr>
            <w:tcW w:w="3040" w:type="dxa"/>
            <w:vAlign w:val="bottom"/>
          </w:tcPr>
          <w:p>
            <w:pPr>
              <w:spacing w:after="0"/>
              <w:rPr>
                <w:sz w:val="16"/>
                <w:szCs w:val="16"/>
                <w:color w:val="auto"/>
              </w:rPr>
            </w:pPr>
          </w:p>
        </w:tc>
        <w:tc>
          <w:tcPr>
            <w:tcW w:w="3120" w:type="dxa"/>
            <w:vAlign w:val="bottom"/>
          </w:tcPr>
          <w:p>
            <w:pPr>
              <w:ind w:left="2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5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 / Share)</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CY2018A</w:t>
            </w:r>
          </w:p>
        </w:tc>
        <w:tc>
          <w:tcPr>
            <w:tcW w:w="31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$ 2,497</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1,037</w:t>
            </w:r>
          </w:p>
        </w:tc>
        <w:tc>
          <w:tcPr>
            <w:tcW w:w="13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$1,677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CY2019A</w:t>
            </w:r>
          </w:p>
        </w:tc>
        <w:tc>
          <w:tcPr>
            <w:tcW w:w="31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$ 2,183</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769</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$1,417</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CY2020E</w:t>
            </w:r>
          </w:p>
        </w:tc>
        <w:tc>
          <w:tcPr>
            <w:tcW w:w="31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$ 2,105</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731</w:t>
            </w:r>
          </w:p>
        </w:tc>
        <w:tc>
          <w:tcPr>
            <w:tcW w:w="13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$1,394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CY2021E</w:t>
            </w:r>
          </w:p>
        </w:tc>
        <w:tc>
          <w:tcPr>
            <w:tcW w:w="31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$ 2,262</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891</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$1,500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CY2022E</w:t>
            </w:r>
          </w:p>
        </w:tc>
        <w:tc>
          <w:tcPr>
            <w:tcW w:w="31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$ 2,398</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959</w:t>
            </w:r>
          </w:p>
        </w:tc>
        <w:tc>
          <w:tcPr>
            <w:tcW w:w="13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$1,590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bl>
    <w:p>
      <w:pPr>
        <w:spacing w:after="0" w:line="225"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publicly available Thomson consensus estimates as of July 10, 2020.</w:t>
      </w:r>
    </w:p>
    <w:p>
      <w:pPr>
        <w:spacing w:after="0" w:line="329"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section of the Definitive Proxy Statement entitled “THE MERGER—Opinions of Analog Devices’ Financial Advisors—Opinion of BofA Securities” is amended and supplemented as follows:</w:t>
      </w:r>
    </w:p>
    <w:p>
      <w:pPr>
        <w:spacing w:after="0" w:line="5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first sentence of the first full paragraph on page 97 of the Definitive Proxy Statement under the subheading “Selected Publicly Traded Companies Analysis” is amended and restated in its entirety to read as follows:</w:t>
      </w:r>
    </w:p>
    <w:p>
      <w:pPr>
        <w:spacing w:after="0" w:line="54" w:lineRule="exact"/>
        <w:rPr>
          <w:sz w:val="20"/>
          <w:szCs w:val="20"/>
          <w:color w:val="auto"/>
        </w:rPr>
      </w:pPr>
    </w:p>
    <w:p>
      <w:pPr>
        <w:ind w:left="444" w:right="40"/>
        <w:spacing w:after="0" w:line="261" w:lineRule="auto"/>
        <w:rPr>
          <w:sz w:val="20"/>
          <w:szCs w:val="20"/>
          <w:color w:val="auto"/>
        </w:rPr>
      </w:pPr>
      <w:r>
        <w:rPr>
          <w:rFonts w:ascii="Times New Roman" w:cs="Times New Roman" w:eastAsia="Times New Roman" w:hAnsi="Times New Roman"/>
          <w:sz w:val="18"/>
          <w:szCs w:val="18"/>
          <w:color w:val="auto"/>
        </w:rPr>
        <w:t>BofA Securities reviewed publicly available financial and stock market information for Maxim and 11 publicly traded companies in the semiconductor and related devices industry, four of which it classified as “core” companies (selected publicly traded companies with products, operations and customers that were most comparable to Maxim). The selected publicly traded companies and their respective calendar year 2021 adjusted EPS and adjusted EBITDA multiples were as follows:</w:t>
      </w:r>
    </w:p>
    <w:p>
      <w:pPr>
        <w:spacing w:after="0" w:line="188"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25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Price / CY2021E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EV / CY2021E Adj.</w:t>
            </w:r>
          </w:p>
        </w:tc>
        <w:tc>
          <w:tcPr>
            <w:tcW w:w="0" w:type="dxa"/>
            <w:vAlign w:val="bottom"/>
          </w:tcPr>
          <w:p>
            <w:pPr>
              <w:spacing w:after="0"/>
              <w:rPr>
                <w:sz w:val="1"/>
                <w:szCs w:val="1"/>
                <w:color w:val="auto"/>
              </w:rPr>
            </w:pPr>
          </w:p>
        </w:tc>
      </w:tr>
      <w:tr>
        <w:trPr>
          <w:trHeight w:val="173"/>
        </w:trPr>
        <w:tc>
          <w:tcPr>
            <w:tcW w:w="4100" w:type="dxa"/>
            <w:vAlign w:val="bottom"/>
            <w:vMerge w:val="continue"/>
          </w:tcPr>
          <w:p>
            <w:pPr>
              <w:spacing w:after="0"/>
              <w:rPr>
                <w:sz w:val="15"/>
                <w:szCs w:val="15"/>
                <w:color w:val="auto"/>
              </w:rPr>
            </w:pPr>
          </w:p>
        </w:tc>
        <w:tc>
          <w:tcPr>
            <w:tcW w:w="25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Adj. EPS Multiple</w:t>
            </w: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EBITDA Multiple</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 Instruments Incorporated (core)</w:t>
            </w:r>
          </w:p>
        </w:tc>
        <w:tc>
          <w:tcPr>
            <w:tcW w:w="2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26.4x</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Analog Devices, Inc. (core)</w:t>
            </w:r>
          </w:p>
        </w:tc>
        <w:tc>
          <w:tcPr>
            <w:tcW w:w="25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24.2x</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NXP Semiconductors N.V. (core)</w:t>
            </w:r>
          </w:p>
        </w:tc>
        <w:tc>
          <w:tcPr>
            <w:tcW w:w="2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21.0x</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Microchip Technology Incorporated (core)</w:t>
            </w:r>
          </w:p>
        </w:tc>
        <w:tc>
          <w:tcPr>
            <w:tcW w:w="25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18.6x</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Broadcom Inc. (other)</w:t>
            </w:r>
          </w:p>
        </w:tc>
        <w:tc>
          <w:tcPr>
            <w:tcW w:w="2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16.4x</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Infineon Technologies AG (other)</w:t>
            </w:r>
          </w:p>
        </w:tc>
        <w:tc>
          <w:tcPr>
            <w:tcW w:w="25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16.7x</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STMicroelectronics N.V. (other)</w:t>
            </w:r>
          </w:p>
        </w:tc>
        <w:tc>
          <w:tcPr>
            <w:tcW w:w="2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21.1x</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Marvell Technology Group Ltd. (other)</w:t>
            </w:r>
          </w:p>
        </w:tc>
        <w:tc>
          <w:tcPr>
            <w:tcW w:w="25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44.7x</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Renesas Electronics Corporation (other)</w:t>
            </w:r>
          </w:p>
        </w:tc>
        <w:tc>
          <w:tcPr>
            <w:tcW w:w="2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10.8x</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Inphi Corporation (other)</w:t>
            </w:r>
          </w:p>
        </w:tc>
        <w:tc>
          <w:tcPr>
            <w:tcW w:w="25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68.1x</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Semtech Corporation (other)</w:t>
            </w:r>
          </w:p>
        </w:tc>
        <w:tc>
          <w:tcPr>
            <w:tcW w:w="2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42.1x</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24.0x</w:t>
            </w:r>
          </w:p>
        </w:tc>
        <w:tc>
          <w:tcPr>
            <w:tcW w:w="0" w:type="dxa"/>
            <w:vAlign w:val="bottom"/>
          </w:tcPr>
          <w:p>
            <w:pPr>
              <w:spacing w:after="0"/>
              <w:rPr>
                <w:sz w:val="1"/>
                <w:szCs w:val="1"/>
                <w:color w:val="auto"/>
              </w:rPr>
            </w:pPr>
          </w:p>
        </w:tc>
      </w:tr>
    </w:tbl>
    <w:p>
      <w:pPr>
        <w:sectPr>
          <w:pgSz w:w="11900" w:h="16838" w:orient="portrait"/>
          <w:cols w:equalWidth="0" w:num="1">
            <w:col w:w="10904"/>
          </w:cols>
          <w:pgMar w:left="436" w:top="270" w:right="559" w:bottom="1440" w:gutter="0" w:footer="0" w:header="0"/>
        </w:sectPr>
      </w:pPr>
    </w:p>
    <w:bookmarkStart w:id="4" w:name="page5"/>
    <w:bookmarkEnd w:id="4"/>
    <w:p>
      <w:pPr>
        <w:ind w:right="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disclosure on page 98 of the Definitive Proxy Statement is amended and supplemented by adding the phrase “and divided by the fully diluted shares outstanding, calculated using the treasury stock method, to derive an implied equity value per share” following the phrase “BofA Securities added net cash projected as of June 30, 2020 of $692 million to derive equity values” in the penultimate sentence of the second full paragraph on such page.</w:t>
      </w:r>
    </w:p>
    <w:p>
      <w:pPr>
        <w:spacing w:after="0" w:line="1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first sentence of the third full paragraph on page 98 of the Definitive Proxy Statement under the subheading “Selected Publicly Traded Companies Analysis” is amended and restated in its entirety to read as follows:</w:t>
      </w:r>
    </w:p>
    <w:p>
      <w:pPr>
        <w:spacing w:after="0" w:line="54" w:lineRule="exact"/>
        <w:rPr>
          <w:sz w:val="20"/>
          <w:szCs w:val="20"/>
          <w:color w:val="auto"/>
        </w:rPr>
      </w:pPr>
    </w:p>
    <w:p>
      <w:pPr>
        <w:ind w:left="440" w:right="160"/>
        <w:spacing w:after="0" w:line="261" w:lineRule="auto"/>
        <w:rPr>
          <w:sz w:val="20"/>
          <w:szCs w:val="20"/>
          <w:color w:val="auto"/>
        </w:rPr>
      </w:pPr>
      <w:r>
        <w:rPr>
          <w:rFonts w:ascii="Times New Roman" w:cs="Times New Roman" w:eastAsia="Times New Roman" w:hAnsi="Times New Roman"/>
          <w:sz w:val="18"/>
          <w:szCs w:val="18"/>
          <w:color w:val="auto"/>
        </w:rPr>
        <w:t>BofA Securities reviewed publicly available financial and stock market information for Analog Devices and 11 publicly traded companies in the semiconductor and related devices industry, four of which BofA Securities classified as “core” companies (selected publicly traded companies with products, operations and customers that were most comparable to Analog Devices). The selected publicly traded companies and their respective calendar year 2021 adjusted EPS and adjusted EBITDA multiples were as follows:</w:t>
      </w:r>
    </w:p>
    <w:p>
      <w:pPr>
        <w:spacing w:after="0" w:line="18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25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Price / CY2021E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EV / CY2021E Adj.</w:t>
            </w:r>
          </w:p>
        </w:tc>
        <w:tc>
          <w:tcPr>
            <w:tcW w:w="0" w:type="dxa"/>
            <w:vAlign w:val="bottom"/>
          </w:tcPr>
          <w:p>
            <w:pPr>
              <w:spacing w:after="0"/>
              <w:rPr>
                <w:sz w:val="1"/>
                <w:szCs w:val="1"/>
                <w:color w:val="auto"/>
              </w:rPr>
            </w:pPr>
          </w:p>
        </w:tc>
      </w:tr>
      <w:tr>
        <w:trPr>
          <w:trHeight w:val="173"/>
        </w:trPr>
        <w:tc>
          <w:tcPr>
            <w:tcW w:w="4100" w:type="dxa"/>
            <w:vAlign w:val="bottom"/>
            <w:vMerge w:val="continue"/>
          </w:tcPr>
          <w:p>
            <w:pPr>
              <w:spacing w:after="0"/>
              <w:rPr>
                <w:sz w:val="15"/>
                <w:szCs w:val="15"/>
                <w:color w:val="auto"/>
              </w:rPr>
            </w:pPr>
          </w:p>
        </w:tc>
        <w:tc>
          <w:tcPr>
            <w:tcW w:w="25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Adj. EPS Multiple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EBITDA Multiple</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 Instruments Incorporated (core)</w:t>
            </w:r>
          </w:p>
        </w:tc>
        <w:tc>
          <w:tcPr>
            <w:tcW w:w="2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26.4x</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NXP Semiconductors N.V. (core)</w:t>
            </w:r>
          </w:p>
        </w:tc>
        <w:tc>
          <w:tcPr>
            <w:tcW w:w="25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21.0x</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Microchip Technology Incorporated (core)</w:t>
            </w:r>
          </w:p>
        </w:tc>
        <w:tc>
          <w:tcPr>
            <w:tcW w:w="2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18.6x</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Maxim Integrated Products, Inc. (core)</w:t>
            </w:r>
          </w:p>
        </w:tc>
        <w:tc>
          <w:tcPr>
            <w:tcW w:w="25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26.9x</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Broadcom Inc. (other)</w:t>
            </w:r>
          </w:p>
        </w:tc>
        <w:tc>
          <w:tcPr>
            <w:tcW w:w="2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16.4x</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Infineon Technologies AG (other)</w:t>
            </w:r>
          </w:p>
        </w:tc>
        <w:tc>
          <w:tcPr>
            <w:tcW w:w="25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16.7x</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STMicroelectronics N.V. (other)</w:t>
            </w:r>
          </w:p>
        </w:tc>
        <w:tc>
          <w:tcPr>
            <w:tcW w:w="2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21.1x</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Marvell Technology Group Ltd. (other)</w:t>
            </w:r>
          </w:p>
        </w:tc>
        <w:tc>
          <w:tcPr>
            <w:tcW w:w="25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44.7x</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Renesas Electronics Corporation (other)</w:t>
            </w:r>
          </w:p>
        </w:tc>
        <w:tc>
          <w:tcPr>
            <w:tcW w:w="2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10.8x</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Inphi Corporation (other)</w:t>
            </w:r>
          </w:p>
        </w:tc>
        <w:tc>
          <w:tcPr>
            <w:tcW w:w="25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68.1x</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Semtech Corporation (other)</w:t>
            </w:r>
          </w:p>
        </w:tc>
        <w:tc>
          <w:tcPr>
            <w:tcW w:w="2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42.1x</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24.0x</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disclosure on page 99 of the Definitive Proxy Statement is amended and supplemented by adding the phrase “and divided by the fully diluted shares outstanding, calculated using the treasury stock method, to derive an implied equity value per share” following the phrase “BofA Securities deducted net debt as of May 2, 2020 of $4,806 million to derive equity values” in the penultimate sentence of the second full paragraph on such page.</w:t>
      </w:r>
    </w:p>
    <w:p>
      <w:pPr>
        <w:spacing w:after="0" w:line="280" w:lineRule="exact"/>
        <w:rPr>
          <w:sz w:val="20"/>
          <w:szCs w:val="20"/>
          <w:color w:val="auto"/>
        </w:rPr>
      </w:pPr>
    </w:p>
    <w:p>
      <w:pPr>
        <w:ind w:right="1060"/>
        <w:spacing w:after="0" w:line="286" w:lineRule="auto"/>
        <w:rPr>
          <w:sz w:val="20"/>
          <w:szCs w:val="20"/>
          <w:color w:val="auto"/>
        </w:rPr>
      </w:pPr>
      <w:r>
        <w:rPr>
          <w:rFonts w:ascii="Times New Roman" w:cs="Times New Roman" w:eastAsia="Times New Roman" w:hAnsi="Times New Roman"/>
          <w:sz w:val="18"/>
          <w:szCs w:val="18"/>
          <w:b w:val="1"/>
          <w:bCs w:val="1"/>
          <w:color w:val="auto"/>
        </w:rPr>
        <w:t>The section of the Definitive Proxy Statement entitled “THE MERGER—Opinion of Maxim’s Financial Advisor” is amended and supplemented as follows: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on page 106 of the Definitive Proxy Statement is amended and supplemented by:</w:t>
      </w:r>
    </w:p>
    <w:p>
      <w:pPr>
        <w:spacing w:after="0" w:line="131" w:lineRule="exact"/>
        <w:rPr>
          <w:sz w:val="20"/>
          <w:szCs w:val="20"/>
          <w:color w:val="auto"/>
        </w:rPr>
      </w:pPr>
    </w:p>
    <w:p>
      <w:pPr>
        <w:jc w:val="both"/>
        <w:ind w:left="960" w:right="28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full paragraph, adding “, which range J.P. Morgan determined on the basis of its professional judgment and experience in the industry,” following the phrase “by applying terminal growth rates ranging from 2.5% to 3.5%” and before the phrase “to the unlevered free cash flows of Maxim at the end of fiscal year 2029” in such paragraph;</w:t>
      </w:r>
    </w:p>
    <w:p>
      <w:pPr>
        <w:spacing w:after="0" w:line="81"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full paragraph, adding “, taking into account macro-economic assumptions, estimates of risk, Maxim’s capital structure and other factors that J.P. Morgan deemed appropriate” following the phrase “a discount rate range of 8.25% to 10.25%, which was chosen by J.P. Morgan based upon an analysis of the weighted average cost of capital of Maxim” in such paragraph; and</w:t>
      </w:r>
    </w:p>
    <w:p>
      <w:pPr>
        <w:sectPr>
          <w:pgSz w:w="11900" w:h="16838" w:orient="portrait"/>
          <w:cols w:equalWidth="0" w:num="1">
            <w:col w:w="11000"/>
          </w:cols>
          <w:pgMar w:left="440" w:top="270" w:right="459" w:bottom="1440" w:gutter="0" w:footer="0" w:header="0"/>
        </w:sectPr>
      </w:pPr>
    </w:p>
    <w:bookmarkStart w:id="5" w:name="page6"/>
    <w:bookmarkEnd w:id="5"/>
    <w:p>
      <w:pPr>
        <w:ind w:left="960" w:right="34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first full paragraph, adding “estimated” prior to the phrase “net cash balance of Maxim” and adding “of $641 million” following such phrase and prior to the phrase “as of June 30, 2020” in the final sentence in such paragraph.</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disclosure in the second full paragraph on page 107 of the Definitive Proxy Statement is amended and supplemented by adding “, which range J.P. Morgan determined on the basis of its professional judgment and experience in the industry” following the phrase “J.P. Morgan selected a FV/NTM EBITDA reference range for Maxim of 17.0x to 26.5x” in the first sentence in such paragraph.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on page 108 of the Definitive Proxy Statement is amended and supplemented by:</w:t>
      </w:r>
    </w:p>
    <w:p>
      <w:pPr>
        <w:spacing w:after="0" w:line="131" w:lineRule="exact"/>
        <w:rPr>
          <w:sz w:val="20"/>
          <w:szCs w:val="20"/>
          <w:color w:val="auto"/>
        </w:rPr>
      </w:pPr>
    </w:p>
    <w:p>
      <w:pPr>
        <w:ind w:left="960" w:hanging="424"/>
        <w:spacing w:after="0" w:line="26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full paragraph under the subheading “Discounted Cash Flow Analysis”, adding “, which range J.P. Morgan determined on the basis of its professional judgment and experience in the industry,” following the phrase “by applying terminal growth rates ranging from 2.5% to 3.5%” and before the phrase “to the unlevered free cash flows of Analog Devices at the end of fiscal year 2029” in such paragraph;</w:t>
      </w:r>
    </w:p>
    <w:p>
      <w:pPr>
        <w:spacing w:after="0" w:line="85" w:lineRule="exact"/>
        <w:rPr>
          <w:rFonts w:ascii="Times New Roman" w:cs="Times New Roman" w:eastAsia="Times New Roman" w:hAnsi="Times New Roman"/>
          <w:sz w:val="18"/>
          <w:szCs w:val="18"/>
          <w:color w:val="auto"/>
        </w:rPr>
      </w:pPr>
    </w:p>
    <w:p>
      <w:pPr>
        <w:ind w:left="960" w:right="140" w:hanging="424"/>
        <w:spacing w:after="0" w:line="26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full paragraph under the subheading “Discounted Cash Flow Analysis”, adding “, taking into account macro-economic assumptions, estimates of risk, Analog Devices’ capital structure and other factors that J.P. Morgan deemed appropriate” following the phrase “a discount rate range of 8.25% to 10.25%, which was chosen by J.P. Morgan based upon an analysis of the weighted average cost of capital of Analog Devices” in such paragraph; and</w:t>
      </w:r>
    </w:p>
    <w:p>
      <w:pPr>
        <w:spacing w:after="0" w:line="85"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full paragraph under the subheading “Discounted Cash Flow Analysis”, adding “of $4.8 billion” following such phrase “net debt balance of Analog Devices” and prior to the phrase “as of May 2, 2020” in the final sentence in such paragraph.</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disclosure on page 109 of the Definitive Proxy Statement is amended and supplemented by adding the phrase “, both of which J.P. Morgan determined to be appropriate based on its professional judgment and experience in the industry” following the phrase “using a discount rate of 9.25% and a terminal value growth rate of 3.0%” following the paragraph on such page that appears under the heading “Value Creation Analysis—Intrinsic (DCF) Based Approach”.</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disclosure on page 110 of the Definitive Proxy Statement is amended and supplemented by adding the phrase “, which J.P. Morgan determined on the basis of its professional judgment and experience in the industry” following the phrase “in each case discounted by 1 year at cost of equity of 10.0%” in the first partial paragraph on such page.</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disclosure on page 111 of the Definitive Proxy Statement is amended and supplemented by adding the following new sentence after the first partial sentence on such page:</w:t>
      </w:r>
    </w:p>
    <w:p>
      <w:pPr>
        <w:spacing w:after="0" w:line="54" w:lineRule="exact"/>
        <w:rPr>
          <w:sz w:val="20"/>
          <w:szCs w:val="20"/>
          <w:color w:val="auto"/>
        </w:rPr>
      </w:pPr>
    </w:p>
    <w:p>
      <w:pPr>
        <w:ind w:left="440" w:right="140"/>
        <w:spacing w:after="0" w:line="282" w:lineRule="auto"/>
        <w:rPr>
          <w:sz w:val="20"/>
          <w:szCs w:val="20"/>
          <w:color w:val="auto"/>
        </w:rPr>
      </w:pPr>
      <w:r>
        <w:rPr>
          <w:rFonts w:ascii="Times New Roman" w:cs="Times New Roman" w:eastAsia="Times New Roman" w:hAnsi="Times New Roman"/>
          <w:sz w:val="18"/>
          <w:szCs w:val="18"/>
          <w:color w:val="auto"/>
        </w:rPr>
        <w:t>“During the two years preceding the date of J.P. Morgan’s written opinion, J.P. Morgan and its affiliates did not have any material commercial or investment banking relationships with Maxim for which J.P. Morgan or its affiliates has recognized compensation.”</w:t>
      </w:r>
    </w:p>
    <w:p>
      <w:pPr>
        <w:sectPr>
          <w:pgSz w:w="11900" w:h="16838" w:orient="portrait"/>
          <w:cols w:equalWidth="0" w:num="1">
            <w:col w:w="11000"/>
          </w:cols>
          <w:pgMar w:left="440" w:top="270" w:right="459" w:bottom="1440" w:gutter="0" w:footer="0" w:header="0"/>
        </w:sectPr>
      </w:pPr>
    </w:p>
    <w:bookmarkStart w:id="6" w:name="page7"/>
    <w:bookmarkEnd w:id="6"/>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section of the Definitive Proxy Statement entitled “THE MERGER—Maxim Unaudited Financial Projections” is amended and supplemented as follows:</w:t>
      </w:r>
    </w:p>
    <w:p>
      <w:pPr>
        <w:spacing w:after="0" w:line="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disclosure on page 116 of the Definitive Proxy Statement is amended and supplemented by adding the following new rows to the table on such page titled “Summary of the Maxim Projections”: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1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Fiscal Year Ended June</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5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2020E</w:t>
            </w:r>
          </w:p>
        </w:tc>
        <w:tc>
          <w:tcPr>
            <w:tcW w:w="80" w:type="dxa"/>
            <w:vAlign w:val="bottom"/>
          </w:tcPr>
          <w:p>
            <w:pPr>
              <w:spacing w:after="0"/>
              <w:rPr>
                <w:sz w:val="12"/>
                <w:szCs w:val="12"/>
                <w:color w:val="auto"/>
              </w:rPr>
            </w:pPr>
          </w:p>
        </w:tc>
        <w:tc>
          <w:tcPr>
            <w:tcW w:w="52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2021E</w:t>
            </w:r>
          </w:p>
        </w:tc>
        <w:tc>
          <w:tcPr>
            <w:tcW w:w="80" w:type="dxa"/>
            <w:vAlign w:val="bottom"/>
          </w:tcPr>
          <w:p>
            <w:pPr>
              <w:spacing w:after="0"/>
              <w:rPr>
                <w:sz w:val="12"/>
                <w:szCs w:val="12"/>
                <w:color w:val="auto"/>
              </w:rPr>
            </w:pPr>
          </w:p>
        </w:tc>
        <w:tc>
          <w:tcPr>
            <w:tcW w:w="52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2022E</w:t>
            </w:r>
          </w:p>
        </w:tc>
        <w:tc>
          <w:tcPr>
            <w:tcW w:w="60" w:type="dxa"/>
            <w:vAlign w:val="bottom"/>
          </w:tcPr>
          <w:p>
            <w:pPr>
              <w:spacing w:after="0"/>
              <w:rPr>
                <w:sz w:val="12"/>
                <w:szCs w:val="12"/>
                <w:color w:val="auto"/>
              </w:rPr>
            </w:pPr>
          </w:p>
        </w:tc>
        <w:tc>
          <w:tcPr>
            <w:tcW w:w="54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2023E</w:t>
            </w:r>
          </w:p>
        </w:tc>
        <w:tc>
          <w:tcPr>
            <w:tcW w:w="60" w:type="dxa"/>
            <w:vAlign w:val="bottom"/>
          </w:tcPr>
          <w:p>
            <w:pPr>
              <w:spacing w:after="0"/>
              <w:rPr>
                <w:sz w:val="12"/>
                <w:szCs w:val="12"/>
                <w:color w:val="auto"/>
              </w:rPr>
            </w:pPr>
          </w:p>
        </w:tc>
        <w:tc>
          <w:tcPr>
            <w:tcW w:w="5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2024E</w:t>
            </w:r>
          </w:p>
        </w:tc>
        <w:tc>
          <w:tcPr>
            <w:tcW w:w="80" w:type="dxa"/>
            <w:vAlign w:val="bottom"/>
          </w:tcPr>
          <w:p>
            <w:pPr>
              <w:spacing w:after="0"/>
              <w:rPr>
                <w:sz w:val="12"/>
                <w:szCs w:val="12"/>
                <w:color w:val="auto"/>
              </w:rPr>
            </w:pPr>
          </w:p>
        </w:tc>
        <w:tc>
          <w:tcPr>
            <w:tcW w:w="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80" w:type="dxa"/>
            <w:vAlign w:val="bottom"/>
          </w:tcPr>
          <w:p>
            <w:pPr>
              <w:spacing w:after="0"/>
              <w:rPr>
                <w:sz w:val="12"/>
                <w:szCs w:val="12"/>
                <w:color w:val="auto"/>
              </w:rPr>
            </w:pPr>
          </w:p>
        </w:tc>
        <w:tc>
          <w:tcPr>
            <w:tcW w:w="52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2026E</w:t>
            </w:r>
          </w:p>
        </w:tc>
        <w:tc>
          <w:tcPr>
            <w:tcW w:w="60" w:type="dxa"/>
            <w:vAlign w:val="bottom"/>
          </w:tcPr>
          <w:p>
            <w:pPr>
              <w:spacing w:after="0"/>
              <w:rPr>
                <w:sz w:val="12"/>
                <w:szCs w:val="12"/>
                <w:color w:val="auto"/>
              </w:rPr>
            </w:pPr>
          </w:p>
        </w:tc>
        <w:tc>
          <w:tcPr>
            <w:tcW w:w="5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80" w:type="dxa"/>
            <w:vAlign w:val="bottom"/>
          </w:tcPr>
          <w:p>
            <w:pPr>
              <w:spacing w:after="0"/>
              <w:rPr>
                <w:sz w:val="12"/>
                <w:szCs w:val="12"/>
                <w:color w:val="auto"/>
              </w:rPr>
            </w:pPr>
          </w:p>
        </w:tc>
        <w:tc>
          <w:tcPr>
            <w:tcW w:w="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8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2029E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(79)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(91)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Working Capital</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(41)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disclosure on page 117 of the Definitive Proxy Statement is amended and supplemented by adding the phrase “assuming an effective tax rate of 13%” following the phrase “and after taxes” and before the parenthetical “(and including stock-based compensation expense)” in footnote (2) to the table commencing on page 116 of the Definitive Proxy Statement titled “Summary of the Maxim Projections”.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disclosure on page 117 of the Definitive Proxy Statement is amended and supplemented by adding the following new rows to the table on such page titled “Summary of the Analog Devices Projections”: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Fiscal Year Ended October</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vMerge w:val="continue"/>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2020E</w:t>
            </w:r>
          </w:p>
        </w:tc>
        <w:tc>
          <w:tcPr>
            <w:tcW w:w="6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2021E</w:t>
            </w: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2022E</w:t>
            </w:r>
          </w:p>
        </w:tc>
        <w:tc>
          <w:tcPr>
            <w:tcW w:w="6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2023E</w:t>
            </w: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2024E</w:t>
            </w: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6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6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6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4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$ 215</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$ 220</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$ 230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$ 230</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$ 209</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$ 223</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$ 239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$(180)</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$(220)</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$(230)</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$(230)</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$(209)</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$(223)</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2"/>
              </w:rPr>
              <w:t>(256)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(273)</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(287)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Working Capital and Other</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$(108)</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$(152)</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$(135)</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$(120)</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$(180)</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$(222)</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disclosure on page 117 of the Definitive Proxy Statement is amended and supplemented by adding the phrase “assuming an effective tax rate of 12%” following the phrase “and after taxes” and before the parenthetical “(and including stock-based compensation expense)” in footnote (2) to the table on such page titled “Summary of the Analog Devices Projections”.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filing relates to the proposed business combination transaction between ADI and Maxim. This communication contains “forward-looking statements” within the meaning of the federal securities laws. Forward-looking statements address a variety of subjects, including, for example, projections as to the anticipated benefits of the proposed transaction, the anticipated impact of the proposed transaction on the combined organization’s business and future financial and operating results, the expected amount and timing of synergies from the proposed transaction, and the anticipated closing date for the proposed transaction. Statements that are not historical facts, including statements about ADI’s and Maxim’s beliefs, plans and expectations, are forward-looking statements. Such statements are based on ADI’s and Maxim’s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ADI’s or Maxim’s estimates of their respective expected tax rates based on current tax law; ADI’s ability to successfully integrate Maxim’s businesses and technologies; the risk that the expected benefits and synergies of the proposed transaction and growth prospects of the combined company may not be fully achieved in a timely manner, or at all; adverse results in litigation matters, including the potential for litigation related to the proposed transaction; the risk that ADI or Maxim will be unable to retain and hire key personnel; the risk associated with ADI’s and Maxim’s ability to obtain the</w:t>
      </w:r>
    </w:p>
    <w:p>
      <w:pPr>
        <w:sectPr>
          <w:pgSz w:w="11900" w:h="16838" w:orient="portrait"/>
          <w:cols w:equalWidth="0" w:num="1">
            <w:col w:w="11020"/>
          </w:cols>
          <w:pgMar w:left="440" w:top="266" w:right="439" w:bottom="1440" w:gutter="0" w:footer="0" w:header="0"/>
        </w:sectPr>
      </w:pPr>
    </w:p>
    <w:bookmarkStart w:id="7" w:name="page8"/>
    <w:bookmarkEnd w:id="7"/>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approvals of their respective shareholders required to consummate the proposed transaction and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ADI’s common stock; the diversion of management time on transaction-related matters; ADI’s ability to successfully integrate acquired businesses and technologies; and the risk that expected benefits, synergies and growth prospects of acquisitions may not be fully achieved in a timely manner, or at all. For additional information about other factors that could cause actual results to differ materially from those described in the forward-looking statements, please refer to ADI’s and Maxim’s respective periodic reports and other filings with the Securities and Exchange Commission (“SEC”), including the risk factors contained in ADI’s and Maxim’s most recent Quarterly Reports on Form 10-Q and Annual Reports on Form 10-K. Forward-looking statements represent management’s current expectations and are inherently uncertain. Except as required by law, neither ADI nor Maxim undertakes or assumes any obligation to update any forward-looking statements, whether as a result of new information or to reflect subsequent events or circumstances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on August 17, 2020, ADI filed with the SEC a registration statement on Form S-4 (as amended on September 1, 2020 and as it may be supplemented from time to time, the “registration statement”) that includes a joint proxy statement of ADI and Maxim and that also constitutes a prospectus of ADI. The registration statement was declared effective by the SEC on September 3, 2020, and on September 4, 2020 ADI and Maxim each filed the definitive joint proxy statement/prospectus in connection with the proposed transaction (the “definitive joint proxy statement/prospectus”) with the SEC. ADI and Maxim commenced mailing the definitive joint proxy statement/prospectus to shareholders of ADI and stockholders of Maxim on or about September 4, 2020. Each of ADI and Maxim will also file other relevant documents with the SEC regarding the proposed transaction. This document is not a substitute for the registration statement, the definitive joint proxy statement/prospectus, or any other document that ADI or Maxim have or may file with the SEC. INVESTORS AND SECURITY HOLDERS ARE URGED TO READ THE REGISTRATION STATEMENT, DEFINITIVE JOINT PROXY STATEMENT/PROSPECTUS, AND ANY OTHER RELEVANT DOCUMENTS THAT HAVE BEEN OR MAY BE FILED WITH THE SEC, AS WELL AS ANY AMENDMENTS OR SUPPLEMENTS TO THESE DOCUMENTS, CAREFULLY AND IN THEIR ENTIRETY IF AND WHEN THEY BECOME AVAILABLE BECAUSE THEY CONTAIN OR WILL CONTAIN IMPORTANT INFORMATION ABOUT THE PROPOSED TRANSACTION. Investors and security holders may obtain free copies of the registration statement and definitive joint proxy statement/prospectus and other documents containing important information about ADI, Maxim and the proposed transaction (once such other documents are filed with the SEC) through the website maintained by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Copies of the documents filed with the SEC by ADI may be obtained free of charge on ADI’s website at http://www.analog.com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contacting ADI’s Investor Relations Department by email at </w:t>
      </w:r>
      <w:r>
        <w:rPr>
          <w:rFonts w:ascii="Times New Roman" w:cs="Times New Roman" w:eastAsia="Times New Roman" w:hAnsi="Times New Roman"/>
          <w:sz w:val="18"/>
          <w:szCs w:val="18"/>
          <w:i w:val="1"/>
          <w:iCs w:val="1"/>
          <w:color w:val="auto"/>
        </w:rPr>
        <w:t>investor.relations@analog.com</w:t>
      </w:r>
      <w:r>
        <w:rPr>
          <w:rFonts w:ascii="Times New Roman" w:cs="Times New Roman" w:eastAsia="Times New Roman" w:hAnsi="Times New Roman"/>
          <w:sz w:val="18"/>
          <w:szCs w:val="18"/>
          <w:color w:val="auto"/>
        </w:rPr>
        <w:t xml:space="preserve"> or by phone at 781-461-3282. Copies of the documents filed with the SEC by Maxim may be obtained free of charge on Maxim’s website at </w:t>
      </w:r>
      <w:r>
        <w:rPr>
          <w:rFonts w:ascii="Times New Roman" w:cs="Times New Roman" w:eastAsia="Times New Roman" w:hAnsi="Times New Roman"/>
          <w:sz w:val="18"/>
          <w:szCs w:val="18"/>
          <w:i w:val="1"/>
          <w:iCs w:val="1"/>
          <w:color w:val="auto"/>
        </w:rPr>
        <w:t>investor.maximintegrated.com</w:t>
      </w:r>
      <w:r>
        <w:rPr>
          <w:rFonts w:ascii="Times New Roman" w:cs="Times New Roman" w:eastAsia="Times New Roman" w:hAnsi="Times New Roman"/>
          <w:sz w:val="18"/>
          <w:szCs w:val="18"/>
          <w:color w:val="auto"/>
        </w:rPr>
        <w:t xml:space="preserve"> or by contacting Maxim’s Investor Relations department by phone at 408-601-5697.</w:t>
      </w:r>
    </w:p>
    <w:p>
      <w:pPr>
        <w:sectPr>
          <w:pgSz w:w="11900" w:h="16838" w:orient="portrait"/>
          <w:cols w:equalWidth="0" w:num="1">
            <w:col w:w="10980"/>
          </w:cols>
          <w:pgMar w:left="440" w:top="270"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ADI, Maxim and certain of their respective directors and executive officers may be deemed to be participants in the solicitation of proxies in respect of the proposed transaction. Information about the directors and executive officers of ADI, including a description of their direct or indirect interests, by security holdings or otherwise, is set forth in ADI’s proxy statement for its 2020 annual meeting of shareholders, which was filed with the SEC on January 24, 2020, and ADI’s Annual Report on Form 10-K for the fiscal year ended November 2, 2019, which was filed with the SEC on November 26, 2019. Information about the directors and executive officers of Maxim, including a description of their direct or indirect interests, by security holdings or otherwise, is set forth in Maxim’s proxy statement for its 2020 annual meeting of stockholders, which was filed with the SEC on September 28, 2020, and Maxim’s Annual Report on Form 10-K for the fiscal year ended June 27, 2020, which was filed with the SEC on August 19, 2020. Other information regarding the participants in the proxy solicitations and a description of their direct and indirect interests, by security holdings or otherwise, are contained in the definitive joint proxy statement/prospectus and will be contained in other relevant materials to be filed with the SEC regarding the proposed transaction when such materials become available. Investors should carefully read the definitive joint proxy statement/prospectus before making any voting or investment decisions. You may obtain free copies of these documents from ADI or Maxim using the sources indicated above.</w:t>
      </w:r>
    </w:p>
    <w:p>
      <w:pPr>
        <w:sectPr>
          <w:pgSz w:w="11900" w:h="16838" w:orient="portrait"/>
          <w:cols w:equalWidth="0" w:num="1">
            <w:col w:w="10980"/>
          </w:cols>
          <w:pgMar w:left="440" w:top="266" w:right="4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30, 2020</w:t>
            </w: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32"/>
        </w:trPr>
        <w:tc>
          <w:tcPr>
            <w:tcW w:w="3700" w:type="dxa"/>
            <w:vAlign w:val="bottom"/>
          </w:tcPr>
          <w:p>
            <w:pPr>
              <w:spacing w:after="0"/>
              <w:rPr>
                <w:sz w:val="24"/>
                <w:szCs w:val="24"/>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Margaret K. Seif</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Margaret K. Seif</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People Officer and Chief Legal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2020-09-30T16:06:30Z</dcterms:created>
  <dcterms:modified xsi:type="dcterms:W3CDTF">2020-09-30T16:06:30Z</dcterms:modified>
</cp:coreProperties>
</file>