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568960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57785</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43815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680" w:right="40" w:hanging="654"/>
        <w:spacing w:after="0" w:line="233" w:lineRule="auto"/>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For the quarterly period ended May 2, 2026</w:t>
      </w:r>
    </w:p>
    <w:p>
      <w:pPr>
        <w:spacing w:after="0" w:line="31"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680" w:hanging="641"/>
        <w:spacing w:after="0" w:line="233" w:lineRule="auto"/>
        <w:tabs>
          <w:tab w:leader="none" w:pos="68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37"/>
        </w:trPr>
        <w:tc>
          <w:tcPr>
            <w:tcW w:w="29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Commission File No. 1-7819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51435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p>
      <w:pPr>
        <w:spacing w:after="0" w:line="20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42" w:lineRule="exact"/>
        <w:rPr>
          <w:sz w:val="24"/>
          <w:szCs w:val="24"/>
          <w:color w:val="auto"/>
        </w:rPr>
      </w:pPr>
    </w:p>
    <w:p>
      <w:pPr>
        <w:sectPr>
          <w:pgSz w:w="11900" w:h="16838" w:orient="portrait"/>
          <w:cols w:equalWidth="0" w:num="2">
            <w:col w:w="7360" w:space="720"/>
            <w:col w:w="3120"/>
          </w:cols>
          <w:pgMar w:left="320" w:top="1019" w:right="37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127" w:lineRule="exact"/>
        <w:rPr>
          <w:sz w:val="24"/>
          <w:szCs w:val="24"/>
          <w:color w:val="auto"/>
        </w:rPr>
      </w:pPr>
    </w:p>
    <w:p>
      <w:pPr>
        <w:sectPr>
          <w:pgSz w:w="11900" w:h="16838" w:orient="portrait"/>
          <w:cols w:equalWidth="0" w:num="2">
            <w:col w:w="6760" w:space="720"/>
            <w:col w:w="3720"/>
          </w:cols>
          <w:pgMar w:left="320" w:top="1019" w:right="37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4">
            <w:col w:w="2760" w:space="720"/>
            <w:col w:w="980" w:space="300"/>
            <w:col w:w="2800" w:space="720"/>
            <w:col w:w="2920"/>
          </w:cols>
          <w:pgMar w:left="320" w:top="1019" w:right="37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100" w:lineRule="exact"/>
        <w:rPr>
          <w:sz w:val="24"/>
          <w:szCs w:val="24"/>
          <w:color w:val="auto"/>
        </w:rPr>
      </w:pPr>
    </w:p>
    <w:p>
      <w:pPr>
        <w:sectPr>
          <w:pgSz w:w="11900" w:h="16838" w:orient="portrait"/>
          <w:cols w:equalWidth="0" w:num="2">
            <w:col w:w="7480" w:space="720"/>
            <w:col w:w="3000"/>
          </w:cols>
          <w:pgMar w:left="320" w:top="101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(781) 935-5565</w:t>
      </w:r>
    </w:p>
    <w:p>
      <w:pPr>
        <w:sectPr>
          <w:pgSz w:w="11900" w:h="16838" w:orient="portrait"/>
          <w:cols w:equalWidth="0" w:num="1">
            <w:col w:w="11200"/>
          </w:cols>
          <w:pgMar w:left="320" w:top="1019" w:right="379" w:bottom="1440" w:gutter="0" w:footer="0" w:header="0"/>
          <w:type w:val="continuous"/>
        </w:sectPr>
      </w:pP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67310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1019" w:right="37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180" w:space="720"/>
            <w:col w:w="1760" w:space="720"/>
            <w:col w:w="3820"/>
          </w:cols>
          <w:pgMar w:left="320" w:top="1019" w:right="3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Nasdaq Global Select Market</w:t>
      </w:r>
    </w:p>
    <w:p>
      <w:pPr>
        <w:spacing w:after="0" w:line="211" w:lineRule="exact"/>
        <w:rPr>
          <w:sz w:val="24"/>
          <w:szCs w:val="24"/>
          <w:color w:val="auto"/>
        </w:rPr>
      </w:pPr>
    </w:p>
    <w:p>
      <w:pPr>
        <w:sectPr>
          <w:pgSz w:w="11900" w:h="16838" w:orient="portrait"/>
          <w:cols w:equalWidth="0" w:num="3">
            <w:col w:w="4740" w:space="720"/>
            <w:col w:w="1800" w:space="720"/>
            <w:col w:w="3220"/>
          </w:cols>
          <w:pgMar w:left="320" w:top="1019" w:right="379" w:bottom="1440" w:gutter="0" w:footer="0" w:header="0"/>
          <w:type w:val="continuous"/>
        </w:sectPr>
      </w:pPr>
    </w:p>
    <w:p>
      <w:pPr>
        <w:spacing w:after="0" w:line="7" w:lineRule="exact"/>
        <w:rPr>
          <w:sz w:val="24"/>
          <w:szCs w:val="24"/>
          <w:color w:val="auto"/>
        </w:rPr>
      </w:pPr>
    </w:p>
    <w:p>
      <w:pPr>
        <w:ind w:right="20" w:firstLine="445"/>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60" w:firstLine="445"/>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46" w:lineRule="exact"/>
        <w:rPr>
          <w:sz w:val="24"/>
          <w:szCs w:val="24"/>
          <w:color w:val="auto"/>
        </w:rPr>
      </w:pPr>
    </w:p>
    <w:p>
      <w:pPr>
        <w:ind w:right="20"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 w:lineRule="exact"/>
        <w:rPr>
          <w:sz w:val="24"/>
          <w:szCs w:val="24"/>
          <w:color w:val="auto"/>
        </w:rPr>
      </w:pPr>
    </w:p>
    <w:p>
      <w:pPr>
        <w:ind w:left="460" w:right="1240"/>
        <w:spacing w:after="0" w:line="3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May 2, 2026 there were 487,087,040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382905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 w:name="page2"/>
    <w:bookmarkEnd w:id="1"/>
    <w:p>
      <w:pPr>
        <w:ind w:left="398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5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39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58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May 3, 2025</w:t>
            </w:r>
          </w:p>
        </w:tc>
      </w:tr>
      <w:tr>
        <w:trPr>
          <w:trHeight w:val="229"/>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3,623,465</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2,640,068</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6,783,728</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5,063,242</w:t>
            </w:r>
          </w:p>
        </w:tc>
      </w:tr>
      <w:tr>
        <w:trPr>
          <w:trHeight w:val="230"/>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1,183,667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1,028,458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2,298,955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2,021,329</w:t>
            </w:r>
          </w:p>
        </w:tc>
      </w:tr>
      <w:tr>
        <w:trPr>
          <w:trHeight w:val="223"/>
        </w:trPr>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2,439,798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1,611,610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4,484,773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3,041,913</w:t>
            </w: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509,323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441,837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976,723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844,729</w:t>
            </w:r>
          </w:p>
        </w:tc>
      </w:tr>
      <w:tr>
        <w:trPr>
          <w:trHeight w:val="230"/>
        </w:trPr>
        <w:tc>
          <w:tcPr>
            <w:tcW w:w="4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362,810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302,669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708,063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587,465</w:t>
            </w:r>
          </w:p>
        </w:tc>
      </w:tr>
      <w:tr>
        <w:trPr>
          <w:trHeight w:val="229"/>
        </w:trPr>
        <w:tc>
          <w:tcPr>
            <w:tcW w:w="4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187,985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187,415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374,830</w:t>
            </w:r>
          </w:p>
        </w:tc>
      </w:tr>
      <w:tr>
        <w:trPr>
          <w:trHeight w:val="229"/>
        </w:trPr>
        <w:tc>
          <w:tcPr>
            <w:tcW w:w="4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Special charges, net</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65,632</w:t>
            </w:r>
          </w:p>
        </w:tc>
      </w:tr>
      <w:tr>
        <w:trPr>
          <w:trHeight w:val="223"/>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1,060,118</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933,666</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2,108,068</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1,872,656</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1,379,680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677,944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2,376,705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1,169,257</w:t>
            </w: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173,963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149,967</w:t>
            </w:r>
          </w:p>
        </w:tc>
      </w:tr>
      <w:tr>
        <w:trPr>
          <w:trHeight w:val="230"/>
        </w:trPr>
        <w:tc>
          <w:tcPr>
            <w:tcW w:w="4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(45,212)</w:t>
            </w:r>
          </w:p>
        </w:tc>
      </w:tr>
      <w:tr>
        <w:trPr>
          <w:trHeight w:val="230"/>
        </w:trPr>
        <w:tc>
          <w:tcPr>
            <w:tcW w:w="45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107,753</w:t>
            </w: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1,324,828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625,928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2,270,699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1,061,504</w:t>
            </w: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263,523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100,418</w:t>
            </w: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1,176,350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569,770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2,007,176</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961,086</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4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487,605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496,173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488,239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496,145</w:t>
            </w: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490,458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498,201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491,057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498,434</w:t>
            </w:r>
          </w:p>
        </w:tc>
      </w:tr>
      <w:tr>
        <w:trPr>
          <w:trHeight w:val="270"/>
        </w:trPr>
        <w:tc>
          <w:tcPr>
            <w:tcW w:w="4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0240"/>
          </w:cols>
          <w:pgMar w:left="340" w:top="1008" w:right="131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40" w:top="1008" w:right="1319" w:bottom="1440" w:gutter="0" w:footer="0" w:header="0"/>
          <w:type w:val="continuous"/>
        </w:sectPr>
      </w:pPr>
    </w:p>
    <w:bookmarkStart w:id="2" w:name="page3"/>
    <w:bookmarkEnd w:id="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840" w:type="dxa"/>
            <w:vAlign w:val="bottom"/>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0"/>
        </w:trPr>
        <w:tc>
          <w:tcPr>
            <w:tcW w:w="49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May 3, 2025</w:t>
            </w:r>
          </w:p>
        </w:tc>
      </w:tr>
      <w:tr>
        <w:trPr>
          <w:trHeight w:val="229"/>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1,176,350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569,770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2,007,176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961,086</w:t>
            </w: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175"/>
        </w:trPr>
        <w:tc>
          <w:tcPr>
            <w:tcW w:w="4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 in fair value of derivative instruments designated as cash</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flow hedges, net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w:t>
            </w:r>
          </w:p>
        </w:tc>
      </w:tr>
      <w:tr>
        <w:trPr>
          <w:trHeight w:val="229"/>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pension plans, net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23"/>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w:t>
            </w: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1,172,548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587,107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2,009,515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978,710</w:t>
            </w: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00" w:type="dxa"/>
            <w:vAlign w:val="bottom"/>
          </w:tcPr>
          <w:p>
            <w:pPr>
              <w:spacing w:after="0"/>
              <w:rPr>
                <w:sz w:val="16"/>
                <w:szCs w:val="16"/>
                <w:color w:val="auto"/>
              </w:rPr>
            </w:pPr>
          </w:p>
        </w:tc>
        <w:tc>
          <w:tcPr>
            <w:tcW w:w="15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2,436,916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2,499,406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1,002,392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1,152,915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2,051,733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1,436,075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1,848,405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1,656,323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363,342</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7,809,773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7,108,061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3,292,288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3,315,696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26,973,180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26,945,180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7,255,362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8,013,815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1,729,558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1,867,102</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888,934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742,858</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40,139,322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40,884,651</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47,949,095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47,992,712</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598,640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543,760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610,370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current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899,227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 notes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550,198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446,639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2,083,216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1,645,032</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4,456,907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3,245,801</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7,235,424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8,145,066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1,906,115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2,163,281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521,846</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9,750,155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10,931,156</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471,934 shares authorized, none outstanding</w:t>
            </w:r>
          </w:p>
        </w:tc>
        <w:tc>
          <w:tcPr>
            <w:tcW w:w="3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$0.16 2/3 par value, 1,200,000,000 shares authorized, 487,087,040 shares outstanding</w:t>
            </w:r>
          </w:p>
        </w:tc>
        <w:tc>
          <w:tcPr>
            <w:tcW w:w="30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81,183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81,611</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(489,654,097 on November 1, 2025)</w:t>
            </w:r>
          </w:p>
        </w:tc>
        <w:tc>
          <w:tcPr>
            <w:tcW w:w="30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22,287,095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23,349,185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11,525,998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10,539,541</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(152,243)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(154,582)</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33,742,033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33,815,755</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47,949,095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47,992,712</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00"/>
          </w:cols>
          <w:pgMar w:left="340" w:top="100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May 2, 2026</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26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31, 2026</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22,968,224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10,886,107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(148,441)</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$1.10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2, 2026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22,287,095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11,525,998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(152,243)</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4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gridSpan w:val="8"/>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Six Months Ended May 2, 2026</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26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NOVEMBER 1,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23,349,185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10,539,541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$2.09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2, 2026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22,287,095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11,525,998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(152,243)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May 3, 2025</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1, 2025</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495,976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25,041,250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10,131,590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(184,969)</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$0.99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7"/>
              <w:spacing w:after="0"/>
              <w:rPr>
                <w:sz w:val="20"/>
                <w:szCs w:val="20"/>
                <w:color w:val="auto"/>
              </w:rPr>
            </w:pPr>
            <w:r>
              <w:rPr>
                <w:rFonts w:ascii="Times New Roman" w:cs="Times New Roman" w:eastAsia="Times New Roman" w:hAnsi="Times New Roman"/>
                <w:sz w:val="18"/>
                <w:szCs w:val="18"/>
                <w:color w:val="auto"/>
                <w:w w:val="99"/>
              </w:rPr>
              <w:t>(248,443)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3, 2025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496,248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24,885,204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10,210,338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4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May 3, 2025</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NOVEMBER 2,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496,297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25,082,243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10,196,612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(185,256)</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$1.91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17,624</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7"/>
              <w:spacing w:after="0"/>
              <w:rPr>
                <w:sz w:val="20"/>
                <w:szCs w:val="20"/>
                <w:color w:val="auto"/>
              </w:rPr>
            </w:pPr>
            <w:r>
              <w:rPr>
                <w:rFonts w:ascii="Times New Roman" w:cs="Times New Roman" w:eastAsia="Times New Roman" w:hAnsi="Times New Roman"/>
                <w:sz w:val="18"/>
                <w:szCs w:val="18"/>
                <w:color w:val="auto"/>
                <w:w w:val="99"/>
              </w:rPr>
              <w:t>(408,689)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3, 2025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496,248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24,885,204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10,210,338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00"/>
          </w:cols>
          <w:pgMar w:left="320" w:top="1046"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6" w:right="37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20" w:type="dxa"/>
            <w:vAlign w:val="bottom"/>
            <w:gridSpan w:val="4"/>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300" w:type="dxa"/>
            <w:vAlign w:val="bottom"/>
          </w:tcPr>
          <w:p>
            <w:pPr>
              <w:spacing w:after="0"/>
              <w:rPr>
                <w:sz w:val="16"/>
                <w:szCs w:val="16"/>
                <w:color w:val="auto"/>
              </w:rPr>
            </w:pPr>
          </w:p>
        </w:tc>
        <w:tc>
          <w:tcPr>
            <w:tcW w:w="14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May 3, 2025</w:t>
            </w:r>
          </w:p>
        </w:tc>
      </w:tr>
      <w:tr>
        <w:trPr>
          <w:trHeight w:val="20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2,007,176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242424"/>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961,086</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198,781</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770,593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817,429</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150,405</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(149,370)</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4,203</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(799,249)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(36,247)</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adjustments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233,380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42424"/>
              </w:rPr>
              <w:t>985,201</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2,240,556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1,946,287</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Maturities of short-term available-for-sale investments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372,778</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Additions to property, plant and equipment, net</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(239,246)</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 of property, plant and equipment, net</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58,892</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for acquisitions, net of cash acquired</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(45,652)</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(12,880)</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for) provided by investing activities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(158,955)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133,892</w:t>
            </w:r>
          </w:p>
        </w:tc>
      </w:tr>
      <w:tr>
        <w:trPr>
          <w:trHeight w:val="19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Debt repayments</w:t>
            </w:r>
          </w:p>
        </w:tc>
        <w:tc>
          <w:tcPr>
            <w:tcW w:w="3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(399,998)</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commercial paper notes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7,154,789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4,316,340</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of commercial paper notes</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(7,051,230)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(4,315,358)</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(1,289,401)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(409,014)</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 payments to shareholders</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(1,020,719)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(947,360)</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61,562</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(2,144,091)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(1,695,286)</w:t>
            </w:r>
          </w:p>
        </w:tc>
      </w:tr>
      <w:tr>
        <w:trPr>
          <w:trHeight w:val="20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(62,490)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384,893</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2,499,406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1,991,342</w:t>
            </w: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2,436,916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2,376,235</w:t>
            </w:r>
          </w:p>
        </w:tc>
      </w:tr>
      <w:tr>
        <w:trPr>
          <w:trHeight w:val="23"/>
        </w:trPr>
        <w:tc>
          <w:tcPr>
            <w:tcW w:w="7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100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FOR THE THREE AND SIX MONTHS ENDED MAY 2, 2026 (UNAUDITED) (all tabular amounts in thousands except per share amounts and percentages)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75" w:lineRule="exact"/>
        <w:rPr>
          <w:sz w:val="20"/>
          <w:szCs w:val="20"/>
          <w:color w:val="auto"/>
        </w:rPr>
      </w:pPr>
    </w:p>
    <w:p>
      <w:pPr>
        <w:ind w:right="60" w:firstLine="243"/>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1, 2025 (fiscal 2025) and related notes. The results of operations for the interim periods shown in this report are not necessarily indicative of the results that may be expected for the fiscal year ending October 31, 2026 (fiscal 2026) or any future period.</w:t>
      </w:r>
    </w:p>
    <w:p>
      <w:pPr>
        <w:spacing w:after="0" w:line="129" w:lineRule="exact"/>
        <w:rPr>
          <w:sz w:val="20"/>
          <w:szCs w:val="20"/>
          <w:color w:val="auto"/>
        </w:rPr>
      </w:pPr>
    </w:p>
    <w:p>
      <w:pPr>
        <w:ind w:right="820" w:firstLine="243"/>
        <w:spacing w:after="0" w:line="282" w:lineRule="auto"/>
        <w:rPr>
          <w:sz w:val="20"/>
          <w:szCs w:val="20"/>
          <w:color w:val="auto"/>
        </w:rPr>
      </w:pPr>
      <w:r>
        <w:rPr>
          <w:rFonts w:ascii="Times New Roman" w:cs="Times New Roman" w:eastAsia="Times New Roman" w:hAnsi="Times New Roman"/>
          <w:sz w:val="18"/>
          <w:szCs w:val="18"/>
          <w:color w:val="auto"/>
        </w:rPr>
        <w:t>The Company has a 52-53 week fiscal year that ends on the Saturday closest to the last day in October. Certain prior-year amounts have been reclassified to conform to the fiscal 2026 presentation.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Shareholders’ Equity</w:t>
      </w:r>
    </w:p>
    <w:p>
      <w:pPr>
        <w:spacing w:after="0" w:line="10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As of May 2, 2026, the Company’s Board of Directors had authorized the repurchase of an aggregate of $26.7 billion of its common stock under its common stock repurchase program and $8.5 billion remained available for repurchases under the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Accumulated Other Comprehensive (Loss) Income</w:t>
      </w:r>
    </w:p>
    <w:p>
      <w:pPr>
        <w:spacing w:after="0" w:line="175" w:lineRule="exact"/>
        <w:rPr>
          <w:sz w:val="20"/>
          <w:szCs w:val="20"/>
          <w:color w:val="auto"/>
        </w:rPr>
      </w:pPr>
    </w:p>
    <w:p>
      <w:pPr>
        <w:ind w:right="60"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changes in accumulated other comprehensive (loss) income (AOCI) by component and the related tax effects during the first six months of fiscal 2026.</w:t>
      </w: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30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gains/losses on</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0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derivatives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(154,582)</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out of other comprehensive income</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0" w:type="dxa"/>
            <w:vAlign w:val="bottom"/>
          </w:tcPr>
          <w:p>
            <w:pPr>
              <w:spacing w:after="0"/>
              <w:rPr>
                <w:sz w:val="1"/>
                <w:szCs w:val="1"/>
                <w:color w:val="auto"/>
              </w:rPr>
            </w:pPr>
          </w:p>
        </w:tc>
      </w:tr>
      <w:tr>
        <w:trPr>
          <w:trHeight w:val="229"/>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effects</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May 2, 2026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(69,157)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(152,243)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amounts reclassified out of AOCI into the Condensed Consolidated Statements of Income and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with presentation location during each period were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52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80" w:type="dxa"/>
            <w:vAlign w:val="bottom"/>
            <w:vMerge w:val="restart"/>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156"/>
        </w:trPr>
        <w:tc>
          <w:tcPr>
            <w:tcW w:w="31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26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8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Pr>
          <w:p>
            <w:pPr>
              <w:spacing w:after="0"/>
              <w:rPr>
                <w:sz w:val="21"/>
                <w:szCs w:val="21"/>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80" w:type="dxa"/>
            <w:vAlign w:val="bottom"/>
          </w:tcPr>
          <w:p>
            <w:pPr>
              <w:spacing w:after="0"/>
              <w:rPr>
                <w:sz w:val="21"/>
                <w:szCs w:val="21"/>
                <w:color w:val="auto"/>
              </w:rPr>
            </w:pPr>
          </w:p>
        </w:tc>
        <w:tc>
          <w:tcPr>
            <w:tcW w:w="11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00" w:type="dxa"/>
            <w:vAlign w:val="bottom"/>
          </w:tcPr>
          <w:p>
            <w:pPr>
              <w:spacing w:after="0"/>
              <w:rPr>
                <w:sz w:val="21"/>
                <w:szCs w:val="21"/>
                <w:color w:val="auto"/>
              </w:rPr>
            </w:pPr>
          </w:p>
        </w:tc>
        <w:tc>
          <w:tcPr>
            <w:tcW w:w="2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Unrealized holding gains/losses on derivatives:</w:t>
            </w: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Currency forwards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marketing, general and</w:t>
            </w: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21"/>
                <w:szCs w:val="21"/>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3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Borders>
              <w:bottom w:val="single" w:sz="8" w:color="CCEEFF"/>
            </w:tcBorders>
          </w:tcPr>
          <w:p>
            <w:pPr>
              <w:spacing w:after="0"/>
              <w:rPr>
                <w:sz w:val="19"/>
                <w:szCs w:val="19"/>
                <w:color w:val="auto"/>
              </w:rPr>
            </w:pPr>
          </w:p>
        </w:tc>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155"/>
        </w:trPr>
        <w:tc>
          <w:tcPr>
            <w:tcW w:w="31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amounts reclassified out of AOCI,</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2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5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0" w:type="dxa"/>
            <w:vAlign w:val="bottom"/>
          </w:tcPr>
          <w:p>
            <w:pPr>
              <w:spacing w:after="0"/>
              <w:rPr>
                <w:sz w:val="1"/>
                <w:szCs w:val="1"/>
                <w:color w:val="auto"/>
              </w:rPr>
            </w:pP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1,176,350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2,007,176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961,086</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496,145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496,145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and common equivalent shares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490,458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498,201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491,057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498,434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shares related to:</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stock-based awards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Special Charges, Net</w:t>
      </w:r>
    </w:p>
    <w:p>
      <w:pPr>
        <w:spacing w:after="0" w:line="175" w:lineRule="exact"/>
        <w:rPr>
          <w:sz w:val="20"/>
          <w:szCs w:val="20"/>
          <w:color w:val="auto"/>
        </w:rPr>
      </w:pPr>
    </w:p>
    <w:p>
      <w:pPr>
        <w:ind w:right="240" w:firstLine="445"/>
        <w:spacing w:after="0" w:line="271" w:lineRule="auto"/>
        <w:rPr>
          <w:sz w:val="20"/>
          <w:szCs w:val="20"/>
          <w:color w:val="auto"/>
        </w:rPr>
      </w:pPr>
      <w:r>
        <w:rPr>
          <w:rFonts w:ascii="Times New Roman" w:cs="Times New Roman" w:eastAsia="Times New Roman" w:hAnsi="Times New Roman"/>
          <w:sz w:val="18"/>
          <w:szCs w:val="18"/>
          <w:color w:val="auto"/>
        </w:rPr>
        <w:t>Liabilities related to special charges, net are included in Accrued liabilities in the Condensed Consolidated Balance Sheets. The activity is detailed below:</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926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Accrued Special Charges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Global Repositioning Actions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1, 2025</w:t>
            </w:r>
          </w:p>
        </w:tc>
        <w:tc>
          <w:tcPr>
            <w:tcW w:w="72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4,115</w:t>
            </w:r>
          </w:p>
        </w:tc>
      </w:tr>
      <w:tr>
        <w:trPr>
          <w:trHeight w:val="229"/>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severance costs, net</w:t>
            </w: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29,085</w:t>
            </w:r>
          </w:p>
        </w:tc>
      </w:tr>
      <w:tr>
        <w:trPr>
          <w:trHeight w:val="230"/>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payments</w:t>
            </w:r>
          </w:p>
        </w:tc>
        <w:tc>
          <w:tcPr>
            <w:tcW w:w="7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196"/>
        </w:trPr>
        <w:tc>
          <w:tcPr>
            <w:tcW w:w="20" w:type="dxa"/>
            <w:vAlign w:val="bottom"/>
          </w:tcPr>
          <w:p>
            <w:pPr>
              <w:spacing w:after="0"/>
              <w:rPr>
                <w:sz w:val="17"/>
                <w:szCs w:val="17"/>
                <w:color w:val="auto"/>
              </w:rPr>
            </w:pPr>
          </w:p>
        </w:tc>
        <w:tc>
          <w:tcPr>
            <w:tcW w:w="9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January 31, 2026</w:t>
            </w:r>
          </w:p>
        </w:tc>
        <w:tc>
          <w:tcPr>
            <w:tcW w:w="720" w:type="dxa"/>
            <w:vAlign w:val="bottom"/>
            <w:tcBorders>
              <w:bottom w:val="single" w:sz="8" w:color="auto"/>
            </w:tcBorders>
          </w:tcPr>
          <w:p>
            <w:pPr>
              <w:jc w:val="right"/>
              <w:ind w:right="515"/>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31,248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payments</w:t>
            </w:r>
          </w:p>
        </w:tc>
        <w:tc>
          <w:tcPr>
            <w:tcW w:w="7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(17,858)</w:t>
            </w: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May 2, 2026</w:t>
            </w:r>
          </w:p>
        </w:tc>
        <w:tc>
          <w:tcPr>
            <w:tcW w:w="7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13,390</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Company recorded net special charges of $32.4 million as part of its Global Repositioning Actions in the six months ended May 2, 2026. The Global Repositioning Actions were part of a transformation initiative aimed at aligning the Company’s enterprise strategy and organizational design and streamlining its operations to achieve its long-term strategic plan. The special charges include severance costs, in accordance with the Company’s ongoing benefit plan or statutory requirements at foreign locations, related to the termination of certain employees in manufacturing, engineering and selling, marketing, general and administrative roles.</w:t>
      </w:r>
    </w:p>
    <w:p>
      <w:pPr>
        <w:spacing w:after="0" w:line="129"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2026, the Company entered into a sublease agreement for its leased property in San Jose, California. As a result of the sublease transaction, the Company recorded an impairment charge of $15.6 million in net special charges, which represented the excess carrying value of the associated asset group over its estimated fair value. The Company estimated fair value using cash flows from the estimated net sublease rental income discounted at a market rate.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6 – Industry and Segment Information</w:t>
      </w:r>
    </w:p>
    <w:p>
      <w:pPr>
        <w:spacing w:after="0" w:line="135" w:lineRule="exact"/>
        <w:rPr>
          <w:sz w:val="20"/>
          <w:szCs w:val="20"/>
          <w:color w:val="auto"/>
        </w:rPr>
      </w:pPr>
    </w:p>
    <w:p>
      <w:pPr>
        <w:ind w:right="60" w:firstLine="445"/>
        <w:spacing w:after="0" w:line="262" w:lineRule="auto"/>
        <w:rPr>
          <w:sz w:val="20"/>
          <w:szCs w:val="20"/>
          <w:color w:val="auto"/>
        </w:rPr>
      </w:pPr>
      <w:r>
        <w:rPr>
          <w:rFonts w:ascii="Times New Roman" w:cs="Times New Roman" w:eastAsia="Times New Roman" w:hAnsi="Times New Roman"/>
          <w:sz w:val="18"/>
          <w:szCs w:val="18"/>
          <w:color w:val="auto"/>
        </w:rPr>
        <w:t>The Company’s Chief Executive Officer and Chair has been identified as its Chief Operating Decision Maker (CODM). The following table presents a summary of consolidated net income inclusive of significant segment expenses and other expense information provided to the CODM: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74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May 3, 2025</w:t>
            </w:r>
          </w:p>
        </w:tc>
      </w:tr>
      <w:tr>
        <w:trPr>
          <w:trHeight w:val="22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3,623,465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42424"/>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2,640,068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6,783,728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4242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5,063,242</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 including human capital expenses therein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1,183,667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1,028,458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2,021,329</w:t>
            </w: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Employee compensation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531,119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998,715</w:t>
            </w:r>
          </w:p>
        </w:tc>
      </w:tr>
      <w:tr>
        <w:trPr>
          <w:trHeight w:val="229"/>
        </w:trPr>
        <w:tc>
          <w:tcPr>
            <w:tcW w:w="5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187,415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374,830</w:t>
            </w:r>
          </w:p>
        </w:tc>
      </w:tr>
      <w:tr>
        <w:trPr>
          <w:trHeight w:val="176"/>
        </w:trPr>
        <w:tc>
          <w:tcPr>
            <w:tcW w:w="5220" w:type="dxa"/>
            <w:vAlign w:val="bottom"/>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rPr>
              <w:t>Research and development related costs (excluding employee</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5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compensation costs)</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132,443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279,035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263,925</w:t>
            </w:r>
          </w:p>
        </w:tc>
      </w:tr>
      <w:tr>
        <w:trPr>
          <w:trHeight w:val="230"/>
        </w:trPr>
        <w:tc>
          <w:tcPr>
            <w:tcW w:w="5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Special charges, net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1,745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65,632</w:t>
            </w:r>
          </w:p>
        </w:tc>
      </w:tr>
      <w:tr>
        <w:trPr>
          <w:trHeight w:val="175"/>
        </w:trPr>
        <w:tc>
          <w:tcPr>
            <w:tcW w:w="5220" w:type="dxa"/>
            <w:vAlign w:val="bottom"/>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rPr>
              <w:t>Other operating expense (excluding employee compensation</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5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costs) (1)</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80,944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169,554</w:t>
            </w: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52,016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107,753</w:t>
            </w:r>
          </w:p>
        </w:tc>
      </w:tr>
      <w:tr>
        <w:trPr>
          <w:trHeight w:val="23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56,158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263,523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100,418</w:t>
            </w:r>
          </w:p>
        </w:tc>
      </w:tr>
      <w:tr>
        <w:trPr>
          <w:trHeight w:val="223"/>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1,176,350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42424"/>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569,770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2,007,176</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24242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961,086</w:t>
            </w:r>
          </w:p>
        </w:tc>
      </w:tr>
      <w:tr>
        <w:trPr>
          <w:trHeight w:val="21"/>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4"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6"/>
          <w:szCs w:val="16"/>
          <w:color w:val="auto"/>
        </w:rPr>
        <w:t>(1)</w:t>
        <w:tab/>
        <w:t>Includes depreciation and amortization expenses, facilities expenses, legal expenses and other discretionary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73"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tables summarize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The assignment of products to end markets may change over time. When this occurs, the Company reclassifies revenue by end market for prior periods. Such reclassifications typically do not materially change the sizing of, or the underlying trends of results within, each end market.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Y/Y%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1,799,413</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1,150,315</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871,565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856,090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554,728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310,604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397,759</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323,059</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3,623,465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2,640,068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Y/Y%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3,296,449</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2,220,569</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1,681,709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1,596,349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1,009,911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610,905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795,659</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635,419</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6,783,728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5,063,242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60" w:hanging="134"/>
        <w:spacing w:after="0"/>
        <w:tabs>
          <w:tab w:leader="none" w:pos="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individual percentages may not equal the total due to rounding.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14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tables summarize revenue by sales channel. The Company sells its products globally through a direct sales force, third-party distributors, independent sales representatives and via its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6"/>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2,071,312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1,480,088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1,520,090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1,125,775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32,063</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34,205</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3,623,465</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2,640,068</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415"/>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3,813,606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2,855,552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2,897,220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2,145,647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72,902</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62,043</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6,783,728</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5,063,242</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60" w:hanging="134"/>
        <w:spacing w:after="0"/>
        <w:tabs>
          <w:tab w:leader="none" w:pos="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individual percentages may not equal the total due to rounding.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7 –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Recurring Basis</w:t>
      </w:r>
    </w:p>
    <w:p>
      <w:pPr>
        <w:spacing w:after="0" w:line="175" w:lineRule="exact"/>
        <w:rPr>
          <w:sz w:val="20"/>
          <w:szCs w:val="20"/>
          <w:color w:val="auto"/>
        </w:rPr>
      </w:pPr>
    </w:p>
    <w:p>
      <w:pPr>
        <w:ind w:right="20" w:firstLine="445"/>
        <w:spacing w:after="0" w:line="260" w:lineRule="auto"/>
        <w:rPr>
          <w:sz w:val="20"/>
          <w:szCs w:val="20"/>
          <w:color w:val="auto"/>
        </w:rPr>
      </w:pPr>
      <w:r>
        <w:rPr>
          <w:rFonts w:ascii="Times New Roman" w:cs="Times New Roman" w:eastAsia="Times New Roman" w:hAnsi="Times New Roman"/>
          <w:sz w:val="18"/>
          <w:szCs w:val="18"/>
          <w:color w:val="auto"/>
        </w:rPr>
        <w:t>The tables below, set forth by level, present the Company’s financial assets and liabilities, excluding accrued interest components that were accounted for at fair value on a recurring basis as of May 2, 2026 and November 1, 2025. The tables exclude cash on hand and assets and liabilities that are measured at historical cost or any basis other than fair value. As of May 2, 2026 and November 1, 2025, the Company held $1.3 billion and $1.4 billion, respectively, of cash that is excluded from the tables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5"/>
                <w:szCs w:val="15"/>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702,844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702,844</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397,786</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507,277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507,277</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Bank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495,115</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117,894</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1,406,678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2,227,416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derivatives (3)</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23,882</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May 2, 2026 was $1.4 billion.</w:t>
      </w:r>
    </w:p>
    <w:p>
      <w:pPr>
        <w:spacing w:after="0" w:line="27"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ind w:left="660" w:right="40" w:hanging="328"/>
        <w:spacing w:after="0" w:line="255"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2"/>
                <w:szCs w:val="12"/>
                <w:color w:val="auto"/>
              </w:rPr>
            </w:pPr>
          </w:p>
        </w:tc>
        <w:tc>
          <w:tcPr>
            <w:tcW w:w="134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740,730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740,730</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397,707</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 (2):</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Corporate obligations (1)</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656,839</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Bank obligations (1)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496,076</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(3)</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105,188</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2,403,248</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derivatives (4)</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November 1, 2025 was $1.6 billion.</w:t>
      </w:r>
    </w:p>
    <w:p>
      <w:pPr>
        <w:spacing w:after="0" w:line="27"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are classified as current assets on the Condensed Consolidated Balance Sheets if the securities are available to be converted into cash to fund current operations.</w:t>
      </w:r>
    </w:p>
    <w:p>
      <w:pPr>
        <w:ind w:left="660" w:right="340" w:hanging="328"/>
        <w:spacing w:after="0" w:line="25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ind w:left="660" w:right="40" w:hanging="328"/>
        <w:spacing w:after="0" w:line="255"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8,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Not Recorded at Fair Value on a Recurring Basis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San Jose, California leased property asset group — </w:t>
      </w:r>
      <w:r>
        <w:rPr>
          <w:rFonts w:ascii="Times New Roman" w:cs="Times New Roman" w:eastAsia="Times New Roman" w:hAnsi="Times New Roman"/>
          <w:sz w:val="18"/>
          <w:szCs w:val="18"/>
          <w:color w:val="auto"/>
        </w:rPr>
        <w:t>As a result of a sublease transaction involving a leased property</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 xml:space="preserve">in San Jose, California, the Company estimated the fair value of the sublease assets using discounted cash flows from the estimated net sublease rental income discounted at a market rate and recorded an impairment charge which represented the excess carrying value of the asset group associated with the leased property over its estimated fair value. These assets are considered a Level 2 fair value measurement. See Note 5, </w:t>
      </w:r>
      <w:r>
        <w:rPr>
          <w:rFonts w:ascii="Times New Roman" w:cs="Times New Roman" w:eastAsia="Times New Roman" w:hAnsi="Times New Roman"/>
          <w:sz w:val="18"/>
          <w:szCs w:val="18"/>
          <w:i w:val="1"/>
          <w:iCs w:val="1"/>
          <w:color w:val="auto"/>
        </w:rPr>
        <w:t>Special Charges, Net</w:t>
      </w:r>
      <w:r>
        <w:rPr>
          <w:rFonts w:ascii="Times New Roman" w:cs="Times New Roman" w:eastAsia="Times New Roman" w:hAnsi="Times New Roman"/>
          <w:sz w:val="18"/>
          <w:szCs w:val="18"/>
          <w:color w:val="auto"/>
        </w:rPr>
        <w:t>, in these Notes to Condensed Consolidated Financial Statements for additional information.</w:t>
      </w:r>
    </w:p>
    <w:p>
      <w:pPr>
        <w:spacing w:after="0" w:line="104" w:lineRule="exact"/>
        <w:rPr>
          <w:sz w:val="20"/>
          <w:szCs w:val="20"/>
          <w:color w:val="auto"/>
        </w:rPr>
      </w:pPr>
    </w:p>
    <w:p>
      <w:pPr>
        <w:ind w:right="20"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 </w:t>
      </w:r>
      <w:r>
        <w:rPr>
          <w:rFonts w:ascii="Times New Roman" w:cs="Times New Roman" w:eastAsia="Times New Roman" w:hAnsi="Times New Roman"/>
          <w:sz w:val="18"/>
          <w:szCs w:val="18"/>
          <w:color w:val="auto"/>
        </w:rPr>
        <w:t>The table below presents the estimated fair values of certain financial instruments not recorded at fair value on a recurring basis. Given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short tenure of the Company’s commercial paper notes, the carrying value of the outstanding commercial paper notes approximates the fair values, and therefore, are excluded from the table below ($550.2 million and $446.6 million as of May 2, 2026 and November 1, 2025, respectively). The fair values of the senior unsecured notes are obtained from broker prices and are classified as Level 1 measurements according to the fair value hierarchy.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6"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20" w:type="dxa"/>
            <w:vAlign w:val="bottom"/>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38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2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895,623</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436,916</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856,345</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704,186</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2030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659,834</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884,390</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301,546</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2034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571,370</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138,756</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555,925</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327,992</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662,609</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2054</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541,087</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senior unsecured notes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8,217,077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7,460,954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8,217,077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7,536,579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Derivatives</w:t>
      </w:r>
    </w:p>
    <w:p>
      <w:pPr>
        <w:spacing w:after="0" w:line="173" w:lineRule="exact"/>
        <w:rPr>
          <w:sz w:val="20"/>
          <w:szCs w:val="20"/>
          <w:color w:val="auto"/>
        </w:rPr>
      </w:pPr>
    </w:p>
    <w:p>
      <w:pPr>
        <w:ind w:right="220" w:firstLine="445"/>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Foreign Exchange Exposure Management </w:t>
      </w:r>
      <w:r>
        <w:rPr>
          <w:rFonts w:ascii="Times New Roman" w:cs="Times New Roman" w:eastAsia="Times New Roman" w:hAnsi="Times New Roman"/>
          <w:sz w:val="18"/>
          <w:szCs w:val="18"/>
          <w:color w:val="auto"/>
        </w:rPr>
        <w:t>— The total notional amounts of forward foreign currency derivative instruments designated as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of cash flow hedges as of May 2, 2026 and November 1, 2025 were $343.2 million and $297.0 million, respectively, and the fair values of these instruments in the Company’s Condensed Consolidated Balance Sheets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8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38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60" w:type="dxa"/>
            <w:vAlign w:val="bottom"/>
          </w:tcPr>
          <w:p>
            <w:pPr>
              <w:spacing w:after="0"/>
              <w:rPr>
                <w:sz w:val="16"/>
                <w:szCs w:val="16"/>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0" w:type="dxa"/>
            <w:vAlign w:val="bottom"/>
          </w:tcPr>
          <w:p>
            <w:pPr>
              <w:spacing w:after="0"/>
              <w:rPr>
                <w:sz w:val="1"/>
                <w:szCs w:val="1"/>
                <w:color w:val="auto"/>
              </w:rPr>
            </w:pP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40" w:firstLine="445"/>
        <w:spacing w:after="0" w:line="263" w:lineRule="auto"/>
        <w:rPr>
          <w:sz w:val="20"/>
          <w:szCs w:val="20"/>
          <w:color w:val="auto"/>
        </w:rPr>
      </w:pPr>
      <w:r>
        <w:rPr>
          <w:rFonts w:ascii="Times New Roman" w:cs="Times New Roman" w:eastAsia="Times New Roman" w:hAnsi="Times New Roman"/>
          <w:sz w:val="18"/>
          <w:szCs w:val="18"/>
          <w:color w:val="auto"/>
        </w:rPr>
        <w:t>As of May 2, 2026 and November 1, 2025, the total notional amounts of undesignated hedges related to forward foreign currency exchange contracts were $319.0 million and $207.3 million, respectively, and the fair values of undesignated hedges in the Company’s Condensed Consolidated Balance Sheets were as follows:</w:t>
      </w:r>
    </w:p>
    <w:p>
      <w:pPr>
        <w:spacing w:after="0" w:line="2"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Fair Value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33655</wp:posOffset>
            </wp:positionV>
            <wp:extent cx="20574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5" w:lineRule="exact"/>
        <w:rPr>
          <w:sz w:val="20"/>
          <w:szCs w:val="20"/>
          <w:color w:val="auto"/>
        </w:rPr>
      </w:pPr>
    </w:p>
    <w:p>
      <w:pPr>
        <w:ind w:left="5300"/>
        <w:spacing w:after="0"/>
        <w:tabs>
          <w:tab w:leader="none" w:pos="8380" w:val="left"/>
          <w:tab w:leader="none" w:pos="9880" w:val="left"/>
        </w:tabs>
        <w:rPr>
          <w:sz w:val="20"/>
          <w:szCs w:val="20"/>
          <w:color w:val="auto"/>
        </w:rPr>
      </w:pPr>
      <w:r>
        <w:rPr>
          <w:rFonts w:ascii="Times New Roman" w:cs="Times New Roman" w:eastAsia="Times New Roman" w:hAnsi="Times New Roman"/>
          <w:sz w:val="14"/>
          <w:szCs w:val="14"/>
          <w:b w:val="1"/>
          <w:bCs w:val="1"/>
          <w:color w:val="auto"/>
        </w:rPr>
        <w:t>Balance Sheet Location</w:t>
      </w:r>
      <w:r>
        <w:rPr>
          <w:sz w:val="20"/>
          <w:szCs w:val="20"/>
          <w:color w:val="auto"/>
        </w:rPr>
        <w:tab/>
      </w:r>
      <w:r>
        <w:rPr>
          <w:rFonts w:ascii="Times New Roman" w:cs="Times New Roman" w:eastAsia="Times New Roman" w:hAnsi="Times New Roman"/>
          <w:sz w:val="14"/>
          <w:szCs w:val="14"/>
          <w:b w:val="1"/>
          <w:bCs w:val="1"/>
          <w:color w:val="auto"/>
        </w:rPr>
        <w:t>May 2, 2026</w:t>
      </w:r>
      <w:r>
        <w:rPr>
          <w:sz w:val="20"/>
          <w:szCs w:val="20"/>
          <w:color w:val="auto"/>
        </w:rPr>
        <w:tab/>
      </w:r>
      <w:r>
        <w:rPr>
          <w:rFonts w:ascii="Times New Roman" w:cs="Times New Roman" w:eastAsia="Times New Roman" w:hAnsi="Times New Roman"/>
          <w:sz w:val="14"/>
          <w:szCs w:val="14"/>
          <w:b w:val="1"/>
          <w:bCs w:val="1"/>
          <w:color w:val="auto"/>
        </w:rPr>
        <w:t>November 1, 2025</w:t>
      </w:r>
    </w:p>
    <w:p>
      <w:pPr>
        <w:sectPr>
          <w:pgSz w:w="11900" w:h="16838" w:orient="portrait"/>
          <w:cols w:equalWidth="0" w:num="1">
            <w:col w:w="11240"/>
          </w:cols>
          <w:pgMar w:left="320" w:top="1168" w:right="339" w:bottom="1440" w:gutter="0" w:footer="0" w:header="0"/>
        </w:sectPr>
      </w:pPr>
    </w:p>
    <w:p>
      <w:pPr>
        <w:spacing w:after="0" w:line="48"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Undesignated hedges related to forward foreign currency exchange contracts</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Undesignated hedges related to forward foreign currency exchange contracts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5,338</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41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3,870</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-530860</wp:posOffset>
            </wp:positionV>
            <wp:extent cx="713232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140" w:space="40"/>
            <w:col w:w="7060"/>
          </w:cols>
          <w:pgMar w:left="320" w:top="1168" w:right="339" w:bottom="1440" w:gutter="0" w:footer="0" w:header="0"/>
          <w:type w:val="continuous"/>
        </w:sectPr>
      </w:pPr>
    </w:p>
    <w:p>
      <w:pPr>
        <w:ind w:right="180" w:firstLine="445"/>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Management </w:t>
      </w:r>
      <w:r>
        <w:rPr>
          <w:rFonts w:ascii="Times New Roman" w:cs="Times New Roman" w:eastAsia="Times New Roman" w:hAnsi="Times New Roman"/>
          <w:sz w:val="18"/>
          <w:szCs w:val="18"/>
          <w:color w:val="auto"/>
        </w:rPr>
        <w:t>— The Company does not consider the risk of counterparty default to be significant. The gain or loss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interest rate swap transactions attributable to the hedged benchmark interest rate risk and the offsetting gain or loss on the related interest rate swaps were recorded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4"/>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November 1, 2025</w:t>
            </w:r>
          </w:p>
        </w:tc>
      </w:tr>
      <w:tr>
        <w:trPr>
          <w:trHeight w:val="23"/>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Loss on Swaps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Gain on Note</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Loss on Swaps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Gain on Note</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23,882</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w:t>
            </w:r>
          </w:p>
        </w:tc>
      </w:tr>
    </w:tbl>
    <w:p>
      <w:pPr>
        <w:spacing w:after="0" w:line="238"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 xml:space="preserve">For further information on the unrealized holding gains (losses) on derivatives included in and reclassified out of AOCI into the Condensed Consolidated Statements of Income related to forward foreign currency exchange contracts, see Note 3, </w:t>
      </w:r>
      <w:r>
        <w:rPr>
          <w:rFonts w:ascii="Times New Roman" w:cs="Times New Roman" w:eastAsia="Times New Roman" w:hAnsi="Times New Roman"/>
          <w:sz w:val="18"/>
          <w:szCs w:val="18"/>
          <w:i w:val="1"/>
          <w:iCs w:val="1"/>
          <w:color w:val="auto"/>
        </w:rPr>
        <w:t>Accumulated Other Comprehensive (Loss) Income,</w:t>
      </w:r>
      <w:r>
        <w:rPr>
          <w:rFonts w:ascii="Times New Roman" w:cs="Times New Roman" w:eastAsia="Times New Roman" w:hAnsi="Times New Roman"/>
          <w:sz w:val="18"/>
          <w:szCs w:val="18"/>
          <w:color w:val="auto"/>
        </w:rPr>
        <w:t xml:space="preserve"> in these Notes to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9 – Inventories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at May 2, 2026 and November 1, 2025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40" w:type="dxa"/>
            <w:vAlign w:val="bottom"/>
          </w:tcPr>
          <w:p>
            <w:pPr>
              <w:spacing w:after="0"/>
              <w:rPr>
                <w:sz w:val="16"/>
                <w:szCs w:val="16"/>
                <w:color w:val="auto"/>
              </w:rPr>
            </w:pPr>
          </w:p>
        </w:tc>
        <w:tc>
          <w:tcPr>
            <w:tcW w:w="16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November 1, 2025</w:t>
            </w:r>
          </w:p>
        </w:tc>
      </w:tr>
      <w:tr>
        <w:trPr>
          <w:trHeight w:val="23"/>
        </w:trPr>
        <w:tc>
          <w:tcPr>
            <w:tcW w:w="7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70,183</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1,389,341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1,218,625</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390,899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367,515</w:t>
            </w: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1,848,405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1,656,323</w:t>
            </w:r>
          </w:p>
        </w:tc>
      </w:tr>
      <w:tr>
        <w:trPr>
          <w:trHeight w:val="21"/>
        </w:trPr>
        <w:tc>
          <w:tcPr>
            <w:tcW w:w="7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0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Company’s effective tax rates for the three- and six-month periods ended May 2, 2026 and May 3, 2025 were below the U.S. statutory tax rate of 21%, due to lower statutory tax rates applicable to the Company's operations in the foreign jurisdictions in which it earns income.</w:t>
      </w:r>
    </w:p>
    <w:p>
      <w:pPr>
        <w:spacing w:after="0" w:line="27"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During fiscal 2025, the Company received an assessment from the U.S. Internal Revenue Service (IRS) for fiscal 2018 and fiscal 2019, totaling approximately $267.0 million. The assessment excludes any penalties and interest. The assessment pertains to transfer pricing arrangements between the Company and one of its wholly-owned foreign subsidiaries. The Company firmly disagrees with this assessment and maintains that its transfer pricing is appropriate. Consequently, the Company has not recorded any additional tax liability related to fiscal 2018 and fiscal 2019 in relation to this issue, nor to any other periods. The Company intends to vigorously defend its original tax return position and is currently preparing for an appeal with the IRS. Should the IRS ultimately prevail regarding its assessments for fiscal 2018 and fiscal 2019, such a resolution, along with any potential impact on subsequent fiscal years, could have a material adverse effect on the Company’s income tax expense and net earnings in future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New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Implemented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the disaggregation of information in existing income tax disclosures related to the effective tax rate reconciliation and income taxes paid. ASU 2023-09 is effective for fiscal years beginning after December 15, 2024, with early adoption permitted. The Company adopted this ASU in fiscal 2026 and will include required financial statement disclosures in its Annual Report on Form 10-K for fiscal 2026.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to Be Implemented</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04"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requiring public companies to disaggregate key expense categories such as inventory purchases, employee compensation and depreciation in their financial statements. This aims to improve investor insights into company performance. ASU 2024-03 is effective for fiscal years beginning after December 15, 2026, and interim periods within fiscal years beginning after December 15, 2027, with early adoption permitted. The Company is currently evaluating the impact adoption will have on its financial statement disclosures.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175" w:lineRule="exact"/>
        <w:rPr>
          <w:sz w:val="20"/>
          <w:szCs w:val="20"/>
          <w:color w:val="auto"/>
        </w:rPr>
      </w:pPr>
    </w:p>
    <w:p>
      <w:pPr>
        <w:jc w:val="both"/>
        <w:ind w:right="220" w:firstLine="405"/>
        <w:spacing w:after="0" w:line="282" w:lineRule="auto"/>
        <w:rPr>
          <w:sz w:val="20"/>
          <w:szCs w:val="20"/>
          <w:color w:val="auto"/>
        </w:rPr>
      </w:pPr>
      <w:r>
        <w:rPr>
          <w:rFonts w:ascii="Times New Roman" w:cs="Times New Roman" w:eastAsia="Times New Roman" w:hAnsi="Times New Roman"/>
          <w:sz w:val="18"/>
          <w:szCs w:val="18"/>
          <w:color w:val="auto"/>
        </w:rPr>
        <w:t>On May 19, 2026, the Board of Directors of the Company declared a cash dividend of $1.10 per outstanding share of common stock. The dividend will be paid on June 16, 2026 to all shareholders of record at the close of business on June 2, 2026 and is expected to total approximately $535.8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 w:name="page16"/>
    <w:bookmarkEnd w:id="15"/>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0"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November 1, 2025 (fiscal 2025).</w:t>
      </w:r>
    </w:p>
    <w:p>
      <w:pPr>
        <w:spacing w:after="0" w:line="122"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“potential,” “may,” “could” and “will,” and variations of such words and similar expressions are intended to identify such forward-looking statements, however, the absence of the foregoing words or expressions does not mean that a statement is not forward-looking. Our actual results could differ materially from those anticipated in these forward-looking statements as a result of various factors.</w:t>
      </w:r>
    </w:p>
    <w:p>
      <w:pPr>
        <w:spacing w:after="0" w:line="138"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The following important factors and uncertainties, among others, could cause actual results to differ materially from those described in the forward-looking statements: economic, political, legal and regulatory uncertainty or conflicts; recently announced and future tariffs and other trade restrictions; changes in export classifications, import and export regulations or duties and tariffs; changes in demand for semiconductor products; performance of independent distributors; manufacturing delays, product and raw materials availability and supply chain disruptions; products may be diverted from our authorized distribution channels; our development of technologies and research and development investments; our ability to compete successfully in the markets in which we operate; our future liquidity, capital needs and capital expenditures; our ability to recruit and retain key personnel; risks related to acquisitions or other strategic transactions; unanticipated difficulties or expenditures relating to integrating acquired businesses; security breaches or other cyber incidents; risks related to the use of artificial intelligence in our business operations, products and services; adverse results in litigation; the outcome of any regulatory actions, including governmental inquiries, investigations or enforcement proceedings in the event of noncompliance or alleged noncompliance with laws or regulations; reputational damage; changes in our estimates of our expected tax rates based on current tax law; risks related to our indebtedness; the discretion of our Board of Directors to declare dividends and our ability to pay dividends in the future; factors impacting our ability to repurchase shares; and uncertainty as to the long-term value of our common stock. Additional factors that could cause actual results to differ materially from those described in these forward-looking statements include the risk factors included in Part I, Item 1A, “Risk Factors” of our Annual Report on Form 10-K for fiscal 2025. Forward-looking statements represent management’s current expectations and are inherently uncertain.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 the tables below are reflected in thousands except per share amounts and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tcPr>
          <w:p>
            <w:pPr>
              <w:spacing w:after="0"/>
              <w:rPr>
                <w:sz w:val="16"/>
                <w:szCs w:val="16"/>
                <w:color w:val="auto"/>
              </w:rPr>
            </w:pPr>
          </w:p>
        </w:tc>
      </w:tr>
      <w:tr>
        <w:trPr>
          <w:trHeight w:val="23"/>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8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46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3,623,465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2,640,068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983,397</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1,176,350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569,770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606,580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449"/>
        </w:trPr>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8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46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6,783,728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5,063,242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1,720,486</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2,007,176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961,086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1,046,090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bl>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06"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tables summarize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The assignment of products to end markets may change over time. When this occurs, we reclassify revenue by end market for prior periods. Such reclassifications typically do not materially change the sizing of, or the underlying trends of results within, each end market.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center"/>
              <w:ind w:left="10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Y/Y%</w:t>
            </w:r>
          </w:p>
        </w:tc>
        <w:tc>
          <w:tcPr>
            <w:tcW w:w="240" w:type="dxa"/>
            <w:vAlign w:val="bottom"/>
          </w:tcPr>
          <w:p>
            <w:pPr>
              <w:spacing w:after="0"/>
              <w:rPr>
                <w:sz w:val="11"/>
                <w:szCs w:val="11"/>
                <w:color w:val="auto"/>
              </w:rPr>
            </w:pPr>
          </w:p>
        </w:tc>
        <w:tc>
          <w:tcPr>
            <w:tcW w:w="1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40" w:type="dxa"/>
            <w:vAlign w:val="bottom"/>
          </w:tcPr>
          <w:p>
            <w:pPr>
              <w:jc w:val="center"/>
              <w:ind w:right="33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4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1,799,413</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1,150,315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871,565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554,728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397,759</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3,623,465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Y/Y%</w:t>
            </w:r>
          </w:p>
        </w:tc>
        <w:tc>
          <w:tcPr>
            <w:tcW w:w="240" w:type="dxa"/>
            <w:vAlign w:val="bottom"/>
          </w:tcPr>
          <w:p>
            <w:pPr>
              <w:spacing w:after="0"/>
              <w:rPr>
                <w:sz w:val="11"/>
                <w:szCs w:val="11"/>
                <w:color w:val="auto"/>
              </w:rPr>
            </w:pPr>
          </w:p>
        </w:tc>
        <w:tc>
          <w:tcPr>
            <w:tcW w:w="1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40" w:type="dxa"/>
            <w:vAlign w:val="bottom"/>
          </w:tcPr>
          <w:p>
            <w:pPr>
              <w:jc w:val="center"/>
              <w:ind w:right="33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4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3,296,449</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2,220,569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1,681,709</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1,596,349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1,009,911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795,659</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6,783,728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5,063,242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19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Revenue increased 37% and 34% in the three- and six-month periods ended May 2, 2026 as compared to the same periods of the prior fiscal year as a result of a broad-based increase in demand for our products, notably within all Industrial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7" w:name="page18"/>
    <w:bookmarkEnd w:id="17"/>
    <w:p>
      <w:pPr>
        <w:ind w:right="300"/>
        <w:spacing w:after="0" w:line="282" w:lineRule="auto"/>
        <w:rPr>
          <w:sz w:val="20"/>
          <w:szCs w:val="20"/>
          <w:color w:val="auto"/>
        </w:rPr>
      </w:pPr>
      <w:r>
        <w:rPr>
          <w:rFonts w:ascii="Times New Roman" w:cs="Times New Roman" w:eastAsia="Times New Roman" w:hAnsi="Times New Roman"/>
          <w:sz w:val="18"/>
          <w:szCs w:val="18"/>
          <w:color w:val="auto"/>
        </w:rPr>
        <w:t>sub-markets with the highest growth coming from our test equipment and aerospace and defense sub-markets. Revenue also increased in the data center portion of the Communications end market related to artificial intelligence-driven infrastructure investments.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8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tables summarize revenue by sales channel. We sell our products globally through a direct sales force, third-party distributors, independent sales representatives and via our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tcPr>
          <w:p>
            <w:pPr>
              <w:spacing w:after="0"/>
              <w:rPr>
                <w:sz w:val="16"/>
                <w:szCs w:val="16"/>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300" w:type="dxa"/>
            <w:vAlign w:val="bottom"/>
          </w:tcPr>
          <w:p>
            <w:pPr>
              <w:spacing w:after="0"/>
              <w:rPr>
                <w:sz w:val="16"/>
                <w:szCs w:val="16"/>
                <w:color w:val="auto"/>
              </w:rPr>
            </w:pPr>
          </w:p>
        </w:tc>
        <w:tc>
          <w:tcPr>
            <w:tcW w:w="3020" w:type="dxa"/>
            <w:vAlign w:val="bottom"/>
            <w:gridSpan w:val="3"/>
          </w:tcPr>
          <w:p>
            <w:pPr>
              <w:jc w:val="right"/>
              <w:ind w:right="1194"/>
              <w:spacing w:after="0"/>
              <w:rPr>
                <w:sz w:val="20"/>
                <w:szCs w:val="20"/>
                <w:color w:val="auto"/>
              </w:rPr>
            </w:pPr>
            <w:r>
              <w:rPr>
                <w:rFonts w:ascii="Times New Roman" w:cs="Times New Roman" w:eastAsia="Times New Roman" w:hAnsi="Times New Roman"/>
                <w:sz w:val="14"/>
                <w:szCs w:val="14"/>
                <w:b w:val="1"/>
                <w:bCs w:val="1"/>
                <w:color w:val="auto"/>
              </w:rPr>
              <w:t>May 3, 2025</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2,071,312</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1,480,088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9"/>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1,520,090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1,125,775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32,063</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34,205</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3,623,465</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2,640,068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80" w:type="dxa"/>
            <w:vAlign w:val="bottom"/>
          </w:tcPr>
          <w:p>
            <w:pPr>
              <w:spacing w:after="0"/>
              <w:rPr>
                <w:sz w:val="24"/>
                <w:szCs w:val="24"/>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300" w:type="dxa"/>
            <w:vAlign w:val="bottom"/>
          </w:tcPr>
          <w:p>
            <w:pPr>
              <w:spacing w:after="0"/>
              <w:rPr>
                <w:sz w:val="16"/>
                <w:szCs w:val="16"/>
                <w:color w:val="auto"/>
              </w:rPr>
            </w:pPr>
          </w:p>
        </w:tc>
        <w:tc>
          <w:tcPr>
            <w:tcW w:w="3020" w:type="dxa"/>
            <w:vAlign w:val="bottom"/>
            <w:gridSpan w:val="3"/>
          </w:tcPr>
          <w:p>
            <w:pPr>
              <w:jc w:val="right"/>
              <w:ind w:right="1194"/>
              <w:spacing w:after="0"/>
              <w:rPr>
                <w:sz w:val="20"/>
                <w:szCs w:val="20"/>
                <w:color w:val="auto"/>
              </w:rPr>
            </w:pPr>
            <w:r>
              <w:rPr>
                <w:rFonts w:ascii="Times New Roman" w:cs="Times New Roman" w:eastAsia="Times New Roman" w:hAnsi="Times New Roman"/>
                <w:sz w:val="14"/>
                <w:szCs w:val="14"/>
                <w:b w:val="1"/>
                <w:bCs w:val="1"/>
                <w:color w:val="auto"/>
              </w:rPr>
              <w:t>May 3, 2025</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3,813,606</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2,855,552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9"/>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2,897,220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2,145,647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72,902</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62,043</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6,783,728</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5,063,242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5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As indicated in the tables above, the percentage of total revenue sold via each channel has remained relatively consistent in the periods presented, but can fluctuate from time to time based on end market revenue trends.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1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40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1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40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2,439,798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1,611,610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828,188</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4,484,773</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3,041,913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1,442,860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4"/>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33"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Gross margin percentage increased by 630 and 600 basis points in the three- and six-month periods ended May 2, 2026 as compared to the same periods of the prior fiscal year, primarily due to higher utilization of our manufacturing fixed costs as a result of increased customer demand and favorable mix of products sold into our end markets.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r>
      <w:tr>
        <w:trPr>
          <w:trHeight w:val="23"/>
        </w:trPr>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1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509,323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441,837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67,486</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976,723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844,729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131,994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175"/>
        </w:trPr>
        <w:tc>
          <w:tcPr>
            <w:tcW w:w="1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R&amp;D expenses as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 of revenue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864"/>
        </w:trPr>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R&amp;D expenses increased in the three- and six-month periods ended May 2, 2026, as compared to the same periods of the prior fiscal year, primarily as a result of higher R&amp;D employee-related variable compensation expenses. R&amp;D expenses declined as a percentage of revenue, primarily reflecting higher revenue levels and improved operating leverage. We expect to continue the development of innovative technologies and processes for new products, which we view as critical to our future growth. We believe that a continued commitment to R&amp;D is essential to maintain product leadership with our existing products as well as to provide innovative new product offerings.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 (SMG&amp;A)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6"/>
                <w:szCs w:val="16"/>
                <w:color w:val="auto"/>
              </w:rPr>
            </w:pPr>
          </w:p>
        </w:tc>
      </w:tr>
      <w:tr>
        <w:trPr>
          <w:trHeight w:val="23"/>
        </w:trPr>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60" w:type="dxa"/>
            <w:vAlign w:val="bottom"/>
            <w:gridSpan w:val="3"/>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3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13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SMG&amp;A</w:t>
            </w: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243"/>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362,810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302,669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60,141</w:t>
            </w: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20 %  $</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708,063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587,465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120,598</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176"/>
        </w:trPr>
        <w:tc>
          <w:tcPr>
            <w:tcW w:w="1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SMG&amp;A</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1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expenses as a %</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revenue</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38" w:lineRule="exact"/>
        <w:rPr>
          <w:sz w:val="20"/>
          <w:szCs w:val="20"/>
          <w:color w:val="auto"/>
        </w:rPr>
      </w:pPr>
    </w:p>
    <w:p>
      <w:pPr>
        <w:ind w:right="460" w:firstLine="445"/>
        <w:spacing w:after="0" w:line="266" w:lineRule="auto"/>
        <w:rPr>
          <w:sz w:val="20"/>
          <w:szCs w:val="20"/>
          <w:color w:val="auto"/>
        </w:rPr>
      </w:pPr>
      <w:r>
        <w:rPr>
          <w:rFonts w:ascii="Times New Roman" w:cs="Times New Roman" w:eastAsia="Times New Roman" w:hAnsi="Times New Roman"/>
          <w:sz w:val="18"/>
          <w:szCs w:val="18"/>
          <w:color w:val="auto"/>
        </w:rPr>
        <w:t>SMG&amp;A expenses increased in the three- and six-month periods ended May 2, 2026, as compared to the same periods of the prior fiscal year, primarily as a result of higher SMG&amp;A employee-related variable compensation expenses and higher salary and benefit expenses. SMG&amp;A expenses declined as a percentage of revenue, primarily reflecting higher revenue levels and improved operating leverage.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Charges,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6"/>
                <w:szCs w:val="16"/>
                <w:color w:val="auto"/>
              </w:rPr>
            </w:pPr>
          </w:p>
        </w:tc>
      </w:tr>
      <w:tr>
        <w:trPr>
          <w:trHeight w:val="23"/>
        </w:trPr>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00" w:type="dxa"/>
            <w:vAlign w:val="bottom"/>
            <w:gridSpan w:val="3"/>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r>
      <w:tr>
        <w:trPr>
          <w:trHeight w:val="190"/>
        </w:trPr>
        <w:tc>
          <w:tcPr>
            <w:tcW w:w="14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65,632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25" w:lineRule="exact"/>
        <w:rPr>
          <w:sz w:val="20"/>
          <w:szCs w:val="20"/>
          <w:color w:val="auto"/>
        </w:rPr>
      </w:pPr>
    </w:p>
    <w:p>
      <w:pPr>
        <w:jc w:val="both"/>
        <w:ind w:right="480" w:firstLine="445"/>
        <w:spacing w:after="0" w:line="266" w:lineRule="auto"/>
        <w:rPr>
          <w:sz w:val="20"/>
          <w:szCs w:val="20"/>
          <w:color w:val="auto"/>
        </w:rPr>
      </w:pPr>
      <w:r>
        <w:rPr>
          <w:rFonts w:ascii="Times New Roman" w:cs="Times New Roman" w:eastAsia="Times New Roman" w:hAnsi="Times New Roman"/>
          <w:sz w:val="18"/>
          <w:szCs w:val="18"/>
          <w:color w:val="auto"/>
        </w:rPr>
        <w:t>Special charges, net decreased in the three- and six-month periods ended May 2, 2026, as compared to the same periods of the prior fiscal year, primarily due to decreased charges related to our Global Repositioning Actions. The decrease in the six-month period was partially offset by a $15.6 million impairment charge recorded in the first quarter of fiscal 2026 related to the asset group in our leased facilities in San Jose, California.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3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148,478</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56,158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263,523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100,418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163,105</w:t>
            </w:r>
          </w:p>
        </w:tc>
      </w:tr>
      <w:tr>
        <w:trPr>
          <w:trHeight w:val="234"/>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33" w:lineRule="exact"/>
        <w:rPr>
          <w:sz w:val="20"/>
          <w:szCs w:val="20"/>
          <w:color w:val="auto"/>
        </w:rPr>
      </w:pPr>
    </w:p>
    <w:p>
      <w:pPr>
        <w:jc w:val="both"/>
        <w:ind w:right="280" w:firstLine="445"/>
        <w:spacing w:after="0" w:line="266" w:lineRule="auto"/>
        <w:rPr>
          <w:sz w:val="20"/>
          <w:szCs w:val="20"/>
          <w:color w:val="auto"/>
        </w:rPr>
      </w:pPr>
      <w:r>
        <w:rPr>
          <w:rFonts w:ascii="Times New Roman" w:cs="Times New Roman" w:eastAsia="Times New Roman" w:hAnsi="Times New Roman"/>
          <w:sz w:val="18"/>
          <w:szCs w:val="18"/>
          <w:color w:val="auto"/>
        </w:rPr>
        <w:t>The primary driver for our increased tax rate in the three- and six-month periods ended May 2, 2026, as compared to the same periods of the prior fiscal year, is the increase in taxes paid on our international profits. This results in higher non-deductible foreign tax expense under the global intangible low-taxed income (GILTI) regime, which has the effect of increasing our effective tax rate.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r>
      <w:tr>
        <w:trPr>
          <w:trHeight w:val="23"/>
        </w:trPr>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190"/>
        </w:trPr>
        <w:tc>
          <w:tcPr>
            <w:tcW w:w="15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1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1,176,350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569,770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606,580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2,007,176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961,086</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1,046,090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176"/>
        </w:trPr>
        <w:tc>
          <w:tcPr>
            <w:tcW w:w="1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as a %</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revenue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Net income increased in the three-month period ended May 2, 2026, as compared to the same period of the prior fiscal year, as the result of a $701.7 million increase in operating income, partially offset by a $92.3 million increase in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9" w:name="page20"/>
    <w:bookmarkEnd w:id="19"/>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Net income increased in the six-month period ended May 2, 2026, as compared to the same period of the prior fiscal year, as the result of a $1,207.4 million increase in operating income, partially offset by a $163.1 million increase in provision for income taxes.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At May 2, 2026, our principal source of liquidity was $3.4 billion of cash, cash equivalents and short-term investments, of which approximately $2.2 billion was held in the United States, and the balance of which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results of operations. Our cash, cash equivalents and short-term investments consist of highly liquid investments, including money market funds and corporate and bank obligations. We maintain these balances with counterparties with high credit ratings, and continually monitor the amount of credit exposure to any one issuer and diversify our investments in order to minimize our credit risk.</w:t>
      </w:r>
    </w:p>
    <w:p>
      <w:pPr>
        <w:spacing w:after="0" w:line="81" w:lineRule="exact"/>
        <w:rPr>
          <w:sz w:val="20"/>
          <w:szCs w:val="20"/>
          <w:color w:val="auto"/>
        </w:rPr>
      </w:pPr>
    </w:p>
    <w:p>
      <w:pPr>
        <w:jc w:val="both"/>
        <w:ind w:right="360" w:firstLine="445"/>
        <w:spacing w:after="0" w:line="263" w:lineRule="auto"/>
        <w:rPr>
          <w:sz w:val="20"/>
          <w:szCs w:val="20"/>
          <w:color w:val="auto"/>
        </w:rPr>
      </w:pPr>
      <w:r>
        <w:rPr>
          <w:rFonts w:ascii="Times New Roman" w:cs="Times New Roman" w:eastAsia="Times New Roman" w:hAnsi="Times New Roman"/>
          <w:sz w:val="18"/>
          <w:szCs w:val="18"/>
          <w:color w:val="auto"/>
        </w:rPr>
        <w:t>We believe that our existing sources of liquidity and cash expected to be generated from future operations, together with existing and anticipated available short- and long-term financing, will be sufficient to fund operations, capital expenditures, acquisitions, research and development efforts and dividend payments in the immediate future and for at least the next twelve months.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20" w:type="dxa"/>
            <w:vAlign w:val="bottom"/>
            <w:gridSpan w:val="4"/>
          </w:tcPr>
          <w:p>
            <w:pPr>
              <w:jc w:val="right"/>
              <w:ind w:right="12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340" w:type="dxa"/>
            <w:vAlign w:val="bottom"/>
          </w:tcPr>
          <w:p>
            <w:pPr>
              <w:spacing w:after="0"/>
              <w:rPr>
                <w:sz w:val="16"/>
                <w:szCs w:val="16"/>
                <w:color w:val="auto"/>
              </w:rPr>
            </w:pPr>
          </w:p>
        </w:tc>
        <w:tc>
          <w:tcPr>
            <w:tcW w:w="15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May 3, 2025</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2,240,556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1,946,287</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operations as a % of revenue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provided by investing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(158,955)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133,892</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(2,144,091)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(1,695,286)</w:t>
            </w:r>
          </w:p>
        </w:tc>
      </w:tr>
    </w:tbl>
    <w:p>
      <w:pPr>
        <w:spacing w:after="0" w:line="179" w:lineRule="exact"/>
        <w:rPr>
          <w:sz w:val="20"/>
          <w:szCs w:val="20"/>
          <w:color w:val="auto"/>
        </w:rPr>
      </w:pPr>
    </w:p>
    <w:p>
      <w:pPr>
        <w:ind w:right="340" w:firstLine="445"/>
        <w:spacing w:after="0" w:line="282" w:lineRule="auto"/>
        <w:rPr>
          <w:sz w:val="20"/>
          <w:szCs w:val="20"/>
          <w:color w:val="auto"/>
        </w:rPr>
      </w:pPr>
      <w:r>
        <w:rPr>
          <w:rFonts w:ascii="Times New Roman" w:cs="Times New Roman" w:eastAsia="Times New Roman" w:hAnsi="Times New Roman"/>
          <w:sz w:val="18"/>
          <w:szCs w:val="18"/>
          <w:color w:val="auto"/>
        </w:rPr>
        <w:t>The following changes contributed to the net change in cash and cash equivalents in the six-month period ended May 2, 2026 as compared to the same period in fiscal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is net income adjusted for certain non-cash items and changes in operating assets and liabilities. The increase in cash provided by operating activities during the six-month period ended May 2, 2026, as compared to the same period of the prior fiscal year, was mainly the result of higher net income adjusted for non-cash items.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Investing cash flows generally consist of purchases and sales of property, plant and equipment, purchases, sales and maturities of available-for-sale investments; and acquisitions of other businesses. The change in investing cash flows during the six-month period ended May 2, 2026, as compared to the same period of the prior fiscal year, was primarily the result of a decrease in maturities of our available-for-sale investments. The change in investing cash flows also included the sale of property, plant and equipment during fiscal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Financing cash flows generally consist of payments of dividends to stockholders, repurchases of common stock, issuances and repayments of debt and proceeds from the sale of shares of common stock pursuant to employee equity incentive plans. The change in cash used for financing activities during the six-month period ended May 2, 2026, as compared to the same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20" w:name="page21"/>
    <w:bookmarkEnd w:id="20"/>
    <w:p>
      <w:pPr>
        <w:ind w:right="700"/>
        <w:spacing w:after="0" w:line="332" w:lineRule="auto"/>
        <w:rPr>
          <w:sz w:val="20"/>
          <w:szCs w:val="20"/>
          <w:color w:val="auto"/>
        </w:rPr>
      </w:pPr>
      <w:r>
        <w:rPr>
          <w:rFonts w:ascii="Times New Roman" w:cs="Times New Roman" w:eastAsia="Times New Roman" w:hAnsi="Times New Roman"/>
          <w:sz w:val="18"/>
          <w:szCs w:val="18"/>
          <w:color w:val="auto"/>
        </w:rPr>
        <w:t xml:space="preserve">period of the prior fiscal year, was primarily the result of higher common stock repurchases partially offset by debt repayments during fiscal 2025. </w:t>
      </w:r>
      <w:r>
        <w:rPr>
          <w:rFonts w:ascii="Times New Roman" w:cs="Times New Roman" w:eastAsia="Times New Roman" w:hAnsi="Times New Roman"/>
          <w:sz w:val="18"/>
          <w:szCs w:val="18"/>
          <w:i w:val="1"/>
          <w:iCs w:val="1"/>
          <w:color w:val="auto"/>
        </w:rPr>
        <w:t>Working Capital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8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1,436,075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615,658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sales outstanding*</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1,848,405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1,656,323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192,082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cost of sales in inventory*</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380" w:right="240" w:hanging="332"/>
        <w:spacing w:after="0" w:line="275" w:lineRule="auto"/>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the average of the current quarter and prior quarter ending net accounts receivable and ending inventory balance in our calculation of days sales outstanding and days cost of sales in inventory, respectively.</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increase in accounts receivable in dollars was primarily the result of increased sales levels and variations in the timing of collections and billings.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Inventory increased primarily as a result of building inventory levels to support increased demand.</w:t>
      </w:r>
    </w:p>
    <w:p>
      <w:pPr>
        <w:spacing w:after="0" w:line="117"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Current liabilities increased to $4.5 billion at May 2, 2026 as compared to $3.2 billion at the end of fiscal 2025 primarily due to the reclassification of $0.9 billion of debt due in December 2026 to current liabilities as well as an increase in accrued liabilities, partially offset by a decrease in income taxes payable.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Debt</w:t>
            </w:r>
          </w:p>
        </w:tc>
        <w:tc>
          <w:tcPr>
            <w:tcW w:w="8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400" w:type="dxa"/>
            <w:vAlign w:val="bottom"/>
          </w:tcPr>
          <w:p>
            <w:pPr>
              <w:spacing w:after="0"/>
              <w:rPr>
                <w:sz w:val="24"/>
                <w:szCs w:val="24"/>
                <w:color w:val="auto"/>
              </w:rPr>
            </w:pPr>
          </w:p>
        </w:tc>
        <w:tc>
          <w:tcPr>
            <w:tcW w:w="8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of May 2, 2026, our debt obligations consisted of the following:</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7"/>
        </w:trPr>
        <w:tc>
          <w:tcPr>
            <w:tcW w:w="40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Principal Amount</w:t>
            </w:r>
          </w:p>
        </w:tc>
      </w:tr>
      <w:tr>
        <w:trPr>
          <w:trHeight w:val="238"/>
        </w:trPr>
        <w:tc>
          <w:tcPr>
            <w:tcW w:w="400" w:type="dxa"/>
            <w:vAlign w:val="bottom"/>
            <w:tcBorders>
              <w:bottom w:val="single" w:sz="8" w:color="CCEEFF"/>
            </w:tcBorders>
          </w:tcPr>
          <w:p>
            <w:pPr>
              <w:spacing w:after="0"/>
              <w:rPr>
                <w:sz w:val="20"/>
                <w:szCs w:val="20"/>
                <w:color w:val="auto"/>
              </w:rPr>
            </w:pPr>
          </w:p>
        </w:tc>
        <w:tc>
          <w:tcPr>
            <w:tcW w:w="86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23"/>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 notes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550,198</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2028</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2030</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2034</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8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Notes, due April 2054</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8,767,275</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May 2, 2026, we were in compliance with these covenants.</w:t>
      </w:r>
    </w:p>
    <w:p>
      <w:pPr>
        <w:spacing w:after="0" w:line="7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Under our commercial paper program, we may issue short-term, unsecured commercial paper notes in amounts up to a maximum aggregate face amount of $3.0 billion outstanding at any time, with maturities of up to 397 days from the date of issuance. As of May 2, 2026, we had $0.6 billion of outstanding borrowings under the commercial paper program recorded in the Condensed Consolidated Balance Sheet. We intend to use the net proceeds of the commercial paper program for general corporate purposes, including without limitation, repayment of indebtedness, stock repurchases, acquisitions, capital expenditures and working capital.</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Our Fourth Amended and Restated Revolving Credit Agreement, dated as of April 11, 2025, with Bank of America N.A. as administrative agent and the other banks identified therein as lenders (the Revolving Credit Agreement) provides for a five-year unsecured revolving credit facility in an aggregate principal amount not to exceed $3.0 billion (subject to certain terms and conditions).</w:t>
      </w:r>
    </w:p>
    <w:p>
      <w:pPr>
        <w:spacing w:after="0" w:line="68"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We may borrow under the Revolving Credit Agreement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an interest coverage covenant which requires the ratio of consolidated earnings before interest, taxes, depreciation and amortization (EBITDA) to consolidated interest charges to be greater than 3.0 to 1.0. As of May 2, 2026, we were in compliance with these covenants.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06"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As of May 2, 2026, our Board of Directors had authorized us to repurchase an aggregate of $26.7 billion of our common stock under our common stock repurchase program and $8.5 billion remained available for repurchases under the current authorized program. Repurchased shares are held as authorized but unissued shares of common stock. Unless terminated earlier by resolution of our Board of Directors, the repurchase program will expire when the full dollar amount of the authorization has been used to repurchase shares under the program. Future repurchases of common stock will be dependent upon our financial position, results of operations, outlook, liquidity and other factors we deem relevant.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92"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Net additions to property, plant and equipment were $247.0 million in the first six months of fiscal 2026. We expect capital expenditures for fiscal 2026 to be between approximately 4% and 6% of fiscal 2026 revenue. These capital expenditures will be funded with a combination of cash on hand and cash expected to be generated from future operations, together with existing and anticipated available short- and long-term financing.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On May 19, 2026, our Board of Directors declared a cash dividend of $1.10 per outstanding share of common stock. The dividend will be paid on June 16, 2026 to all shareholders of record at the close of business on June 2, 2026 and is expected to total approximately $535.8 million. We currently expect quarterly dividends to continue in future periods, although they remain subject to determination and declaration by our Board of Directors. The payment of future dividends, if any, will be based on several factors, including our financial performance, outlook and liquidity.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results of operations, and disclosures. See Note 11,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results of operations, and disclosures.</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8" w:right="399" w:bottom="1440" w:gutter="0" w:footer="0" w:header="0"/>
        </w:sectPr>
      </w:pPr>
    </w:p>
    <w:bookmarkStart w:id="22" w:name="page23"/>
    <w:bookmarkEnd w:id="22"/>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We are subject to market risks related to our financial instruments, including those identified in Part II, Item 7A, “Quantitative and Qualitative Disclosures about Market Risk” of our Annual Report on Form 10-K for the fiscal year ended November 1, 2025, which was filed with the Securities and Exchange Commission on November 25, 2025. There were no material changes in the six-month period ended May 2, 2026 to the information identified in the Annual Report on Form 10-K for the fiscal year ended November 1, 2025.</w:t>
      </w:r>
    </w:p>
    <w:p>
      <w:pPr>
        <w:spacing w:after="0" w:line="12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ind w:firstLine="8"/>
        <w:spacing w:after="0" w:line="253" w:lineRule="auto"/>
        <w:tabs>
          <w:tab w:leader="none" w:pos="2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May 2, 2026.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May 2, 2026, our Chief Executive Officer and Chief Financial Officer concluded that, as of such date, our disclosure controls and procedures were effective at the reasonable assurance level.</w:t>
      </w:r>
    </w:p>
    <w:p>
      <w:pPr>
        <w:spacing w:after="0" w:line="10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defined in Rules 13a-15(f) and</w:t>
      </w:r>
    </w:p>
    <w:p>
      <w:pPr>
        <w:spacing w:after="0" w:line="29"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under the Exchange Act) occurred during the quarter ended May 2, 2026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that could adversely affect our business, results of operations, financial condition and future prospects, including those identified in Part I, Item 1A, “Risk Factors” of our Annual Report on Form 10-K for the fiscal year ended November 1, 2025, which was filed with the Securities and Exchange Commission on November 25, 2025.</w:t>
      </w:r>
    </w:p>
    <w:p>
      <w:pPr>
        <w:spacing w:after="0" w:line="1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37"/>
        </w:trPr>
        <w:tc>
          <w:tcPr>
            <w:tcW w:w="444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5"/>
        </w:trPr>
        <w:tc>
          <w:tcPr>
            <w:tcW w:w="4440" w:type="dxa"/>
            <w:vAlign w:val="bottom"/>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 Per Share (b)</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2026 through February 28, 2026</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409,019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335.78</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9,013,190,935</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 2026 through March 28, 2026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316.71</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8,746,470,019</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29, 2026 through May 2, 2026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765,022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353.14</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699,581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8,496,437,073</w:t>
            </w:r>
          </w:p>
        </w:tc>
        <w:tc>
          <w:tcPr>
            <w:tcW w:w="0" w:type="dxa"/>
            <w:vAlign w:val="bottom"/>
          </w:tcPr>
          <w:p>
            <w:pPr>
              <w:spacing w:after="0"/>
              <w:rPr>
                <w:sz w:val="1"/>
                <w:szCs w:val="1"/>
                <w:color w:val="auto"/>
              </w:rPr>
            </w:pPr>
          </w:p>
        </w:tc>
      </w:tr>
      <w:tr>
        <w:trPr>
          <w:trHeight w:val="223"/>
        </w:trPr>
        <w:tc>
          <w:tcPr>
            <w:tcW w:w="44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2,319,488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332.09</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1,938,140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8,496,437,073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500" w:hanging="328"/>
        <w:spacing w:after="0" w:line="261" w:lineRule="auto"/>
        <w:tabs>
          <w:tab w:leader="none" w:pos="6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381,348 shares withheld by us from employees to satisfy employee tax obligations upon vesting of restricted stock units/awards granted to our employees under our equity compensation plans.</w:t>
      </w:r>
    </w:p>
    <w:p>
      <w:pPr>
        <w:ind w:left="660" w:right="140" w:hanging="328"/>
        <w:spacing w:after="0" w:line="250"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400" w:hanging="328"/>
        <w:spacing w:after="0" w:line="255" w:lineRule="auto"/>
        <w:tabs>
          <w:tab w:leader="none" w:pos="6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repurchased pursuant to the stock repurchase program publicly announced on August 12, 2004 and updated thereafter. Under the repurchase program, we may repurchase outstanding shares of our common stock from time to time in the open market and through privately negotiated transactions.</w:t>
      </w:r>
    </w:p>
    <w:p>
      <w:pPr>
        <w:spacing w:after="0" w:line="16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sale or purchase of our securities adopted or terminated by our directors or officers during the second quarter of fiscal 2026 that are intended to satisfy the affirmative defense conditions of Rule 10b5-1(c) under the Exchange Act (Rule 10b5-1 trading arrangement).</w:t>
      </w:r>
    </w:p>
    <w:p>
      <w:pPr>
        <w:sectPr>
          <w:pgSz w:w="11900" w:h="16838" w:orient="portrait"/>
          <w:cols w:equalWidth="0" w:num="1">
            <w:col w:w="11220"/>
          </w:cols>
          <w:pgMar w:left="320" w:top="1008" w:right="359" w:bottom="1440" w:gutter="0" w:footer="0" w:header="0"/>
        </w:sectPr>
      </w:pPr>
    </w:p>
    <w:p>
      <w:pPr>
        <w:spacing w:after="0" w:line="373"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2000" w:type="dxa"/>
            <w:vAlign w:val="bottom"/>
            <w:vMerge w:val="restart"/>
          </w:tcPr>
          <w:p>
            <w:pPr>
              <w:jc w:val="center"/>
              <w:ind w:right="416"/>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440" w:type="dxa"/>
            <w:vAlign w:val="bottom"/>
            <w:vMerge w:val="restart"/>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3500" w:type="dxa"/>
            <w:vAlign w:val="bottom"/>
            <w:vMerge w:val="restart"/>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Duration of Rule 10b5-1 Trading Arrangement</w:t>
            </w:r>
          </w:p>
        </w:tc>
        <w:tc>
          <w:tcPr>
            <w:tcW w:w="0" w:type="dxa"/>
            <w:vAlign w:val="bottom"/>
          </w:tcPr>
          <w:p>
            <w:pPr>
              <w:spacing w:after="0"/>
              <w:rPr>
                <w:sz w:val="1"/>
                <w:szCs w:val="1"/>
                <w:color w:val="auto"/>
              </w:rPr>
            </w:pPr>
          </w:p>
        </w:tc>
      </w:tr>
      <w:tr>
        <w:trPr>
          <w:trHeight w:val="190"/>
        </w:trPr>
        <w:tc>
          <w:tcPr>
            <w:tcW w:w="200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00" w:type="dxa"/>
            <w:vAlign w:val="bottom"/>
            <w:vMerge w:val="restart"/>
          </w:tcPr>
          <w:p>
            <w:pPr>
              <w:jc w:val="center"/>
              <w:ind w:right="416"/>
              <w:spacing w:after="0"/>
              <w:rPr>
                <w:sz w:val="20"/>
                <w:szCs w:val="20"/>
                <w:color w:val="auto"/>
              </w:rPr>
            </w:pPr>
            <w:r>
              <w:rPr>
                <w:rFonts w:ascii="Times New Roman" w:cs="Times New Roman" w:eastAsia="Times New Roman" w:hAnsi="Times New Roman"/>
                <w:sz w:val="18"/>
                <w:szCs w:val="18"/>
                <w:color w:val="auto"/>
                <w:w w:val="99"/>
              </w:rPr>
              <w:t>Ray Stata, Director</w:t>
            </w:r>
          </w:p>
        </w:tc>
        <w:tc>
          <w:tcPr>
            <w:tcW w:w="1440" w:type="dxa"/>
            <w:vAlign w:val="bottom"/>
            <w:vMerge w:val="restart"/>
          </w:tcPr>
          <w:p>
            <w:pPr>
              <w:jc w:val="center"/>
              <w:ind w:left="156"/>
              <w:spacing w:after="0"/>
              <w:rPr>
                <w:sz w:val="20"/>
                <w:szCs w:val="20"/>
                <w:color w:val="auto"/>
              </w:rPr>
            </w:pPr>
            <w:r>
              <w:rPr>
                <w:rFonts w:ascii="Times New Roman" w:cs="Times New Roman" w:eastAsia="Times New Roman" w:hAnsi="Times New Roman"/>
                <w:sz w:val="18"/>
                <w:szCs w:val="18"/>
                <w:color w:val="auto"/>
                <w:w w:val="99"/>
              </w:rPr>
              <w:t>Adoption</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6, 2026</w:t>
            </w:r>
          </w:p>
        </w:tc>
        <w:tc>
          <w:tcPr>
            <w:tcW w:w="3500" w:type="dxa"/>
            <w:vAlign w:val="bottom"/>
          </w:tcPr>
          <w:p>
            <w:pPr>
              <w:jc w:val="center"/>
              <w:ind w:left="53"/>
              <w:spacing w:after="0" w:line="186" w:lineRule="exact"/>
              <w:rPr>
                <w:sz w:val="20"/>
                <w:szCs w:val="20"/>
                <w:color w:val="auto"/>
              </w:rPr>
            </w:pPr>
            <w:r>
              <w:rPr>
                <w:rFonts w:ascii="Times New Roman" w:cs="Times New Roman" w:eastAsia="Times New Roman" w:hAnsi="Times New Roman"/>
                <w:sz w:val="18"/>
                <w:szCs w:val="18"/>
                <w:color w:val="auto"/>
                <w:w w:val="99"/>
              </w:rPr>
              <w:t>Until May 6, 2027, or such earlier date upon</w:t>
            </w:r>
          </w:p>
        </w:tc>
        <w:tc>
          <w:tcPr>
            <w:tcW w:w="0" w:type="dxa"/>
            <w:vAlign w:val="bottom"/>
          </w:tcPr>
          <w:p>
            <w:pPr>
              <w:spacing w:after="0"/>
              <w:rPr>
                <w:sz w:val="1"/>
                <w:szCs w:val="1"/>
                <w:color w:val="auto"/>
              </w:rPr>
            </w:pPr>
          </w:p>
        </w:tc>
      </w:tr>
      <w:tr>
        <w:trPr>
          <w:trHeight w:val="184"/>
        </w:trPr>
        <w:tc>
          <w:tcPr>
            <w:tcW w:w="200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3500" w:type="dxa"/>
            <w:vAlign w:val="bottom"/>
          </w:tcPr>
          <w:p>
            <w:pPr>
              <w:jc w:val="center"/>
              <w:ind w:left="53"/>
              <w:spacing w:after="0" w:line="184" w:lineRule="exact"/>
              <w:rPr>
                <w:sz w:val="20"/>
                <w:szCs w:val="20"/>
                <w:color w:val="auto"/>
              </w:rPr>
            </w:pPr>
            <w:r>
              <w:rPr>
                <w:rFonts w:ascii="Times New Roman" w:cs="Times New Roman" w:eastAsia="Times New Roman" w:hAnsi="Times New Roman"/>
                <w:sz w:val="18"/>
                <w:szCs w:val="18"/>
                <w:color w:val="auto"/>
              </w:rPr>
              <w:t>which all transactions are completed or expire</w:t>
            </w:r>
          </w:p>
        </w:tc>
        <w:tc>
          <w:tcPr>
            <w:tcW w:w="0" w:type="dxa"/>
            <w:vAlign w:val="bottom"/>
          </w:tcPr>
          <w:p>
            <w:pPr>
              <w:spacing w:after="0"/>
              <w:rPr>
                <w:sz w:val="1"/>
                <w:szCs w:val="1"/>
                <w:color w:val="auto"/>
              </w:rPr>
            </w:pPr>
          </w:p>
        </w:tc>
      </w:tr>
      <w:tr>
        <w:trPr>
          <w:trHeight w:val="229"/>
        </w:trPr>
        <w:tc>
          <w:tcPr>
            <w:tcW w:w="2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5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without execution</w:t>
            </w:r>
          </w:p>
        </w:tc>
        <w:tc>
          <w:tcPr>
            <w:tcW w:w="0" w:type="dxa"/>
            <w:vAlign w:val="bottom"/>
          </w:tcPr>
          <w:p>
            <w:pPr>
              <w:spacing w:after="0"/>
              <w:rPr>
                <w:sz w:val="1"/>
                <w:szCs w:val="1"/>
                <w:color w:val="auto"/>
              </w:rPr>
            </w:pPr>
          </w:p>
        </w:tc>
      </w:tr>
      <w:tr>
        <w:trPr>
          <w:trHeight w:val="180"/>
        </w:trPr>
        <w:tc>
          <w:tcPr>
            <w:tcW w:w="2000" w:type="dxa"/>
            <w:vAlign w:val="bottom"/>
            <w:vMerge w:val="restart"/>
          </w:tcPr>
          <w:p>
            <w:pPr>
              <w:jc w:val="center"/>
              <w:ind w:right="396"/>
              <w:spacing w:after="0"/>
              <w:rPr>
                <w:sz w:val="20"/>
                <w:szCs w:val="20"/>
                <w:color w:val="auto"/>
              </w:rPr>
            </w:pPr>
            <w:r>
              <w:rPr>
                <w:rFonts w:ascii="Times New Roman" w:cs="Times New Roman" w:eastAsia="Times New Roman" w:hAnsi="Times New Roman"/>
                <w:sz w:val="18"/>
                <w:szCs w:val="18"/>
                <w:color w:val="auto"/>
                <w:w w:val="99"/>
              </w:rPr>
              <w:t>Karen Golz, Director</w:t>
            </w:r>
          </w:p>
        </w:tc>
        <w:tc>
          <w:tcPr>
            <w:tcW w:w="1440" w:type="dxa"/>
            <w:vAlign w:val="bottom"/>
            <w:vMerge w:val="restart"/>
          </w:tcPr>
          <w:p>
            <w:pPr>
              <w:jc w:val="center"/>
              <w:ind w:left="156"/>
              <w:spacing w:after="0"/>
              <w:rPr>
                <w:sz w:val="20"/>
                <w:szCs w:val="20"/>
                <w:color w:val="auto"/>
              </w:rPr>
            </w:pPr>
            <w:r>
              <w:rPr>
                <w:rFonts w:ascii="Times New Roman" w:cs="Times New Roman" w:eastAsia="Times New Roman" w:hAnsi="Times New Roman"/>
                <w:sz w:val="18"/>
                <w:szCs w:val="18"/>
                <w:color w:val="auto"/>
                <w:w w:val="99"/>
              </w:rPr>
              <w:t>Adoption</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12, 2026</w:t>
            </w:r>
          </w:p>
        </w:tc>
        <w:tc>
          <w:tcPr>
            <w:tcW w:w="3500" w:type="dxa"/>
            <w:vAlign w:val="bottom"/>
          </w:tcPr>
          <w:p>
            <w:pPr>
              <w:jc w:val="center"/>
              <w:ind w:left="73"/>
              <w:spacing w:after="0" w:line="181" w:lineRule="exact"/>
              <w:rPr>
                <w:sz w:val="20"/>
                <w:szCs w:val="20"/>
                <w:color w:val="auto"/>
              </w:rPr>
            </w:pPr>
            <w:r>
              <w:rPr>
                <w:rFonts w:ascii="Times New Roman" w:cs="Times New Roman" w:eastAsia="Times New Roman" w:hAnsi="Times New Roman"/>
                <w:sz w:val="18"/>
                <w:szCs w:val="18"/>
                <w:color w:val="auto"/>
              </w:rPr>
              <w:t>Until March 3, 2027, or such earlier date upon</w:t>
            </w:r>
          </w:p>
        </w:tc>
        <w:tc>
          <w:tcPr>
            <w:tcW w:w="0" w:type="dxa"/>
            <w:vAlign w:val="bottom"/>
          </w:tcPr>
          <w:p>
            <w:pPr>
              <w:spacing w:after="0"/>
              <w:rPr>
                <w:sz w:val="1"/>
                <w:szCs w:val="1"/>
                <w:color w:val="auto"/>
              </w:rPr>
            </w:pPr>
          </w:p>
        </w:tc>
      </w:tr>
      <w:tr>
        <w:trPr>
          <w:trHeight w:val="184"/>
        </w:trPr>
        <w:tc>
          <w:tcPr>
            <w:tcW w:w="200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3500" w:type="dxa"/>
            <w:vAlign w:val="bottom"/>
          </w:tcPr>
          <w:p>
            <w:pPr>
              <w:jc w:val="center"/>
              <w:ind w:left="53"/>
              <w:spacing w:after="0" w:line="184" w:lineRule="exact"/>
              <w:rPr>
                <w:sz w:val="20"/>
                <w:szCs w:val="20"/>
                <w:color w:val="auto"/>
              </w:rPr>
            </w:pPr>
            <w:r>
              <w:rPr>
                <w:rFonts w:ascii="Times New Roman" w:cs="Times New Roman" w:eastAsia="Times New Roman" w:hAnsi="Times New Roman"/>
                <w:sz w:val="18"/>
                <w:szCs w:val="18"/>
                <w:color w:val="auto"/>
              </w:rPr>
              <w:t>which all transactions are completed or expire</w:t>
            </w: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5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without execution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377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Aggregate Number of</w:t>
      </w:r>
    </w:p>
    <w:p>
      <w:pPr>
        <w:spacing w:after="0" w:line="209" w:lineRule="auto"/>
        <w:rPr>
          <w:sz w:val="20"/>
          <w:szCs w:val="20"/>
          <w:color w:val="auto"/>
        </w:rPr>
      </w:pPr>
      <w:r>
        <w:rPr>
          <w:rFonts w:ascii="Times New Roman" w:cs="Times New Roman" w:eastAsia="Times New Roman" w:hAnsi="Times New Roman"/>
          <w:sz w:val="14"/>
          <w:szCs w:val="14"/>
          <w:b w:val="1"/>
          <w:bCs w:val="1"/>
          <w:color w:val="auto"/>
        </w:rPr>
        <w:t>Securities to Be Purchased or</w:t>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Sold</w:t>
      </w:r>
    </w:p>
    <w:p>
      <w:pPr>
        <w:spacing w:after="0" w:line="111" w:lineRule="exact"/>
        <w:rPr>
          <w:sz w:val="20"/>
          <w:szCs w:val="20"/>
          <w:color w:val="auto"/>
        </w:rPr>
      </w:pPr>
    </w:p>
    <w:p>
      <w:pPr>
        <w:ind w:left="420" w:right="440" w:firstLine="37"/>
        <w:spacing w:after="0" w:line="263" w:lineRule="auto"/>
        <w:rPr>
          <w:sz w:val="20"/>
          <w:szCs w:val="20"/>
          <w:color w:val="auto"/>
        </w:rPr>
      </w:pPr>
      <w:r>
        <w:rPr>
          <w:rFonts w:ascii="Times New Roman" w:cs="Times New Roman" w:eastAsia="Times New Roman" w:hAnsi="Times New Roman"/>
          <w:sz w:val="17"/>
          <w:szCs w:val="17"/>
          <w:color w:val="auto"/>
        </w:rPr>
        <w:t>Sale of up to 34,000 shares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Sale of up to</w:t>
      </w:r>
    </w:p>
    <w:p>
      <w:pPr>
        <w:ind w:left="460"/>
        <w:spacing w:after="0"/>
        <w:rPr>
          <w:sz w:val="20"/>
          <w:szCs w:val="20"/>
          <w:color w:val="auto"/>
        </w:rPr>
      </w:pPr>
      <w:r>
        <w:rPr>
          <w:rFonts w:ascii="Times New Roman" w:cs="Times New Roman" w:eastAsia="Times New Roman" w:hAnsi="Times New Roman"/>
          <w:sz w:val="18"/>
          <w:szCs w:val="18"/>
          <w:color w:val="auto"/>
        </w:rPr>
        <w:t>3,000 shares</w:t>
      </w:r>
    </w:p>
    <w:p>
      <w:pPr>
        <w:spacing w:after="0" w:line="313" w:lineRule="exact"/>
        <w:rPr>
          <w:sz w:val="20"/>
          <w:szCs w:val="20"/>
          <w:color w:val="auto"/>
        </w:rPr>
      </w:pPr>
    </w:p>
    <w:p>
      <w:pPr>
        <w:sectPr>
          <w:pgSz w:w="11900" w:h="16838" w:orient="portrait"/>
          <w:cols w:equalWidth="0" w:num="2">
            <w:col w:w="9260" w:space="120"/>
            <w:col w:w="1840"/>
          </w:cols>
          <w:pgMar w:left="320" w:top="1008" w:right="359" w:bottom="1440" w:gutter="0" w:footer="0" w:header="0"/>
          <w:type w:val="continuous"/>
        </w:sect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None of our officers or directors adopted or terminated a non-Rule 10b5-1 trading arrangement (as defined in Item 408(c) of Regulation S-K) during the second quarter of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2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6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700" w:type="dxa"/>
            <w:vAlign w:val="bottom"/>
            <w:tcBorders>
              <w:top w:val="single" w:sz="8" w:color="auto"/>
            </w:tcBorders>
          </w:tcPr>
          <w:p>
            <w:pPr>
              <w:jc w:val="center"/>
              <w:ind w:left="291"/>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560" w:type="dxa"/>
            <w:vAlign w:val="bottom"/>
            <w:gridSpan w:val="7"/>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Amended and Restated Analog Devices, Inc. 2020 Equity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 the Company’s Current Report on</w:t>
            </w:r>
          </w:p>
        </w:tc>
      </w:tr>
      <w:tr>
        <w:trPr>
          <w:trHeight w:val="205"/>
        </w:trPr>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40" w:type="dxa"/>
            <w:vAlign w:val="bottom"/>
            <w:tcBorders>
              <w:top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Form 8-K as filed with the Commission on March 12, 2026.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4"/>
        </w:trPr>
        <w:tc>
          <w:tcPr>
            <w:tcW w:w="108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31.1†</w:t>
            </w:r>
          </w:p>
        </w:tc>
        <w:tc>
          <w:tcPr>
            <w:tcW w:w="460" w:type="dxa"/>
            <w:vAlign w:val="bottom"/>
          </w:tcPr>
          <w:p>
            <w:pPr>
              <w:spacing w:after="0"/>
              <w:rPr>
                <w:sz w:val="16"/>
                <w:szCs w:val="16"/>
                <w:color w:val="auto"/>
              </w:rPr>
            </w:pPr>
          </w:p>
        </w:tc>
        <w:tc>
          <w:tcPr>
            <w:tcW w:w="95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 (Chief Executive Officer).</w:t>
            </w:r>
          </w:p>
        </w:tc>
        <w:tc>
          <w:tcPr>
            <w:tcW w:w="5360" w:type="dxa"/>
            <w:vAlign w:val="bottom"/>
            <w:tcBorders>
              <w:top w:val="single" w:sz="8" w:color="0000FF"/>
            </w:tcBorders>
            <w:gridSpan w:val="4"/>
          </w:tcPr>
          <w:p>
            <w:pPr>
              <w:spacing w:after="0"/>
              <w:rPr>
                <w:sz w:val="14"/>
                <w:szCs w:val="14"/>
                <w:color w:val="auto"/>
              </w:rPr>
            </w:pPr>
          </w:p>
        </w:tc>
        <w:tc>
          <w:tcPr>
            <w:tcW w:w="200" w:type="dxa"/>
            <w:vAlign w:val="bottom"/>
          </w:tcPr>
          <w:p>
            <w:pPr>
              <w:spacing w:after="0"/>
              <w:rPr>
                <w:sz w:val="14"/>
                <w:szCs w:val="14"/>
                <w:color w:val="auto"/>
              </w:rPr>
            </w:pPr>
          </w:p>
        </w:tc>
      </w:tr>
      <w:tr>
        <w:trPr>
          <w:trHeight w:val="210"/>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460" w:type="dxa"/>
            <w:vAlign w:val="bottom"/>
          </w:tcPr>
          <w:p>
            <w:pPr>
              <w:spacing w:after="0"/>
              <w:rPr>
                <w:sz w:val="18"/>
                <w:szCs w:val="18"/>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36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 (Chief Financial Officer).</w:t>
            </w:r>
          </w:p>
        </w:tc>
        <w:tc>
          <w:tcPr>
            <w:tcW w:w="200" w:type="dxa"/>
            <w:vAlign w:val="bottom"/>
          </w:tcPr>
          <w:p>
            <w:pPr>
              <w:spacing w:after="0"/>
              <w:rPr>
                <w:sz w:val="14"/>
                <w:szCs w:val="14"/>
                <w:color w:val="auto"/>
              </w:rPr>
            </w:pPr>
          </w:p>
        </w:tc>
      </w:tr>
      <w:tr>
        <w:trPr>
          <w:trHeight w:val="20"/>
        </w:trPr>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r>
      <w:tr>
        <w:trPr>
          <w:trHeight w:val="20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460" w:type="dxa"/>
            <w:vAlign w:val="bottom"/>
          </w:tcPr>
          <w:p>
            <w:pPr>
              <w:spacing w:after="0"/>
              <w:rPr>
                <w:sz w:val="18"/>
                <w:szCs w:val="18"/>
                <w:color w:val="auto"/>
              </w:rPr>
            </w:pPr>
          </w:p>
        </w:tc>
        <w:tc>
          <w:tcPr>
            <w:tcW w:w="5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(Chief Executive Officer).</w:t>
            </w:r>
          </w:p>
        </w:tc>
        <w:tc>
          <w:tcPr>
            <w:tcW w:w="4100" w:type="dxa"/>
            <w:vAlign w:val="bottom"/>
            <w:gridSpan w:val="2"/>
          </w:tcPr>
          <w:p>
            <w:pPr>
              <w:spacing w:after="0"/>
              <w:rPr>
                <w:sz w:val="18"/>
                <w:szCs w:val="18"/>
                <w:color w:val="auto"/>
              </w:rPr>
            </w:pPr>
          </w:p>
        </w:tc>
      </w:tr>
      <w:tr>
        <w:trPr>
          <w:trHeight w:val="210"/>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460" w:type="dxa"/>
            <w:vAlign w:val="bottom"/>
          </w:tcPr>
          <w:p>
            <w:pPr>
              <w:spacing w:after="0"/>
              <w:rPr>
                <w:sz w:val="18"/>
                <w:szCs w:val="18"/>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(Chief Financial Officer).</w:t>
            </w:r>
          </w:p>
        </w:tc>
      </w:tr>
      <w:tr>
        <w:trPr>
          <w:trHeight w:val="20"/>
        </w:trPr>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0" w:type="dxa"/>
            <w:vAlign w:val="bottom"/>
            <w:gridSpan w:val="4"/>
            <w:shd w:val="clear" w:color="auto" w:fill="0000FF"/>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r>
      <w:tr>
        <w:trPr>
          <w:trHeight w:val="205"/>
        </w:trPr>
        <w:tc>
          <w:tcPr>
            <w:tcW w:w="1080" w:type="dxa"/>
            <w:vAlign w:val="bottom"/>
            <w:gridSpan w:val="2"/>
          </w:tcPr>
          <w:p>
            <w:pPr>
              <w:jc w:val="center"/>
              <w:ind w:right="20"/>
              <w:spacing w:after="0" w:line="205" w:lineRule="exact"/>
              <w:rPr>
                <w:sz w:val="20"/>
                <w:szCs w:val="20"/>
                <w:color w:val="auto"/>
              </w:rPr>
            </w:pPr>
            <w:r>
              <w:rPr>
                <w:rFonts w:ascii="Times New Roman" w:cs="Times New Roman" w:eastAsia="Times New Roman" w:hAnsi="Times New Roman"/>
                <w:sz w:val="18"/>
                <w:szCs w:val="18"/>
                <w:color w:val="auto"/>
              </w:rPr>
              <w:t>101.INS†</w:t>
            </w:r>
          </w:p>
        </w:tc>
        <w:tc>
          <w:tcPr>
            <w:tcW w:w="460" w:type="dxa"/>
            <w:vAlign w:val="bottom"/>
          </w:tcPr>
          <w:p>
            <w:pPr>
              <w:spacing w:after="0"/>
              <w:rPr>
                <w:sz w:val="17"/>
                <w:szCs w:val="17"/>
                <w:color w:val="auto"/>
              </w:rPr>
            </w:pPr>
          </w:p>
        </w:tc>
        <w:tc>
          <w:tcPr>
            <w:tcW w:w="956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29"/>
        </w:trPr>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0"/>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460" w:type="dxa"/>
            <w:vAlign w:val="bottom"/>
          </w:tcPr>
          <w:p>
            <w:pPr>
              <w:spacing w:after="0"/>
              <w:rPr>
                <w:sz w:val="19"/>
                <w:szCs w:val="19"/>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460" w:type="dxa"/>
            <w:vAlign w:val="bottom"/>
          </w:tcPr>
          <w:p>
            <w:pPr>
              <w:spacing w:after="0"/>
              <w:rPr>
                <w:sz w:val="19"/>
                <w:szCs w:val="19"/>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9"/>
        </w:trPr>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460" w:type="dxa"/>
            <w:vAlign w:val="bottom"/>
          </w:tcPr>
          <w:p>
            <w:pPr>
              <w:spacing w:after="0"/>
              <w:rPr>
                <w:sz w:val="19"/>
                <w:szCs w:val="19"/>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230"/>
        </w:trPr>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101.PRE†</w:t>
            </w:r>
          </w:p>
        </w:tc>
        <w:tc>
          <w:tcPr>
            <w:tcW w:w="460" w:type="dxa"/>
            <w:vAlign w:val="bottom"/>
          </w:tcPr>
          <w:p>
            <w:pPr>
              <w:spacing w:after="0"/>
              <w:rPr>
                <w:sz w:val="19"/>
                <w:szCs w:val="19"/>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29"/>
        </w:trPr>
        <w:tc>
          <w:tcPr>
            <w:tcW w:w="10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101.DEF†</w:t>
            </w:r>
          </w:p>
        </w:tc>
        <w:tc>
          <w:tcPr>
            <w:tcW w:w="460" w:type="dxa"/>
            <w:vAlign w:val="bottom"/>
          </w:tcPr>
          <w:p>
            <w:pPr>
              <w:spacing w:after="0"/>
              <w:rPr>
                <w:sz w:val="19"/>
                <w:szCs w:val="19"/>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189"/>
        </w:trPr>
        <w:tc>
          <w:tcPr>
            <w:tcW w:w="10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104†</w:t>
            </w:r>
          </w:p>
        </w:tc>
        <w:tc>
          <w:tcPr>
            <w:tcW w:w="460" w:type="dxa"/>
            <w:vAlign w:val="bottom"/>
          </w:tcPr>
          <w:p>
            <w:pPr>
              <w:spacing w:after="0"/>
              <w:rPr>
                <w:sz w:val="16"/>
                <w:szCs w:val="16"/>
                <w:color w:val="auto"/>
              </w:rPr>
            </w:pPr>
          </w:p>
        </w:tc>
        <w:tc>
          <w:tcPr>
            <w:tcW w:w="95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w:t>
            </w:r>
          </w:p>
        </w:tc>
      </w:tr>
      <w:tr>
        <w:trPr>
          <w:trHeight w:val="234"/>
        </w:trPr>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ind w:left="1540" w:hanging="1050"/>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540" w:hanging="1050"/>
        <w:spacing w:after="0"/>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049" w:right="459" w:bottom="1440" w:gutter="0" w:footer="0" w:header="0"/>
        </w:sectPr>
      </w:pPr>
    </w:p>
    <w:bookmarkStart w:id="25" w:name="page26"/>
    <w:bookmarkEnd w:id="2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77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9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21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Vincent Roche</w:t>
            </w:r>
          </w:p>
        </w:tc>
      </w:tr>
      <w:tr>
        <w:trPr>
          <w:trHeight w:val="218"/>
        </w:trPr>
        <w:tc>
          <w:tcPr>
            <w:tcW w:w="30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Vincent Roche</w:t>
            </w:r>
          </w:p>
        </w:tc>
      </w:tr>
      <w:tr>
        <w:trPr>
          <w:trHeight w:val="229"/>
        </w:trPr>
        <w:tc>
          <w:tcPr>
            <w:tcW w:w="30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30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21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Richard C. Puccio, Jr.</w:t>
            </w:r>
          </w:p>
        </w:tc>
      </w:tr>
      <w:tr>
        <w:trPr>
          <w:trHeight w:val="218"/>
        </w:trPr>
        <w:tc>
          <w:tcPr>
            <w:tcW w:w="30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Richard C. Puccio, Jr.</w:t>
            </w:r>
          </w:p>
        </w:tc>
      </w:tr>
      <w:tr>
        <w:trPr>
          <w:trHeight w:val="230"/>
        </w:trPr>
        <w:tc>
          <w:tcPr>
            <w:tcW w:w="30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0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20"/>
          </w:cols>
          <w:pgMar w:left="320" w:top="1008" w:right="65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486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 and Chair of the Board of</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Directors</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20, 2026</w:t>
      </w:r>
    </w:p>
    <w:p>
      <w:pPr>
        <w:sectPr>
          <w:pgSz w:w="11900" w:h="16838" w:orient="portrait"/>
          <w:cols w:equalWidth="0" w:num="1">
            <w:col w:w="11240"/>
          </w:cols>
          <w:pgMar w:left="320" w:top="914"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C. Puccio, Jr., certify that:</w:t>
      </w:r>
    </w:p>
    <w:p>
      <w:pPr>
        <w:spacing w:after="0" w:line="6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7"/>
          <w:szCs w:val="17"/>
          <w:color w:val="auto"/>
        </w:rPr>
        <w:t>Richard C. Puccio,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22860</wp:posOffset>
            </wp:positionV>
            <wp:extent cx="32486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Richard C. Puccio, Jr.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20, 2026</w:t>
      </w:r>
    </w:p>
    <w:p>
      <w:pPr>
        <w:sectPr>
          <w:pgSz w:w="11900" w:h="16838" w:orient="portrait"/>
          <w:cols w:equalWidth="0" w:num="1">
            <w:col w:w="11240"/>
          </w:cols>
          <w:pgMar w:left="320" w:top="914"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May 2, 2026 as filed with the Securities and Exchange Commission on the date hereof (the “Report”), the undersigned, Vincent Roche, Chief Executive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49" w:lineRule="exact"/>
        <w:rPr>
          <w:rFonts w:ascii="Times New Roman" w:cs="Times New Roman" w:eastAsia="Times New Roman" w:hAnsi="Times New Roman"/>
          <w:sz w:val="18"/>
          <w:szCs w:val="18"/>
          <w:color w:val="auto"/>
        </w:rPr>
      </w:pPr>
    </w:p>
    <w:p>
      <w:pPr>
        <w:ind w:left="6140" w:right="3860" w:hanging="40"/>
        <w:spacing w:after="0" w:line="3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 Vincent Roche Vincent Roche</w:t>
      </w:r>
    </w:p>
    <w:p>
      <w:pPr>
        <w:spacing w:after="0" w:line="1" w:lineRule="exact"/>
        <w:rPr>
          <w:rFonts w:ascii="Times New Roman" w:cs="Times New Roman" w:eastAsia="Times New Roman" w:hAnsi="Times New Roman"/>
          <w:sz w:val="18"/>
          <w:szCs w:val="18"/>
          <w:color w:val="auto"/>
        </w:rPr>
      </w:pPr>
    </w:p>
    <w:p>
      <w:pPr>
        <w:ind w:left="6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-307975</wp:posOffset>
            </wp:positionV>
            <wp:extent cx="30600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May 20, 2026</w:t>
      </w:r>
    </w:p>
    <w:p>
      <w:pPr>
        <w:sectPr>
          <w:pgSz w:w="11900" w:h="16838" w:orient="portrait"/>
          <w:cols w:equalWidth="0" w:num="1">
            <w:col w:w="11240"/>
          </w:cols>
          <w:pgMar w:left="320" w:top="914"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May 2, 2026 as filed with the Securities and Exchange Commission on the date hereof (the “Report”), the undersigned, Richard C. Puccio, Jr., Chief Financial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100" w:right="140" w:hanging="5768"/>
        <w:spacing w:after="0" w:line="296" w:lineRule="auto"/>
        <w:tabs>
          <w:tab w:leader="none" w:pos="6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contained in the Report fairly presents, in all material respects, the financial condition and results of operations of the Company. </w:t>
      </w:r>
      <w:r>
        <w:rPr>
          <w:rFonts w:ascii="Times New Roman" w:cs="Times New Roman" w:eastAsia="Times New Roman" w:hAnsi="Times New Roman"/>
          <w:sz w:val="19"/>
          <w:szCs w:val="19"/>
          <w:color w:val="auto"/>
        </w:rPr>
        <w:t xml:space="preserve">/s/ </w:t>
      </w:r>
      <w:r>
        <w:rPr>
          <w:rFonts w:ascii="Times New Roman" w:cs="Times New Roman" w:eastAsia="Times New Roman" w:hAnsi="Times New Roman"/>
          <w:sz w:val="17"/>
          <w:szCs w:val="17"/>
          <w:color w:val="auto"/>
        </w:rPr>
        <w:t>Richard C. Puccio, Jr.</w:t>
      </w:r>
    </w:p>
    <w:p>
      <w:pPr>
        <w:spacing w:after="0" w:line="1" w:lineRule="exact"/>
        <w:rPr>
          <w:rFonts w:ascii="Times New Roman" w:cs="Times New Roman" w:eastAsia="Times New Roman" w:hAnsi="Times New Roman"/>
          <w:sz w:val="18"/>
          <w:szCs w:val="18"/>
          <w:color w:val="auto"/>
        </w:rPr>
      </w:pPr>
    </w:p>
    <w:p>
      <w:pPr>
        <w:ind w:left="6100" w:right="348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Richard C. Puccio, Jr.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-345440</wp:posOffset>
            </wp:positionV>
            <wp:extent cx="30600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May 20, 2026</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46" Type="http://schemas.openxmlformats.org/officeDocument/2006/relationships/hyperlink" Target="https://www.sec.gov/Archives/edgar/data/0000006281/000000628126000022/amendedandrestated2020equ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2026-05-20T06:06:46Z</dcterms:created>
  <dcterms:modified xsi:type="dcterms:W3CDTF">2026-05-20T06:06:46Z</dcterms:modified>
</cp:coreProperties>
</file>