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759"/>
        <w:spacing w:after="0"/>
        <w:tabs>
          <w:tab w:leader="none" w:pos="180" w:val="left"/>
          <w:tab w:leader="none" w:pos="200" w:val="left"/>
          <w:tab w:leader="none" w:pos="200" w:val="left"/>
        </w:tabs>
        <w:rPr>
          <w:sz w:val="20"/>
          <w:szCs w:val="20"/>
          <w:color w:val="auto"/>
        </w:rPr>
      </w:pPr>
      <w:r>
        <w:rPr>
          <w:rFonts w:ascii="Courier New" w:cs="Courier New" w:eastAsia="Courier New" w:hAnsi="Courier New"/>
          <w:sz w:val="18"/>
          <w:szCs w:val="18"/>
          <w:color w:val="auto"/>
        </w:rPr>
        <w:t>S E C U R I T I E S</w:t>
        <w:tab/>
        <w:t>A N D</w:t>
        <w:tab/>
        <w:t>E X C H A N G E</w:t>
      </w:r>
      <w:r>
        <w:rPr>
          <w:sz w:val="20"/>
          <w:szCs w:val="20"/>
          <w:color w:val="auto"/>
        </w:rPr>
        <w:tab/>
      </w:r>
      <w:r>
        <w:rPr>
          <w:rFonts w:ascii="Courier New" w:cs="Courier New" w:eastAsia="Courier New" w:hAnsi="Courier New"/>
          <w:sz w:val="16"/>
          <w:szCs w:val="16"/>
          <w:color w:val="auto"/>
        </w:rPr>
        <w:t>C O M M I S S I O N</w:t>
      </w:r>
    </w:p>
    <w:p>
      <w:pPr>
        <w:spacing w:after="0" w:line="201" w:lineRule="exact"/>
        <w:rPr>
          <w:sz w:val="24"/>
          <w:szCs w:val="24"/>
          <w:color w:val="auto"/>
        </w:rPr>
      </w:pPr>
    </w:p>
    <w:p>
      <w:pPr>
        <w:jc w:val="center"/>
        <w:ind w:right="1879"/>
        <w:spacing w:after="0"/>
        <w:tabs>
          <w:tab w:leader="none" w:pos="2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1060" w:right="3259" w:hanging="1052"/>
        <w:spacing w:after="0" w:line="235" w:lineRule="auto"/>
        <w:tabs>
          <w:tab w:leader="none" w:pos="-125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]QUARTERLY REPORT PURSUANT TO SECTION 13 OR 15 (d) OF THE SECURITIES EXCHANGE ACT OF 1934</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For the quarterly period ended July 30, 1994</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960" w:right="3259" w:hanging="952"/>
        <w:spacing w:after="0" w:line="235" w:lineRule="auto"/>
        <w:tabs>
          <w:tab w:leader="none" w:pos="-114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 (d) OF THE SECURITIES EXCHANGE ACT OF 1934</w:t>
      </w:r>
    </w:p>
    <w:p>
      <w:pPr>
        <w:spacing w:after="0" w:line="208"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For the Transition period from_______________ to ________________</w:t>
      </w:r>
    </w:p>
    <w:p>
      <w:pPr>
        <w:spacing w:after="0" w:line="218"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Commission File No. 1-7819</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Analog Devices,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2"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04-2348234</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400" w:space="720"/>
            <w:col w:w="4099"/>
          </w:cols>
          <w:pgMar w:left="240" w:top="244" w:right="1440" w:bottom="1440" w:gutter="0" w:footer="0" w:header="0"/>
          <w:type w:val="continuous"/>
        </w:sectPr>
      </w:pPr>
    </w:p>
    <w:p>
      <w:pPr>
        <w:spacing w:after="0" w:line="24" w:lineRule="exact"/>
        <w:rPr>
          <w:sz w:val="24"/>
          <w:szCs w:val="24"/>
          <w:color w:val="auto"/>
        </w:rPr>
      </w:pPr>
    </w:p>
    <w:p>
      <w:pPr>
        <w:ind w:left="220" w:right="1480" w:firstLine="527"/>
        <w:spacing w:after="0" w:line="290" w:lineRule="auto"/>
        <w:rPr>
          <w:sz w:val="20"/>
          <w:szCs w:val="20"/>
          <w:color w:val="auto"/>
        </w:rPr>
      </w:pPr>
      <w:r>
        <w:rPr>
          <w:rFonts w:ascii="Courier New" w:cs="Courier New" w:eastAsia="Courier New" w:hAnsi="Courier New"/>
          <w:sz w:val="16"/>
          <w:szCs w:val="16"/>
          <w:color w:val="auto"/>
        </w:rPr>
        <w:t>One Technology Way, Norwood, MA (Address of principal executive offices)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02062-9106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8" w:lineRule="exact"/>
        <w:rPr>
          <w:sz w:val="24"/>
          <w:szCs w:val="24"/>
          <w:color w:val="auto"/>
        </w:rPr>
      </w:pPr>
    </w:p>
    <w:p>
      <w:pPr>
        <w:sectPr>
          <w:pgSz w:w="11900" w:h="16838" w:orient="portrait"/>
          <w:cols w:equalWidth="0" w:num="2">
            <w:col w:w="5920" w:space="720"/>
            <w:col w:w="3579"/>
          </w:cols>
          <w:pgMar w:left="240" w:top="244" w:right="1440" w:bottom="1440" w:gutter="0" w:footer="0" w:header="0"/>
          <w:type w:val="continuous"/>
        </w:sectPr>
      </w:pPr>
    </w:p>
    <w:p>
      <w:pPr>
        <w:jc w:val="center"/>
        <w:ind w:right="1779"/>
        <w:spacing w:after="0"/>
        <w:rPr>
          <w:sz w:val="20"/>
          <w:szCs w:val="20"/>
          <w:color w:val="auto"/>
        </w:rPr>
      </w:pPr>
      <w:r>
        <w:rPr>
          <w:rFonts w:ascii="Courier New" w:cs="Courier New" w:eastAsia="Courier New" w:hAnsi="Courier New"/>
          <w:sz w:val="18"/>
          <w:szCs w:val="18"/>
          <w:color w:val="auto"/>
        </w:rPr>
        <w:t>(617) 329-4700</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Indicate by check mark whether the registrant (1) has filed all reports</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required to be filed by Section 13 or 15 (d) of the Securities Exchange</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Act of 1934 during the preceding 12 months (or such shorter period that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registrant was required to file such reports), and (2) has been</w:t>
      </w:r>
    </w:p>
    <w:p>
      <w:pPr>
        <w:spacing w:after="0"/>
        <w:tabs>
          <w:tab w:leader="none" w:pos="6200" w:val="left"/>
          <w:tab w:leader="none" w:pos="6840" w:val="left"/>
          <w:tab w:leader="none" w:pos="7260" w:val="left"/>
        </w:tabs>
        <w:rPr>
          <w:sz w:val="20"/>
          <w:szCs w:val="20"/>
          <w:color w:val="auto"/>
        </w:rPr>
      </w:pPr>
      <w:r>
        <w:rPr>
          <w:rFonts w:ascii="Courier New" w:cs="Courier New" w:eastAsia="Courier New" w:hAnsi="Courier New"/>
          <w:sz w:val="18"/>
          <w:szCs w:val="18"/>
          <w:color w:val="auto"/>
        </w:rPr>
        <w:t>subject to such filing requirements for the past 90 days.</w:t>
        <w:tab/>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NO</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10" w:lineRule="exact"/>
        <w:rPr>
          <w:sz w:val="24"/>
          <w:szCs w:val="24"/>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The number of shares outstanding of each of the issuer's classes of Common Stock as of August 31, 1994 was 50,083,606 shares of Common Stock.</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PART I</w:t>
      </w:r>
    </w:p>
    <w:p>
      <w:pPr>
        <w:ind w:left="2860"/>
        <w:spacing w:after="0" w:line="238" w:lineRule="auto"/>
        <w:rPr>
          <w:sz w:val="20"/>
          <w:szCs w:val="20"/>
          <w:color w:val="auto"/>
        </w:rPr>
      </w:pPr>
      <w:r>
        <w:rPr>
          <w:rFonts w:ascii="Courier New" w:cs="Courier New" w:eastAsia="Courier New" w:hAnsi="Courier New"/>
          <w:sz w:val="18"/>
          <w:szCs w:val="18"/>
          <w:color w:val="auto"/>
        </w:rPr>
        <w:t>FINANCIAL INFORMATION</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CONDENSED CONSOLIDATED STATEMENTS OF INCOME</w:t>
      </w:r>
    </w:p>
    <w:p>
      <w:pPr>
        <w:spacing w:after="0"/>
        <w:rPr>
          <w:sz w:val="20"/>
          <w:szCs w:val="20"/>
          <w:color w:val="auto"/>
        </w:rPr>
      </w:pPr>
      <w:r>
        <w:rPr>
          <w:rFonts w:ascii="Courier New" w:cs="Courier New" w:eastAsia="Courier New" w:hAnsi="Courier New"/>
          <w:sz w:val="18"/>
          <w:szCs w:val="18"/>
          <w:color w:val="auto"/>
        </w:rPr>
        <w:t>(Unaudited)</w:t>
      </w:r>
    </w:p>
    <w:p>
      <w:pPr>
        <w:spacing w:after="0" w:line="237" w:lineRule="auto"/>
        <w:rPr>
          <w:sz w:val="20"/>
          <w:szCs w:val="20"/>
          <w:color w:val="auto"/>
        </w:rPr>
      </w:pPr>
      <w:r>
        <w:rPr>
          <w:rFonts w:ascii="Courier New" w:cs="Courier New" w:eastAsia="Courier New" w:hAnsi="Courier New"/>
          <w:sz w:val="18"/>
          <w:szCs w:val="18"/>
          <w:color w:val="auto"/>
        </w:rPr>
        <w:t>(thousands except per share amounts)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390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3900" w:type="dxa"/>
            <w:vAlign w:val="bottom"/>
          </w:tcPr>
          <w:p>
            <w:pPr>
              <w:spacing w:after="0"/>
              <w:rPr>
                <w:sz w:val="17"/>
                <w:szCs w:val="17"/>
                <w:color w:val="auto"/>
              </w:rPr>
            </w:pPr>
          </w:p>
        </w:tc>
        <w:tc>
          <w:tcPr>
            <w:tcW w:w="390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4"/>
                <w:szCs w:val="24"/>
                <w:color w:val="auto"/>
              </w:rPr>
            </w:pPr>
          </w:p>
        </w:tc>
        <w:tc>
          <w:tcPr>
            <w:tcW w:w="21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July 30, 1994</w:t>
            </w:r>
          </w:p>
        </w:tc>
        <w:tc>
          <w:tcPr>
            <w:tcW w:w="1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July 31, 1993</w:t>
            </w:r>
          </w:p>
        </w:tc>
      </w:tr>
      <w:tr>
        <w:trPr>
          <w:trHeight w:val="203"/>
        </w:trPr>
        <w:tc>
          <w:tcPr>
            <w:tcW w:w="3900" w:type="dxa"/>
            <w:vAlign w:val="bottom"/>
          </w:tcPr>
          <w:p>
            <w:pPr>
              <w:spacing w:after="0"/>
              <w:rPr>
                <w:sz w:val="17"/>
                <w:szCs w:val="17"/>
                <w:color w:val="auto"/>
              </w:rPr>
            </w:pP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1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$197,058</w:t>
            </w:r>
          </w:p>
        </w:tc>
        <w:tc>
          <w:tcPr>
            <w:tcW w:w="1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$173,104</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21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99,890</w:t>
            </w:r>
          </w:p>
        </w:tc>
        <w:tc>
          <w:tcPr>
            <w:tcW w:w="1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91,378</w:t>
            </w:r>
          </w:p>
        </w:tc>
      </w:tr>
      <w:tr>
        <w:trPr>
          <w:trHeight w:val="203"/>
        </w:trPr>
        <w:tc>
          <w:tcPr>
            <w:tcW w:w="3900" w:type="dxa"/>
            <w:vAlign w:val="bottom"/>
          </w:tcPr>
          <w:p>
            <w:pPr>
              <w:spacing w:after="0"/>
              <w:rPr>
                <w:sz w:val="17"/>
                <w:szCs w:val="17"/>
                <w:color w:val="auto"/>
              </w:rPr>
            </w:pP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97,168</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81,726</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1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27,205</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24,307</w:t>
            </w: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marketing, general and</w:t>
            </w:r>
          </w:p>
        </w:tc>
        <w:tc>
          <w:tcPr>
            <w:tcW w:w="2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3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administrative</w:t>
            </w: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43,333</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40,184</w:t>
            </w:r>
          </w:p>
        </w:tc>
      </w:tr>
      <w:tr>
        <w:trPr>
          <w:trHeight w:val="203"/>
        </w:trPr>
        <w:tc>
          <w:tcPr>
            <w:tcW w:w="3900" w:type="dxa"/>
            <w:vAlign w:val="bottom"/>
          </w:tcPr>
          <w:p>
            <w:pPr>
              <w:spacing w:after="0"/>
              <w:rPr>
                <w:sz w:val="17"/>
                <w:szCs w:val="17"/>
                <w:color w:val="auto"/>
              </w:rPr>
            </w:pP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70,538</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64,491</w:t>
            </w:r>
          </w:p>
        </w:tc>
      </w:tr>
      <w:tr>
        <w:trPr>
          <w:trHeight w:val="203"/>
        </w:trPr>
        <w:tc>
          <w:tcPr>
            <w:tcW w:w="3900" w:type="dxa"/>
            <w:vAlign w:val="bottom"/>
          </w:tcPr>
          <w:p>
            <w:pPr>
              <w:spacing w:after="0"/>
              <w:rPr>
                <w:sz w:val="17"/>
                <w:szCs w:val="17"/>
                <w:color w:val="auto"/>
              </w:rPr>
            </w:pP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21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26,630</w:t>
            </w:r>
          </w:p>
        </w:tc>
        <w:tc>
          <w:tcPr>
            <w:tcW w:w="1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17,235</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Nonoperating expenses (income):</w:t>
            </w:r>
          </w:p>
        </w:tc>
        <w:tc>
          <w:tcPr>
            <w:tcW w:w="21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1,796</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(891)</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3900" w:type="dxa"/>
            <w:vAlign w:val="bottom"/>
          </w:tcPr>
          <w:p>
            <w:pPr>
              <w:spacing w:after="0"/>
              <w:rPr>
                <w:sz w:val="17"/>
                <w:szCs w:val="17"/>
                <w:color w:val="auto"/>
              </w:rPr>
            </w:pP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905</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1,974</w:t>
            </w:r>
          </w:p>
        </w:tc>
      </w:tr>
      <w:tr>
        <w:trPr>
          <w:trHeight w:val="203"/>
        </w:trPr>
        <w:tc>
          <w:tcPr>
            <w:tcW w:w="3900" w:type="dxa"/>
            <w:vAlign w:val="bottom"/>
          </w:tcPr>
          <w:p>
            <w:pPr>
              <w:spacing w:after="0"/>
              <w:rPr>
                <w:sz w:val="17"/>
                <w:szCs w:val="17"/>
                <w:color w:val="auto"/>
              </w:rPr>
            </w:pP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21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25,725</w:t>
            </w:r>
          </w:p>
        </w:tc>
        <w:tc>
          <w:tcPr>
            <w:tcW w:w="1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15,261</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21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6,046</w:t>
            </w:r>
          </w:p>
        </w:tc>
        <w:tc>
          <w:tcPr>
            <w:tcW w:w="1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3,099</w:t>
            </w:r>
          </w:p>
        </w:tc>
      </w:tr>
      <w:tr>
        <w:trPr>
          <w:trHeight w:val="203"/>
        </w:trPr>
        <w:tc>
          <w:tcPr>
            <w:tcW w:w="3900" w:type="dxa"/>
            <w:vAlign w:val="bottom"/>
          </w:tcPr>
          <w:p>
            <w:pPr>
              <w:spacing w:after="0"/>
              <w:rPr>
                <w:sz w:val="17"/>
                <w:szCs w:val="17"/>
                <w:color w:val="auto"/>
              </w:rPr>
            </w:pP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1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$ 19,679</w:t>
            </w:r>
          </w:p>
        </w:tc>
        <w:tc>
          <w:tcPr>
            <w:tcW w:w="1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$ 12,162</w:t>
            </w:r>
          </w:p>
        </w:tc>
      </w:tr>
      <w:tr>
        <w:trPr>
          <w:trHeight w:val="203"/>
        </w:trPr>
        <w:tc>
          <w:tcPr>
            <w:tcW w:w="3900" w:type="dxa"/>
            <w:vAlign w:val="bottom"/>
          </w:tcPr>
          <w:p>
            <w:pPr>
              <w:spacing w:after="0"/>
              <w:rPr>
                <w:sz w:val="17"/>
                <w:szCs w:val="17"/>
                <w:color w:val="auto"/>
              </w:rPr>
            </w:pP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used to compute earnings</w:t>
            </w:r>
          </w:p>
        </w:tc>
        <w:tc>
          <w:tcPr>
            <w:tcW w:w="2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 share</w:t>
            </w: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51,657</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50,847</w:t>
            </w:r>
          </w:p>
        </w:tc>
      </w:tr>
      <w:tr>
        <w:trPr>
          <w:trHeight w:val="203"/>
        </w:trPr>
        <w:tc>
          <w:tcPr>
            <w:tcW w:w="3900" w:type="dxa"/>
            <w:vAlign w:val="bottom"/>
          </w:tcPr>
          <w:p>
            <w:pPr>
              <w:spacing w:after="0"/>
              <w:rPr>
                <w:sz w:val="17"/>
                <w:szCs w:val="17"/>
                <w:color w:val="auto"/>
              </w:rPr>
            </w:pP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Earnings per share of common stock</w:t>
            </w:r>
          </w:p>
        </w:tc>
        <w:tc>
          <w:tcPr>
            <w:tcW w:w="21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0.38</w:t>
            </w:r>
          </w:p>
        </w:tc>
        <w:tc>
          <w:tcPr>
            <w:tcW w:w="1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0.24</w:t>
            </w:r>
          </w:p>
        </w:tc>
      </w:tr>
      <w:tr>
        <w:trPr>
          <w:trHeight w:val="203"/>
        </w:trPr>
        <w:tc>
          <w:tcPr>
            <w:tcW w:w="3900" w:type="dxa"/>
            <w:vAlign w:val="bottom"/>
          </w:tcPr>
          <w:p>
            <w:pPr>
              <w:spacing w:after="0"/>
              <w:rPr>
                <w:sz w:val="17"/>
                <w:szCs w:val="17"/>
                <w:color w:val="auto"/>
              </w:rPr>
            </w:pP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6740" w:type="dxa"/>
            <w:vAlign w:val="bottom"/>
          </w:tcPr>
          <w:p>
            <w:pPr>
              <w:ind w:left="320"/>
              <w:spacing w:after="0"/>
              <w:rPr>
                <w:sz w:val="20"/>
                <w:szCs w:val="20"/>
                <w:color w:val="auto"/>
              </w:rPr>
            </w:pPr>
            <w:r>
              <w:rPr>
                <w:rFonts w:ascii="Courier New" w:cs="Courier New" w:eastAsia="Courier New" w:hAnsi="Courier New"/>
                <w:sz w:val="18"/>
                <w:szCs w:val="18"/>
                <w:color w:val="auto"/>
              </w:rPr>
              <w:t>3</w:t>
            </w:r>
          </w:p>
        </w:tc>
        <w:tc>
          <w:tcPr>
            <w:tcW w:w="1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608"/>
        </w:trPr>
        <w:tc>
          <w:tcPr>
            <w:tcW w:w="674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CONDENSED CONSOLIDATED STATEMENTS OF INCOME</w:t>
            </w:r>
          </w:p>
        </w:tc>
        <w:tc>
          <w:tcPr>
            <w:tcW w:w="1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(Unaudited)(thousands except per share amounts)</w:t>
            </w:r>
          </w:p>
        </w:tc>
        <w:tc>
          <w:tcPr>
            <w:tcW w:w="1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608"/>
        </w:trPr>
        <w:tc>
          <w:tcPr>
            <w:tcW w:w="67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Nine Months</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Ended</w:t>
            </w:r>
          </w:p>
        </w:tc>
      </w:tr>
      <w:tr>
        <w:trPr>
          <w:trHeight w:val="203"/>
        </w:trPr>
        <w:tc>
          <w:tcPr>
            <w:tcW w:w="6740" w:type="dxa"/>
            <w:vAlign w:val="bottom"/>
          </w:tcPr>
          <w:p>
            <w:pPr>
              <w:ind w:left="6220"/>
              <w:spacing w:after="0" w:line="203" w:lineRule="exact"/>
              <w:rPr>
                <w:sz w:val="20"/>
                <w:szCs w:val="20"/>
                <w:color w:val="auto"/>
              </w:rPr>
            </w:pPr>
            <w:r>
              <w:rPr>
                <w:rFonts w:ascii="Courier New" w:cs="Courier New" w:eastAsia="Courier New" w:hAnsi="Courier New"/>
                <w:sz w:val="18"/>
                <w:szCs w:val="18"/>
                <w:color w:val="auto"/>
              </w:rPr>
              <w:t>July</w:t>
            </w: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30, 1994</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July 31, 1993</w:t>
            </w:r>
          </w:p>
        </w:tc>
      </w:tr>
      <w:tr>
        <w:trPr>
          <w:trHeight w:val="203"/>
        </w:trPr>
        <w:tc>
          <w:tcPr>
            <w:tcW w:w="81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4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$570,173</w:t>
            </w:r>
          </w:p>
        </w:tc>
        <w:tc>
          <w:tcPr>
            <w:tcW w:w="14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$487,319</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14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292,991</w:t>
            </w:r>
          </w:p>
        </w:tc>
        <w:tc>
          <w:tcPr>
            <w:tcW w:w="14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256,686</w:t>
            </w:r>
          </w:p>
        </w:tc>
      </w:tr>
      <w:tr>
        <w:trPr>
          <w:trHeight w:val="203"/>
        </w:trPr>
        <w:tc>
          <w:tcPr>
            <w:tcW w:w="674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Gross margin</w:t>
            </w:r>
          </w:p>
        </w:tc>
        <w:tc>
          <w:tcPr>
            <w:tcW w:w="14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277,182</w:t>
            </w:r>
          </w:p>
        </w:tc>
        <w:tc>
          <w:tcPr>
            <w:tcW w:w="14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230,633</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77,821</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69,153</w:t>
            </w: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marketing, general and</w:t>
            </w:r>
          </w:p>
        </w:tc>
        <w:tc>
          <w:tcPr>
            <w:tcW w:w="1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administrative</w:t>
            </w: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126,534</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117,600</w:t>
            </w:r>
          </w:p>
        </w:tc>
      </w:tr>
      <w:tr>
        <w:trPr>
          <w:trHeight w:val="203"/>
        </w:trPr>
        <w:tc>
          <w:tcPr>
            <w:tcW w:w="674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204,355</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186,753</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4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72,827</w:t>
            </w:r>
          </w:p>
        </w:tc>
        <w:tc>
          <w:tcPr>
            <w:tcW w:w="14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43,880</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Nonoperating expenses (income):</w:t>
            </w: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5,455</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5,298</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(1,022)</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148</w:t>
            </w:r>
          </w:p>
        </w:tc>
      </w:tr>
      <w:tr>
        <w:trPr>
          <w:trHeight w:val="203"/>
        </w:trPr>
        <w:tc>
          <w:tcPr>
            <w:tcW w:w="674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4,433</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5,446</w:t>
            </w:r>
          </w:p>
        </w:tc>
      </w:tr>
      <w:tr>
        <w:trPr>
          <w:trHeight w:val="203"/>
        </w:trPr>
        <w:tc>
          <w:tcPr>
            <w:tcW w:w="674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14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68,394</w:t>
            </w:r>
          </w:p>
        </w:tc>
        <w:tc>
          <w:tcPr>
            <w:tcW w:w="14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38,434</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14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15,571</w:t>
            </w:r>
          </w:p>
        </w:tc>
        <w:tc>
          <w:tcPr>
            <w:tcW w:w="14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7,992</w:t>
            </w:r>
          </w:p>
        </w:tc>
      </w:tr>
      <w:tr>
        <w:trPr>
          <w:trHeight w:val="203"/>
        </w:trPr>
        <w:tc>
          <w:tcPr>
            <w:tcW w:w="674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4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$ 52,823</w:t>
            </w:r>
          </w:p>
        </w:tc>
        <w:tc>
          <w:tcPr>
            <w:tcW w:w="14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$ 30,442</w:t>
            </w:r>
          </w:p>
        </w:tc>
      </w:tr>
      <w:tr>
        <w:trPr>
          <w:trHeight w:val="203"/>
        </w:trPr>
        <w:tc>
          <w:tcPr>
            <w:tcW w:w="674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Shares used to compute earnings per share</w:t>
            </w:r>
          </w:p>
        </w:tc>
        <w:tc>
          <w:tcPr>
            <w:tcW w:w="14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51,336</w:t>
            </w:r>
          </w:p>
        </w:tc>
        <w:tc>
          <w:tcPr>
            <w:tcW w:w="14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50,328</w:t>
            </w:r>
          </w:p>
        </w:tc>
      </w:tr>
      <w:tr>
        <w:trPr>
          <w:trHeight w:val="203"/>
        </w:trPr>
        <w:tc>
          <w:tcPr>
            <w:tcW w:w="674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Earnings per share of common stock</w:t>
            </w:r>
          </w:p>
        </w:tc>
        <w:tc>
          <w:tcPr>
            <w:tcW w:w="14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1.03</w:t>
            </w:r>
          </w:p>
        </w:tc>
        <w:tc>
          <w:tcPr>
            <w:tcW w:w="14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0.60</w:t>
            </w:r>
          </w:p>
        </w:tc>
      </w:tr>
      <w:tr>
        <w:trPr>
          <w:trHeight w:val="203"/>
        </w:trPr>
        <w:tc>
          <w:tcPr>
            <w:tcW w:w="674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740" w:type="dxa"/>
            <w:vAlign w:val="bottom"/>
          </w:tcPr>
          <w:p>
            <w:pPr>
              <w:ind w:left="320"/>
              <w:spacing w:after="0"/>
              <w:rPr>
                <w:sz w:val="20"/>
                <w:szCs w:val="20"/>
                <w:color w:val="auto"/>
              </w:rPr>
            </w:pPr>
            <w:r>
              <w:rPr>
                <w:rFonts w:ascii="Courier New" w:cs="Courier New" w:eastAsia="Courier New" w:hAnsi="Courier New"/>
                <w:sz w:val="18"/>
                <w:szCs w:val="18"/>
                <w:color w:val="auto"/>
              </w:rPr>
              <w:t>4</w:t>
            </w:r>
          </w:p>
        </w:tc>
        <w:tc>
          <w:tcPr>
            <w:tcW w:w="15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810"/>
        </w:trPr>
        <w:tc>
          <w:tcPr>
            <w:tcW w:w="374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15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CONDENSED CONSOLIDATED BALANCE SHEETS</w:t>
            </w: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(Unaudited)(thousands except share amounts)</w:t>
            </w: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608"/>
        </w:trPr>
        <w:tc>
          <w:tcPr>
            <w:tcW w:w="374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July 30, 1994</w:t>
            </w:r>
          </w:p>
        </w:tc>
        <w:tc>
          <w:tcPr>
            <w:tcW w:w="20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October 30, 1993</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July 31, 1993</w:t>
            </w:r>
          </w:p>
        </w:tc>
      </w:tr>
      <w:tr>
        <w:trPr>
          <w:trHeight w:val="203"/>
        </w:trPr>
        <w:tc>
          <w:tcPr>
            <w:tcW w:w="374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$121,336</w:t>
            </w:r>
          </w:p>
        </w:tc>
        <w:tc>
          <w:tcPr>
            <w:tcW w:w="2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$ 80,668</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$ 61,231</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36,424</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Accounts receivable less allowances</w:t>
            </w:r>
          </w:p>
        </w:tc>
        <w:tc>
          <w:tcPr>
            <w:tcW w:w="15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of $6,618 ($2,395 in October 1993</w:t>
            </w:r>
          </w:p>
        </w:tc>
        <w:tc>
          <w:tcPr>
            <w:tcW w:w="15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$2,480 in July 1993)</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154,316</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145,663</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126,229</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Inventories:</w:t>
            </w:r>
          </w:p>
        </w:tc>
        <w:tc>
          <w:tcPr>
            <w:tcW w:w="15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Finished goods</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47,854</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51,359</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50,379</w:t>
            </w:r>
          </w:p>
        </w:tc>
      </w:tr>
      <w:tr>
        <w:trPr>
          <w:trHeight w:val="203"/>
        </w:trPr>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Work in process</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70,346</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80,418</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79,122</w:t>
            </w:r>
          </w:p>
        </w:tc>
      </w:tr>
      <w:tr>
        <w:trPr>
          <w:trHeight w:val="203"/>
        </w:trPr>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Raw materials</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15,870</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18,645</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22,915</w:t>
            </w:r>
          </w:p>
        </w:tc>
      </w:tr>
      <w:tr>
        <w:trPr>
          <w:trHeight w:val="203"/>
        </w:trPr>
        <w:tc>
          <w:tcPr>
            <w:tcW w:w="374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134,070</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150,422</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152,416</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income taxes</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23,455</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22,207</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6,071</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4,240</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3,628</w:t>
            </w:r>
          </w:p>
        </w:tc>
      </w:tr>
      <w:tr>
        <w:trPr>
          <w:trHeight w:val="203"/>
        </w:trPr>
        <w:tc>
          <w:tcPr>
            <w:tcW w:w="374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475,672</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403,200</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363,504</w:t>
            </w:r>
          </w:p>
        </w:tc>
      </w:tr>
      <w:tr>
        <w:trPr>
          <w:trHeight w:val="203"/>
        </w:trPr>
        <w:tc>
          <w:tcPr>
            <w:tcW w:w="374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w:t>
            </w:r>
          </w:p>
        </w:tc>
        <w:tc>
          <w:tcPr>
            <w:tcW w:w="15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 cost:</w:t>
            </w:r>
          </w:p>
        </w:tc>
        <w:tc>
          <w:tcPr>
            <w:tcW w:w="15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Land and buildings</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87,790</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81,110</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81,567</w:t>
            </w:r>
          </w:p>
        </w:tc>
      </w:tr>
      <w:tr>
        <w:trPr>
          <w:trHeight w:val="203"/>
        </w:trPr>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461,177</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451,248</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438,615</w:t>
            </w:r>
          </w:p>
        </w:tc>
      </w:tr>
      <w:tr>
        <w:trPr>
          <w:trHeight w:val="203"/>
        </w:trPr>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 equipment</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37,039</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33,170</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32,086</w:t>
            </w:r>
          </w:p>
        </w:tc>
      </w:tr>
      <w:tr>
        <w:trPr>
          <w:trHeight w:val="203"/>
        </w:trPr>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32,010</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26,429</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23,916</w:t>
            </w:r>
          </w:p>
        </w:tc>
      </w:tr>
      <w:tr>
        <w:trPr>
          <w:trHeight w:val="203"/>
        </w:trPr>
        <w:tc>
          <w:tcPr>
            <w:tcW w:w="374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618,016</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591,957</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576,184</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5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amortization</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370,105</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343,527</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330,071</w:t>
            </w:r>
          </w:p>
        </w:tc>
      </w:tr>
      <w:tr>
        <w:trPr>
          <w:trHeight w:val="203"/>
        </w:trPr>
        <w:tc>
          <w:tcPr>
            <w:tcW w:w="374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property, plant and</w:t>
            </w:r>
          </w:p>
        </w:tc>
        <w:tc>
          <w:tcPr>
            <w:tcW w:w="15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equipment</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247,911</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248,430</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246,113</w:t>
            </w:r>
          </w:p>
        </w:tc>
      </w:tr>
      <w:tr>
        <w:trPr>
          <w:trHeight w:val="203"/>
        </w:trPr>
        <w:tc>
          <w:tcPr>
            <w:tcW w:w="374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Intangible assets, net</w:t>
            </w: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19,770</w:t>
            </w:r>
          </w:p>
        </w:tc>
        <w:tc>
          <w:tcPr>
            <w:tcW w:w="2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21,306</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21,819</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charges and other</w:t>
            </w:r>
          </w:p>
        </w:tc>
        <w:tc>
          <w:tcPr>
            <w:tcW w:w="15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assets</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8,779</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5,556</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5,286</w:t>
            </w:r>
          </w:p>
        </w:tc>
      </w:tr>
      <w:tr>
        <w:trPr>
          <w:trHeight w:val="203"/>
        </w:trPr>
        <w:tc>
          <w:tcPr>
            <w:tcW w:w="374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other assets</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28,549</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26,862</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27,105</w:t>
            </w:r>
          </w:p>
        </w:tc>
      </w:tr>
      <w:tr>
        <w:trPr>
          <w:trHeight w:val="203"/>
        </w:trPr>
        <w:tc>
          <w:tcPr>
            <w:tcW w:w="374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$752,132</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$678,492</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$636,722</w:t>
            </w:r>
          </w:p>
        </w:tc>
      </w:tr>
      <w:tr>
        <w:trPr>
          <w:trHeight w:val="203"/>
        </w:trPr>
        <w:tc>
          <w:tcPr>
            <w:tcW w:w="374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CONDENSED CONSOLIDATED BALANCE SHEETS</w:t>
      </w:r>
    </w:p>
    <w:p>
      <w:pPr>
        <w:spacing w:after="0"/>
        <w:rPr>
          <w:sz w:val="20"/>
          <w:szCs w:val="20"/>
          <w:color w:val="auto"/>
        </w:rPr>
      </w:pPr>
      <w:r>
        <w:rPr>
          <w:rFonts w:ascii="Courier New" w:cs="Courier New" w:eastAsia="Courier New" w:hAnsi="Courier New"/>
          <w:sz w:val="18"/>
          <w:szCs w:val="18"/>
          <w:color w:val="auto"/>
        </w:rPr>
        <w:t>(Unaudited)(thousands except share amounts)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July 30, 1994</w:t>
            </w:r>
          </w:p>
        </w:tc>
        <w:tc>
          <w:tcPr>
            <w:tcW w:w="2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October 30, 1993</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July 31, 1993</w:t>
            </w:r>
          </w:p>
        </w:tc>
      </w:tr>
      <w:tr>
        <w:trPr>
          <w:trHeight w:val="203"/>
        </w:trPr>
        <w:tc>
          <w:tcPr>
            <w:tcW w:w="4280" w:type="dxa"/>
            <w:vAlign w:val="bottom"/>
          </w:tcPr>
          <w:p>
            <w:pPr>
              <w:spacing w:after="0"/>
              <w:rPr>
                <w:sz w:val="17"/>
                <w:szCs w:val="17"/>
                <w:color w:val="auto"/>
              </w:rPr>
            </w:pPr>
          </w:p>
        </w:tc>
        <w:tc>
          <w:tcPr>
            <w:tcW w:w="1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Short-term borrowings and current</w:t>
            </w:r>
          </w:p>
        </w:tc>
        <w:tc>
          <w:tcPr>
            <w:tcW w:w="19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portion of long-term debt</w:t>
            </w:r>
          </w:p>
        </w:tc>
        <w:tc>
          <w:tcPr>
            <w:tcW w:w="1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$ 22,246</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$ 2,006</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1,932</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Obligations under capital leases</w:t>
            </w:r>
          </w:p>
        </w:tc>
        <w:tc>
          <w:tcPr>
            <w:tcW w:w="1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307</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335</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330</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1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52,176</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48,779</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42,549</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on shipments to</w:t>
            </w:r>
          </w:p>
        </w:tc>
        <w:tc>
          <w:tcPr>
            <w:tcW w:w="19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domestic distributors</w:t>
            </w:r>
          </w:p>
        </w:tc>
        <w:tc>
          <w:tcPr>
            <w:tcW w:w="1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19,598</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16,417</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12,496</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19,207</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15,405</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5,803</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49,340</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49,893</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38,214</w:t>
            </w:r>
          </w:p>
        </w:tc>
      </w:tr>
      <w:tr>
        <w:trPr>
          <w:trHeight w:val="203"/>
        </w:trPr>
        <w:tc>
          <w:tcPr>
            <w:tcW w:w="4280" w:type="dxa"/>
            <w:vAlign w:val="bottom"/>
          </w:tcPr>
          <w:p>
            <w:pPr>
              <w:spacing w:after="0"/>
              <w:rPr>
                <w:sz w:val="17"/>
                <w:szCs w:val="17"/>
                <w:color w:val="auto"/>
              </w:rPr>
            </w:pPr>
          </w:p>
        </w:tc>
        <w:tc>
          <w:tcPr>
            <w:tcW w:w="1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162,874</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132,835</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101,324</w:t>
            </w:r>
          </w:p>
        </w:tc>
      </w:tr>
      <w:tr>
        <w:trPr>
          <w:trHeight w:val="203"/>
        </w:trPr>
        <w:tc>
          <w:tcPr>
            <w:tcW w:w="4280" w:type="dxa"/>
            <w:vAlign w:val="bottom"/>
          </w:tcPr>
          <w:p>
            <w:pPr>
              <w:spacing w:after="0"/>
              <w:rPr>
                <w:sz w:val="17"/>
                <w:szCs w:val="17"/>
                <w:color w:val="auto"/>
              </w:rPr>
            </w:pPr>
          </w:p>
        </w:tc>
        <w:tc>
          <w:tcPr>
            <w:tcW w:w="1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80,000</w:t>
            </w:r>
          </w:p>
        </w:tc>
        <w:tc>
          <w:tcPr>
            <w:tcW w:w="2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100,000</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100,000</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obligations under</w:t>
            </w:r>
          </w:p>
        </w:tc>
        <w:tc>
          <w:tcPr>
            <w:tcW w:w="19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leases</w:t>
            </w:r>
          </w:p>
        </w:tc>
        <w:tc>
          <w:tcPr>
            <w:tcW w:w="1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297</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383</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8,000</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8,540</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14,000</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liabilities</w:t>
            </w:r>
          </w:p>
        </w:tc>
        <w:tc>
          <w:tcPr>
            <w:tcW w:w="1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4,647</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4,802</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4,339</w:t>
            </w:r>
          </w:p>
        </w:tc>
      </w:tr>
      <w:tr>
        <w:trPr>
          <w:trHeight w:val="203"/>
        </w:trPr>
        <w:tc>
          <w:tcPr>
            <w:tcW w:w="4280" w:type="dxa"/>
            <w:vAlign w:val="bottom"/>
          </w:tcPr>
          <w:p>
            <w:pPr>
              <w:spacing w:after="0"/>
              <w:rPr>
                <w:sz w:val="17"/>
                <w:szCs w:val="17"/>
                <w:color w:val="auto"/>
              </w:rPr>
            </w:pPr>
          </w:p>
        </w:tc>
        <w:tc>
          <w:tcPr>
            <w:tcW w:w="1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noncurrent liabilities</w:t>
            </w:r>
          </w:p>
        </w:tc>
        <w:tc>
          <w:tcPr>
            <w:tcW w:w="1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92,722</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113,639</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118,722</w:t>
            </w:r>
          </w:p>
        </w:tc>
      </w:tr>
      <w:tr>
        <w:trPr>
          <w:trHeight w:val="203"/>
        </w:trPr>
        <w:tc>
          <w:tcPr>
            <w:tcW w:w="4280" w:type="dxa"/>
            <w:vAlign w:val="bottom"/>
          </w:tcPr>
          <w:p>
            <w:pPr>
              <w:spacing w:after="0"/>
              <w:rPr>
                <w:sz w:val="17"/>
                <w:szCs w:val="17"/>
                <w:color w:val="auto"/>
              </w:rPr>
            </w:pPr>
          </w:p>
        </w:tc>
        <w:tc>
          <w:tcPr>
            <w:tcW w:w="1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19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9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Preferred stock, $1.00 par value,</w:t>
            </w:r>
          </w:p>
        </w:tc>
        <w:tc>
          <w:tcPr>
            <w:tcW w:w="19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500,000 shares authorized,</w:t>
            </w:r>
          </w:p>
        </w:tc>
        <w:tc>
          <w:tcPr>
            <w:tcW w:w="19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none outstanding</w:t>
            </w:r>
          </w:p>
        </w:tc>
        <w:tc>
          <w:tcPr>
            <w:tcW w:w="1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Common stock, $.16 2/3 par value,</w:t>
            </w:r>
          </w:p>
        </w:tc>
        <w:tc>
          <w:tcPr>
            <w:tcW w:w="19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150,000,000 shares authorized,</w:t>
            </w:r>
          </w:p>
        </w:tc>
        <w:tc>
          <w:tcPr>
            <w:tcW w:w="19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51,287,792 shares issued</w:t>
            </w:r>
          </w:p>
        </w:tc>
        <w:tc>
          <w:tcPr>
            <w:tcW w:w="19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(50,924,637 in October 1993,</w:t>
            </w:r>
          </w:p>
        </w:tc>
        <w:tc>
          <w:tcPr>
            <w:tcW w:w="19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50,746,609 in July 1993)</w:t>
            </w:r>
          </w:p>
        </w:tc>
        <w:tc>
          <w:tcPr>
            <w:tcW w:w="1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8,548</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8,488</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8,458</w:t>
            </w: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1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151,336</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143,502</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141,280</w:t>
            </w: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340,521</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287,698</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273,683</w:t>
            </w: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Cumulative translation adjustment</w:t>
            </w:r>
          </w:p>
        </w:tc>
        <w:tc>
          <w:tcPr>
            <w:tcW w:w="1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5,763</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5,473</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5,874</w:t>
            </w:r>
          </w:p>
        </w:tc>
      </w:tr>
      <w:tr>
        <w:trPr>
          <w:trHeight w:val="203"/>
        </w:trPr>
        <w:tc>
          <w:tcPr>
            <w:tcW w:w="4280" w:type="dxa"/>
            <w:vAlign w:val="bottom"/>
          </w:tcPr>
          <w:p>
            <w:pPr>
              <w:spacing w:after="0"/>
              <w:rPr>
                <w:sz w:val="17"/>
                <w:szCs w:val="17"/>
                <w:color w:val="auto"/>
              </w:rPr>
            </w:pPr>
          </w:p>
        </w:tc>
        <w:tc>
          <w:tcPr>
            <w:tcW w:w="1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1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506,168</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445,161</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429,295</w:t>
            </w:r>
          </w:p>
        </w:tc>
      </w:tr>
      <w:tr>
        <w:trPr>
          <w:trHeight w:val="405"/>
        </w:trPr>
        <w:tc>
          <w:tcPr>
            <w:tcW w:w="4280" w:type="dxa"/>
            <w:vAlign w:val="bottom"/>
          </w:tcPr>
          <w:p>
            <w:pPr>
              <w:ind w:left="320"/>
              <w:spacing w:after="0"/>
              <w:rPr>
                <w:sz w:val="20"/>
                <w:szCs w:val="20"/>
                <w:color w:val="auto"/>
              </w:rPr>
            </w:pPr>
            <w:r>
              <w:rPr>
                <w:rFonts w:ascii="Courier New" w:cs="Courier New" w:eastAsia="Courier New" w:hAnsi="Courier New"/>
                <w:sz w:val="18"/>
                <w:szCs w:val="18"/>
                <w:color w:val="auto"/>
              </w:rPr>
              <w:t>Less 1,231,610 shares in treasury,</w:t>
            </w:r>
          </w:p>
        </w:tc>
        <w:tc>
          <w:tcPr>
            <w:tcW w:w="19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 cost (1,727,396 in October 1993</w:t>
            </w:r>
          </w:p>
        </w:tc>
        <w:tc>
          <w:tcPr>
            <w:tcW w:w="19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1,688,530 in July 1993)</w:t>
            </w:r>
          </w:p>
        </w:tc>
        <w:tc>
          <w:tcPr>
            <w:tcW w:w="1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9,632</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13,143</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12,619</w:t>
            </w:r>
          </w:p>
        </w:tc>
      </w:tr>
      <w:tr>
        <w:trPr>
          <w:trHeight w:val="203"/>
        </w:trPr>
        <w:tc>
          <w:tcPr>
            <w:tcW w:w="4280" w:type="dxa"/>
            <w:vAlign w:val="bottom"/>
          </w:tcPr>
          <w:p>
            <w:pPr>
              <w:spacing w:after="0"/>
              <w:rPr>
                <w:sz w:val="17"/>
                <w:szCs w:val="17"/>
                <w:color w:val="auto"/>
              </w:rPr>
            </w:pPr>
          </w:p>
        </w:tc>
        <w:tc>
          <w:tcPr>
            <w:tcW w:w="1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496,536</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432,018</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416,676</w:t>
            </w:r>
          </w:p>
        </w:tc>
      </w:tr>
      <w:tr>
        <w:trPr>
          <w:trHeight w:val="203"/>
        </w:trPr>
        <w:tc>
          <w:tcPr>
            <w:tcW w:w="4280" w:type="dxa"/>
            <w:vAlign w:val="bottom"/>
          </w:tcPr>
          <w:p>
            <w:pPr>
              <w:spacing w:after="0"/>
              <w:rPr>
                <w:sz w:val="17"/>
                <w:szCs w:val="17"/>
                <w:color w:val="auto"/>
              </w:rPr>
            </w:pPr>
          </w:p>
        </w:tc>
        <w:tc>
          <w:tcPr>
            <w:tcW w:w="1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1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$752,132</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$678,492</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$636,722</w:t>
            </w:r>
          </w:p>
        </w:tc>
      </w:tr>
      <w:tr>
        <w:trPr>
          <w:trHeight w:val="203"/>
        </w:trPr>
        <w:tc>
          <w:tcPr>
            <w:tcW w:w="4280" w:type="dxa"/>
            <w:vAlign w:val="bottom"/>
          </w:tcPr>
          <w:p>
            <w:pPr>
              <w:spacing w:after="0"/>
              <w:rPr>
                <w:sz w:val="17"/>
                <w:szCs w:val="17"/>
                <w:color w:val="auto"/>
              </w:rPr>
            </w:pPr>
          </w:p>
        </w:tc>
        <w:tc>
          <w:tcPr>
            <w:tcW w:w="1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20"/>
          </w:cols>
          <w:pgMar w:left="240" w:top="312" w:right="1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5320" w:type="dxa"/>
            <w:vAlign w:val="bottom"/>
          </w:tcPr>
          <w:p>
            <w:pPr>
              <w:ind w:left="320"/>
              <w:spacing w:after="0"/>
              <w:rPr>
                <w:sz w:val="20"/>
                <w:szCs w:val="20"/>
                <w:color w:val="auto"/>
              </w:rPr>
            </w:pPr>
            <w:r>
              <w:rPr>
                <w:rFonts w:ascii="Courier New" w:cs="Courier New" w:eastAsia="Courier New" w:hAnsi="Courier New"/>
                <w:sz w:val="18"/>
                <w:szCs w:val="18"/>
                <w:color w:val="auto"/>
              </w:rPr>
              <w:t>6</w:t>
            </w:r>
          </w:p>
        </w:tc>
        <w:tc>
          <w:tcPr>
            <w:tcW w:w="1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810"/>
        </w:trPr>
        <w:tc>
          <w:tcPr>
            <w:tcW w:w="532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CONDENSED CONSOLIDATED STATEMENTS OF CASH FLOWS</w:t>
            </w:r>
          </w:p>
        </w:tc>
        <w:tc>
          <w:tcPr>
            <w:tcW w:w="1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1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w:t>
            </w:r>
          </w:p>
        </w:tc>
        <w:tc>
          <w:tcPr>
            <w:tcW w:w="1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608"/>
        </w:trPr>
        <w:tc>
          <w:tcPr>
            <w:tcW w:w="5320" w:type="dxa"/>
            <w:vAlign w:val="bottom"/>
          </w:tcPr>
          <w:p>
            <w:pPr>
              <w:spacing w:after="0"/>
              <w:rPr>
                <w:sz w:val="24"/>
                <w:szCs w:val="24"/>
                <w:color w:val="auto"/>
              </w:rPr>
            </w:pPr>
          </w:p>
        </w:tc>
        <w:tc>
          <w:tcPr>
            <w:tcW w:w="28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Nine Months Ended</w:t>
            </w:r>
          </w:p>
        </w:tc>
        <w:tc>
          <w:tcPr>
            <w:tcW w:w="840" w:type="dxa"/>
            <w:vAlign w:val="bottom"/>
          </w:tcPr>
          <w:p>
            <w:pPr>
              <w:spacing w:after="0"/>
              <w:rPr>
                <w:sz w:val="24"/>
                <w:szCs w:val="24"/>
                <w:color w:val="auto"/>
              </w:rPr>
            </w:pPr>
          </w:p>
        </w:tc>
      </w:tr>
      <w:tr>
        <w:trPr>
          <w:trHeight w:val="203"/>
        </w:trPr>
        <w:tc>
          <w:tcPr>
            <w:tcW w:w="5320" w:type="dxa"/>
            <w:vAlign w:val="bottom"/>
          </w:tcPr>
          <w:p>
            <w:pPr>
              <w:spacing w:after="0"/>
              <w:rPr>
                <w:sz w:val="17"/>
                <w:szCs w:val="17"/>
                <w:color w:val="auto"/>
              </w:rPr>
            </w:pPr>
          </w:p>
        </w:tc>
        <w:tc>
          <w:tcPr>
            <w:tcW w:w="2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r>
      <w:tr>
        <w:trPr>
          <w:trHeight w:val="405"/>
        </w:trPr>
        <w:tc>
          <w:tcPr>
            <w:tcW w:w="5320" w:type="dxa"/>
            <w:vAlign w:val="bottom"/>
          </w:tcPr>
          <w:p>
            <w:pPr>
              <w:spacing w:after="0"/>
              <w:rPr>
                <w:sz w:val="24"/>
                <w:szCs w:val="24"/>
                <w:color w:val="auto"/>
              </w:rPr>
            </w:pPr>
          </w:p>
        </w:tc>
        <w:tc>
          <w:tcPr>
            <w:tcW w:w="1860" w:type="dxa"/>
            <w:vAlign w:val="bottom"/>
          </w:tcPr>
          <w:p>
            <w:pPr>
              <w:jc w:val="right"/>
              <w:ind w:right="352"/>
              <w:spacing w:after="0"/>
              <w:rPr>
                <w:sz w:val="20"/>
                <w:szCs w:val="20"/>
                <w:color w:val="auto"/>
              </w:rPr>
            </w:pPr>
            <w:r>
              <w:rPr>
                <w:rFonts w:ascii="Courier New" w:cs="Courier New" w:eastAsia="Courier New" w:hAnsi="Courier New"/>
                <w:sz w:val="18"/>
                <w:szCs w:val="18"/>
                <w:color w:val="auto"/>
                <w:w w:val="99"/>
              </w:rPr>
              <w:t>July 30, 1994</w:t>
            </w:r>
          </w:p>
        </w:tc>
        <w:tc>
          <w:tcPr>
            <w:tcW w:w="17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July 31, 1993</w:t>
            </w:r>
          </w:p>
        </w:tc>
      </w:tr>
      <w:tr>
        <w:trPr>
          <w:trHeight w:val="203"/>
        </w:trPr>
        <w:tc>
          <w:tcPr>
            <w:tcW w:w="5320" w:type="dxa"/>
            <w:vAlign w:val="bottom"/>
          </w:tcPr>
          <w:p>
            <w:pPr>
              <w:spacing w:after="0"/>
              <w:rPr>
                <w:sz w:val="17"/>
                <w:szCs w:val="17"/>
                <w:color w:val="auto"/>
              </w:rPr>
            </w:pPr>
          </w:p>
        </w:tc>
        <w:tc>
          <w:tcPr>
            <w:tcW w:w="18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rPr>
              <w:t>OPERATIONS</w:t>
            </w: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operations:</w:t>
            </w:r>
          </w:p>
        </w:tc>
        <w:tc>
          <w:tcPr>
            <w:tcW w:w="1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$ 52,823</w:t>
            </w: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$ 30,442</w:t>
            </w: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1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net cash provided by operations:</w:t>
            </w:r>
          </w:p>
        </w:tc>
        <w:tc>
          <w:tcPr>
            <w:tcW w:w="1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46,068</w:t>
            </w:r>
          </w:p>
        </w:tc>
        <w:tc>
          <w:tcPr>
            <w:tcW w:w="9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43,939</w:t>
            </w: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8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(595)</w:t>
            </w:r>
          </w:p>
        </w:tc>
        <w:tc>
          <w:tcPr>
            <w:tcW w:w="9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1,316</w:t>
            </w: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noncash expenses</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2,052</w:t>
            </w:r>
          </w:p>
        </w:tc>
        <w:tc>
          <w:tcPr>
            <w:tcW w:w="9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2,206</w:t>
            </w: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11,686</w:t>
            </w:r>
          </w:p>
        </w:tc>
        <w:tc>
          <w:tcPr>
            <w:tcW w:w="9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(24,641)</w:t>
            </w:r>
          </w:p>
        </w:tc>
      </w:tr>
      <w:tr>
        <w:trPr>
          <w:trHeight w:val="203"/>
        </w:trPr>
        <w:tc>
          <w:tcPr>
            <w:tcW w:w="5320" w:type="dxa"/>
            <w:vAlign w:val="bottom"/>
          </w:tcPr>
          <w:p>
            <w:pPr>
              <w:spacing w:after="0"/>
              <w:rPr>
                <w:sz w:val="17"/>
                <w:szCs w:val="17"/>
                <w:color w:val="auto"/>
              </w:rPr>
            </w:pP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59,211</w:t>
            </w:r>
          </w:p>
        </w:tc>
        <w:tc>
          <w:tcPr>
            <w:tcW w:w="9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22,820</w:t>
            </w:r>
          </w:p>
        </w:tc>
      </w:tr>
      <w:tr>
        <w:trPr>
          <w:trHeight w:val="203"/>
        </w:trPr>
        <w:tc>
          <w:tcPr>
            <w:tcW w:w="5320" w:type="dxa"/>
            <w:vAlign w:val="bottom"/>
          </w:tcPr>
          <w:p>
            <w:pPr>
              <w:spacing w:after="0"/>
              <w:rPr>
                <w:sz w:val="17"/>
                <w:szCs w:val="17"/>
                <w:color w:val="auto"/>
              </w:rPr>
            </w:pP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operations</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112,034</w:t>
            </w:r>
          </w:p>
        </w:tc>
        <w:tc>
          <w:tcPr>
            <w:tcW w:w="9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53,262</w:t>
            </w:r>
          </w:p>
        </w:tc>
      </w:tr>
      <w:tr>
        <w:trPr>
          <w:trHeight w:val="203"/>
        </w:trPr>
        <w:tc>
          <w:tcPr>
            <w:tcW w:w="5320" w:type="dxa"/>
            <w:vAlign w:val="bottom"/>
          </w:tcPr>
          <w:p>
            <w:pPr>
              <w:spacing w:after="0"/>
              <w:rPr>
                <w:sz w:val="17"/>
                <w:szCs w:val="17"/>
                <w:color w:val="auto"/>
              </w:rPr>
            </w:pP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investments:</w:t>
            </w:r>
          </w:p>
        </w:tc>
        <w:tc>
          <w:tcPr>
            <w:tcW w:w="1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Additions to property, plant and equipment, net</w:t>
            </w:r>
          </w:p>
        </w:tc>
        <w:tc>
          <w:tcPr>
            <w:tcW w:w="18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(42,783)</w:t>
            </w:r>
          </w:p>
        </w:tc>
        <w:tc>
          <w:tcPr>
            <w:tcW w:w="9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(49,007)</w:t>
            </w:r>
          </w:p>
        </w:tc>
      </w:tr>
      <w:tr>
        <w:trPr>
          <w:trHeight w:val="203"/>
        </w:trPr>
        <w:tc>
          <w:tcPr>
            <w:tcW w:w="5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 of short-term investments</w:t>
            </w:r>
          </w:p>
        </w:tc>
        <w:tc>
          <w:tcPr>
            <w:tcW w:w="18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(36,424)</w:t>
            </w:r>
          </w:p>
        </w:tc>
        <w:tc>
          <w:tcPr>
            <w:tcW w:w="9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spacing w:after="0"/>
              <w:rPr>
                <w:sz w:val="17"/>
                <w:szCs w:val="17"/>
                <w:color w:val="auto"/>
              </w:rPr>
            </w:pP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investments</w:t>
            </w:r>
          </w:p>
        </w:tc>
        <w:tc>
          <w:tcPr>
            <w:tcW w:w="18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(79,207)</w:t>
            </w:r>
          </w:p>
        </w:tc>
        <w:tc>
          <w:tcPr>
            <w:tcW w:w="9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(49,007)</w:t>
            </w:r>
          </w:p>
        </w:tc>
      </w:tr>
      <w:tr>
        <w:trPr>
          <w:trHeight w:val="203"/>
        </w:trPr>
        <w:tc>
          <w:tcPr>
            <w:tcW w:w="5320" w:type="dxa"/>
            <w:vAlign w:val="bottom"/>
          </w:tcPr>
          <w:p>
            <w:pPr>
              <w:spacing w:after="0"/>
              <w:rPr>
                <w:sz w:val="17"/>
                <w:szCs w:val="17"/>
                <w:color w:val="auto"/>
              </w:rPr>
            </w:pP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1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employee stock plans</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8,987</w:t>
            </w:r>
          </w:p>
        </w:tc>
        <w:tc>
          <w:tcPr>
            <w:tcW w:w="9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8,602</w:t>
            </w:r>
          </w:p>
        </w:tc>
      </w:tr>
      <w:tr>
        <w:trPr>
          <w:trHeight w:val="203"/>
        </w:trPr>
        <w:tc>
          <w:tcPr>
            <w:tcW w:w="5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on capital lease obligations</w:t>
            </w:r>
          </w:p>
        </w:tc>
        <w:tc>
          <w:tcPr>
            <w:tcW w:w="18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(250)</w:t>
            </w:r>
          </w:p>
        </w:tc>
        <w:tc>
          <w:tcPr>
            <w:tcW w:w="9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w:t>
            </w:r>
          </w:p>
        </w:tc>
      </w:tr>
      <w:tr>
        <w:trPr>
          <w:trHeight w:val="203"/>
        </w:trPr>
        <w:tc>
          <w:tcPr>
            <w:tcW w:w="5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(decrease) in variable rate borrowings</w:t>
            </w:r>
          </w:p>
        </w:tc>
        <w:tc>
          <w:tcPr>
            <w:tcW w:w="18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(66)</w:t>
            </w:r>
          </w:p>
        </w:tc>
        <w:tc>
          <w:tcPr>
            <w:tcW w:w="9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(30,027)</w:t>
            </w:r>
          </w:p>
        </w:tc>
      </w:tr>
      <w:tr>
        <w:trPr>
          <w:trHeight w:val="203"/>
        </w:trPr>
        <w:tc>
          <w:tcPr>
            <w:tcW w:w="5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issuance of long-term debt</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80,000</w:t>
            </w:r>
          </w:p>
        </w:tc>
      </w:tr>
      <w:tr>
        <w:trPr>
          <w:trHeight w:val="203"/>
        </w:trPr>
        <w:tc>
          <w:tcPr>
            <w:tcW w:w="5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on fixed rate borrowings</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(20,146)</w:t>
            </w:r>
          </w:p>
        </w:tc>
      </w:tr>
      <w:tr>
        <w:trPr>
          <w:trHeight w:val="203"/>
        </w:trPr>
        <w:tc>
          <w:tcPr>
            <w:tcW w:w="5320" w:type="dxa"/>
            <w:vAlign w:val="bottom"/>
          </w:tcPr>
          <w:p>
            <w:pPr>
              <w:spacing w:after="0"/>
              <w:rPr>
                <w:sz w:val="17"/>
                <w:szCs w:val="17"/>
                <w:color w:val="auto"/>
              </w:rPr>
            </w:pP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financing activities</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8,671</w:t>
            </w:r>
          </w:p>
        </w:tc>
        <w:tc>
          <w:tcPr>
            <w:tcW w:w="9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38,197</w:t>
            </w:r>
          </w:p>
        </w:tc>
      </w:tr>
      <w:tr>
        <w:trPr>
          <w:trHeight w:val="203"/>
        </w:trPr>
        <w:tc>
          <w:tcPr>
            <w:tcW w:w="5320" w:type="dxa"/>
            <w:vAlign w:val="bottom"/>
          </w:tcPr>
          <w:p>
            <w:pPr>
              <w:spacing w:after="0"/>
              <w:rPr>
                <w:sz w:val="17"/>
                <w:szCs w:val="17"/>
                <w:color w:val="auto"/>
              </w:rPr>
            </w:pP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exchange rate changes on cash</w:t>
            </w:r>
          </w:p>
        </w:tc>
        <w:tc>
          <w:tcPr>
            <w:tcW w:w="18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(830)</w:t>
            </w:r>
          </w:p>
        </w:tc>
        <w:tc>
          <w:tcPr>
            <w:tcW w:w="9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1,049</w:t>
            </w:r>
          </w:p>
        </w:tc>
      </w:tr>
      <w:tr>
        <w:trPr>
          <w:trHeight w:val="203"/>
        </w:trPr>
        <w:tc>
          <w:tcPr>
            <w:tcW w:w="5320" w:type="dxa"/>
            <w:vAlign w:val="bottom"/>
          </w:tcPr>
          <w:p>
            <w:pPr>
              <w:spacing w:after="0"/>
              <w:rPr>
                <w:sz w:val="17"/>
                <w:szCs w:val="17"/>
                <w:color w:val="auto"/>
              </w:rPr>
            </w:pP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cash and cash equivalents</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40,668</w:t>
            </w:r>
          </w:p>
        </w:tc>
        <w:tc>
          <w:tcPr>
            <w:tcW w:w="9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43,501</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80,668</w:t>
            </w:r>
          </w:p>
        </w:tc>
        <w:tc>
          <w:tcPr>
            <w:tcW w:w="9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17,730</w:t>
            </w:r>
          </w:p>
        </w:tc>
      </w:tr>
      <w:tr>
        <w:trPr>
          <w:trHeight w:val="203"/>
        </w:trPr>
        <w:tc>
          <w:tcPr>
            <w:tcW w:w="5320" w:type="dxa"/>
            <w:vAlign w:val="bottom"/>
          </w:tcPr>
          <w:p>
            <w:pPr>
              <w:spacing w:after="0"/>
              <w:rPr>
                <w:sz w:val="17"/>
                <w:szCs w:val="17"/>
                <w:color w:val="auto"/>
              </w:rPr>
            </w:pP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$121,336</w:t>
            </w: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$ 61,231</w:t>
            </w:r>
          </w:p>
        </w:tc>
      </w:tr>
      <w:tr>
        <w:trPr>
          <w:trHeight w:val="203"/>
        </w:trPr>
        <w:tc>
          <w:tcPr>
            <w:tcW w:w="5320" w:type="dxa"/>
            <w:vAlign w:val="bottom"/>
          </w:tcPr>
          <w:p>
            <w:pPr>
              <w:spacing w:after="0"/>
              <w:rPr>
                <w:sz w:val="17"/>
                <w:szCs w:val="17"/>
                <w:color w:val="auto"/>
              </w:rPr>
            </w:pP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rPr>
              <w:t>SUPPLEMENTAL INFORMATION</w:t>
            </w: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paid during the period for:</w:t>
            </w:r>
          </w:p>
        </w:tc>
        <w:tc>
          <w:tcPr>
            <w:tcW w:w="1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$ 10,127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2,905</w:t>
            </w:r>
          </w:p>
        </w:tc>
      </w:tr>
      <w:tr>
        <w:trPr>
          <w:trHeight w:val="203"/>
        </w:trPr>
        <w:tc>
          <w:tcPr>
            <w:tcW w:w="5320" w:type="dxa"/>
            <w:vAlign w:val="bottom"/>
          </w:tcPr>
          <w:p>
            <w:pPr>
              <w:spacing w:after="0"/>
              <w:rPr>
                <w:sz w:val="17"/>
                <w:szCs w:val="17"/>
                <w:color w:val="auto"/>
              </w:rPr>
            </w:pP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3,973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3,751</w:t>
            </w:r>
          </w:p>
        </w:tc>
      </w:tr>
      <w:tr>
        <w:trPr>
          <w:trHeight w:val="203"/>
        </w:trPr>
        <w:tc>
          <w:tcPr>
            <w:tcW w:w="5320" w:type="dxa"/>
            <w:vAlign w:val="bottom"/>
          </w:tcPr>
          <w:p>
            <w:pPr>
              <w:spacing w:after="0"/>
              <w:rPr>
                <w:sz w:val="17"/>
                <w:szCs w:val="17"/>
                <w:color w:val="auto"/>
              </w:rPr>
            </w:pP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Notes to Condensed Consolidated Financial Statements</w:t>
      </w:r>
    </w:p>
    <w:p>
      <w:pPr>
        <w:spacing w:after="0"/>
        <w:rPr>
          <w:sz w:val="20"/>
          <w:szCs w:val="20"/>
          <w:color w:val="auto"/>
        </w:rPr>
      </w:pPr>
      <w:r>
        <w:rPr>
          <w:rFonts w:ascii="Courier New" w:cs="Courier New" w:eastAsia="Courier New" w:hAnsi="Courier New"/>
          <w:sz w:val="18"/>
          <w:szCs w:val="18"/>
          <w:color w:val="auto"/>
        </w:rPr>
        <w:t>July 30,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739"/>
        <w:spacing w:after="0" w:line="273" w:lineRule="auto"/>
        <w:rPr>
          <w:sz w:val="20"/>
          <w:szCs w:val="20"/>
          <w:color w:val="auto"/>
        </w:rPr>
      </w:pPr>
      <w:r>
        <w:rPr>
          <w:rFonts w:ascii="Courier New" w:cs="Courier New" w:eastAsia="Courier New" w:hAnsi="Courier New"/>
          <w:sz w:val="16"/>
          <w:szCs w:val="16"/>
          <w:color w:val="auto"/>
        </w:rPr>
        <w:t>Note 1 - In the opinion of management, the information furnished in the accompanying financial statements reflects all adjustments, consisting only of normal recurring adjustments, which are necessary to a fair statement of the results for this interim period and should be read in conjunction with the most recent Annual Report to Stockholders.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 Commitments and Contingencies</w:t>
      </w:r>
    </w:p>
    <w:p>
      <w:pPr>
        <w:spacing w:after="0" w:line="20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The Company is involved in claims as a defendant in various lawsuits including patent infringement and anti-trust matters as previously disclosed in the Company's Annual Report on Form 10-K for the fiscal year ended October 30, 1993.</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lawsuit brought by Crystal Semiconductor Corporation ("Crystal") against the Company on November 12, 1992 in the United States District Court for the Western District of Texas (Austin Division) for patent infringement (as previously reported in the Company's Annual Report on Form 10-K for the fiscal year ended October 30, 1993 and Quarterly Reports for the quarters ending January 29 and April 30, 1994) has been dismissed. Crystal and the Company have executed a definitive agreement providing a cross-license of technology between the Company and Crystal and the payment of related license fees for technology to be used pursuant to the agreement. The Company does not believe that compliance with the terms of this licensing agreement will have a material adverse effect on the Company's financial position or overall trends in its results of operations.</w:t>
      </w:r>
    </w:p>
    <w:p>
      <w:pPr>
        <w:spacing w:after="0" w:line="207" w:lineRule="exact"/>
        <w:rPr>
          <w:sz w:val="20"/>
          <w:szCs w:val="20"/>
          <w:color w:val="auto"/>
        </w:rPr>
      </w:pPr>
    </w:p>
    <w:p>
      <w:pPr>
        <w:ind w:right="2619"/>
        <w:spacing w:after="0" w:line="271" w:lineRule="auto"/>
        <w:rPr>
          <w:sz w:val="20"/>
          <w:szCs w:val="20"/>
          <w:color w:val="auto"/>
        </w:rPr>
      </w:pPr>
      <w:r>
        <w:rPr>
          <w:rFonts w:ascii="Courier New" w:cs="Courier New" w:eastAsia="Courier New" w:hAnsi="Courier New"/>
          <w:sz w:val="16"/>
          <w:szCs w:val="16"/>
          <w:color w:val="auto"/>
        </w:rPr>
        <w:t>In the lawsuit brought by Maxim Integrated Products, Inc. ("Maxim") on November 11, 1992 in the United States District Court for the Northern District of California for antitrust and related business tort claims, the court granted the Company's motion for summary judgment on September 7, 1994. The court determined that there were no material factual issues existing and that as a matter of law Maxim was not entitled to relief as to any of the claims asserted. Maxim has a 30-day period to appeal the summary judgment granted by the District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Third Quarter of Fiscal 1994 Compared to the Third Quarter of Fiscal 1993</w:t>
      </w:r>
    </w:p>
    <w:p>
      <w:pPr>
        <w:spacing w:after="0" w:line="224" w:lineRule="exact"/>
        <w:rPr>
          <w:sz w:val="20"/>
          <w:szCs w:val="20"/>
          <w:color w:val="auto"/>
        </w:rPr>
      </w:pPr>
    </w:p>
    <w:p>
      <w:pPr>
        <w:ind w:right="2519"/>
        <w:spacing w:after="0" w:line="270" w:lineRule="auto"/>
        <w:rPr>
          <w:sz w:val="20"/>
          <w:szCs w:val="20"/>
          <w:color w:val="auto"/>
        </w:rPr>
      </w:pPr>
      <w:r>
        <w:rPr>
          <w:rFonts w:ascii="Courier New" w:cs="Courier New" w:eastAsia="Courier New" w:hAnsi="Courier New"/>
          <w:sz w:val="16"/>
          <w:szCs w:val="16"/>
          <w:color w:val="auto"/>
        </w:rPr>
        <w:t>Net sales of $197.1 million for the third quarter of fiscal 1994 grew $24.0 million or 14% from net sales of $173.1 million for the third quarter of fiscal 1993. Third quarter sales growth was attributable to an increase in sales volumes of both standard linear and system-level IC products which together grew 16% year-over-year and accounted for 90% of sales. Broad demand for standard linear ICs continued strong during the third quarter driven by increased penetration of the distribution channel. System-level ICs also experienced strong growth compared to the same quarter last year. Geographically, the strongest demand growth occurred in the North American distributor channel for which sales rose approximately 38% over the third quarter of 1993. Sales to international customers were strongest in Japan, aided in part by a weaker dollar, followed by Southeast Asia. European sales were down slightly from the year ago period due to weaker economic conditions.</w:t>
      </w:r>
    </w:p>
    <w:p>
      <w:pPr>
        <w:spacing w:after="0" w:line="388" w:lineRule="exact"/>
        <w:rPr>
          <w:sz w:val="20"/>
          <w:szCs w:val="20"/>
          <w:color w:val="auto"/>
        </w:rPr>
      </w:pPr>
    </w:p>
    <w:p>
      <w:pPr>
        <w:ind w:right="2619"/>
        <w:spacing w:after="0" w:line="269" w:lineRule="auto"/>
        <w:rPr>
          <w:sz w:val="20"/>
          <w:szCs w:val="20"/>
          <w:color w:val="auto"/>
        </w:rPr>
      </w:pPr>
      <w:r>
        <w:rPr>
          <w:rFonts w:ascii="Courier New" w:cs="Courier New" w:eastAsia="Courier New" w:hAnsi="Courier New"/>
          <w:sz w:val="16"/>
          <w:szCs w:val="16"/>
          <w:color w:val="auto"/>
        </w:rPr>
        <w:t>Gross margin improved to 49.3% of sales from 47.2% in the third quarter of 1993. This increased resulted principally from continued improvement in gross margins of system-level IC products year-over-year as further volume efficiencies were realized in this product area. Gross margins in the Company's standard linear IC business remained at a high level while overall gross margin on all IC products was over 50%, up from the same quarter last year. R&amp;D expense for the third quarter of 1994 grew $2.9 million over the same quarter last year but as a percentage of sales was relatively stable at 13.8% compared to 14.0% last year. R&amp;D spending is expected to increase slightly during the balance of fiscal 1994 as the Company maintains its commitment to product development in the PC, communications and automotive markets. The ratio of R&amp;D to sales is expected to be held at approximately 14% for the balance of the year. Selling, marketing, general and administrative (SMG&amp;A) expenses grew 7.8% in absolute dollars compared to the third quarter of 1993, increasing at a lower rate than sales year-over-year. As a result, SMG&amp;A as a percentage of sales decreased to 22.0% from 23.2% in the third quarter of 1993. The 7.8% or $3.1 million increase in SMG&amp;A expenses resulted mostly from increased marketing expenses associated with many new product launches and additional incentive expense. In total, operating expenses declined to 35.8% of sales, down from 37.3% one year ago, in line with the Company's focus on maintaining operating expense growth below that of sales.</w:t>
      </w:r>
    </w:p>
    <w:p>
      <w:pPr>
        <w:spacing w:after="0" w:line="200" w:lineRule="exact"/>
        <w:rPr>
          <w:sz w:val="20"/>
          <w:szCs w:val="20"/>
          <w:color w:val="auto"/>
        </w:rPr>
      </w:pPr>
    </w:p>
    <w:p>
      <w:pPr>
        <w:spacing w:after="0" w:line="396"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Operating income of $26.6 million or 13.5% of sales was 55% higher than the $17.2 million or 10.0% of sales for the year-earlier period. This performance gain reflected the higher sales level, improvement in gross margin as a percent of sales and reduction in the operating expense to sales ratio.</w:t>
      </w:r>
    </w:p>
    <w:p>
      <w:pPr>
        <w:spacing w:after="0" w:line="209"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Nonoperating expenses were reduced significantly from $2.0 million for the third quarter of 1993 to $905,000 for the third quarter of 1994 as net interest expense declined from $1.6 million to $261,000 over the same period in response to increased cash balances.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right="2839"/>
        <w:spacing w:after="0" w:line="273" w:lineRule="auto"/>
        <w:rPr>
          <w:sz w:val="20"/>
          <w:szCs w:val="20"/>
          <w:color w:val="auto"/>
        </w:rPr>
      </w:pPr>
      <w:r>
        <w:rPr>
          <w:rFonts w:ascii="Courier New" w:cs="Courier New" w:eastAsia="Courier New" w:hAnsi="Courier New"/>
          <w:sz w:val="16"/>
          <w:szCs w:val="16"/>
          <w:color w:val="auto"/>
        </w:rPr>
        <w:t>The effective income tax rate rose from 20.3% for the third quarter a year ago to 23.5% for the third quarter of 1994 due to a shift in the mix of worldwide profits to higher tax rate jurisdictions. The Company expects the effective tax rate to migrate upwards due to anticipated earnings growth in higher tax rate jurisdictions including the U.S.</w:t>
      </w:r>
    </w:p>
    <w:p>
      <w:pPr>
        <w:spacing w:after="0" w:line="185"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growth in sales, improved operating performance and lower nonoperating expenses led to the generation of net income of $19.7 million or $0.38 per share, up 62% from $12.2 million or $0.24 per share compared to the year-earlier period.</w:t>
      </w:r>
    </w:p>
    <w:p>
      <w:pPr>
        <w:spacing w:after="0" w:line="207"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Third Quarter of Fiscal 1994 Compared to the Second Quarter of Fiscal 1994</w:t>
      </w:r>
    </w:p>
    <w:p>
      <w:pPr>
        <w:spacing w:after="0" w:line="20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Net sales increased from $192.0 million for the second quarter of 1994 to $197.1 million for the third quarter of 1994, an increase of $5.0 million or approximately 3%. The sales increase resulted from continued rising demand for system-level ICs used in application-specific computer products as well as continuing strength in standard linear products. Sales of system-level ICs were particularly strong in Southeast Asia for high-performance hard disk drives. Growth in sales of standard linear IC products was fueled largely by revenue increases in Japan and also in the distributor channel in North America with sales to end customers through North American distribution increasing again sequentially during a typically seasonally slow period.</w:t>
      </w:r>
    </w:p>
    <w:p>
      <w:pPr>
        <w:spacing w:after="0" w:line="216"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Gross margin widened from 48.7% in the second quarter of 1994 to 49.3% in the third quarter driven primarily by a greater mix of higher-margin, standard linear IC sales.</w:t>
      </w:r>
    </w:p>
    <w:p>
      <w:pPr>
        <w:spacing w:after="0" w:line="209"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R&amp;D expense for the third quarter rose $845,000 or 3.2% from the prior quarter as the Company continued funding of its initiatives in communications and computer products and expanded the scope of development work in micromachined accelerometers. R&amp;D expense as a percentage of sales remained relatively flat at 13.8% compared to the second quarter's 13.7%, reflecting efforts to target R&amp;D expenditures for the most promising strategic opportunities. SMG&amp;A expenses increased by $1.1 million or 2.7% from the second quarter and as a percentage of sales remained at 22.0%.</w:t>
      </w:r>
    </w:p>
    <w:p>
      <w:pPr>
        <w:spacing w:after="0" w:line="214"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Operating income for the third quarter improved to 13.5% of sales from 13.0% in the second quarter due primarily to another sequential improvement in gross margin as a percent of sales. This performance, which was aided by continuing tight control over operating expenses, together with a decrease in net interest expense associated with a rise in cash balances, resulted in net income rising to $19.7 million or</w:t>
      </w:r>
    </w:p>
    <w:p>
      <w:pPr>
        <w:spacing w:after="0" w:line="1"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10.0% of sales from $17.9 million or 9.3% for the immediately preceding quarter.</w:t>
      </w:r>
    </w:p>
    <w:p>
      <w:pPr>
        <w:spacing w:after="0" w:line="208"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First Nine Months of Fiscal 1994 Compared to the First Nine Months of Fiscal 1993</w:t>
      </w:r>
    </w:p>
    <w:p>
      <w:pPr>
        <w:spacing w:after="0" w:line="208"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Net sales of $570.2 million increased $82.9 million or approximately 17% from the same period of 1993. The sales increase was due to growth in sales volumes of both system-level ICs and standard linear IC products. Sales of system-level IC products were strongest in Southeast Asia while the largest sales gains for standard products were made through North American distributors and to customers in Japan with sales in Japan aided in part by a weaker average dollar exchange rate. Sales in Europe were essentially flat compared to the first nine months of 1993 due to weakness in European industrial economies.</w:t>
      </w:r>
    </w:p>
    <w:p>
      <w:pPr>
        <w:spacing w:after="0" w:line="38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Gross margin improved to 48.6% of sales for the first nine months of 1994 compared to 47.3% for the first nine months of 1993. This increase resulted principally from improvement in gross margin for system-level IC products as variable manufacturing costs declined and fixed costs were spread over a larger revenue base. Gross margin on all IC products, which include both standard linear and system-level ICs, exceeded 50% of sales.</w:t>
      </w:r>
    </w:p>
    <w:p>
      <w:pPr>
        <w:spacing w:after="0" w:line="211"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R&amp;D expense increased 12.5% over the prior year but as a percentage of sales decreased to 13.6%, down from 14.2% in 1993. The growth of SMG&amp;A expense was held to 7.6%, increasing at a much lower rate than sales. As a result, the SMG&amp;A to sales ratio was reduced to 22.2% from 24.1% for the comparable period of 1993. Total operating expenses as a percentage of sales were reduced from 38.3% one year ago to 35.8% consistent with the Company's commitment to maintaining tight control over all costs in order to gain good operating leverage on increased revenues. A key factor in controlling operating expenses has been holding worldwide employment virtually flat at approximately 5,400 employees, despite continuing sales growth.</w:t>
      </w:r>
    </w:p>
    <w:p>
      <w:pPr>
        <w:spacing w:after="0" w:line="216" w:lineRule="exact"/>
        <w:rPr>
          <w:sz w:val="20"/>
          <w:szCs w:val="20"/>
          <w:color w:val="auto"/>
        </w:rPr>
      </w:pPr>
    </w:p>
    <w:p>
      <w:pPr>
        <w:jc w:val="both"/>
        <w:ind w:right="2839"/>
        <w:spacing w:after="0" w:line="237" w:lineRule="auto"/>
        <w:rPr>
          <w:sz w:val="20"/>
          <w:szCs w:val="20"/>
          <w:color w:val="auto"/>
        </w:rPr>
      </w:pPr>
      <w:r>
        <w:rPr>
          <w:rFonts w:ascii="Courier New" w:cs="Courier New" w:eastAsia="Courier New" w:hAnsi="Courier New"/>
          <w:sz w:val="18"/>
          <w:szCs w:val="18"/>
          <w:color w:val="auto"/>
        </w:rPr>
        <w:t>Operating income of $72.8 million or 12.8% of sales for the first nine months of 1994 was significantly higher than the $43.9 million or 9.0% of sales for the same period in 1993 reflecting increased sales, gross margin improvement and expense control.</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Nonoperating expenses decreased $1.0 million, benefiting from increased interest income on a higher level of invested cash. The effective income tax rate increased to 22.8% from 20.8% for the year ago period due to a change in the mix of worldwide income.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income rose 73.5% to $52.8 million or 9.3% of sales compared to</w:t>
      </w:r>
    </w:p>
    <w:p>
      <w:pPr>
        <w:spacing w:after="0" w:line="4"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$30.4 million or 6.2% for the first nine months of 1993. Earnings per share improved to $1.03 from $0.60 for the year-earlier period.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July 30, 1994, cash and cash equivalents and short-term investments</w:t>
      </w:r>
    </w:p>
    <w:p>
      <w:pPr>
        <w:spacing w:after="0" w:line="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totaled</w:t>
        <w:tab/>
        <w:t>$157.8 million, an increase of $77.1 million and $96.5 million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the end of the fourth and third quarters of 1993, respectively.</w:t>
      </w:r>
    </w:p>
    <w:p>
      <w:pPr>
        <w:spacing w:after="0" w:line="238" w:lineRule="auto"/>
        <w:rPr>
          <w:sz w:val="20"/>
          <w:szCs w:val="20"/>
          <w:color w:val="auto"/>
        </w:rPr>
      </w:pPr>
      <w:r>
        <w:rPr>
          <w:rFonts w:ascii="Courier New" w:cs="Courier New" w:eastAsia="Courier New" w:hAnsi="Courier New"/>
          <w:sz w:val="18"/>
          <w:szCs w:val="18"/>
          <w:color w:val="auto"/>
        </w:rPr>
        <w:t>Cash and cash equivalents and short-term investments also increased</w:t>
      </w:r>
    </w:p>
    <w:p>
      <w:pPr>
        <w:spacing w:after="0"/>
        <w:tabs>
          <w:tab w:leader="none" w:pos="5040" w:val="left"/>
        </w:tabs>
        <w:rPr>
          <w:sz w:val="20"/>
          <w:szCs w:val="20"/>
          <w:color w:val="auto"/>
        </w:rPr>
      </w:pPr>
      <w:r>
        <w:rPr>
          <w:rFonts w:ascii="Courier New" w:cs="Courier New" w:eastAsia="Courier New" w:hAnsi="Courier New"/>
          <w:sz w:val="18"/>
          <w:szCs w:val="18"/>
          <w:color w:val="auto"/>
        </w:rPr>
        <w:t>$26.4 million over the second quarter of 1994.</w:t>
      </w:r>
      <w:r>
        <w:rPr>
          <w:sz w:val="20"/>
          <w:szCs w:val="20"/>
          <w:color w:val="auto"/>
        </w:rPr>
        <w:tab/>
      </w:r>
      <w:r>
        <w:rPr>
          <w:rFonts w:ascii="Courier New" w:cs="Courier New" w:eastAsia="Courier New" w:hAnsi="Courier New"/>
          <w:sz w:val="16"/>
          <w:szCs w:val="16"/>
          <w:color w:val="auto"/>
        </w:rPr>
        <w:t>The increase in cash and</w:t>
      </w:r>
    </w:p>
    <w:p>
      <w:pPr>
        <w:spacing w:after="0" w:line="237" w:lineRule="auto"/>
        <w:rPr>
          <w:sz w:val="20"/>
          <w:szCs w:val="20"/>
          <w:color w:val="auto"/>
        </w:rPr>
      </w:pPr>
      <w:r>
        <w:rPr>
          <w:rFonts w:ascii="Courier New" w:cs="Courier New" w:eastAsia="Courier New" w:hAnsi="Courier New"/>
          <w:sz w:val="18"/>
          <w:szCs w:val="18"/>
          <w:color w:val="auto"/>
        </w:rPr>
        <w:t>cash equivalents and short-term investments compared to the fourth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third quarters of 1993 was due principally to a substantial improvement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cash provided from operations. The increase over the second quarter</w:t>
      </w:r>
    </w:p>
    <w:p>
      <w:pPr>
        <w:spacing w:after="0" w:line="238" w:lineRule="auto"/>
        <w:rPr>
          <w:sz w:val="20"/>
          <w:szCs w:val="20"/>
          <w:color w:val="auto"/>
        </w:rPr>
      </w:pPr>
      <w:r>
        <w:rPr>
          <w:rFonts w:ascii="Courier New" w:cs="Courier New" w:eastAsia="Courier New" w:hAnsi="Courier New"/>
          <w:sz w:val="18"/>
          <w:szCs w:val="18"/>
          <w:color w:val="auto"/>
        </w:rPr>
        <w:t>of 1994 reflected continued generation of operating cash flows in</w:t>
      </w:r>
    </w:p>
    <w:p>
      <w:pPr>
        <w:spacing w:after="0"/>
        <w:rPr>
          <w:sz w:val="20"/>
          <w:szCs w:val="20"/>
          <w:color w:val="auto"/>
        </w:rPr>
      </w:pPr>
      <w:r>
        <w:rPr>
          <w:rFonts w:ascii="Courier New" w:cs="Courier New" w:eastAsia="Courier New" w:hAnsi="Courier New"/>
          <w:sz w:val="18"/>
          <w:szCs w:val="18"/>
          <w:color w:val="auto"/>
        </w:rPr>
        <w:t>addition to cash generated from the issuance of shares under the</w:t>
      </w:r>
    </w:p>
    <w:p>
      <w:pPr>
        <w:spacing w:after="0" w:line="237" w:lineRule="auto"/>
        <w:rPr>
          <w:sz w:val="20"/>
          <w:szCs w:val="20"/>
          <w:color w:val="auto"/>
        </w:rPr>
      </w:pPr>
      <w:r>
        <w:rPr>
          <w:rFonts w:ascii="Courier New" w:cs="Courier New" w:eastAsia="Courier New" w:hAnsi="Courier New"/>
          <w:sz w:val="18"/>
          <w:szCs w:val="18"/>
          <w:color w:val="auto"/>
        </w:rPr>
        <w:t>Company's employee stock purchase plan. During the third quarter of</w:t>
      </w:r>
    </w:p>
    <w:p>
      <w:pPr>
        <w:spacing w:after="0" w:line="238" w:lineRule="auto"/>
        <w:rPr>
          <w:sz w:val="20"/>
          <w:szCs w:val="20"/>
          <w:color w:val="auto"/>
        </w:rPr>
      </w:pPr>
      <w:r>
        <w:rPr>
          <w:rFonts w:ascii="Courier New" w:cs="Courier New" w:eastAsia="Courier New" w:hAnsi="Courier New"/>
          <w:sz w:val="18"/>
          <w:szCs w:val="18"/>
          <w:color w:val="auto"/>
        </w:rPr>
        <w:t>1994, the Company invested $36.4 million of excess cash in short-term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 including commercial paper and certificates of deposit with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maturities greater than three months and less than one year.</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first nine months of fiscal 1994, the Company generated cash</w:t>
      </w:r>
    </w:p>
    <w:p>
      <w:pPr>
        <w:spacing w:after="0" w:line="238" w:lineRule="auto"/>
        <w:rPr>
          <w:sz w:val="20"/>
          <w:szCs w:val="20"/>
          <w:color w:val="auto"/>
        </w:rPr>
      </w:pPr>
      <w:r>
        <w:rPr>
          <w:rFonts w:ascii="Courier New" w:cs="Courier New" w:eastAsia="Courier New" w:hAnsi="Courier New"/>
          <w:sz w:val="18"/>
          <w:szCs w:val="18"/>
          <w:color w:val="auto"/>
        </w:rPr>
        <w:t>flow from operations of $112.0 million or 19.6% of sales compared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$53.3 million or 10.9% of sales for the comparable period of 1993. Cash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flow from operations generated for the third quarter of 1994 was $37.0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or 18.8% of sales versus $53.7 million or 28.0% of sales for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prior quarter and $18.8 million or 10.9% of sales for the third quarter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1993. The increase in operating cash flows compared to the first nine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months of 1993 primarily reflected higher net income coupled with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reduction in inventories. The increase in operating cash flows compared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third quarter of 1993 was due principally to increased net income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together with a reduction in accounts receivable. The decrease in cash</w:t>
      </w:r>
    </w:p>
    <w:p>
      <w:pPr>
        <w:spacing w:after="0" w:line="238" w:lineRule="auto"/>
        <w:rPr>
          <w:sz w:val="20"/>
          <w:szCs w:val="20"/>
          <w:color w:val="auto"/>
        </w:rPr>
      </w:pPr>
      <w:r>
        <w:rPr>
          <w:rFonts w:ascii="Courier New" w:cs="Courier New" w:eastAsia="Courier New" w:hAnsi="Courier New"/>
          <w:sz w:val="18"/>
          <w:szCs w:val="18"/>
          <w:color w:val="auto"/>
        </w:rPr>
        <w:t>flow from operations compared to the second quarter of 1994 was mainly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attributable to a large decrease in accrued liabilities which was offset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part by a decline in accounts receivable.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Accounts receivable of $154.3 million increased $8.7 million or 5.9%</w:t>
      </w:r>
    </w:p>
    <w:p>
      <w:pPr>
        <w:spacing w:after="0" w:line="238" w:lineRule="auto"/>
        <w:rPr>
          <w:sz w:val="20"/>
          <w:szCs w:val="20"/>
          <w:color w:val="auto"/>
        </w:rPr>
      </w:pPr>
      <w:r>
        <w:rPr>
          <w:rFonts w:ascii="Courier New" w:cs="Courier New" w:eastAsia="Courier New" w:hAnsi="Courier New"/>
          <w:sz w:val="18"/>
          <w:szCs w:val="18"/>
          <w:color w:val="auto"/>
        </w:rPr>
        <w:t>from the end of the fourth quarter of 1993 and $28.1 million or 22.3%</w:t>
      </w:r>
    </w:p>
    <w:p>
      <w:pPr>
        <w:spacing w:after="0"/>
        <w:rPr>
          <w:sz w:val="20"/>
          <w:szCs w:val="20"/>
          <w:color w:val="auto"/>
        </w:rPr>
      </w:pPr>
      <w:r>
        <w:rPr>
          <w:rFonts w:ascii="Courier New" w:cs="Courier New" w:eastAsia="Courier New" w:hAnsi="Courier New"/>
          <w:sz w:val="18"/>
          <w:szCs w:val="18"/>
          <w:color w:val="auto"/>
        </w:rPr>
        <w:t>from the end of the third quarter of 1993. The primary factors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contributing to the nine-month and year-over-year increases were higher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 levels and a greater mix of sales outside the U.S. to regions</w:t>
      </w:r>
    </w:p>
    <w:p>
      <w:pPr>
        <w:spacing w:after="0" w:line="238" w:lineRule="auto"/>
        <w:rPr>
          <w:sz w:val="20"/>
          <w:szCs w:val="20"/>
          <w:color w:val="auto"/>
        </w:rPr>
      </w:pPr>
      <w:r>
        <w:rPr>
          <w:rFonts w:ascii="Courier New" w:cs="Courier New" w:eastAsia="Courier New" w:hAnsi="Courier New"/>
          <w:sz w:val="18"/>
          <w:szCs w:val="18"/>
          <w:color w:val="auto"/>
        </w:rPr>
        <w:t>where standard payment terms are longer. Also contributing to the</w:t>
      </w:r>
    </w:p>
    <w:p>
      <w:pPr>
        <w:spacing w:after="0"/>
        <w:rPr>
          <w:sz w:val="20"/>
          <w:szCs w:val="20"/>
          <w:color w:val="auto"/>
        </w:rPr>
      </w:pPr>
      <w:r>
        <w:rPr>
          <w:rFonts w:ascii="Courier New" w:cs="Courier New" w:eastAsia="Courier New" w:hAnsi="Courier New"/>
          <w:sz w:val="18"/>
          <w:szCs w:val="18"/>
          <w:color w:val="auto"/>
        </w:rPr>
        <w:t>increase compared to the third quarter of 1993 was a significant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in receivables from the Company's domestic distributors due to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Company's decision in the fourth quarter of 1993 to eliminate prompt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 discounts previously offered to domestic distributors which</w:t>
      </w:r>
    </w:p>
    <w:p>
      <w:pPr>
        <w:spacing w:after="0"/>
        <w:tabs>
          <w:tab w:leader="none" w:pos="4200" w:val="left"/>
        </w:tabs>
        <w:rPr>
          <w:sz w:val="20"/>
          <w:szCs w:val="20"/>
          <w:color w:val="auto"/>
        </w:rPr>
      </w:pPr>
      <w:r>
        <w:rPr>
          <w:rFonts w:ascii="Courier New" w:cs="Courier New" w:eastAsia="Courier New" w:hAnsi="Courier New"/>
          <w:sz w:val="18"/>
          <w:szCs w:val="18"/>
          <w:color w:val="auto"/>
        </w:rPr>
        <w:t>altered the distributor payment cycle.</w:t>
      </w:r>
      <w:r>
        <w:rPr>
          <w:sz w:val="20"/>
          <w:szCs w:val="20"/>
          <w:color w:val="auto"/>
        </w:rPr>
        <w:tab/>
      </w:r>
      <w:r>
        <w:rPr>
          <w:rFonts w:ascii="Courier New" w:cs="Courier New" w:eastAsia="Courier New" w:hAnsi="Courier New"/>
          <w:sz w:val="16"/>
          <w:szCs w:val="16"/>
          <w:color w:val="auto"/>
        </w:rPr>
        <w:t>Accounts receivable declined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$7.8 million or 4.8% from the second quarter of 1994 and as a percent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annualized quarterly sales was reduced to 19.6% versus 21.1% in the</w:t>
      </w:r>
    </w:p>
    <w:p>
      <w:pPr>
        <w:spacing w:after="0" w:line="238" w:lineRule="auto"/>
        <w:rPr>
          <w:sz w:val="20"/>
          <w:szCs w:val="20"/>
          <w:color w:val="auto"/>
        </w:rPr>
      </w:pPr>
      <w:r>
        <w:rPr>
          <w:rFonts w:ascii="Courier New" w:cs="Courier New" w:eastAsia="Courier New" w:hAnsi="Courier New"/>
          <w:sz w:val="18"/>
          <w:szCs w:val="18"/>
          <w:color w:val="auto"/>
        </w:rPr>
        <w:t>prior quarter. This decrease represented improved collection of</w:t>
      </w:r>
    </w:p>
    <w:p>
      <w:pPr>
        <w:spacing w:after="0"/>
        <w:rPr>
          <w:sz w:val="20"/>
          <w:szCs w:val="20"/>
          <w:color w:val="auto"/>
        </w:rPr>
      </w:pPr>
      <w:r>
        <w:rPr>
          <w:rFonts w:ascii="Courier New" w:cs="Courier New" w:eastAsia="Courier New" w:hAnsi="Courier New"/>
          <w:sz w:val="18"/>
          <w:szCs w:val="18"/>
          <w:color w:val="auto"/>
        </w:rPr>
        <w:t>receivables.</w:t>
      </w:r>
    </w:p>
    <w:p>
      <w:pPr>
        <w:spacing w:after="0" w:line="206" w:lineRule="exact"/>
        <w:rPr>
          <w:sz w:val="20"/>
          <w:szCs w:val="20"/>
          <w:color w:val="auto"/>
        </w:rPr>
      </w:pPr>
    </w:p>
    <w:p>
      <w:pPr>
        <w:jc w:val="both"/>
        <w:ind w:right="2839"/>
        <w:spacing w:after="0" w:line="279" w:lineRule="auto"/>
        <w:rPr>
          <w:sz w:val="20"/>
          <w:szCs w:val="20"/>
          <w:color w:val="auto"/>
        </w:rPr>
      </w:pPr>
      <w:r>
        <w:rPr>
          <w:rFonts w:ascii="Courier New" w:cs="Courier New" w:eastAsia="Courier New" w:hAnsi="Courier New"/>
          <w:sz w:val="16"/>
          <w:szCs w:val="16"/>
          <w:color w:val="auto"/>
        </w:rPr>
        <w:t>The increase in accrued liabilities over the third quarter of 1993 was attributable to an increased level of employee compensation, incentive and benefit accruals at the end of the third quarter of 1994.</w:t>
      </w:r>
    </w:p>
    <w:p>
      <w:pPr>
        <w:spacing w:after="0" w:line="178" w:lineRule="exact"/>
        <w:rPr>
          <w:sz w:val="20"/>
          <w:szCs w:val="20"/>
          <w:color w:val="auto"/>
        </w:rPr>
      </w:pPr>
    </w:p>
    <w:p>
      <w:pPr>
        <w:ind w:right="2619"/>
        <w:spacing w:after="0" w:line="238" w:lineRule="auto"/>
        <w:rPr>
          <w:sz w:val="20"/>
          <w:szCs w:val="20"/>
          <w:color w:val="auto"/>
        </w:rPr>
      </w:pPr>
      <w:r>
        <w:rPr>
          <w:rFonts w:ascii="Courier New" w:cs="Courier New" w:eastAsia="Courier New" w:hAnsi="Courier New"/>
          <w:sz w:val="18"/>
          <w:szCs w:val="18"/>
          <w:color w:val="auto"/>
        </w:rPr>
        <w:t>Cash flow from operations for both the third quarter and first nine months of 1994 was used largely to fund capital expenditures of $16.1 million and $42.8 million, respectively. Additions to property, plant and equipment for the fourth quarter of 1994 through the end of the fourth quarter of fiscal 1995 are currently expected to be $150 million, including capital expenditures associated with the Limerick, Ireland wafer fabrication expansion discussed in the Company's Management Discussion and Analysis of Financial Condition and Results of Operations contained in Form 10-Q for the fiscal quarter ended April 30, 1994. Capital expenditures for the fourth quarter of fiscal 1994 and for all of fiscal 1995 are currently expected to be financed with cash, cash equivalents and short-term investments on hand together with internally generated cash flow from operations.</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At July 30, 1994, substantially all of the Company's lines of credit were unused, including its three-year $80 million credit facility. In the first quarter of 1995, the Company's 7.18%, $20.0 million loan will mature. Upon maturity, this loan will be repaid in full with cash and cash equivalents on hand.</w:t>
      </w:r>
    </w:p>
    <w:p>
      <w:pPr>
        <w:spacing w:after="0" w:line="209" w:lineRule="exact"/>
        <w:rPr>
          <w:sz w:val="20"/>
          <w:szCs w:val="20"/>
          <w:color w:val="auto"/>
        </w:rPr>
      </w:pPr>
    </w:p>
    <w:p>
      <w:pPr>
        <w:ind w:right="2839"/>
        <w:spacing w:after="0" w:line="275" w:lineRule="auto"/>
        <w:rPr>
          <w:sz w:val="20"/>
          <w:szCs w:val="20"/>
          <w:color w:val="auto"/>
        </w:rPr>
      </w:pPr>
      <w:r>
        <w:rPr>
          <w:rFonts w:ascii="Courier New" w:cs="Courier New" w:eastAsia="Courier New" w:hAnsi="Courier New"/>
          <w:sz w:val="16"/>
          <w:szCs w:val="16"/>
          <w:color w:val="auto"/>
        </w:rPr>
        <w:t>The Company believes that its strong financial condition, existing sources of liquidity, available capital resources and cash expected to be generated from operations leave it well positioned to obtain the funds required to meet its current and future business requirements.</w:t>
      </w:r>
    </w:p>
    <w:p>
      <w:pPr>
        <w:spacing w:after="0" w:line="37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PART II - OTHER INFORMATION</w:t>
      </w:r>
    </w:p>
    <w:p>
      <w:pPr>
        <w:ind w:left="3160"/>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The Company is involved in claims as a defendant in various lawsuits including patent infringement and anti-trust matters as previously disclosed in the Company's Annual Report on Form 10-K for the fiscal year ended October 30, 1993.</w:t>
      </w:r>
    </w:p>
    <w:p>
      <w:pPr>
        <w:spacing w:after="0" w:line="207" w:lineRule="exact"/>
        <w:rPr>
          <w:sz w:val="20"/>
          <w:szCs w:val="20"/>
          <w:color w:val="auto"/>
        </w:rPr>
      </w:pPr>
    </w:p>
    <w:p>
      <w:pPr>
        <w:ind w:right="2619"/>
        <w:spacing w:after="0" w:line="238" w:lineRule="auto"/>
        <w:rPr>
          <w:sz w:val="20"/>
          <w:szCs w:val="20"/>
          <w:color w:val="auto"/>
        </w:rPr>
      </w:pPr>
      <w:r>
        <w:rPr>
          <w:rFonts w:ascii="Courier New" w:cs="Courier New" w:eastAsia="Courier New" w:hAnsi="Courier New"/>
          <w:sz w:val="18"/>
          <w:szCs w:val="18"/>
          <w:color w:val="auto"/>
        </w:rPr>
        <w:t>The lawsuit brought by Crystal Semiconductor Corporation ("Crystal") against the Company on November 12, 1992 in the United States District Court for the Western District of Texas (Austin Division) for patent infringement (as previously reported in the Company's Annual Report on Form 10-K for the fiscal year ended October 30, 1993 and Quarterly Reports for the quarters ending January 29 and April 30, 1994) has been dismissed. Crystal and the Company have executed a definitive agreement providing a cross-license of technology between the Company and Crystal and the payment of related license fees for technology to be used pursuant to the agreement. The Company does not believe that compliance with the terms of this licensing agreement will have a material adverse effect on the Company's financial position or overall trends in its results of operations.</w:t>
      </w:r>
    </w:p>
    <w:p>
      <w:pPr>
        <w:spacing w:after="0" w:line="207" w:lineRule="exact"/>
        <w:rPr>
          <w:sz w:val="20"/>
          <w:szCs w:val="20"/>
          <w:color w:val="auto"/>
        </w:rPr>
      </w:pPr>
    </w:p>
    <w:p>
      <w:pPr>
        <w:ind w:right="2619"/>
        <w:spacing w:after="0" w:line="271" w:lineRule="auto"/>
        <w:rPr>
          <w:sz w:val="20"/>
          <w:szCs w:val="20"/>
          <w:color w:val="auto"/>
        </w:rPr>
      </w:pPr>
      <w:r>
        <w:rPr>
          <w:rFonts w:ascii="Courier New" w:cs="Courier New" w:eastAsia="Courier New" w:hAnsi="Courier New"/>
          <w:sz w:val="16"/>
          <w:szCs w:val="16"/>
          <w:color w:val="auto"/>
        </w:rPr>
        <w:t>In the lawsuit brought by Maxim Integrated Products, Inc. ("Maxim") on November 11, 1992 in the United States District Court for the Northern District of California for antitrust and related business tort claims, the court granted the Company's motion for summary judgment on September 7, 1994. The court determined that there were no material factual issues existing and that as a matter of law Maxim was not entitled to relief as to any of the claims asserted. Maxim has a 30-day period to appeal the summary judgment granted by the District Court.</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960" w:hanging="531"/>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 None</w:t>
      </w:r>
    </w:p>
    <w:p>
      <w:pPr>
        <w:spacing w:after="0" w:line="4" w:lineRule="exact"/>
        <w:rPr>
          <w:rFonts w:ascii="Courier New" w:cs="Courier New" w:eastAsia="Courier New" w:hAnsi="Courier New"/>
          <w:sz w:val="18"/>
          <w:szCs w:val="18"/>
          <w:color w:val="auto"/>
        </w:rPr>
      </w:pPr>
    </w:p>
    <w:p>
      <w:pPr>
        <w:ind w:left="960" w:right="2319" w:hanging="531"/>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were no reports on Form 8-K filed for the three months ended July 30,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Analog Devices, Inc.</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12, 1994</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Ray Stata</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740"/>
        <w:spacing w:after="0"/>
        <w:rPr>
          <w:sz w:val="20"/>
          <w:szCs w:val="20"/>
          <w:color w:val="auto"/>
        </w:rPr>
      </w:pPr>
      <w:r>
        <w:rPr>
          <w:rFonts w:ascii="Courier New" w:cs="Courier New" w:eastAsia="Courier New" w:hAnsi="Courier New"/>
          <w:sz w:val="18"/>
          <w:szCs w:val="18"/>
          <w:color w:val="auto"/>
        </w:rPr>
        <w:t>Ray Stata</w:t>
      </w:r>
    </w:p>
    <w:p>
      <w:pPr>
        <w:ind w:left="740"/>
        <w:spacing w:after="0" w:line="237" w:lineRule="auto"/>
        <w:rPr>
          <w:sz w:val="20"/>
          <w:szCs w:val="20"/>
          <w:color w:val="auto"/>
        </w:rPr>
      </w:pPr>
      <w:r>
        <w:rPr>
          <w:rFonts w:ascii="Courier New" w:cs="Courier New" w:eastAsia="Courier New" w:hAnsi="Courier New"/>
          <w:sz w:val="18"/>
          <w:szCs w:val="18"/>
          <w:color w:val="auto"/>
        </w:rPr>
        <w:t>Chairman of the Board and</w:t>
      </w:r>
    </w:p>
    <w:p>
      <w:pPr>
        <w:ind w:left="74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5"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(Principal Executive Officer)</w:t>
      </w:r>
    </w:p>
    <w:p>
      <w:pPr>
        <w:spacing w:after="0" w:line="200" w:lineRule="exact"/>
        <w:rPr>
          <w:sz w:val="20"/>
          <w:szCs w:val="20"/>
          <w:color w:val="auto"/>
        </w:rPr>
      </w:pPr>
    </w:p>
    <w:p>
      <w:pPr>
        <w:sectPr>
          <w:pgSz w:w="11900" w:h="16838" w:orient="portrait"/>
          <w:cols w:equalWidth="0" w:num="3">
            <w:col w:w="540" w:space="200"/>
            <w:col w:w="2760" w:space="720"/>
            <w:col w:w="5999"/>
          </w:cols>
          <w:pgMar w:left="240" w:top="31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12, 1994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By:/s/ Joseph E. McDonough</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740"/>
        <w:spacing w:after="0"/>
        <w:rPr>
          <w:sz w:val="20"/>
          <w:szCs w:val="20"/>
          <w:color w:val="auto"/>
        </w:rPr>
      </w:pPr>
      <w:r>
        <w:rPr>
          <w:rFonts w:ascii="Courier New" w:cs="Courier New" w:eastAsia="Courier New" w:hAnsi="Courier New"/>
          <w:sz w:val="18"/>
          <w:szCs w:val="18"/>
          <w:color w:val="auto"/>
        </w:rPr>
        <w:t>Joseph E. McDonough</w:t>
      </w:r>
    </w:p>
    <w:p>
      <w:pPr>
        <w:ind w:left="740"/>
        <w:spacing w:after="0" w:line="237" w:lineRule="auto"/>
        <w:rPr>
          <w:sz w:val="20"/>
          <w:szCs w:val="20"/>
          <w:color w:val="auto"/>
        </w:rPr>
      </w:pPr>
      <w:r>
        <w:rPr>
          <w:rFonts w:ascii="Courier New" w:cs="Courier New" w:eastAsia="Courier New" w:hAnsi="Courier New"/>
          <w:sz w:val="18"/>
          <w:szCs w:val="18"/>
          <w:color w:val="auto"/>
        </w:rPr>
        <w:t>Vice President-Finance</w:t>
      </w:r>
    </w:p>
    <w:p>
      <w:pPr>
        <w:spacing w:after="0" w:line="5"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and Chief Financial Officer</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(Principal Financial and</w:t>
      </w:r>
    </w:p>
    <w:p>
      <w:pPr>
        <w:ind w:left="740"/>
        <w:spacing w:after="0" w:line="238" w:lineRule="auto"/>
        <w:rPr>
          <w:sz w:val="20"/>
          <w:szCs w:val="20"/>
          <w:color w:val="auto"/>
        </w:rPr>
      </w:pPr>
      <w:r>
        <w:rPr>
          <w:rFonts w:ascii="Courier New" w:cs="Courier New" w:eastAsia="Courier New" w:hAnsi="Courier New"/>
          <w:sz w:val="18"/>
          <w:szCs w:val="18"/>
          <w:color w:val="auto"/>
        </w:rPr>
        <w:t>Accounting Officer)</w:t>
      </w:r>
    </w:p>
    <w:p>
      <w:pPr>
        <w:spacing w:after="0" w:line="200" w:lineRule="exact"/>
        <w:rPr>
          <w:sz w:val="20"/>
          <w:szCs w:val="20"/>
          <w:color w:val="auto"/>
        </w:rPr>
      </w:pPr>
    </w:p>
    <w:p>
      <w:pPr>
        <w:sectPr>
          <w:pgSz w:w="11900" w:h="16838" w:orient="portrait"/>
          <w:cols w:equalWidth="0" w:num="3">
            <w:col w:w="540" w:space="200"/>
            <w:col w:w="2760" w:space="720"/>
            <w:col w:w="599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type w:val="continuous"/>
        </w:sectPr>
      </w:pPr>
    </w:p>
    <w:bookmarkStart w:id="13" w:name="page14"/>
    <w:bookmarkEnd w:id="13"/>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3239"/>
        <w:spacing w:after="0" w:line="268" w:lineRule="auto"/>
        <w:rPr>
          <w:sz w:val="20"/>
          <w:szCs w:val="20"/>
          <w:color w:val="auto"/>
        </w:rPr>
      </w:pPr>
      <w:r>
        <w:rPr>
          <w:rFonts w:ascii="Courier New" w:cs="Courier New" w:eastAsia="Courier New" w:hAnsi="Courier New"/>
          <w:sz w:val="16"/>
          <w:szCs w:val="16"/>
          <w:color w:val="auto"/>
        </w:rPr>
        <w:t>THIS SCHEDULE CONTAINS FINANCIAL INFORMATION EXTRACTED FROM THE FINANCIAL STATEMENTS OF ANALOG DEVICES, INC. FOR THE QUARTER ENDED</w:t>
      </w:r>
    </w:p>
    <w:p>
      <w:pPr>
        <w:ind w:right="1959"/>
        <w:spacing w:after="0" w:line="235" w:lineRule="auto"/>
        <w:rPr>
          <w:sz w:val="20"/>
          <w:szCs w:val="20"/>
          <w:color w:val="auto"/>
        </w:rPr>
      </w:pPr>
      <w:r>
        <w:rPr>
          <w:rFonts w:ascii="Courier New" w:cs="Courier New" w:eastAsia="Courier New" w:hAnsi="Courier New"/>
          <w:sz w:val="18"/>
          <w:szCs w:val="18"/>
          <w:color w:val="auto"/>
        </w:rPr>
        <w:t>JULY 30, 1994, AND IS QUALIFIED IN ITS ENTIRETY BY REFERENCE TO SUCH FINANCIAL STATEMENTS.</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ind w:left="80"/>
        <w:spacing w:after="0" w:line="238" w:lineRule="auto"/>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9-MOS</w:t>
      </w:r>
    </w:p>
    <w:p>
      <w:pPr>
        <w:ind w:left="2700"/>
        <w:spacing w:after="0" w:line="238" w:lineRule="auto"/>
        <w:rPr>
          <w:sz w:val="20"/>
          <w:szCs w:val="20"/>
          <w:color w:val="auto"/>
        </w:rPr>
      </w:pPr>
      <w:r>
        <w:rPr>
          <w:rFonts w:ascii="Courier New" w:cs="Courier New" w:eastAsia="Courier New" w:hAnsi="Courier New"/>
          <w:sz w:val="18"/>
          <w:szCs w:val="18"/>
          <w:color w:val="auto"/>
        </w:rPr>
        <w:t>OCT-29-1994</w:t>
      </w:r>
    </w:p>
    <w:p>
      <w:pPr>
        <w:ind w:left="3020"/>
        <w:spacing w:after="0"/>
        <w:rPr>
          <w:sz w:val="20"/>
          <w:szCs w:val="20"/>
          <w:color w:val="auto"/>
        </w:rPr>
      </w:pPr>
      <w:r>
        <w:rPr>
          <w:rFonts w:ascii="Courier New" w:cs="Courier New" w:eastAsia="Courier New" w:hAnsi="Courier New"/>
          <w:sz w:val="18"/>
          <w:szCs w:val="18"/>
          <w:color w:val="auto"/>
        </w:rPr>
        <w:t>OCT-31-1993</w:t>
      </w:r>
    </w:p>
    <w:p>
      <w:pPr>
        <w:ind w:left="3240"/>
        <w:spacing w:after="0" w:line="237" w:lineRule="auto"/>
        <w:rPr>
          <w:sz w:val="20"/>
          <w:szCs w:val="20"/>
          <w:color w:val="auto"/>
        </w:rPr>
      </w:pPr>
      <w:r>
        <w:rPr>
          <w:rFonts w:ascii="Courier New" w:cs="Courier New" w:eastAsia="Courier New" w:hAnsi="Courier New"/>
          <w:sz w:val="18"/>
          <w:szCs w:val="18"/>
          <w:color w:val="auto"/>
        </w:rPr>
        <w:t>JUL-30-1994</w:t>
      </w:r>
    </w:p>
    <w:p>
      <w:pPr>
        <w:ind w:left="3980"/>
        <w:spacing w:after="0" w:line="238" w:lineRule="auto"/>
        <w:rPr>
          <w:sz w:val="20"/>
          <w:szCs w:val="20"/>
          <w:color w:val="auto"/>
        </w:rPr>
      </w:pPr>
      <w:r>
        <w:rPr>
          <w:rFonts w:ascii="Courier New" w:cs="Courier New" w:eastAsia="Courier New" w:hAnsi="Courier New"/>
          <w:sz w:val="18"/>
          <w:szCs w:val="18"/>
          <w:color w:val="auto"/>
        </w:rPr>
        <w:t>1</w:t>
      </w:r>
    </w:p>
    <w:p>
      <w:pPr>
        <w:ind w:left="4280"/>
        <w:spacing w:after="0"/>
        <w:rPr>
          <w:sz w:val="20"/>
          <w:szCs w:val="20"/>
          <w:color w:val="auto"/>
        </w:rPr>
      </w:pPr>
      <w:r>
        <w:rPr>
          <w:rFonts w:ascii="Courier New" w:cs="Courier New" w:eastAsia="Courier New" w:hAnsi="Courier New"/>
          <w:sz w:val="18"/>
          <w:szCs w:val="18"/>
          <w:color w:val="auto"/>
        </w:rPr>
        <w:t>121,336</w:t>
      </w:r>
    </w:p>
    <w:p>
      <w:pPr>
        <w:ind w:left="3760"/>
        <w:spacing w:after="0" w:line="237" w:lineRule="auto"/>
        <w:rPr>
          <w:sz w:val="20"/>
          <w:szCs w:val="20"/>
          <w:color w:val="auto"/>
        </w:rPr>
      </w:pPr>
      <w:r>
        <w:rPr>
          <w:rFonts w:ascii="Courier New" w:cs="Courier New" w:eastAsia="Courier New" w:hAnsi="Courier New"/>
          <w:sz w:val="18"/>
          <w:szCs w:val="18"/>
          <w:color w:val="auto"/>
        </w:rPr>
        <w:t>36,424</w:t>
      </w:r>
    </w:p>
    <w:p>
      <w:pPr>
        <w:ind w:left="3540"/>
        <w:spacing w:after="0"/>
        <w:rPr>
          <w:sz w:val="20"/>
          <w:szCs w:val="20"/>
          <w:color w:val="auto"/>
        </w:rPr>
      </w:pPr>
      <w:r>
        <w:rPr>
          <w:rFonts w:ascii="Courier New" w:cs="Courier New" w:eastAsia="Courier New" w:hAnsi="Courier New"/>
          <w:sz w:val="18"/>
          <w:szCs w:val="18"/>
          <w:color w:val="auto"/>
        </w:rPr>
        <w:t>160,934</w:t>
      </w:r>
    </w:p>
    <w:p>
      <w:pPr>
        <w:ind w:left="3860"/>
        <w:spacing w:after="0" w:line="237" w:lineRule="auto"/>
        <w:rPr>
          <w:sz w:val="20"/>
          <w:szCs w:val="20"/>
          <w:color w:val="auto"/>
        </w:rPr>
      </w:pPr>
      <w:r>
        <w:rPr>
          <w:rFonts w:ascii="Courier New" w:cs="Courier New" w:eastAsia="Courier New" w:hAnsi="Courier New"/>
          <w:sz w:val="18"/>
          <w:szCs w:val="18"/>
          <w:color w:val="auto"/>
        </w:rPr>
        <w:t>6,618</w:t>
      </w:r>
    </w:p>
    <w:p>
      <w:pPr>
        <w:ind w:left="3760"/>
        <w:spacing w:after="0"/>
        <w:rPr>
          <w:sz w:val="20"/>
          <w:szCs w:val="20"/>
          <w:color w:val="auto"/>
        </w:rPr>
      </w:pPr>
      <w:r>
        <w:rPr>
          <w:rFonts w:ascii="Courier New" w:cs="Courier New" w:eastAsia="Courier New" w:hAnsi="Courier New"/>
          <w:sz w:val="18"/>
          <w:szCs w:val="18"/>
          <w:color w:val="auto"/>
        </w:rPr>
        <w:t>134,070</w:t>
      </w:r>
    </w:p>
    <w:p>
      <w:pPr>
        <w:ind w:left="3240"/>
        <w:spacing w:after="0" w:line="237" w:lineRule="auto"/>
        <w:rPr>
          <w:sz w:val="20"/>
          <w:szCs w:val="20"/>
          <w:color w:val="auto"/>
        </w:rPr>
      </w:pPr>
      <w:r>
        <w:rPr>
          <w:rFonts w:ascii="Courier New" w:cs="Courier New" w:eastAsia="Courier New" w:hAnsi="Courier New"/>
          <w:sz w:val="18"/>
          <w:szCs w:val="18"/>
          <w:color w:val="auto"/>
        </w:rPr>
        <w:t>475,672</w:t>
      </w:r>
    </w:p>
    <w:p>
      <w:pPr>
        <w:ind w:left="4280"/>
        <w:spacing w:after="0" w:line="238" w:lineRule="auto"/>
        <w:rPr>
          <w:sz w:val="20"/>
          <w:szCs w:val="20"/>
          <w:color w:val="auto"/>
        </w:rPr>
      </w:pPr>
      <w:r>
        <w:rPr>
          <w:rFonts w:ascii="Courier New" w:cs="Courier New" w:eastAsia="Courier New" w:hAnsi="Courier New"/>
          <w:sz w:val="18"/>
          <w:szCs w:val="18"/>
          <w:color w:val="auto"/>
        </w:rPr>
        <w:t>618,016</w:t>
      </w:r>
    </w:p>
    <w:p>
      <w:pPr>
        <w:ind w:left="3440"/>
        <w:spacing w:after="0"/>
        <w:rPr>
          <w:sz w:val="20"/>
          <w:szCs w:val="20"/>
          <w:color w:val="auto"/>
        </w:rPr>
      </w:pPr>
      <w:r>
        <w:rPr>
          <w:rFonts w:ascii="Courier New" w:cs="Courier New" w:eastAsia="Courier New" w:hAnsi="Courier New"/>
          <w:sz w:val="18"/>
          <w:szCs w:val="18"/>
          <w:color w:val="auto"/>
        </w:rPr>
        <w:t>370,105</w:t>
      </w:r>
    </w:p>
    <w:p>
      <w:pPr>
        <w:ind w:left="3440"/>
        <w:spacing w:after="0" w:line="237" w:lineRule="auto"/>
        <w:rPr>
          <w:sz w:val="20"/>
          <w:szCs w:val="20"/>
          <w:color w:val="auto"/>
        </w:rPr>
      </w:pPr>
      <w:r>
        <w:rPr>
          <w:rFonts w:ascii="Courier New" w:cs="Courier New" w:eastAsia="Courier New" w:hAnsi="Courier New"/>
          <w:sz w:val="18"/>
          <w:szCs w:val="18"/>
          <w:color w:val="auto"/>
        </w:rPr>
        <w:t>752,132</w:t>
      </w:r>
    </w:p>
    <w:p>
      <w:pPr>
        <w:ind w:left="2700"/>
        <w:spacing w:after="0"/>
        <w:rPr>
          <w:sz w:val="20"/>
          <w:szCs w:val="20"/>
          <w:color w:val="auto"/>
        </w:rPr>
      </w:pPr>
      <w:r>
        <w:rPr>
          <w:rFonts w:ascii="Courier New" w:cs="Courier New" w:eastAsia="Courier New" w:hAnsi="Courier New"/>
          <w:sz w:val="18"/>
          <w:szCs w:val="18"/>
          <w:color w:val="auto"/>
        </w:rPr>
        <w:t>162,874</w:t>
      </w:r>
    </w:p>
    <w:p>
      <w:pPr>
        <w:ind w:left="4280"/>
        <w:spacing w:after="0" w:line="237" w:lineRule="auto"/>
        <w:rPr>
          <w:sz w:val="20"/>
          <w:szCs w:val="20"/>
          <w:color w:val="auto"/>
        </w:rPr>
      </w:pPr>
      <w:r>
        <w:rPr>
          <w:rFonts w:ascii="Courier New" w:cs="Courier New" w:eastAsia="Courier New" w:hAnsi="Courier New"/>
          <w:sz w:val="18"/>
          <w:szCs w:val="18"/>
          <w:color w:val="auto"/>
        </w:rPr>
        <w:t>80,075</w:t>
      </w:r>
    </w:p>
    <w:p>
      <w:pPr>
        <w:ind w:left="4280"/>
        <w:spacing w:after="0"/>
        <w:rPr>
          <w:sz w:val="20"/>
          <w:szCs w:val="20"/>
          <w:color w:val="auto"/>
        </w:rPr>
      </w:pPr>
      <w:r>
        <w:rPr>
          <w:rFonts w:ascii="Courier New" w:cs="Courier New" w:eastAsia="Courier New" w:hAnsi="Courier New"/>
          <w:sz w:val="18"/>
          <w:szCs w:val="18"/>
          <w:color w:val="auto"/>
        </w:rPr>
        <w:t>8,548</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line="238" w:lineRule="auto"/>
        <w:rPr>
          <w:sz w:val="20"/>
          <w:szCs w:val="20"/>
          <w:color w:val="auto"/>
        </w:rPr>
      </w:pPr>
      <w:r>
        <w:rPr>
          <w:rFonts w:ascii="Courier New" w:cs="Courier New" w:eastAsia="Courier New" w:hAnsi="Courier New"/>
          <w:sz w:val="18"/>
          <w:szCs w:val="18"/>
          <w:color w:val="auto"/>
        </w:rPr>
        <w:t>0</w:t>
      </w:r>
    </w:p>
    <w:p>
      <w:pPr>
        <w:ind w:left="3860"/>
        <w:spacing w:after="0"/>
        <w:rPr>
          <w:sz w:val="20"/>
          <w:szCs w:val="20"/>
          <w:color w:val="auto"/>
        </w:rPr>
      </w:pPr>
      <w:r>
        <w:rPr>
          <w:rFonts w:ascii="Courier New" w:cs="Courier New" w:eastAsia="Courier New" w:hAnsi="Courier New"/>
          <w:sz w:val="18"/>
          <w:szCs w:val="18"/>
          <w:color w:val="auto"/>
        </w:rPr>
        <w:t>487,988</w:t>
      </w:r>
    </w:p>
    <w:p>
      <w:pPr>
        <w:ind w:left="1960"/>
        <w:spacing w:after="0" w:line="237" w:lineRule="auto"/>
        <w:rPr>
          <w:sz w:val="20"/>
          <w:szCs w:val="20"/>
          <w:color w:val="auto"/>
        </w:rPr>
      </w:pPr>
      <w:r>
        <w:rPr>
          <w:rFonts w:ascii="Courier New" w:cs="Courier New" w:eastAsia="Courier New" w:hAnsi="Courier New"/>
          <w:sz w:val="18"/>
          <w:szCs w:val="18"/>
          <w:color w:val="auto"/>
        </w:rPr>
        <w:t>752,132</w:t>
      </w:r>
    </w:p>
    <w:p>
      <w:pPr>
        <w:ind w:left="4180"/>
        <w:spacing w:after="0"/>
        <w:rPr>
          <w:sz w:val="20"/>
          <w:szCs w:val="20"/>
          <w:color w:val="auto"/>
        </w:rPr>
      </w:pPr>
      <w:r>
        <w:rPr>
          <w:rFonts w:ascii="Courier New" w:cs="Courier New" w:eastAsia="Courier New" w:hAnsi="Courier New"/>
          <w:sz w:val="18"/>
          <w:szCs w:val="18"/>
          <w:color w:val="auto"/>
        </w:rPr>
        <w:t>570,173</w:t>
      </w:r>
    </w:p>
    <w:p>
      <w:pPr>
        <w:ind w:left="3240"/>
        <w:spacing w:after="0" w:line="237" w:lineRule="auto"/>
        <w:rPr>
          <w:sz w:val="20"/>
          <w:szCs w:val="20"/>
          <w:color w:val="auto"/>
        </w:rPr>
      </w:pPr>
      <w:r>
        <w:rPr>
          <w:rFonts w:ascii="Courier New" w:cs="Courier New" w:eastAsia="Courier New" w:hAnsi="Courier New"/>
          <w:sz w:val="18"/>
          <w:szCs w:val="18"/>
          <w:color w:val="auto"/>
        </w:rPr>
        <w:t>570,173</w:t>
      </w:r>
    </w:p>
    <w:p>
      <w:pPr>
        <w:ind w:left="4400"/>
        <w:spacing w:after="0"/>
        <w:rPr>
          <w:sz w:val="20"/>
          <w:szCs w:val="20"/>
          <w:color w:val="auto"/>
        </w:rPr>
      </w:pPr>
      <w:r>
        <w:rPr>
          <w:rFonts w:ascii="Courier New" w:cs="Courier New" w:eastAsia="Courier New" w:hAnsi="Courier New"/>
          <w:sz w:val="18"/>
          <w:szCs w:val="18"/>
          <w:color w:val="auto"/>
        </w:rPr>
        <w:t>292,991</w:t>
      </w:r>
    </w:p>
    <w:p>
      <w:pPr>
        <w:ind w:left="3540"/>
        <w:spacing w:after="0" w:line="237" w:lineRule="auto"/>
        <w:rPr>
          <w:sz w:val="20"/>
          <w:szCs w:val="20"/>
          <w:color w:val="auto"/>
        </w:rPr>
      </w:pPr>
      <w:r>
        <w:rPr>
          <w:rFonts w:ascii="Courier New" w:cs="Courier New" w:eastAsia="Courier New" w:hAnsi="Courier New"/>
          <w:sz w:val="18"/>
          <w:szCs w:val="18"/>
          <w:color w:val="auto"/>
        </w:rPr>
        <w:t>292,991</w:t>
      </w:r>
    </w:p>
    <w:p>
      <w:pPr>
        <w:ind w:left="3240"/>
        <w:spacing w:after="0"/>
        <w:rPr>
          <w:sz w:val="20"/>
          <w:szCs w:val="20"/>
          <w:color w:val="auto"/>
        </w:rPr>
      </w:pPr>
      <w:r>
        <w:rPr>
          <w:rFonts w:ascii="Courier New" w:cs="Courier New" w:eastAsia="Courier New" w:hAnsi="Courier New"/>
          <w:sz w:val="18"/>
          <w:szCs w:val="18"/>
          <w:color w:val="auto"/>
        </w:rPr>
        <w:t>204,355</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240"/>
        <w:spacing w:after="0" w:line="238" w:lineRule="auto"/>
        <w:rPr>
          <w:sz w:val="20"/>
          <w:szCs w:val="20"/>
          <w:color w:val="auto"/>
        </w:rPr>
      </w:pPr>
      <w:r>
        <w:rPr>
          <w:rFonts w:ascii="Courier New" w:cs="Courier New" w:eastAsia="Courier New" w:hAnsi="Courier New"/>
          <w:sz w:val="18"/>
          <w:szCs w:val="18"/>
          <w:color w:val="auto"/>
        </w:rPr>
        <w:t>5,455</w:t>
      </w:r>
    </w:p>
    <w:p>
      <w:pPr>
        <w:ind w:left="3440"/>
        <w:spacing w:after="0"/>
        <w:rPr>
          <w:sz w:val="20"/>
          <w:szCs w:val="20"/>
          <w:color w:val="auto"/>
        </w:rPr>
      </w:pPr>
      <w:r>
        <w:rPr>
          <w:rFonts w:ascii="Courier New" w:cs="Courier New" w:eastAsia="Courier New" w:hAnsi="Courier New"/>
          <w:sz w:val="18"/>
          <w:szCs w:val="18"/>
          <w:color w:val="auto"/>
        </w:rPr>
        <w:t>68,394</w:t>
      </w:r>
    </w:p>
    <w:p>
      <w:pPr>
        <w:ind w:left="3760"/>
        <w:spacing w:after="0" w:line="237" w:lineRule="auto"/>
        <w:rPr>
          <w:sz w:val="20"/>
          <w:szCs w:val="20"/>
          <w:color w:val="auto"/>
        </w:rPr>
      </w:pPr>
      <w:r>
        <w:rPr>
          <w:rFonts w:ascii="Courier New" w:cs="Courier New" w:eastAsia="Courier New" w:hAnsi="Courier New"/>
          <w:sz w:val="18"/>
          <w:szCs w:val="18"/>
          <w:color w:val="auto"/>
        </w:rPr>
        <w:t>15,571</w:t>
      </w:r>
    </w:p>
    <w:p>
      <w:pPr>
        <w:ind w:left="3020"/>
        <w:spacing w:after="0"/>
        <w:rPr>
          <w:sz w:val="20"/>
          <w:szCs w:val="20"/>
          <w:color w:val="auto"/>
        </w:rPr>
      </w:pPr>
      <w:r>
        <w:rPr>
          <w:rFonts w:ascii="Courier New" w:cs="Courier New" w:eastAsia="Courier New" w:hAnsi="Courier New"/>
          <w:sz w:val="18"/>
          <w:szCs w:val="18"/>
          <w:color w:val="auto"/>
        </w:rPr>
        <w:t>52,823</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jc w:val="center"/>
        <w:ind w:right="2019"/>
        <w:spacing w:after="0" w:line="238" w:lineRule="auto"/>
        <w:rPr>
          <w:sz w:val="20"/>
          <w:szCs w:val="20"/>
          <w:color w:val="auto"/>
        </w:rPr>
      </w:pPr>
      <w:r>
        <w:rPr>
          <w:rFonts w:ascii="Courier New" w:cs="Courier New" w:eastAsia="Courier New" w:hAnsi="Courier New"/>
          <w:sz w:val="18"/>
          <w:szCs w:val="18"/>
          <w:color w:val="auto"/>
        </w:rPr>
        <w:t>52,823</w:t>
      </w:r>
    </w:p>
    <w:p>
      <w:pPr>
        <w:jc w:val="center"/>
        <w:ind w:right="2019"/>
        <w:spacing w:after="0"/>
        <w:rPr>
          <w:sz w:val="20"/>
          <w:szCs w:val="20"/>
          <w:color w:val="auto"/>
        </w:rPr>
      </w:pPr>
      <w:r>
        <w:rPr>
          <w:rFonts w:ascii="Courier New" w:cs="Courier New" w:eastAsia="Courier New" w:hAnsi="Courier New"/>
          <w:sz w:val="18"/>
          <w:szCs w:val="18"/>
          <w:color w:val="auto"/>
        </w:rPr>
        <w:t>1.03</w:t>
      </w:r>
    </w:p>
    <w:p>
      <w:pPr>
        <w:jc w:val="center"/>
        <w:ind w:right="2019"/>
        <w:spacing w:after="0" w:line="237" w:lineRule="auto"/>
        <w:rPr>
          <w:sz w:val="20"/>
          <w:szCs w:val="20"/>
          <w:color w:val="auto"/>
        </w:rPr>
      </w:pPr>
      <w:r>
        <w:rPr>
          <w:rFonts w:ascii="Courier New" w:cs="Courier New" w:eastAsia="Courier New" w:hAnsi="Courier New"/>
          <w:sz w:val="18"/>
          <w:szCs w:val="18"/>
          <w:color w:val="auto"/>
        </w:rPr>
        <w:t>1.03</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2019-12-12T05:47:53Z</dcterms:created>
  <dcterms:modified xsi:type="dcterms:W3CDTF">2019-12-12T05:47:53Z</dcterms:modified>
</cp:coreProperties>
</file>