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8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9"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jc w:val="center"/>
        <w:ind w:left="2344" w:right="3839" w:hanging="2344"/>
        <w:spacing w:after="0" w:line="236" w:lineRule="auto"/>
        <w:tabs>
          <w:tab w:leader="none" w:pos="112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pacing w:after="0" w:line="365" w:lineRule="exact"/>
        <w:rPr>
          <w:sz w:val="24"/>
          <w:szCs w:val="24"/>
          <w:color w:val="auto"/>
        </w:rPr>
      </w:pPr>
    </w:p>
    <w:p>
      <w:pPr>
        <w:ind w:left="1124" w:right="3759" w:hanging="1124"/>
        <w:spacing w:after="0" w:line="236" w:lineRule="auto"/>
        <w:tabs>
          <w:tab w:leader="none" w:pos="-103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 (d) OF THE SECURITIES EXCHANGE ACT OF 1934</w:t>
      </w:r>
    </w:p>
    <w:p>
      <w:pPr>
        <w:ind w:left="744"/>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179"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COMMISSION FILE NO. 1-7819</w:t>
      </w:r>
    </w:p>
    <w:p>
      <w:pPr>
        <w:spacing w:after="0" w:line="36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ANALOG DEVICES, INC.</w:t>
      </w:r>
    </w:p>
    <w:p>
      <w:pPr>
        <w:jc w:val="center"/>
        <w:ind w:right="271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5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gridSpan w:val="2"/>
          </w:tcPr>
          <w:p>
            <w:pPr>
              <w:jc w:val="right"/>
              <w:ind w:right="2042"/>
              <w:spacing w:after="0"/>
              <w:rPr>
                <w:sz w:val="20"/>
                <w:szCs w:val="20"/>
                <w:color w:val="auto"/>
              </w:rPr>
            </w:pPr>
            <w:r>
              <w:rPr>
                <w:rFonts w:ascii="Courier New" w:cs="Courier New" w:eastAsia="Courier New" w:hAnsi="Courier New"/>
                <w:sz w:val="16"/>
                <w:szCs w:val="16"/>
                <w:color w:val="auto"/>
              </w:rPr>
              <w:t>MASSACHUSETTS</w:t>
            </w:r>
          </w:p>
        </w:tc>
        <w:tc>
          <w:tcPr>
            <w:tcW w:w="2680" w:type="dxa"/>
            <w:vAlign w:val="bottom"/>
          </w:tcPr>
          <w:p>
            <w:pPr>
              <w:jc w:val="center"/>
              <w:ind w:left="702"/>
              <w:spacing w:after="0"/>
              <w:rPr>
                <w:sz w:val="20"/>
                <w:szCs w:val="20"/>
                <w:color w:val="auto"/>
              </w:rPr>
            </w:pPr>
            <w:r>
              <w:rPr>
                <w:rFonts w:ascii="Courier New" w:cs="Courier New" w:eastAsia="Courier New" w:hAnsi="Courier New"/>
                <w:sz w:val="16"/>
                <w:szCs w:val="16"/>
                <w:color w:val="auto"/>
                <w:w w:val="97"/>
              </w:rPr>
              <w:t>04-2348234</w:t>
            </w:r>
          </w:p>
        </w:tc>
      </w:tr>
      <w:tr>
        <w:trPr>
          <w:trHeight w:val="180"/>
        </w:trPr>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(State</w:t>
            </w:r>
          </w:p>
        </w:tc>
        <w:tc>
          <w:tcPr>
            <w:tcW w:w="3560" w:type="dxa"/>
            <w:vAlign w:val="bottom"/>
            <w:gridSpan w:val="2"/>
          </w:tcPr>
          <w:p>
            <w:pPr>
              <w:jc w:val="right"/>
              <w:ind w:right="1182"/>
              <w:spacing w:after="0"/>
              <w:rPr>
                <w:sz w:val="20"/>
                <w:szCs w:val="20"/>
                <w:color w:val="auto"/>
              </w:rPr>
            </w:pPr>
            <w:r>
              <w:rPr>
                <w:rFonts w:ascii="Courier New" w:cs="Courier New" w:eastAsia="Courier New" w:hAnsi="Courier New"/>
                <w:sz w:val="16"/>
                <w:szCs w:val="16"/>
                <w:color w:val="auto"/>
                <w:w w:val="98"/>
              </w:rPr>
              <w:t>or other jurisdiction of</w:t>
            </w:r>
          </w:p>
        </w:tc>
        <w:tc>
          <w:tcPr>
            <w:tcW w:w="2680" w:type="dxa"/>
            <w:vAlign w:val="bottom"/>
          </w:tcPr>
          <w:p>
            <w:pPr>
              <w:jc w:val="center"/>
              <w:ind w:left="702"/>
              <w:spacing w:after="0"/>
              <w:rPr>
                <w:sz w:val="20"/>
                <w:szCs w:val="20"/>
                <w:color w:val="auto"/>
              </w:rPr>
            </w:pPr>
            <w:r>
              <w:rPr>
                <w:rFonts w:ascii="Courier New" w:cs="Courier New" w:eastAsia="Courier New" w:hAnsi="Courier New"/>
                <w:sz w:val="16"/>
                <w:szCs w:val="16"/>
                <w:color w:val="auto"/>
                <w:w w:val="97"/>
              </w:rPr>
              <w:t>(I.R.S. Employer</w:t>
            </w:r>
          </w:p>
        </w:tc>
      </w:tr>
      <w:tr>
        <w:trPr>
          <w:trHeight w:val="180"/>
        </w:trPr>
        <w:tc>
          <w:tcPr>
            <w:tcW w:w="1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incorporation</w:t>
            </w:r>
          </w:p>
        </w:tc>
        <w:tc>
          <w:tcPr>
            <w:tcW w:w="282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or organization)</w:t>
            </w:r>
          </w:p>
        </w:tc>
        <w:tc>
          <w:tcPr>
            <w:tcW w:w="2680" w:type="dxa"/>
            <w:vAlign w:val="bottom"/>
          </w:tcPr>
          <w:p>
            <w:pPr>
              <w:ind w:left="900"/>
              <w:spacing w:after="0"/>
              <w:rPr>
                <w:sz w:val="20"/>
                <w:szCs w:val="20"/>
                <w:color w:val="auto"/>
              </w:rPr>
            </w:pPr>
            <w:r>
              <w:rPr>
                <w:rFonts w:ascii="Courier New" w:cs="Courier New" w:eastAsia="Courier New" w:hAnsi="Courier New"/>
                <w:sz w:val="16"/>
                <w:szCs w:val="16"/>
                <w:color w:val="auto"/>
                <w:w w:val="96"/>
              </w:rPr>
              <w:t>Identification No.)</w:t>
            </w:r>
          </w:p>
        </w:tc>
      </w:tr>
      <w:tr>
        <w:trPr>
          <w:trHeight w:val="54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ONE</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TECHNOLOGY</w:t>
            </w:r>
          </w:p>
        </w:tc>
        <w:tc>
          <w:tcPr>
            <w:tcW w:w="282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WAY, NORWOOD, MA</w:t>
            </w:r>
          </w:p>
        </w:tc>
        <w:tc>
          <w:tcPr>
            <w:tcW w:w="2680" w:type="dxa"/>
            <w:vAlign w:val="bottom"/>
          </w:tcPr>
          <w:p>
            <w:pPr>
              <w:jc w:val="center"/>
              <w:ind w:left="702"/>
              <w:spacing w:after="0"/>
              <w:rPr>
                <w:sz w:val="20"/>
                <w:szCs w:val="20"/>
                <w:color w:val="auto"/>
              </w:rPr>
            </w:pPr>
            <w:r>
              <w:rPr>
                <w:rFonts w:ascii="Courier New" w:cs="Courier New" w:eastAsia="Courier New" w:hAnsi="Courier New"/>
                <w:sz w:val="16"/>
                <w:szCs w:val="16"/>
                <w:color w:val="auto"/>
                <w:w w:val="97"/>
              </w:rPr>
              <w:t>02062-9106</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(Address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560" w:type="dxa"/>
            <w:vAlign w:val="bottom"/>
            <w:gridSpan w:val="2"/>
          </w:tcPr>
          <w:p>
            <w:pPr>
              <w:jc w:val="right"/>
              <w:ind w:right="822"/>
              <w:spacing w:after="0"/>
              <w:rPr>
                <w:sz w:val="20"/>
                <w:szCs w:val="20"/>
                <w:color w:val="auto"/>
              </w:rPr>
            </w:pPr>
            <w:r>
              <w:rPr>
                <w:rFonts w:ascii="Courier New" w:cs="Courier New" w:eastAsia="Courier New" w:hAnsi="Courier New"/>
                <w:sz w:val="16"/>
                <w:szCs w:val="16"/>
                <w:color w:val="auto"/>
                <w:w w:val="98"/>
              </w:rPr>
              <w:t>principal executive offices)</w:t>
            </w:r>
          </w:p>
        </w:tc>
        <w:tc>
          <w:tcPr>
            <w:tcW w:w="2680" w:type="dxa"/>
            <w:vAlign w:val="bottom"/>
          </w:tcPr>
          <w:p>
            <w:pPr>
              <w:jc w:val="center"/>
              <w:ind w:left="702"/>
              <w:spacing w:after="0"/>
              <w:rPr>
                <w:sz w:val="20"/>
                <w:szCs w:val="20"/>
                <w:color w:val="auto"/>
              </w:rPr>
            </w:pPr>
            <w:r>
              <w:rPr>
                <w:rFonts w:ascii="Courier New" w:cs="Courier New" w:eastAsia="Courier New" w:hAnsi="Courier New"/>
                <w:sz w:val="16"/>
                <w:szCs w:val="16"/>
                <w:color w:val="auto"/>
                <w:w w:val="97"/>
              </w:rPr>
              <w:t>(Zip Code)</w:t>
            </w:r>
          </w:p>
        </w:tc>
      </w:tr>
    </w:tbl>
    <w:p>
      <w:pPr>
        <w:spacing w:after="0" w:line="36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(781) 329-4700</w:t>
      </w:r>
    </w:p>
    <w:p>
      <w:pPr>
        <w:jc w:val="center"/>
        <w:ind w:right="2715"/>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9"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 [ ]</w:t>
      </w:r>
    </w:p>
    <w:p>
      <w:pPr>
        <w:spacing w:after="0" w:line="187" w:lineRule="exact"/>
        <w:rPr>
          <w:sz w:val="24"/>
          <w:szCs w:val="24"/>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number of shares outstanding of each of the issuer's classes of Common Stock as of March 3, 2001 was 359,845,682 shares of Common Stock.</w:t>
      </w:r>
    </w:p>
    <w:p>
      <w:pPr>
        <w:spacing w:after="0" w:line="18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233"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PART I</w:t>
      </w:r>
    </w:p>
    <w:p>
      <w:pPr>
        <w:ind w:left="2820"/>
        <w:spacing w:after="0"/>
        <w:rPr>
          <w:sz w:val="20"/>
          <w:szCs w:val="20"/>
          <w:color w:val="auto"/>
        </w:rPr>
      </w:pP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pacing w:after="0" w:line="33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rPr>
          <w:sz w:val="20"/>
          <w:szCs w:val="20"/>
          <w:color w:val="auto"/>
        </w:rPr>
      </w:pPr>
      <w:r>
        <w:rPr>
          <w:rFonts w:ascii="Courier New" w:cs="Courier New" w:eastAsia="Courier New" w:hAnsi="Courier New"/>
          <w:sz w:val="16"/>
          <w:szCs w:val="16"/>
          <w:color w:val="auto"/>
        </w:rPr>
        <w:t>CONDENSED CONSOLIDATED STATEMENTS OF INCOME</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rPr>
          <w:sz w:val="20"/>
          <w:szCs w:val="20"/>
          <w:color w:val="auto"/>
        </w:rPr>
      </w:pPr>
      <w:r>
        <w:rPr>
          <w:rFonts w:ascii="Courier New" w:cs="Courier New" w:eastAsia="Courier New" w:hAnsi="Courier New"/>
          <w:sz w:val="16"/>
          <w:szCs w:val="16"/>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c>
          <w:tcPr>
            <w:tcW w:w="980" w:type="dxa"/>
            <w:vAlign w:val="bottom"/>
          </w:tcPr>
          <w:p>
            <w:pPr>
              <w:spacing w:after="0"/>
              <w:rPr>
                <w:sz w:val="15"/>
                <w:szCs w:val="15"/>
                <w:color w:val="auto"/>
              </w:rPr>
            </w:pPr>
          </w:p>
        </w:tc>
      </w:tr>
      <w:tr>
        <w:trPr>
          <w:trHeight w:val="180"/>
        </w:trPr>
        <w:tc>
          <w:tcPr>
            <w:tcW w:w="6320" w:type="dxa"/>
            <w:vAlign w:val="bottom"/>
          </w:tcPr>
          <w:p>
            <w:pPr>
              <w:spacing w:after="0"/>
              <w:rPr>
                <w:sz w:val="15"/>
                <w:szCs w:val="15"/>
                <w:color w:val="auto"/>
              </w:rPr>
            </w:pPr>
          </w:p>
        </w:tc>
        <w:tc>
          <w:tcPr>
            <w:tcW w:w="50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FEBRUARY 3, 2001</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29, 2000</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772,274</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490,277</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320,020</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225,087</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452,254</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265,190</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Research and development</w:t>
            </w: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121,710</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82,516</w:t>
            </w: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Purchased in-process research and development</w:t>
            </w: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9,500</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Amortization of intangibles</w:t>
            </w: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10,306</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496</w:t>
            </w: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Selling, marketing, general and administrative</w:t>
            </w: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85,553</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64,524</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227,069</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147,536</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225,185</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117,654</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Nonoperating (income) expenses:</w:t>
            </w: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Interest expense</w:t>
            </w: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16,869</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1,681</w:t>
            </w: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Interest income</w:t>
            </w:r>
          </w:p>
        </w:tc>
        <w:tc>
          <w:tcPr>
            <w:tcW w:w="198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(41,248)</w:t>
            </w:r>
          </w:p>
        </w:tc>
        <w:tc>
          <w:tcPr>
            <w:tcW w:w="8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(11,906)</w:t>
            </w:r>
          </w:p>
        </w:tc>
      </w:tr>
      <w:tr>
        <w:trPr>
          <w:trHeight w:val="180"/>
        </w:trPr>
        <w:tc>
          <w:tcPr>
            <w:tcW w:w="6320" w:type="dxa"/>
            <w:vAlign w:val="bottom"/>
          </w:tcPr>
          <w:p>
            <w:pPr>
              <w:ind w:left="560"/>
              <w:spacing w:after="0"/>
              <w:rPr>
                <w:sz w:val="20"/>
                <w:szCs w:val="20"/>
                <w:color w:val="auto"/>
              </w:rPr>
            </w:pPr>
            <w:r>
              <w:rPr>
                <w:rFonts w:ascii="Courier New" w:cs="Courier New" w:eastAsia="Courier New" w:hAnsi="Courier New"/>
                <w:sz w:val="16"/>
                <w:szCs w:val="16"/>
                <w:color w:val="auto"/>
              </w:rPr>
              <w:t>Other, net</w:t>
            </w:r>
          </w:p>
        </w:tc>
        <w:tc>
          <w:tcPr>
            <w:tcW w:w="198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(28,116)</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814</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(52,495)</w:t>
            </w:r>
          </w:p>
        </w:tc>
        <w:tc>
          <w:tcPr>
            <w:tcW w:w="8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(9,411)</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277,680</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127,065</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87,303</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34,058</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190,377</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93,007</w:t>
            </w:r>
          </w:p>
        </w:tc>
      </w:tr>
      <w:tr>
        <w:trPr>
          <w:trHeight w:val="180"/>
        </w:trPr>
        <w:tc>
          <w:tcPr>
            <w:tcW w:w="6320" w:type="dxa"/>
            <w:vAlign w:val="bottom"/>
          </w:tcPr>
          <w:p>
            <w:pPr>
              <w:spacing w:after="0"/>
              <w:rPr>
                <w:sz w:val="15"/>
                <w:szCs w:val="15"/>
                <w:color w:val="auto"/>
              </w:rPr>
            </w:pPr>
          </w:p>
        </w:tc>
        <w:tc>
          <w:tcPr>
            <w:tcW w:w="3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Shares used to compute earnings per share - basic</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357,070</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349,352</w:t>
            </w:r>
          </w:p>
        </w:tc>
      </w:tr>
      <w:tr>
        <w:trPr>
          <w:trHeight w:val="180"/>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Shares used to compute earnings per share - diluted</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383,392</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374,458</w:t>
            </w:r>
          </w:p>
        </w:tc>
      </w:tr>
      <w:tr>
        <w:trPr>
          <w:trHeight w:val="180"/>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Earnings per share - basic</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$0.53</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$0.26</w:t>
            </w:r>
          </w:p>
        </w:tc>
      </w:tr>
      <w:tr>
        <w:trPr>
          <w:trHeight w:val="180"/>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rPr>
              <w:t>Earnings per share - diluted</w:t>
            </w:r>
          </w:p>
        </w:tc>
        <w:tc>
          <w:tcPr>
            <w:tcW w:w="1980" w:type="dxa"/>
            <w:vAlign w:val="bottom"/>
          </w:tcPr>
          <w:p>
            <w:pPr>
              <w:spacing w:after="0"/>
              <w:rPr>
                <w:sz w:val="24"/>
                <w:szCs w:val="24"/>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$0.50</w:t>
            </w:r>
          </w:p>
        </w:tc>
        <w:tc>
          <w:tcPr>
            <w:tcW w:w="8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$0.25</w:t>
            </w:r>
          </w:p>
        </w:tc>
      </w:tr>
      <w:tr>
        <w:trPr>
          <w:trHeight w:val="180"/>
        </w:trPr>
        <w:tc>
          <w:tcPr>
            <w:tcW w:w="6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1340"/>
          </w:cols>
          <w:pgMar w:left="240" w:top="293" w:right="319"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1340"/>
          </w:cols>
          <w:pgMar w:left="240" w:top="293" w:right="319"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rPr>
          <w:sz w:val="20"/>
          <w:szCs w:val="20"/>
          <w:color w:val="auto"/>
        </w:rPr>
      </w:pPr>
      <w:r>
        <w:rPr>
          <w:rFonts w:ascii="Courier New" w:cs="Courier New" w:eastAsia="Courier New" w:hAnsi="Courier New"/>
          <w:sz w:val="16"/>
          <w:szCs w:val="16"/>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6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FEBRUARY 3, 2001</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OCTOBER 28, 2000</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29, 2000</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3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1,191,920</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1,736,421</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409,516</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1,158,381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498,844</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485,706</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421,219</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463,912</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298,246</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Raw materials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22,593</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17,505</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13,176</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Work in process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197,992</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179,918</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157,655</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Finished goods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136,491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134,671</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79,353</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357,076</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332,094</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250,184</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113,000</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108,989</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99,300</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29,378</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27,754</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16,009</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3,270,974</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3,168,014</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1,558,961</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53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Land and buildings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262,076</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238,550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171,977</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Machinery and equipment</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1,363,641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1,260,572</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1,116,344</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Office equipment</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91,091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86,930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76,355</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Leasehold improvements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128,063</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120,710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110,953</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1,844,871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1,706,762</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1,475,629</w:t>
            </w:r>
          </w:p>
        </w:tc>
      </w:tr>
      <w:tr>
        <w:trPr>
          <w:trHeight w:val="361"/>
        </w:trPr>
        <w:tc>
          <w:tcPr>
            <w:tcW w:w="530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4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964,443</w:t>
            </w:r>
          </w:p>
        </w:tc>
        <w:tc>
          <w:tcPr>
            <w:tcW w:w="5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927,536</w:t>
            </w:r>
          </w:p>
        </w:tc>
        <w:tc>
          <w:tcPr>
            <w:tcW w:w="5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826,844</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Net property, plant and equipment</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880,428</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779,226</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648,785</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44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213,202</w:t>
            </w:r>
          </w:p>
        </w:tc>
        <w:tc>
          <w:tcPr>
            <w:tcW w:w="5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217,755</w:t>
            </w:r>
          </w:p>
        </w:tc>
        <w:tc>
          <w:tcPr>
            <w:tcW w:w="5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199,070</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269,164</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192,698</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35,337</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55,453</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53,644</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47,180</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Total other assets</w:t>
            </w:r>
          </w:p>
        </w:tc>
        <w:tc>
          <w:tcPr>
            <w:tcW w:w="14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537,819</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464,097</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281,587</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tcPr>
          <w:p>
            <w:pPr>
              <w:spacing w:after="0"/>
              <w:rPr>
                <w:sz w:val="15"/>
                <w:szCs w:val="15"/>
                <w:color w:val="auto"/>
              </w:rPr>
            </w:pP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4,689,221</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4,411,337</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2,489,333</w:t>
            </w:r>
          </w:p>
        </w:tc>
      </w:tr>
      <w:tr>
        <w:trPr>
          <w:trHeight w:val="180"/>
        </w:trPr>
        <w:tc>
          <w:tcPr>
            <w:tcW w:w="5300" w:type="dxa"/>
            <w:vAlign w:val="bottom"/>
          </w:tcPr>
          <w:p>
            <w:pPr>
              <w:spacing w:after="0"/>
              <w:rPr>
                <w:sz w:val="15"/>
                <w:szCs w:val="15"/>
                <w:color w:val="auto"/>
              </w:rPr>
            </w:pPr>
          </w:p>
        </w:tc>
        <w:tc>
          <w:tcPr>
            <w:tcW w:w="26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293"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rPr>
          <w:sz w:val="20"/>
          <w:szCs w:val="20"/>
          <w:color w:val="auto"/>
        </w:rPr>
      </w:pPr>
      <w:r>
        <w:rPr>
          <w:rFonts w:ascii="Courier New" w:cs="Courier New" w:eastAsia="Courier New" w:hAnsi="Courier New"/>
          <w:sz w:val="16"/>
          <w:szCs w:val="16"/>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FEBRUARY 3, 2001</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OCTOBER 28, 2000</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29, 2000</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Short-term borrowings and current</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portion of long-term debt</w:t>
            </w: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5,752</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84,810</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Obligations under capital leases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9,041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9,938</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14,089</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171,349</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213,196</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125,027</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Deferred income on shipments to distributors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146,155</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140,369</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113,523</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Income taxes payable</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156,831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86,625</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106,319</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179,755</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194,017</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121,864</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Total current liabilities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663,262</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649,897</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565,632</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60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1,200,648</w:t>
            </w:r>
          </w:p>
        </w:tc>
        <w:tc>
          <w:tcPr>
            <w:tcW w:w="580" w:type="dxa"/>
            <w:vAlign w:val="bottom"/>
          </w:tcPr>
          <w:p>
            <w:pPr>
              <w:spacing w:after="0"/>
              <w:rPr>
                <w:sz w:val="24"/>
                <w:szCs w:val="24"/>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1,200,261</w:t>
            </w:r>
          </w:p>
        </w:tc>
        <w:tc>
          <w:tcPr>
            <w:tcW w:w="5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Non-current obligations under capital leases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10,210</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12,699</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13,218</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52,420</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51,205</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62,600</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223,021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193,625</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101,538</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Total non-current liabilities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1,486,299</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1,457,790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177,356</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w w:val="99"/>
              </w:rPr>
              <w:t>Preferred stock, $1.00 par value, 471,934 shares authorized,</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none outstanding</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Common stock, $.16 2/3 par value, 600,000,000 shares</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authorized, 360,269,511 shares issued</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(357,969,010 in October 2000 and 179,361,743</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in January 2000)</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60,046</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59,663</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29,893</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594,445</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526,820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538,274</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1,908,320</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1,717,943</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1,203,818</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2,430</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2,841</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38,488</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2,565,241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2,307,267</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1,810,473</w:t>
            </w:r>
          </w:p>
        </w:tc>
      </w:tr>
      <w:tr>
        <w:trPr>
          <w:trHeight w:val="180"/>
        </w:trPr>
        <w:tc>
          <w:tcPr>
            <w:tcW w:w="6140" w:type="dxa"/>
            <w:vAlign w:val="bottom"/>
          </w:tcPr>
          <w:p>
            <w:pPr>
              <w:spacing w:after="0"/>
              <w:rPr>
                <w:sz w:val="20"/>
                <w:szCs w:val="20"/>
                <w:color w:val="auto"/>
              </w:rPr>
            </w:pPr>
            <w:r>
              <w:rPr>
                <w:rFonts w:ascii="Courier New" w:cs="Courier New" w:eastAsia="Courier New" w:hAnsi="Courier New"/>
                <w:sz w:val="16"/>
                <w:szCs w:val="16"/>
                <w:color w:val="auto"/>
              </w:rPr>
              <w:t>Less 467,114 shares in treasury, at cost (45,186 in</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October 2000 and 3,213,403 in January 2000)</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25,581</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3,617</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64,128</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ind w:left="560"/>
              <w:spacing w:after="0"/>
              <w:rPr>
                <w:sz w:val="20"/>
                <w:szCs w:val="20"/>
                <w:color w:val="auto"/>
              </w:rPr>
            </w:pPr>
            <w:r>
              <w:rPr>
                <w:rFonts w:ascii="Courier New" w:cs="Courier New" w:eastAsia="Courier New" w:hAnsi="Courier New"/>
                <w:sz w:val="16"/>
                <w:szCs w:val="16"/>
                <w:color w:val="auto"/>
              </w:rPr>
              <w:t>Total stockholders' equity</w:t>
            </w:r>
          </w:p>
        </w:tc>
        <w:tc>
          <w:tcPr>
            <w:tcW w:w="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2,539,660</w:t>
            </w:r>
          </w:p>
        </w:tc>
        <w:tc>
          <w:tcPr>
            <w:tcW w:w="58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2,303,650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1,746,345</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4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4,689,221</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4,411,337</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2,489,333</w:t>
            </w:r>
          </w:p>
        </w:tc>
      </w:tr>
      <w:tr>
        <w:trPr>
          <w:trHeight w:val="180"/>
        </w:trPr>
        <w:tc>
          <w:tcPr>
            <w:tcW w:w="6140" w:type="dxa"/>
            <w:vAlign w:val="bottom"/>
          </w:tcPr>
          <w:p>
            <w:pPr>
              <w:spacing w:after="0"/>
              <w:rPr>
                <w:sz w:val="15"/>
                <w:szCs w:val="15"/>
                <w:color w:val="auto"/>
              </w:rPr>
            </w:pPr>
          </w:p>
        </w:tc>
        <w:tc>
          <w:tcPr>
            <w:tcW w:w="18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293" w:right="1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rPr>
          <w:sz w:val="20"/>
          <w:szCs w:val="20"/>
          <w:color w:val="auto"/>
        </w:rPr>
      </w:pPr>
      <w:r>
        <w:rPr>
          <w:rFonts w:ascii="Courier New" w:cs="Courier New" w:eastAsia="Courier New" w:hAnsi="Courier New"/>
          <w:sz w:val="16"/>
          <w:szCs w:val="16"/>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40" w:type="dxa"/>
            <w:vAlign w:val="bottom"/>
            <w:gridSpan w:val="3"/>
          </w:tcPr>
          <w:p>
            <w:pPr>
              <w:jc w:val="right"/>
              <w:ind w:right="962"/>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6560" w:type="dxa"/>
            <w:vAlign w:val="bottom"/>
          </w:tcPr>
          <w:p>
            <w:pPr>
              <w:spacing w:after="0"/>
              <w:rPr>
                <w:sz w:val="15"/>
                <w:szCs w:val="15"/>
                <w:color w:val="auto"/>
              </w:rPr>
            </w:pPr>
          </w:p>
        </w:tc>
        <w:tc>
          <w:tcPr>
            <w:tcW w:w="4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FEBRUARY 3, 2001</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29, 2000</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56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flows from operations:</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190,377</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93,007</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income</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to net cash provided by operations:</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Depreciation and amortization</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49,284</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35,872</w:t>
            </w:r>
          </w:p>
        </w:tc>
      </w:tr>
      <w:tr>
        <w:trPr>
          <w:trHeight w:val="180"/>
        </w:trPr>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Gain on sale of investment</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(28,084)</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Write-off of purchased research and development</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9,500</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Deferred income taxes</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(2,983)</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(10,011)</w:t>
            </w:r>
          </w:p>
        </w:tc>
      </w:tr>
      <w:tr>
        <w:trPr>
          <w:trHeight w:val="180"/>
        </w:trPr>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Other non-cash expense</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728</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440</w:t>
            </w:r>
          </w:p>
        </w:tc>
      </w:tr>
      <w:tr>
        <w:trPr>
          <w:trHeight w:val="180"/>
        </w:trPr>
        <w:tc>
          <w:tcPr>
            <w:tcW w:w="6560" w:type="dxa"/>
            <w:vAlign w:val="bottom"/>
          </w:tcPr>
          <w:p>
            <w:pPr>
              <w:ind w:left="74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34,495</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45,199</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Total adjustments</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62,940</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71,500</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cash provided by operations</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253,317</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164,507</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656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flows from investments:</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Purchase of short-term investments</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available for sale</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(935,221)</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(207,486)</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Maturities of short-term investments</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available for sale</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275,684</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128,333</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Payments for acquisitions, net of cash acquired</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(36,424)</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(1,176)</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 of investment</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60,936</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Change in long-term investments</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348</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Additions to property, plant and equipment, net</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(138,945)</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(40,677)</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Decrease in other assets</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(3,028)</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(1,713)</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cash used for investments</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(776,998)</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(122,371)</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65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Proceeds from employee stock plans</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6,123</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9,981</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Repurchase of common stock</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(21,831)</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Payments on capital lease obligations</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(3,532)</w:t>
            </w:r>
          </w:p>
        </w:tc>
        <w:tc>
          <w:tcPr>
            <w:tcW w:w="52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(3,622)</w:t>
            </w: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Net (decrease) increase in variable rate borrowings</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(5,128)</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2,488</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cash (used for) provided by financing activities</w:t>
            </w:r>
          </w:p>
        </w:tc>
        <w:tc>
          <w:tcPr>
            <w:tcW w:w="164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(24,368)</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8,847</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3,548</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2,642</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1640" w:type="dxa"/>
            <w:vAlign w:val="bottom"/>
          </w:tcPr>
          <w:p>
            <w:pPr>
              <w:spacing w:after="0"/>
              <w:rPr>
                <w:sz w:val="24"/>
                <w:szCs w:val="24"/>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(544,501)</w:t>
            </w:r>
          </w:p>
        </w:tc>
        <w:tc>
          <w:tcPr>
            <w:tcW w:w="520" w:type="dxa"/>
            <w:vAlign w:val="bottom"/>
          </w:tcPr>
          <w:p>
            <w:pPr>
              <w:spacing w:after="0"/>
              <w:rPr>
                <w:sz w:val="24"/>
                <w:szCs w:val="24"/>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53,625</w:t>
            </w: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640" w:type="dxa"/>
            <w:vAlign w:val="bottom"/>
          </w:tcPr>
          <w:p>
            <w:pPr>
              <w:spacing w:after="0"/>
              <w:rPr>
                <w:sz w:val="15"/>
                <w:szCs w:val="15"/>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1,736,421</w:t>
            </w:r>
          </w:p>
        </w:tc>
        <w:tc>
          <w:tcPr>
            <w:tcW w:w="5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355,891</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$ 1,191,920</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409,516</w:t>
            </w:r>
          </w:p>
        </w:tc>
      </w:tr>
      <w:tr>
        <w:trPr>
          <w:trHeight w:val="180"/>
        </w:trPr>
        <w:tc>
          <w:tcPr>
            <w:tcW w:w="6560" w:type="dxa"/>
            <w:vAlign w:val="bottom"/>
          </w:tcPr>
          <w:p>
            <w:pPr>
              <w:spacing w:after="0"/>
              <w:rPr>
                <w:sz w:val="15"/>
                <w:szCs w:val="15"/>
                <w:color w:val="auto"/>
              </w:rPr>
            </w:pPr>
          </w:p>
        </w:tc>
        <w:tc>
          <w:tcPr>
            <w:tcW w:w="3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440"/>
          </w:cols>
          <w:pgMar w:left="240" w:top="293" w:right="21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237" w:lineRule="auto"/>
        <w:rPr>
          <w:sz w:val="20"/>
          <w:szCs w:val="20"/>
          <w:color w:val="auto"/>
        </w:rPr>
      </w:pPr>
      <w:r>
        <w:rPr>
          <w:rFonts w:ascii="Courier New" w:cs="Courier New" w:eastAsia="Courier New" w:hAnsi="Courier New"/>
          <w:sz w:val="16"/>
          <w:szCs w:val="16"/>
          <w:color w:val="auto"/>
        </w:rPr>
        <w:t>For the three months ended February 3, 2001</w:t>
      </w:r>
    </w:p>
    <w:p>
      <w:pPr>
        <w:spacing w:after="0"/>
        <w:rPr>
          <w:sz w:val="20"/>
          <w:szCs w:val="20"/>
          <w:color w:val="auto"/>
        </w:rPr>
      </w:pPr>
      <w:r>
        <w:rPr>
          <w:rFonts w:ascii="Courier New" w:cs="Courier New" w:eastAsia="Courier New" w:hAnsi="Courier New"/>
          <w:sz w:val="16"/>
          <w:szCs w:val="16"/>
          <w:color w:val="auto"/>
        </w:rPr>
        <w:t>(all tabular amounts in thousands except per share amounts)</w:t>
      </w:r>
    </w:p>
    <w:p>
      <w:pPr>
        <w:spacing w:after="0" w:line="36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Note 1 - In the opinion of management, the information furnished in the accompanying condensed consolidated financial statements reflects all normal recurring adjustments that are necessary to fairly state the results for this interim period and should be read in conjunction with the Company's Annual Report to Stockholders on Form 10-K for the fiscal year ended October 28, 2000 (2000 Annual Report).</w:t>
      </w:r>
    </w:p>
    <w:p>
      <w:pPr>
        <w:spacing w:after="0" w:line="189"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Company has a 52-53 week fiscal year that ends on the Saturday closest to the last day in October. Fiscal 2001 is a 53-week fiscal year, with the additional week occurring in the first quarter ended February 3, 2001.</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Note 2 - Certain amounts reported in the previous year have been reclassified to conform to the fiscal 2001 presentation.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Comprehensive Income</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Total comprehensive income, i.e., net income plus available-for-sale securities valuation adjustments, net gain or loss on derivative instruments designated as cash flow hedges and currency translation adjustments to stockholders' equity, for the first quarters of fiscal 2001 and fiscal 2000 was $190 million and $119 million, respectively.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Earnings Per Share</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other potentially dilutive securities. In calculating diluted earnings per share, the dilutive effect of stock options is computed using the average market price for the period. Shares related to convertible debt financing are excluded because the effect would be anti-dilutive.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c>
          <w:tcPr>
            <w:tcW w:w="108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FEBRUARY 3, 2001</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29, 2000</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190,377</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93,007</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Weighted shares outstanding</w:t>
            </w:r>
          </w:p>
        </w:tc>
        <w:tc>
          <w:tcPr>
            <w:tcW w:w="840" w:type="dxa"/>
            <w:vAlign w:val="bottom"/>
          </w:tcPr>
          <w:p>
            <w:pPr>
              <w:spacing w:after="0"/>
              <w:rPr>
                <w:sz w:val="24"/>
                <w:szCs w:val="24"/>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357,070</w:t>
            </w:r>
          </w:p>
        </w:tc>
        <w:tc>
          <w:tcPr>
            <w:tcW w:w="70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349,352</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Earnings per share</w:t>
            </w:r>
          </w:p>
        </w:tc>
        <w:tc>
          <w:tcPr>
            <w:tcW w:w="840" w:type="dxa"/>
            <w:vAlign w:val="bottom"/>
          </w:tcPr>
          <w:p>
            <w:pPr>
              <w:spacing w:after="0"/>
              <w:rPr>
                <w:sz w:val="24"/>
                <w:szCs w:val="24"/>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$0.53</w:t>
            </w:r>
          </w:p>
        </w:tc>
        <w:tc>
          <w:tcPr>
            <w:tcW w:w="70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$0.26</w:t>
            </w:r>
          </w:p>
        </w:tc>
      </w:tr>
      <w:tr>
        <w:trPr>
          <w:trHeight w:val="180"/>
        </w:trPr>
        <w:tc>
          <w:tcPr>
            <w:tcW w:w="5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190,377</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93,007</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Weighted shares outstanding</w:t>
            </w:r>
          </w:p>
        </w:tc>
        <w:tc>
          <w:tcPr>
            <w:tcW w:w="840" w:type="dxa"/>
            <w:vAlign w:val="bottom"/>
          </w:tcPr>
          <w:p>
            <w:pPr>
              <w:spacing w:after="0"/>
              <w:rPr>
                <w:sz w:val="24"/>
                <w:szCs w:val="24"/>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357,070</w:t>
            </w:r>
          </w:p>
        </w:tc>
        <w:tc>
          <w:tcPr>
            <w:tcW w:w="70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349,352</w:t>
            </w:r>
          </w:p>
        </w:tc>
      </w:tr>
      <w:tr>
        <w:trPr>
          <w:trHeight w:val="180"/>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Assumed exercise of common stock equivalents</w:t>
            </w:r>
          </w:p>
        </w:tc>
        <w:tc>
          <w:tcPr>
            <w:tcW w:w="84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26,322</w:t>
            </w:r>
          </w:p>
        </w:tc>
        <w:tc>
          <w:tcPr>
            <w:tcW w:w="70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25,106</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common and common equivalent shares</w:t>
            </w:r>
          </w:p>
        </w:tc>
        <w:tc>
          <w:tcPr>
            <w:tcW w:w="84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383,392</w:t>
            </w:r>
          </w:p>
        </w:tc>
        <w:tc>
          <w:tcPr>
            <w:tcW w:w="70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374,458</w:t>
            </w:r>
          </w:p>
        </w:tc>
      </w:tr>
      <w:tr>
        <w:trPr>
          <w:trHeight w:val="180"/>
        </w:trPr>
        <w:tc>
          <w:tcPr>
            <w:tcW w:w="5540" w:type="dxa"/>
            <w:vAlign w:val="bottom"/>
          </w:tcPr>
          <w:p>
            <w:pPr>
              <w:spacing w:after="0"/>
              <w:rPr>
                <w:sz w:val="15"/>
                <w:szCs w:val="15"/>
                <w:color w:val="auto"/>
              </w:rPr>
            </w:pPr>
          </w:p>
        </w:tc>
        <w:tc>
          <w:tcPr>
            <w:tcW w:w="20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540" w:type="dxa"/>
            <w:vAlign w:val="bottom"/>
          </w:tcPr>
          <w:p>
            <w:pPr>
              <w:ind w:left="380"/>
              <w:spacing w:after="0"/>
              <w:rPr>
                <w:sz w:val="20"/>
                <w:szCs w:val="20"/>
                <w:color w:val="auto"/>
              </w:rPr>
            </w:pPr>
            <w:r>
              <w:rPr>
                <w:rFonts w:ascii="Courier New" w:cs="Courier New" w:eastAsia="Courier New" w:hAnsi="Courier New"/>
                <w:sz w:val="16"/>
                <w:szCs w:val="16"/>
                <w:color w:val="auto"/>
              </w:rPr>
              <w:t>Earnings per share</w:t>
            </w:r>
          </w:p>
        </w:tc>
        <w:tc>
          <w:tcPr>
            <w:tcW w:w="840" w:type="dxa"/>
            <w:vAlign w:val="bottom"/>
          </w:tcPr>
          <w:p>
            <w:pPr>
              <w:spacing w:after="0"/>
              <w:rPr>
                <w:sz w:val="24"/>
                <w:szCs w:val="24"/>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$0.50</w:t>
            </w:r>
          </w:p>
        </w:tc>
        <w:tc>
          <w:tcPr>
            <w:tcW w:w="70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$0.25</w:t>
            </w:r>
          </w:p>
        </w:tc>
      </w:tr>
      <w:tr>
        <w:trPr>
          <w:trHeight w:val="180"/>
        </w:trPr>
        <w:tc>
          <w:tcPr>
            <w:tcW w:w="5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Investments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December 27, 2000, the Company sold its investment in WaferTech, LLC to</w:t>
      </w:r>
    </w:p>
    <w:p>
      <w:pPr>
        <w:spacing w:after="0"/>
        <w:rPr>
          <w:sz w:val="20"/>
          <w:szCs w:val="20"/>
          <w:color w:val="auto"/>
        </w:rPr>
      </w:pPr>
      <w:r>
        <w:rPr>
          <w:rFonts w:ascii="Courier New" w:cs="Courier New" w:eastAsia="Courier New" w:hAnsi="Courier New"/>
          <w:sz w:val="16"/>
          <w:szCs w:val="16"/>
          <w:color w:val="auto"/>
        </w:rPr>
        <w:t>Taiwan Semiconductor Manufacturing Company. The Company received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 million in cash and realized a pretax gain of approximately $28 million.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realized gain is included in other nonoperating income.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Acquisitions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During the first quarter of fiscal 2001, the Company completed several acquisitions. On October 31, 2000, the Company acquired Thomas Neuroth AG (Neuroth) of Vienna, Austria for approximately $4 million in cash, with additional contingent cash consideration of up to $4 million payable if certain operational objectives are achieved. Neuroth is a developer of highly integrated circuits for symmetric DSL broadband access. On November 10, 2000, the Company acquired Signal Processing Associates Pty. Ltd., (SPA) of Victoria, Australia for approximately $3 million in cash, with additional contingent cash consideration of up to $1.5 million payable if certain operational objectives are achieved. SPA is a leading developer and supplier of voice processing and fax/data relay software for telecommunications applications. On December 18, 2000, the Company acquired Integrated Micro Instruments, Inc. (IMI) of Berkeley, California for approximately $1 million in cash and 13,750 shares of common stock (valued at approximately $746,000), with an additional 50,000 shares of common stock issuable over the next five years upon the satisfaction of certain conditions. IMI develops leading edge MEMS process designs. On January 4, 2001, the Company acquired ChipLogic, Inc. (ChipLogic) of Santa Clara, California for cash of approximately $4 million and approximately 1 million shares of common stock (valued at approximately $60 million), with 489,375 shares of additional common stock issuable if certain operational objectives are achieved. ChipLogic is a developer of high-performance integrated circuits and software focused on the convergence of voice, broadband access and network protocol processing. In connection with the acquisition of ChipLogic, the Company recorded a charge of $9.5 million for the write-off of in-process research and development. On January 16, 2001, the Company acquired Staccato Systems, Inc. (Staccato) of Mountain View, California for approximately $23 million in cash, with additional contingent cash consideration of up to $7 million payable if certain operational objectives are achieved. Staccato is a leader in the field of audio synthesis technology. Any contingent consideration paid to Staccato will be accounted for as additional goodwill. Of the $4 million of contingent consideration payable to Neuroth, $3 million will be allocated to goodwill and $1 million will be accounted for as acquisition-related expense. All other contingent consideration will be accounted for as acquisition-related expense. These acquisitions were accounted for as purchases, and the excess of the purchase price over the fair value of the assets acquired was allocated to goodwill, which is being amortized on the straight-line basis over five years.</w:t>
      </w:r>
    </w:p>
    <w:p>
      <w:pPr>
        <w:spacing w:after="0" w:line="35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 forma results of operations for Neuroth, SPA, IMI, ChipLogic and Staccato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Segment Information</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Company operates in two segments: the design, manufacture and marketing of a broad range of integrated circuits, which comprises approximately 98% of the Company's revenue, and the design, manufacture and marketing of a range of assembled products, which accounts for the remaining 2% of the Company's revenue. Effectively, the Company operates in one reportable segment.</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New Accounting Standards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101, (SAB 101), "Revenue Recognition in Financial Statements." SAB 101 summarizes the application of generally accepted accounting principles to revenue recognition in financial statements. The Company will adopt SAB 101 in the fourth quarter of fiscal 2001 and does not expect SAB 101 to have a material effect on its financial position or results of operation.</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Effective October 29, 2000, the Company adopted Statement of Financial Accounting Standards No. 133, (FAS 133), "Accounting for Derivative Instruments and Hedging Activities," as amended by Statement of Financial Accounting Standards No. 138, (FAS 138), "Accounting for Certain Instruments and Certain Hedging Activities". FAS 133 requires that an entity recognize all derivatives as either assets or liabilities and measure such instruments at fair market value. Under certain circumstances, a portion of the derivative's gain or loss is initially reported as a component of other comprehensive income (OCI) until the hedged transaction affects earnings. For a derivative not designated as a hedging instrument, the gain or loss is recognized in income in the period of change. The adoption of FAS 133 on October 29, 2000 did not have a material impact on operations; however, it resulted in a $5 million loss recognized in other comprehensive income. This loss will be reclassified into earnings during fiscal 2001.</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Foreign Exchange Exposure Management - The Company has significant international sales and purchase transactions in foreign currencies and has a policy of hedging forecasted and actual foreign currency risk with forward foreign exchange contracts. The Company's forward foreign exchange contracts are primarily denominated in Japanese yen and certain European currencies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 as cash flow hedges and evaluated for effectiveness monthly. As the terms of the forward contract and the underlying transaction are matched at inception, forward contract effectiveness is calculated by comparing the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the first quarter of fiscal 2001.</w:t>
      </w:r>
    </w:p>
    <w:p>
      <w:pPr>
        <w:spacing w:after="0" w:line="19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Additionally, the Company enters into foreign currency forward contracts to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176"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Interest Rate Risk Management - 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seven years, involve the exchange of fixed rate payments for variable rate payments without the exchange of the underlying principal amounts. Variable rates are based on six-month U.S. dollar LIBOR and are reset on a semiannual basis. The differential between fixed and variable rates to be paid or received is accrued as interest rates change in accordance with the agreements and recognized over the life of the agreements as an adjustment to interest expense. Given the insignificant value of the current interest rate swap and cap agreements, the Company has not designated these instruments as hedges. The change in fair value related to these instruments is recognized immediately in Other expense.</w:t>
      </w:r>
    </w:p>
    <w:p>
      <w:pPr>
        <w:spacing w:after="0" w:line="17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7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Accumulated Derivative Gains or Losses</w:t>
      </w:r>
    </w:p>
    <w:p>
      <w:pPr>
        <w:spacing w:after="0" w:line="185" w:lineRule="exact"/>
        <w:rPr>
          <w:sz w:val="20"/>
          <w:szCs w:val="20"/>
          <w:color w:val="auto"/>
        </w:rPr>
      </w:pPr>
    </w:p>
    <w:p>
      <w:pPr>
        <w:jc w:val="both"/>
        <w:ind w:right="2719"/>
        <w:spacing w:after="0" w:line="259" w:lineRule="auto"/>
        <w:rPr>
          <w:sz w:val="20"/>
          <w:szCs w:val="20"/>
          <w:color w:val="auto"/>
        </w:rPr>
      </w:pPr>
      <w:r>
        <w:rPr>
          <w:rFonts w:ascii="Courier New" w:cs="Courier New" w:eastAsia="Courier New" w:hAnsi="Courier New"/>
          <w:sz w:val="15"/>
          <w:szCs w:val="15"/>
          <w:color w:val="auto"/>
        </w:rPr>
        <w:t>The following table summarizes activity in other comprehensive income related to derivatives classified as cash flow hedges held by the Company during the period of October 29, 2000 (the date of adoption of FAS 133) through February 3, 2001: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spacing w:after="0"/>
              <w:rPr>
                <w:sz w:val="20"/>
                <w:szCs w:val="20"/>
                <w:color w:val="auto"/>
              </w:rPr>
            </w:pPr>
            <w:r>
              <w:rPr>
                <w:rFonts w:ascii="Courier New" w:cs="Courier New" w:eastAsia="Courier New" w:hAnsi="Courier New"/>
                <w:sz w:val="16"/>
                <w:szCs w:val="16"/>
                <w:color w:val="auto"/>
              </w:rPr>
              <w:t>Cumulative effect of adopting FAS 133 as of</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6240" w:type="dxa"/>
            <w:vAlign w:val="bottom"/>
          </w:tcPr>
          <w:p>
            <w:pPr>
              <w:ind w:left="100"/>
              <w:spacing w:after="0"/>
              <w:rPr>
                <w:sz w:val="20"/>
                <w:szCs w:val="20"/>
                <w:color w:val="auto"/>
              </w:rPr>
            </w:pPr>
            <w:r>
              <w:rPr>
                <w:rFonts w:ascii="Courier New" w:cs="Courier New" w:eastAsia="Courier New" w:hAnsi="Courier New"/>
                <w:sz w:val="16"/>
                <w:szCs w:val="16"/>
                <w:color w:val="auto"/>
              </w:rPr>
              <w:t>October 29, 2000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5,200</w:t>
            </w:r>
          </w:p>
        </w:tc>
      </w:tr>
      <w:tr>
        <w:trPr>
          <w:trHeight w:val="1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Less: Reclassifications into earnings from other</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6240" w:type="dxa"/>
            <w:vAlign w:val="bottom"/>
          </w:tcPr>
          <w:p>
            <w:pPr>
              <w:ind w:left="100"/>
              <w:spacing w:after="0"/>
              <w:rPr>
                <w:sz w:val="20"/>
                <w:szCs w:val="20"/>
                <w:color w:val="auto"/>
              </w:rPr>
            </w:pPr>
            <w:r>
              <w:rPr>
                <w:rFonts w:ascii="Courier New" w:cs="Courier New" w:eastAsia="Courier New" w:hAnsi="Courier New"/>
                <w:sz w:val="16"/>
                <w:szCs w:val="16"/>
                <w:color w:val="auto"/>
              </w:rPr>
              <w:t>comprehensive income</w:t>
            </w:r>
          </w:p>
        </w:tc>
        <w:tc>
          <w:tcPr>
            <w:tcW w:w="5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2,800</w:t>
            </w:r>
          </w:p>
        </w:tc>
      </w:tr>
      <w:tr>
        <w:trPr>
          <w:trHeight w:val="180"/>
        </w:trPr>
        <w:tc>
          <w:tcPr>
            <w:tcW w:w="624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2,400</w:t>
            </w:r>
          </w:p>
        </w:tc>
      </w:tr>
      <w:tr>
        <w:trPr>
          <w:trHeight w:val="1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Changes in fair value of derivatives - (gain) loss</w:t>
            </w: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80"/>
        </w:trPr>
        <w:tc>
          <w:tcPr>
            <w:tcW w:w="624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Accumulated (gain) loss included in other comprehensive income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0"/>
        </w:trPr>
        <w:tc>
          <w:tcPr>
            <w:tcW w:w="624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Stock Split</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On February 15, 2000, the Company's Board of Directors approved a 2-for-1 split of the Company's common stock, effected as a 100% stock dividend on March 15, 2000 by the distribution of one share of common stock for every share held on the record date of February 28, 2000. All historical per share amounts in this report have been restated to reflect the split.</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365"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This information should be read in conjunction with the unaudited condensed consolidated financial statements and related notes included in Item 1 of this Quarterly Report and the audited consolidated financial statements and related notes and Management Analysis for the fiscal year ended October 28, 2000, contained in the our 2000 Annual Report.</w:t>
      </w:r>
    </w:p>
    <w:p>
      <w:pPr>
        <w:spacing w:after="0" w:line="187"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following discussion and analysis may contain forward-looking statements. Such statements are subject to certain risks and uncertainties, including those discussed below or in our 2000 Annual Report, which could cause actual results to differ materially from our expectations. Readers are cautioned not to place undue reliance on any forward-looking statements, as they reflect management's current analysis. We undertake no obligation to release the results of any revision to these forward-looking statements that may be made to reflect events or circumstances after the date of this report or to reflect the occurrence of unanticipated events.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Net sales for the first quarter of fiscal 2001 increased by $282 million, or 58%, to $772 million from $490 million for the first quarter of fiscal 2000. Analog IC product sales grew by 61% and DSP IC product sales grew by 48% over the same quarter last year. Sales to OEM customers increased 65% over the first quarter of fiscal 2000. Sales into the distribution channel increased 46% over the same quarter last year. Sales increased in all end-markets with the communications market representing the largest growth area. These year-over-year sales increases were attributable to growth in the markets we serve along with increased demand for our newest products.</w:t>
      </w:r>
    </w:p>
    <w:p>
      <w:pPr>
        <w:spacing w:after="0" w:line="186"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Sales increased in all geographic regions with the largest increase occurring in North America. International sales for the first quarter of fiscal 2001 and fiscal 2000 represented 56% of sales.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Our net sales for the first quarter of fiscal 2001 declined 4% from the fourth quarter of fiscal 2000 as a result of rapidly decreasing demand in the latter half of the first quarter of fiscal 2001. The decrease in demand was primarily the result of significant order cancellations and adjustments from computer and telecommunications customers and contract manufacturers in North America and Southeast Asia in response to an inventory build-up in both the OEM and distributor channels. We anticipate further revenue reductions in the second quarter of fiscal 2001 as this downward trend in demand has continued and has been exacerbated by a significant drop in consumer confidence in response to a pessimistic economic picture in the U.S. and Southeast Asia.</w:t>
      </w:r>
    </w:p>
    <w:p>
      <w:pPr>
        <w:spacing w:after="0" w:line="17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The gross margin for the first quarter of fiscal 2001 was 58.6%, an improvement of 450 basis points from the 54.1% gross margin realized in the first quarter of fiscal 2000. The improvement in gross margin was primarily due to the favorable effect of fixed costs allocated across a higher sales base and improved manufacturing efficiencies at our wafer fabrication, assembly and test facilities.</w:t>
      </w:r>
    </w:p>
    <w:p>
      <w:pPr>
        <w:spacing w:after="0" w:line="189"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Research and development (R&amp;D) expenses were $122 million for the three months ended February 3, 2001 compared to $83 million for the corresponding period of fiscal 2000. As a percentage of sales, R&amp;D spending decreased during the first quarter of fiscal 2001 to 15.8%, down from 16.8% in the first quarter of fiscal 2000. In absolute dollar terms, R&amp;D spending increased by $39 million in the first quarter of fiscal 2001 as compared to the first quarter of fiscal 2000 as a result of our continued investment in opportunities in our served markets. Additional expenses associated with increased engineering headcount, combined with the effect of increased bonus accruals in the first quarter of fiscal 2001, were the main reasons for the year-over-year increase. We expect to continue the development of innovative technologies and processes for new products targeted for broadband and wireless communications applications, imaging, audio and high-performance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w:t>
      </w:r>
    </w:p>
    <w:p>
      <w:pPr>
        <w:spacing w:after="0" w:line="358"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During the first quarter of fiscal 2001, we recorded a charge of $9.5 million for the write-off of in-process R&amp;D in connection with the acquisition of ChipLogic, Inc., of Santa Clara, California. The total cost of the acquisition was approximately $60 million in common stock and $4 million in cash, with additional contingent consideration of 489,375 shares of common stock payable if ChipLogic achieves certain operational objectives. The contingent consideration is expected to be accounted for as acquisition-related expense.</w:t>
      </w:r>
    </w:p>
    <w:p>
      <w:pPr>
        <w:sectPr>
          <w:pgSz w:w="11900" w:h="16838" w:orient="portrait"/>
          <w:cols w:equalWidth="0" w:num="1">
            <w:col w:w="10219"/>
          </w:cols>
          <w:pgMar w:left="240" w:top="293" w:right="1440" w:bottom="835"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835"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Amortization of intangibles was $10 million in the first quarter of fiscal 2001 as compared with $0.5 million recorded in the first quarter of fiscal 2000. The year-over-year increase was primarily due to the amortization of goodwill related to the purchase of BCO Technologies plc, Ltd. in the fourth quarter of fiscal 2000.</w:t>
      </w:r>
    </w:p>
    <w:p>
      <w:pPr>
        <w:spacing w:after="0" w:line="187" w:lineRule="exact"/>
        <w:rPr>
          <w:sz w:val="20"/>
          <w:szCs w:val="20"/>
          <w:color w:val="auto"/>
        </w:rPr>
      </w:pPr>
    </w:p>
    <w:p>
      <w:pPr>
        <w:ind w:right="2719" w:firstLine="844"/>
        <w:spacing w:after="0" w:line="254" w:lineRule="auto"/>
        <w:rPr>
          <w:sz w:val="20"/>
          <w:szCs w:val="20"/>
          <w:color w:val="auto"/>
        </w:rPr>
      </w:pPr>
      <w:r>
        <w:rPr>
          <w:rFonts w:ascii="Courier New" w:cs="Courier New" w:eastAsia="Courier New" w:hAnsi="Courier New"/>
          <w:sz w:val="15"/>
          <w:szCs w:val="15"/>
          <w:color w:val="auto"/>
        </w:rPr>
        <w:t>Selling, marketing, general and administrative (SMG&amp;A) expenses for the first quarter of fiscal 2001 were $86 million, an increase of $21 million from the $65 million reported for the first quarter of fiscal 2000. As a percentage of sales, SMG&amp;A decreased to 11.1% for the first quarter of fiscal 2001 from</w:t>
      </w:r>
    </w:p>
    <w:p>
      <w:pPr>
        <w:spacing w:after="0" w:line="2"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13.2% for the first quarter of fiscal 2000 as a result of increased sales and continued control over spending.</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combination of higher sales, higher gross margins and a reduction in operating expense ratios provided strong operating leverage that improved the operating margin to 29.2% of sales, compared to 24.0% in the first quarter of fiscal 2000.</w:t>
      </w:r>
    </w:p>
    <w:p>
      <w:pPr>
        <w:spacing w:after="0" w:line="186"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Interest expense was $17 million for the first quarter of fiscal 2001 and $2 million for the first quarter of fiscal 2000. The increase in interest expense was due to the issuance in the fourth quarter of fiscal 2000 of $1.2 billion of 4.75% convertible subordinated notes.</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Interest income was $41 million for the first quarter of fiscal 2001 and $12 million for the first quarter of fiscal 2000. The increase in interest income was attributable to the interest earned on higher cash balances resulting from increased cash flow from operations as well as the unused portion of the funds from our 4.75% convertible subordinated notes.</w:t>
      </w:r>
    </w:p>
    <w:p>
      <w:pPr>
        <w:spacing w:after="0" w:line="187"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During the first quarter of fiscal 2001, we sold our investment in WaferTech, LLC to Taiwan Semiconductor Manufacturing Company for $61 million in cash. As a result of this transaction, we recorded a pretax gain of approximately $28 million, which is included in other nonoperating income.</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Our effective income tax rate increased to 31% for the first quarter of fiscal 2001 from 27% for the first quarter of fiscal 2000 primarily due to a shift in the mix of worldwide profits as well as a taxable capital gain from the sale of our WaferTech investment in the first quarter of fiscal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At February 3, 2001, we had $2,350 million of cash, cash equivalents and short-term investments, an increase of $115 million from the fourth quarter of 2000 and $1,455 million from the first quarter of fiscal 2000. The sequential increase in cash, cash equivalents and short-term investments was primarily due to operating cash inflows of $253 million, partially offset by increased capital expenditures. The year-over-year increase in cash, cash equivalents and short-term investments was primarily due to $1,172 million of proceeds from the issuance of our 4.75% convertible subordinated notes in the fourth quarter of fiscal 2000.</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Accounts receivable totaled $421 million at the end of the first quarter of fiscal 2001, a decrease of $43 million from the fourth quarter of fiscal 2000 primarily due to a 4% sequential decline in sales. Accounts receivable increased $123 million from the first quarter of fiscal 2000 due to higher sales levels. Days sales outstanding improved from 56 days at January 29, 2000 to 49 days at February 3, 2001.</w:t>
      </w:r>
    </w:p>
    <w:p>
      <w:pPr>
        <w:spacing w:after="0" w:line="18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Inventories of $357 million at February 3, 2001 increased by $25 million from the fourth quarter of fiscal 2000 and $107 million from the first quarter of fiscal 2000. Days cost of sales in inventory remained flat year-over-year despite increased inventory levels in response to a 58% increase in sales and higher demand for our products. The sequential increase in inventory levels was due to a general economic slowdown during the first quarter of fiscal 2001 that is constraining demand for technology products.</w:t>
      </w:r>
    </w:p>
    <w:p>
      <w:pPr>
        <w:spacing w:after="0" w:line="185" w:lineRule="exact"/>
        <w:rPr>
          <w:sz w:val="20"/>
          <w:szCs w:val="20"/>
          <w:color w:val="auto"/>
        </w:rPr>
      </w:pPr>
    </w:p>
    <w:p>
      <w:pPr>
        <w:ind w:right="2819" w:firstLine="844"/>
        <w:spacing w:after="0" w:line="256" w:lineRule="auto"/>
        <w:rPr>
          <w:sz w:val="20"/>
          <w:szCs w:val="20"/>
          <w:color w:val="auto"/>
        </w:rPr>
      </w:pPr>
      <w:r>
        <w:rPr>
          <w:rFonts w:ascii="Courier New" w:cs="Courier New" w:eastAsia="Courier New" w:hAnsi="Courier New"/>
          <w:sz w:val="15"/>
          <w:szCs w:val="15"/>
          <w:color w:val="auto"/>
        </w:rPr>
        <w:t>Net additions to property, plant and equipment of $139 million for the first quarter of fiscal 2001 were funded with a combination of cash on hand and cash generated from operations. Capital spending in the first quarter of fiscal 2001 increased over the $41 million spent in the first quarter of fiscal 2000, primarily attributable to the expansion of manufacturing capability to meet sales growth during fiscal 2000. We currently plan to make capital expenditures of approximately $400 million in fiscal 2001.</w:t>
      </w:r>
    </w:p>
    <w:p>
      <w:pPr>
        <w:sectPr>
          <w:pgSz w:w="11900" w:h="16838" w:orient="portrait"/>
          <w:cols w:equalWidth="0" w:num="1">
            <w:col w:w="10219"/>
          </w:cols>
          <w:pgMar w:left="240" w:top="293" w:right="1440" w:bottom="1440" w:gutter="0" w:footer="0" w:header="0"/>
        </w:sectPr>
      </w:pPr>
    </w:p>
    <w:p>
      <w:pPr>
        <w:spacing w:after="0" w:line="35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During the first quarter of fiscal 2001, we completed several acquisitions. On October 31, 2000, we acquired Thomas Neuroth AG (Neuroth) of Vienna, Austria for approximately $4 million in cash, with additional contingent cash consideration of up to $4 million payable if certain operational objectives are achieved. Neuroth is a developer of highly integrated circuits for symmetric DSL broadband access. On November 10, 2000, we acquired Signal Processing Associates Pty. Ltd., (SPA) of Victoria, Australia for approximately $3 million in cash, with additional contingent cash consideration of up to $1.5 million payable if certain operational objectives are achieved. SPA is a leading developer and supplier of voice processing and fax/data relay software for telecommunications applications. On December 18, 2000, we acquired Integrated Micro Instruments, Inc. (IMI) of Berkeley, California for approximately $1 million in cash and 13,750 shares of our common stock, with an additional 50,000 shares of common stock issuable over the next five years upon the satisfaction of certain conditions. IMI develops leading edge MEMS process designs. On January 4, 2001, we acquired ChipLogic, Inc. (ChipLogic) of Santa Clara, California for approximately 1 million shares of our common stock, with 489,375 shares of additional common stock issuable if certain operational objectives are achieved. ChipLogic is a developer of high-performance integrated circuits and software focused on the convergence of voice, broadband access and network protocol processing. On January 16, 2001, we acquired Staccato Systems, Inc. (Staccato) of Mountain View, California for approximately $23 million in cash, with additional contingent cash consideration of up to $7 million payable if certain operational objectives are achieved. Staccato is a leader in the field of audio synthesis technology.</w:t>
      </w:r>
    </w:p>
    <w:p>
      <w:pPr>
        <w:spacing w:after="0" w:line="357" w:lineRule="exact"/>
        <w:rPr>
          <w:sz w:val="20"/>
          <w:szCs w:val="20"/>
          <w:color w:val="auto"/>
        </w:rPr>
      </w:pPr>
    </w:p>
    <w:p>
      <w:pPr>
        <w:ind w:right="3099" w:firstLine="844"/>
        <w:spacing w:after="0" w:line="236" w:lineRule="auto"/>
        <w:rPr>
          <w:sz w:val="20"/>
          <w:szCs w:val="20"/>
          <w:color w:val="auto"/>
        </w:rPr>
      </w:pPr>
      <w:r>
        <w:rPr>
          <w:rFonts w:ascii="Courier New" w:cs="Courier New" w:eastAsia="Courier New" w:hAnsi="Courier New"/>
          <w:sz w:val="16"/>
          <w:szCs w:val="16"/>
          <w:color w:val="auto"/>
        </w:rPr>
        <w:t>At February 3, 2001, our principal sources of liquidity were $2,350 million of cash, cash equivalents and short-term investments.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Which May Affect Future Results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experience material fluctuations in future operating results.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the effects of adverse changes in overall economic conditions, the risk that our backlog could decline significantly,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90"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Our future success depends upon our ability to develop and market new products and enter new markets.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78"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We may not be able to compete successfully in the semiconductor industry in the future.</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186"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We may not be able to satisfy increasing demand for our products, and increased production may lead to overcapacity and lower prices.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the past two fiscal years. We have increased our manufacturing capacity over the past three years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18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We rely on third-party subcontractors and manufacturers for some industry-standard wafers and therefore cannot control their availability or conditions of supply.</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Our revenues may not increase enough to offset the expense of additional capacity.</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87"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We rely on manufacturing capacity located in geologically unstable areas, which could affect the availability of supplies and services.</w:t>
      </w:r>
    </w:p>
    <w:p>
      <w:pPr>
        <w:spacing w:after="0" w:line="185"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74"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16"/>
          <w:szCs w:val="16"/>
          <w:color w:val="auto"/>
        </w:rPr>
        <w:t>We are exposed to economic and political risks through our significant international operations.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During the first quarter of fiscal 2001, 56%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89"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We are involved in frequent litigation regarding intellectual property rights, which could be costly to undertake and could require us to redesign products or pay significant royalties.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for the fiscal year ended October 28, 2000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Leverage and debt service obligations may adversely affect our cash flow.</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have a substantial amount of outstanding indebtedness. There is the possibility that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information required by this item is incorporated herein by reference to the "Management Analysis" set forth on pages 18 through 25 of the 2000 Annual Report to Shareholders.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5" w:lineRule="exact"/>
        <w:rPr>
          <w:sz w:val="20"/>
          <w:szCs w:val="20"/>
          <w:color w:val="auto"/>
        </w:rPr>
      </w:pPr>
    </w:p>
    <w:p>
      <w:pPr>
        <w:ind w:left="740" w:right="8719" w:hanging="369"/>
        <w:spacing w:after="0" w:line="509" w:lineRule="auto"/>
        <w:tabs>
          <w:tab w:leader="none" w:pos="7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None</w:t>
      </w:r>
    </w:p>
    <w:p>
      <w:pPr>
        <w:ind w:left="740" w:hanging="369"/>
        <w:spacing w:after="0"/>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w:t>
      </w:r>
    </w:p>
    <w:p>
      <w:pPr>
        <w:spacing w:after="0" w:line="185" w:lineRule="exact"/>
        <w:rPr>
          <w:sz w:val="20"/>
          <w:szCs w:val="20"/>
          <w:color w:val="auto"/>
        </w:rPr>
      </w:pPr>
    </w:p>
    <w:p>
      <w:pPr>
        <w:ind w:right="2899" w:firstLine="750"/>
        <w:spacing w:after="0" w:line="237" w:lineRule="auto"/>
        <w:rPr>
          <w:sz w:val="20"/>
          <w:szCs w:val="20"/>
          <w:color w:val="auto"/>
        </w:rPr>
      </w:pPr>
      <w:r>
        <w:rPr>
          <w:rFonts w:ascii="Courier New" w:cs="Courier New" w:eastAsia="Courier New" w:hAnsi="Courier New"/>
          <w:sz w:val="16"/>
          <w:szCs w:val="16"/>
          <w:color w:val="auto"/>
        </w:rPr>
        <w:t>Form 8-K, dated December 7, 2000, as amended by Form 8-K/A dated December 13, 2000, reporting under Item 7 selected consolidated financial data for the five-year period ended October 30, 1999 and description of capital stock.</w:t>
      </w:r>
    </w:p>
    <w:p>
      <w:pPr>
        <w:spacing w:after="0" w:line="18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Items 1, 2, 3, 4 and 5 of PART II are not applicable and have been</w:t>
      </w:r>
    </w:p>
    <w:p>
      <w:pPr>
        <w:spacing w:after="0"/>
        <w:rPr>
          <w:sz w:val="20"/>
          <w:szCs w:val="20"/>
          <w:color w:val="auto"/>
        </w:rPr>
      </w:pPr>
      <w:r>
        <w:rPr>
          <w:rFonts w:ascii="Courier New" w:cs="Courier New" w:eastAsia="Courier New" w:hAnsi="Courier New"/>
          <w:sz w:val="16"/>
          <w:szCs w:val="16"/>
          <w:color w:val="auto"/>
        </w:rPr>
        <w:t>omitted.</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3"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ANALOG DEVICES, INC.</w:t>
      </w:r>
    </w:p>
    <w:p>
      <w:pPr>
        <w:ind w:left="3740"/>
        <w:spacing w:after="0"/>
        <w:rPr>
          <w:sz w:val="20"/>
          <w:szCs w:val="20"/>
          <w:color w:val="auto"/>
        </w:rPr>
      </w:pPr>
      <w:r>
        <w:rPr>
          <w:rFonts w:ascii="Courier New" w:cs="Courier New" w:eastAsia="Courier New" w:hAnsi="Courier New"/>
          <w:sz w:val="16"/>
          <w:szCs w:val="16"/>
          <w:color w:val="auto"/>
        </w:rPr>
        <w:t>--------------------</w:t>
      </w:r>
    </w:p>
    <w:p>
      <w:pPr>
        <w:ind w:left="4020"/>
        <w:spacing w:after="0" w:line="237" w:lineRule="auto"/>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Jerald G. Fishman</w:t>
      </w:r>
    </w:p>
    <w:p>
      <w:pPr>
        <w:spacing w:after="0"/>
        <w:rPr>
          <w:sz w:val="20"/>
          <w:szCs w:val="20"/>
          <w:color w:val="auto"/>
        </w:rPr>
      </w:pPr>
      <w:r>
        <w:rPr>
          <w:rFonts w:ascii="Courier New" w:cs="Courier New" w:eastAsia="Courier New" w:hAnsi="Courier New"/>
          <w:sz w:val="16"/>
          <w:szCs w:val="16"/>
          <w:color w:val="auto"/>
        </w:rPr>
        <w:t>President and</w:t>
      </w:r>
    </w:p>
    <w:p>
      <w:pPr>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4">
            <w:col w:w="460" w:space="280"/>
            <w:col w:w="2280" w:space="720"/>
            <w:col w:w="280" w:space="300"/>
            <w:col w:w="5899"/>
          </w:cols>
          <w:pgMar w:left="240" w:top="293"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2001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E. McDonough</w:t>
      </w:r>
    </w:p>
    <w:p>
      <w:pPr>
        <w:spacing w:after="0"/>
        <w:rPr>
          <w:sz w:val="20"/>
          <w:szCs w:val="20"/>
          <w:color w:val="auto"/>
        </w:rPr>
      </w:pPr>
      <w:r>
        <w:rPr>
          <w:rFonts w:ascii="Courier New" w:cs="Courier New" w:eastAsia="Courier New" w:hAnsi="Courier New"/>
          <w:sz w:val="16"/>
          <w:szCs w:val="16"/>
          <w:color w:val="auto"/>
        </w:rPr>
        <w:t>Vice President-Finance</w:t>
      </w:r>
    </w:p>
    <w:p>
      <w:pPr>
        <w:spacing w:after="0" w:line="237" w:lineRule="auto"/>
        <w:rPr>
          <w:sz w:val="20"/>
          <w:szCs w:val="20"/>
          <w:color w:val="auto"/>
        </w:rPr>
      </w:pPr>
      <w:r>
        <w:rPr>
          <w:rFonts w:ascii="Courier New" w:cs="Courier New" w:eastAsia="Courier New" w:hAnsi="Courier New"/>
          <w:sz w:val="16"/>
          <w:szCs w:val="16"/>
          <w:color w:val="auto"/>
        </w:rPr>
        <w:t>and Chief Financial Officer</w:t>
      </w:r>
    </w:p>
    <w:p>
      <w:pPr>
        <w:spacing w:after="0"/>
        <w:rPr>
          <w:sz w:val="20"/>
          <w:szCs w:val="20"/>
          <w:color w:val="auto"/>
        </w:rPr>
      </w:pPr>
      <w:r>
        <w:rPr>
          <w:rFonts w:ascii="Courier New" w:cs="Courier New" w:eastAsia="Courier New" w:hAnsi="Courier New"/>
          <w:sz w:val="16"/>
          <w:szCs w:val="16"/>
          <w:color w:val="auto"/>
        </w:rPr>
        <w:t>(Principal Financial and</w:t>
      </w:r>
    </w:p>
    <w:p>
      <w:pPr>
        <w:spacing w:after="0" w:line="238" w:lineRule="auto"/>
        <w:rPr>
          <w:sz w:val="20"/>
          <w:szCs w:val="20"/>
          <w:color w:val="auto"/>
        </w:rPr>
      </w:pPr>
      <w:r>
        <w:rPr>
          <w:rFonts w:ascii="Courier New" w:cs="Courier New" w:eastAsia="Courier New" w:hAnsi="Courier New"/>
          <w:sz w:val="16"/>
          <w:szCs w:val="16"/>
          <w:color w:val="auto"/>
        </w:rPr>
        <w:t>Accounting Officer)</w:t>
      </w:r>
    </w:p>
    <w:p>
      <w:pPr>
        <w:spacing w:after="0" w:line="200" w:lineRule="exact"/>
        <w:rPr>
          <w:sz w:val="20"/>
          <w:szCs w:val="20"/>
          <w:color w:val="auto"/>
        </w:rPr>
      </w:pPr>
    </w:p>
    <w:p>
      <w:pPr>
        <w:sectPr>
          <w:pgSz w:w="11900" w:h="16838" w:orient="portrait"/>
          <w:cols w:equalWidth="0" w:num="4">
            <w:col w:w="460" w:space="280"/>
            <w:col w:w="2280" w:space="720"/>
            <w:col w:w="280" w:space="300"/>
            <w:col w:w="5899"/>
          </w:cols>
          <w:pgMar w:left="240" w:top="293" w:right="1440" w:bottom="1440" w:gutter="0" w:footer="0" w:header="0"/>
          <w:type w:val="continuous"/>
        </w:sectPr>
      </w:pPr>
    </w:p>
    <w:p>
      <w:pPr>
        <w:spacing w:after="0" w:line="3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16</w:t>
      </w:r>
    </w:p>
    <w:sectPr>
      <w:pgSz w:w="11900" w:h="16838" w:orient="portrait"/>
      <w:cols w:equalWidth="0" w:num="1">
        <w:col w:w="10219"/>
      </w:cols>
      <w:pgMar w:left="240" w:top="2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2019-12-20T05:22:43Z</dcterms:created>
  <dcterms:modified xsi:type="dcterms:W3CDTF">2019-12-20T05:22:43Z</dcterms:modified>
</cp:coreProperties>
</file>