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April 30, 2011</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transition period from _______________ to ________________</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1-7819</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70"/>
              <w:spacing w:after="0"/>
              <w:rPr>
                <w:sz w:val="20"/>
                <w:szCs w:val="20"/>
                <w:color w:val="auto"/>
              </w:rPr>
            </w:pPr>
            <w:r>
              <w:rPr>
                <w:rFonts w:ascii="Arial" w:cs="Arial" w:eastAsia="Arial" w:hAnsi="Arial"/>
                <w:sz w:val="18"/>
                <w:szCs w:val="18"/>
                <w:i w:val="1"/>
                <w:iCs w:val="1"/>
                <w:color w:val="auto"/>
                <w:w w:val="93"/>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18"/>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920" w:space="720"/>
            <w:col w:w="1420" w:space="720"/>
            <w:col w:w="3780" w:space="720"/>
            <w:col w:w="2100"/>
          </w:cols>
          <w:pgMar w:left="240" w:top="122" w:right="279" w:bottom="1440" w:gutter="0" w:footer="0" w:header="0"/>
          <w:type w:val="continuous"/>
        </w:sectPr>
      </w:pPr>
    </w:p>
    <w:p>
      <w:pPr>
        <w:ind w:left="220" w:right="1800" w:firstLine="1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30, 2011 there were 299,633,520 shares of common stock of the registrant,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 — FINANCIAL INFORMATION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41">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42">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ITEM 1A. RISK FACTORS</w:t>
        </w:r>
      </w:hyperlink>
    </w:p>
    <w:p>
      <w:pPr>
        <w:ind w:left="320" w:right="3299"/>
        <w:spacing w:after="0" w:line="230" w:lineRule="auto"/>
        <w:rPr>
          <w:rFonts w:ascii="Arial" w:cs="Arial" w:eastAsia="Arial" w:hAnsi="Arial"/>
          <w:sz w:val="22"/>
          <w:szCs w:val="22"/>
          <w:u w:val="single" w:color="auto"/>
          <w:color w:val="0000EE"/>
        </w:rPr>
      </w:pPr>
      <w:hyperlink w:anchor="page49">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50">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51">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52">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EX-31.1</w:t>
      </w:r>
    </w:p>
    <w:p>
      <w:pPr>
        <w:spacing w:after="0" w:line="230" w:lineRule="auto"/>
        <w:rPr>
          <w:sz w:val="20"/>
          <w:szCs w:val="20"/>
          <w:color w:val="auto"/>
        </w:rPr>
      </w:pPr>
      <w:r>
        <w:rPr>
          <w:rFonts w:ascii="Arial" w:cs="Arial" w:eastAsia="Arial" w:hAnsi="Arial"/>
          <w:sz w:val="22"/>
          <w:szCs w:val="22"/>
          <w:u w:val="single" w:color="auto"/>
          <w:color w:val="0000EE"/>
        </w:rPr>
        <w:t>EX-31.2</w:t>
      </w:r>
    </w:p>
    <w:p>
      <w:pPr>
        <w:spacing w:after="0" w:line="231" w:lineRule="auto"/>
        <w:rPr>
          <w:sz w:val="20"/>
          <w:szCs w:val="20"/>
          <w:color w:val="auto"/>
        </w:rPr>
      </w:pPr>
      <w:r>
        <w:rPr>
          <w:rFonts w:ascii="Arial" w:cs="Arial" w:eastAsia="Arial" w:hAnsi="Arial"/>
          <w:sz w:val="22"/>
          <w:szCs w:val="22"/>
          <w:u w:val="single" w:color="auto"/>
          <w:color w:val="0000EE"/>
        </w:rPr>
        <w:t>EX-32.1</w:t>
      </w:r>
    </w:p>
    <w:p>
      <w:pPr>
        <w:spacing w:after="0" w:line="231" w:lineRule="auto"/>
        <w:rPr>
          <w:sz w:val="20"/>
          <w:szCs w:val="20"/>
          <w:color w:val="auto"/>
        </w:rPr>
      </w:pPr>
      <w:r>
        <w:rPr>
          <w:rFonts w:ascii="Arial" w:cs="Arial" w:eastAsia="Arial" w:hAnsi="Arial"/>
          <w:sz w:val="22"/>
          <w:szCs w:val="22"/>
          <w:u w:val="single" w:color="auto"/>
          <w:color w:val="0000EE"/>
        </w:rPr>
        <w:t>EX-32.2</w:t>
      </w:r>
    </w:p>
    <w:p>
      <w:pPr>
        <w:spacing w:after="0" w:line="230" w:lineRule="auto"/>
        <w:rPr>
          <w:sz w:val="20"/>
          <w:szCs w:val="20"/>
          <w:color w:val="auto"/>
        </w:rPr>
      </w:pPr>
      <w:r>
        <w:rPr>
          <w:rFonts w:ascii="Arial" w:cs="Arial" w:eastAsia="Arial" w:hAnsi="Arial"/>
          <w:sz w:val="22"/>
          <w:szCs w:val="22"/>
          <w:u w:val="single" w:color="auto"/>
          <w:color w:val="0000EE"/>
        </w:rPr>
        <w:t>EX-101 INSTANCE DOCUMENT</w:t>
      </w:r>
    </w:p>
    <w:p>
      <w:pPr>
        <w:spacing w:after="0" w:line="231" w:lineRule="auto"/>
        <w:rPr>
          <w:sz w:val="20"/>
          <w:szCs w:val="20"/>
          <w:color w:val="auto"/>
        </w:rPr>
      </w:pPr>
      <w:r>
        <w:rPr>
          <w:rFonts w:ascii="Arial" w:cs="Arial" w:eastAsia="Arial" w:hAnsi="Arial"/>
          <w:sz w:val="22"/>
          <w:szCs w:val="22"/>
          <w:u w:val="single" w:color="auto"/>
          <w:color w:val="0000EE"/>
        </w:rPr>
        <w:t>EX-101 SCHEMA DOCUMENT</w:t>
      </w:r>
    </w:p>
    <w:p>
      <w:pPr>
        <w:spacing w:after="0" w:line="230" w:lineRule="auto"/>
        <w:rPr>
          <w:sz w:val="20"/>
          <w:szCs w:val="20"/>
          <w:color w:val="auto"/>
        </w:rPr>
      </w:pPr>
      <w:r>
        <w:rPr>
          <w:rFonts w:ascii="Arial" w:cs="Arial" w:eastAsia="Arial" w:hAnsi="Arial"/>
          <w:sz w:val="22"/>
          <w:szCs w:val="22"/>
          <w:u w:val="single" w:color="auto"/>
          <w:color w:val="0000EE"/>
        </w:rPr>
        <w:t>EX-101 CALCULATION LINKBASE DOCUMENT</w:t>
      </w:r>
    </w:p>
    <w:p>
      <w:pPr>
        <w:spacing w:after="0" w:line="231" w:lineRule="auto"/>
        <w:rPr>
          <w:sz w:val="20"/>
          <w:szCs w:val="20"/>
          <w:color w:val="auto"/>
        </w:rPr>
      </w:pPr>
      <w:r>
        <w:rPr>
          <w:rFonts w:ascii="Arial" w:cs="Arial" w:eastAsia="Arial" w:hAnsi="Arial"/>
          <w:sz w:val="22"/>
          <w:szCs w:val="22"/>
          <w:u w:val="single" w:color="auto"/>
          <w:color w:val="0000EE"/>
        </w:rPr>
        <w:t>EX-101 LABELS LINKBASE DOCUMENT</w:t>
      </w:r>
    </w:p>
    <w:p>
      <w:pPr>
        <w:spacing w:after="0" w:line="231" w:lineRule="auto"/>
        <w:rPr>
          <w:sz w:val="20"/>
          <w:szCs w:val="20"/>
          <w:color w:val="auto"/>
        </w:rPr>
      </w:pPr>
      <w:r>
        <w:rPr>
          <w:rFonts w:ascii="Arial" w:cs="Arial" w:eastAsia="Arial" w:hAnsi="Arial"/>
          <w:sz w:val="22"/>
          <w:szCs w:val="22"/>
          <w:u w:val="single" w:color="auto"/>
          <w:color w:val="0000EE"/>
        </w:rPr>
        <w:t>EX-101 PRESENTATION LINKBASE DOCUMENT</w:t>
      </w:r>
    </w:p>
    <w:p>
      <w:pPr>
        <w:spacing w:after="0"/>
        <w:rPr>
          <w:sz w:val="20"/>
          <w:szCs w:val="20"/>
          <w:color w:val="auto"/>
        </w:rPr>
      </w:pPr>
      <w:r>
        <w:rPr>
          <w:rFonts w:ascii="Arial" w:cs="Arial" w:eastAsia="Arial" w:hAnsi="Arial"/>
          <w:sz w:val="22"/>
          <w:szCs w:val="22"/>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jc w:val="right"/>
              <w:ind w:right="6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April 30, 2011</w:t>
            </w:r>
          </w:p>
        </w:tc>
        <w:tc>
          <w:tcPr>
            <w:tcW w:w="104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color w:val="auto"/>
                <w:w w:val="93"/>
              </w:rPr>
              <w:t>May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58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790,780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668,240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256,566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233,725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534,214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434,515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130,460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105,268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97,660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235,728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220,440</w:t>
            </w:r>
          </w:p>
        </w:tc>
        <w:tc>
          <w:tcPr>
            <w:tcW w:w="0" w:type="dxa"/>
            <w:vAlign w:val="bottom"/>
          </w:tcPr>
          <w:p>
            <w:pPr>
              <w:spacing w:after="0"/>
              <w:rPr>
                <w:sz w:val="1"/>
                <w:szCs w:val="1"/>
                <w:color w:val="auto"/>
              </w:rPr>
            </w:pPr>
          </w:p>
        </w:tc>
      </w:tr>
      <w:tr>
        <w:trPr>
          <w:trHeight w:val="432"/>
        </w:trPr>
        <w:tc>
          <w:tcPr>
            <w:tcW w:w="666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298,486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00"/>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4,078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00"/>
              <w:spacing w:after="0"/>
              <w:rPr>
                <w:sz w:val="20"/>
                <w:szCs w:val="20"/>
                <w:color w:val="auto"/>
              </w:rPr>
            </w:pPr>
            <w:r>
              <w:rPr>
                <w:rFonts w:ascii="Arial" w:cs="Arial" w:eastAsia="Arial" w:hAnsi="Arial"/>
                <w:sz w:val="18"/>
                <w:szCs w:val="18"/>
                <w:color w:val="auto"/>
              </w:rPr>
              <w:t>Other, net</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66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296,756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214,020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54,930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46,880</w:t>
            </w: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6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58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241,826</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167,140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299,923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297,825</w:t>
            </w:r>
          </w:p>
        </w:tc>
        <w:tc>
          <w:tcPr>
            <w:tcW w:w="0" w:type="dxa"/>
            <w:vAlign w:val="bottom"/>
          </w:tcPr>
          <w:p>
            <w:pPr>
              <w:spacing w:after="0"/>
              <w:rPr>
                <w:sz w:val="1"/>
                <w:szCs w:val="1"/>
                <w:color w:val="auto"/>
              </w:rPr>
            </w:pPr>
          </w:p>
        </w:tc>
      </w:tr>
      <w:tr>
        <w:trPr>
          <w:trHeight w:val="20"/>
        </w:trPr>
        <w:tc>
          <w:tcPr>
            <w:tcW w:w="6660" w:type="dxa"/>
            <w:vAlign w:val="bottom"/>
            <w:gridSpan w:val="3"/>
            <w:vMerge w:val="restart"/>
          </w:tcPr>
          <w:p>
            <w:pPr>
              <w:spacing w:after="0"/>
              <w:rPr>
                <w:sz w:val="20"/>
                <w:szCs w:val="20"/>
                <w:color w:val="auto"/>
              </w:rPr>
            </w:pPr>
            <w:r>
              <w:rPr>
                <w:rFonts w:ascii="Arial" w:cs="Arial" w:eastAsia="Arial" w:hAnsi="Arial"/>
                <w:sz w:val="18"/>
                <w:szCs w:val="18"/>
                <w:color w:val="auto"/>
              </w:rPr>
              <w:t>Shares used to compute earnings per share — diluted</w:t>
            </w: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gridSpan w:val="3"/>
            <w:vMerge w:val="continue"/>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309,619</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305,836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58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60" w:type="dxa"/>
            <w:vAlign w:val="bottom"/>
            <w:gridSpan w:val="3"/>
          </w:tcPr>
          <w:p>
            <w:pPr>
              <w:spacing w:after="0"/>
              <w:rPr>
                <w:sz w:val="20"/>
                <w:szCs w:val="20"/>
                <w:color w:val="auto"/>
              </w:rPr>
            </w:pPr>
            <w:r>
              <w:rPr>
                <w:rFonts w:ascii="Arial" w:cs="Arial" w:eastAsia="Arial" w:hAnsi="Arial"/>
                <w:sz w:val="18"/>
                <w:szCs w:val="18"/>
                <w:color w:val="auto"/>
              </w:rPr>
              <w:t>Diluted earnings per share</w:t>
            </w:r>
          </w:p>
        </w:tc>
        <w:tc>
          <w:tcPr>
            <w:tcW w:w="258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0.78</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2580" w:type="dxa"/>
            <w:vAlign w:val="bottom"/>
            <w:gridSpan w:val="2"/>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60" w:type="dxa"/>
            <w:vAlign w:val="bottom"/>
            <w:gridSpan w:val="3"/>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2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640" w:type="dxa"/>
            <w:vAlign w:val="bottom"/>
            <w:gridSpan w:val="2"/>
          </w:tcPr>
          <w:p>
            <w:pPr>
              <w:ind w:left="400"/>
              <w:spacing w:after="0"/>
              <w:rPr>
                <w:sz w:val="20"/>
                <w:szCs w:val="20"/>
                <w:color w:val="auto"/>
              </w:rPr>
            </w:pPr>
            <w:r>
              <w:rPr>
                <w:rFonts w:ascii="Arial" w:cs="Arial" w:eastAsia="Arial" w:hAnsi="Arial"/>
                <w:sz w:val="18"/>
                <w:szCs w:val="18"/>
                <w:color w:val="auto"/>
              </w:rPr>
              <w:t>Cost of sales</w:t>
            </w:r>
          </w:p>
        </w:tc>
        <w:tc>
          <w:tcPr>
            <w:tcW w:w="258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1,900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00"/>
              <w:spacing w:after="0"/>
              <w:rPr>
                <w:sz w:val="20"/>
                <w:szCs w:val="20"/>
                <w:color w:val="auto"/>
              </w:rPr>
            </w:pPr>
            <w:r>
              <w:rPr>
                <w:rFonts w:ascii="Arial" w:cs="Arial" w:eastAsia="Arial" w:hAnsi="Arial"/>
                <w:sz w:val="18"/>
                <w:szCs w:val="18"/>
                <w:color w:val="auto"/>
              </w:rPr>
              <w:t>Research and development</w:t>
            </w:r>
          </w:p>
        </w:tc>
        <w:tc>
          <w:tcPr>
            <w:tcW w:w="258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5,794</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w:t>
            </w:r>
          </w:p>
        </w:tc>
        <w:tc>
          <w:tcPr>
            <w:tcW w:w="258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5,199</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5,427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right"/>
              <w:ind w:right="7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7"/>
              </w:rPr>
              <w:t>April 30, 2011</w:t>
            </w:r>
          </w:p>
        </w:tc>
        <w:tc>
          <w:tcPr>
            <w:tcW w:w="6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8"/>
              </w:rPr>
              <w:t>May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1,519,284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1,271,223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Cost of sales (1)</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502,897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1,016,387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253,205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12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205,290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Special charge</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458,495</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557,892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(4,482)</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555,576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362,287</w:t>
            </w:r>
          </w:p>
        </w:tc>
        <w:tc>
          <w:tcPr>
            <w:tcW w:w="0" w:type="dxa"/>
            <w:vAlign w:val="bottom"/>
          </w:tcPr>
          <w:p>
            <w:pPr>
              <w:spacing w:after="0"/>
              <w:rPr>
                <w:sz w:val="1"/>
                <w:szCs w:val="1"/>
                <w:color w:val="auto"/>
              </w:rPr>
            </w:pPr>
          </w:p>
        </w:tc>
      </w:tr>
      <w:tr>
        <w:trPr>
          <w:trHeight w:val="432"/>
        </w:trPr>
        <w:tc>
          <w:tcPr>
            <w:tcW w:w="894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98,144</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75,547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457,432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40" w:type="dxa"/>
            <w:vAlign w:val="bottom"/>
            <w:gridSpan w:val="3"/>
          </w:tcPr>
          <w:p>
            <w:pPr>
              <w:spacing w:after="0"/>
              <w:rPr>
                <w:sz w:val="20"/>
                <w:szCs w:val="20"/>
                <w:color w:val="auto"/>
              </w:rPr>
            </w:pPr>
            <w:r>
              <w:rPr>
                <w:rFonts w:ascii="Arial" w:cs="Arial" w:eastAsia="Arial" w:hAnsi="Arial"/>
                <w:sz w:val="18"/>
                <w:szCs w:val="18"/>
                <w:color w:val="auto"/>
              </w:rPr>
              <w:t>Gain on sale of discontinued operations, net of tax</w:t>
            </w: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0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463,932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40" w:type="dxa"/>
            <w:vAlign w:val="bottom"/>
            <w:gridSpan w:val="3"/>
          </w:tcPr>
          <w:p>
            <w:pPr>
              <w:spacing w:after="0"/>
              <w:rPr>
                <w:sz w:val="20"/>
                <w:szCs w:val="20"/>
                <w:color w:val="auto"/>
              </w:rPr>
            </w:pPr>
            <w:r>
              <w:rPr>
                <w:rFonts w:ascii="Arial" w:cs="Arial" w:eastAsia="Arial" w:hAnsi="Arial"/>
                <w:sz w:val="18"/>
                <w:szCs w:val="18"/>
                <w:color w:val="auto"/>
              </w:rPr>
              <w:t>Shares used to compute earnings per share — basic</w:t>
            </w:r>
          </w:p>
        </w:tc>
        <w:tc>
          <w:tcPr>
            <w:tcW w:w="120" w:type="dxa"/>
            <w:vAlign w:val="bottom"/>
          </w:tcPr>
          <w:p>
            <w:pPr>
              <w:spacing w:after="0"/>
              <w:rPr>
                <w:sz w:val="24"/>
                <w:szCs w:val="2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299,570</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296,718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to compute earnings per share — diluted</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309,234</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40" w:type="dxa"/>
            <w:vAlign w:val="bottom"/>
            <w:gridSpan w:val="3"/>
          </w:tcPr>
          <w:p>
            <w:pPr>
              <w:spacing w:after="0"/>
              <w:rPr>
                <w:sz w:val="20"/>
                <w:szCs w:val="20"/>
                <w:color w:val="auto"/>
              </w:rPr>
            </w:pPr>
            <w:r>
              <w:rPr>
                <w:rFonts w:ascii="Arial" w:cs="Arial" w:eastAsia="Arial" w:hAnsi="Arial"/>
                <w:sz w:val="18"/>
                <w:szCs w:val="18"/>
                <w:color w:val="auto"/>
              </w:rPr>
              <w:t>Basic earnings per share from continuing 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40" w:type="dxa"/>
            <w:vAlign w:val="bottom"/>
            <w:gridSpan w:val="3"/>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40" w:type="dxa"/>
            <w:vAlign w:val="bottom"/>
            <w:gridSpan w:val="3"/>
          </w:tcPr>
          <w:p>
            <w:pPr>
              <w:spacing w:after="0"/>
              <w:rPr>
                <w:sz w:val="20"/>
                <w:szCs w:val="20"/>
                <w:color w:val="auto"/>
              </w:rPr>
            </w:pPr>
            <w:r>
              <w:rPr>
                <w:rFonts w:ascii="Arial" w:cs="Arial" w:eastAsia="Arial" w:hAnsi="Arial"/>
                <w:sz w:val="18"/>
                <w:szCs w:val="18"/>
                <w:color w:val="auto"/>
              </w:rPr>
              <w:t>Dividends declared and paid per share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0.44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20" w:type="dxa"/>
            <w:vAlign w:val="bottom"/>
            <w:gridSpan w:val="2"/>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940" w:type="dxa"/>
            <w:vAlign w:val="bottom"/>
            <w:gridSpan w:val="3"/>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920" w:type="dxa"/>
            <w:vAlign w:val="bottom"/>
            <w:gridSpan w:val="2"/>
          </w:tcPr>
          <w:p>
            <w:pPr>
              <w:ind w:left="40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3,648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0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11,379</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gridSpan w:val="2"/>
          </w:tcPr>
          <w:p>
            <w:pPr>
              <w:ind w:left="400"/>
              <w:spacing w:after="0"/>
              <w:rPr>
                <w:sz w:val="20"/>
                <w:szCs w:val="20"/>
                <w:color w:val="auto"/>
              </w:rPr>
            </w:pPr>
            <w:r>
              <w:rPr>
                <w:rFonts w:ascii="Arial" w:cs="Arial" w:eastAsia="Arial" w:hAnsi="Arial"/>
                <w:sz w:val="18"/>
                <w:szCs w:val="18"/>
                <w:color w:val="auto"/>
              </w:rPr>
              <w:t>Selling, marketing, general and administrative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10,469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10,232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4"/>
                <w:szCs w:val="14"/>
                <w:color w:val="auto"/>
                <w:w w:val="97"/>
              </w:rPr>
              <w:t>April 30, 2011</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30, 2010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jc w:val="right"/>
              <w:spacing w:after="0"/>
              <w:rPr>
                <w:sz w:val="20"/>
                <w:szCs w:val="20"/>
                <w:color w:val="auto"/>
              </w:rPr>
            </w:pPr>
            <w:r>
              <w:rPr>
                <w:rFonts w:ascii="Arial" w:cs="Arial" w:eastAsia="Arial" w:hAnsi="Arial"/>
                <w:sz w:val="18"/>
                <w:szCs w:val="18"/>
                <w:color w:val="auto"/>
                <w:w w:val="88"/>
              </w:rPr>
              <w:t>$ 1,894,761</w:t>
            </w:r>
          </w:p>
        </w:tc>
        <w:tc>
          <w:tcPr>
            <w:tcW w:w="6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1,536,604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1,617,768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414,579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387,169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Inventory (1):</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Raw materials</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27,241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 in process</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170,257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Finished goods</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96,282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84,080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293,780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tax assets</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78,882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13,171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60,961</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4,292,738</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3,478,999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Property, plant and equipment, at cost:</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 and buildings</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410,298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Machinery and equipment</w:t>
            </w:r>
          </w:p>
        </w:tc>
        <w:tc>
          <w:tcPr>
            <w:tcW w:w="860" w:type="dxa"/>
            <w:vAlign w:val="bottom"/>
          </w:tcPr>
          <w:p>
            <w:pPr>
              <w:jc w:val="right"/>
              <w:spacing w:after="0"/>
              <w:rPr>
                <w:sz w:val="20"/>
                <w:szCs w:val="20"/>
                <w:color w:val="auto"/>
              </w:rPr>
            </w:pPr>
            <w:r>
              <w:rPr>
                <w:rFonts w:ascii="Arial" w:cs="Arial" w:eastAsia="Arial" w:hAnsi="Arial"/>
                <w:sz w:val="18"/>
                <w:szCs w:val="18"/>
                <w:color w:val="auto"/>
              </w:rPr>
              <w:t>1,588,365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1,578,493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Office equipment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53,191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Leasehold improvements</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48,616</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2,100,470</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2,101,545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1,626,808</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1,628,880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property, plant and equipment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473,662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472,665</w:t>
            </w: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Deferred compensation plan investments</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25,914</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3,561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Goodwill</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260,639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tax assets</w:t>
            </w: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46,926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56,315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 other assets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393,999</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377,167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$ 5,160,399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4,328,831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$2,432 and $2,534 related to stock-based compensation at April 30, 2011 and October 30, 2010,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color w:val="auto"/>
              </w:rPr>
              <w:t>April 30, 2011</w:t>
            </w:r>
          </w:p>
        </w:tc>
        <w:tc>
          <w:tcPr>
            <w:tcW w:w="1100" w:type="dxa"/>
            <w:vAlign w:val="bottom"/>
            <w:gridSpan w:val="3"/>
          </w:tcPr>
          <w:p>
            <w:pPr>
              <w:spacing w:after="0"/>
              <w:rPr>
                <w:sz w:val="20"/>
                <w:szCs w:val="20"/>
                <w:color w:val="auto"/>
              </w:rPr>
            </w:pPr>
            <w:r>
              <w:rPr>
                <w:rFonts w:ascii="Arial" w:cs="Arial" w:eastAsia="Arial" w:hAnsi="Arial"/>
                <w:sz w:val="14"/>
                <w:szCs w:val="14"/>
                <w:color w:val="auto"/>
                <w:w w:val="99"/>
              </w:rPr>
              <w:t>October 30, 2010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121,451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 net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269,530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1,999</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14,500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180,678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207,087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588,158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643,467</w:t>
            </w:r>
          </w:p>
        </w:tc>
        <w:tc>
          <w:tcPr>
            <w:tcW w:w="0" w:type="dxa"/>
            <w:vAlign w:val="bottom"/>
          </w:tcPr>
          <w:p>
            <w:pPr>
              <w:spacing w:after="0"/>
              <w:rPr>
                <w:sz w:val="1"/>
                <w:szCs w:val="1"/>
                <w:color w:val="auto"/>
              </w:rPr>
            </w:pPr>
          </w:p>
        </w:tc>
      </w:tr>
      <w:tr>
        <w:trPr>
          <w:trHeight w:val="20"/>
        </w:trPr>
        <w:tc>
          <w:tcPr>
            <w:tcW w:w="880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892,432</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400,635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25,930</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70,350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990,243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tcPr>
          <w:p>
            <w:pPr>
              <w:spacing w:after="0" w:line="201" w:lineRule="exact"/>
              <w:rPr>
                <w:sz w:val="20"/>
                <w:szCs w:val="20"/>
                <w:color w:val="auto"/>
              </w:rPr>
            </w:pPr>
            <w:r>
              <w:rPr>
                <w:rFonts w:ascii="Arial" w:cs="Arial" w:eastAsia="Arial" w:hAnsi="Arial"/>
                <w:sz w:val="18"/>
                <w:szCs w:val="18"/>
                <w:color w:val="auto"/>
                <w:w w:val="95"/>
              </w:rPr>
              <w:t>Common stock, $0.16 2/3 par value, 1,200,000,000 shares authorized, 299,633,520 shares issued and outstanding</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(298,652,994 on October 30, 2010)</w:t>
            </w:r>
          </w:p>
        </w:tc>
        <w:tc>
          <w:tcPr>
            <w:tcW w:w="12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49,940</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330,078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3,228,689</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2,896,566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(26,709)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3,581,998</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3,199,717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5,160,399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4,328,831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60" w:type="dxa"/>
            <w:vAlign w:val="bottom"/>
            <w:tcBorders>
              <w:top w:val="single" w:sz="8" w:color="auto"/>
            </w:tcBorders>
            <w:gridSpan w:val="3"/>
          </w:tcPr>
          <w:p>
            <w:pPr>
              <w:jc w:val="right"/>
              <w:ind w:right="680"/>
              <w:spacing w:after="0" w:line="142" w:lineRule="exact"/>
              <w:rPr>
                <w:sz w:val="20"/>
                <w:szCs w:val="20"/>
                <w:color w:val="auto"/>
              </w:rPr>
            </w:pPr>
            <w:r>
              <w:rPr>
                <w:rFonts w:ascii="Arial" w:cs="Arial" w:eastAsia="Arial" w:hAnsi="Arial"/>
                <w:sz w:val="14"/>
                <w:szCs w:val="14"/>
                <w:color w:val="auto"/>
                <w:w w:val="99"/>
              </w:rPr>
              <w:t>April 30, 2011</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May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463,932</w:t>
            </w:r>
          </w:p>
        </w:tc>
        <w:tc>
          <w:tcPr>
            <w:tcW w:w="6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58,959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25,496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business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Excess tax benefit-stock options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(36,014)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(11,639)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Non-cash portion of special charge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activity</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(82,277)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126,256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adjustments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(50,543)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413,389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(1,658,766)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(1,673,243)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1,480,687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1,386,041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Sales of short-term available-for-sale investments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259,385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related to sale of businesses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(59,688)</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other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Net cash provided by (used for) investing activities</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Proceeds from long-term debt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515,507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 loan repayments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Dividend payments to shareholders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(131,809)</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(118,426)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(181,157)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148,079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169,153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other financing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Excess tax benefit-stock options</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36,014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385,784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50,852</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824,761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1,070,000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1,894,761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1,008,372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APRIL 30,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220" w:firstLine="225"/>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October 30, 2010 and related notes. The results of operations for the interim periods shown in this report are not necessarily indicative of the results that may be expected for the fiscal year ending October 29, 2011 or any future period.</w:t>
      </w:r>
    </w:p>
    <w:p>
      <w:pPr>
        <w:spacing w:after="0" w:line="63"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The Company sold its baseband chipset business and related support operations (Baseband Chipset Business) to MediaTek Inc. and sold its CPU voltage regulation and PC thermal monitoring business to certain subsidiaries of ON Semiconductor Corporation during the first quarter of fiscal 2008. The Company has reflected the financial results of these businesses as discontinued operations in the consolidated statements of income for all periods presented.</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Certain amounts reported in previous years have been reclassified to conform to the fiscal 2011 presentation. Such reclassified amounts were immaterial.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52-53 week fiscal year that ends on the Saturday closest to the last day in October. Fiscal 2011 and fiscal 2010 are 52-week fiscal years.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7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Therefore,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70"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Distributors are granted price-adjustment credits related to many of their sales to their customers. Price-adjustment credits are granted when the distributor’s standard cost (i.e., the Company’s sales price to the distributor) does not provide the distributor with an appropriate margin on its sales to its customers. As distributors negotiate selling prices with their customers, the final sales price agreed to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85" w:lineRule="exact"/>
        <w:rPr>
          <w:sz w:val="20"/>
          <w:szCs w:val="20"/>
          <w:color w:val="auto"/>
        </w:rPr>
      </w:pPr>
    </w:p>
    <w:p>
      <w:pPr>
        <w:jc w:val="both"/>
        <w:ind w:right="440" w:firstLine="225"/>
        <w:spacing w:after="0" w:line="312" w:lineRule="auto"/>
        <w:rPr>
          <w:sz w:val="20"/>
          <w:szCs w:val="20"/>
          <w:color w:val="auto"/>
        </w:rPr>
      </w:pPr>
      <w:r>
        <w:rPr>
          <w:rFonts w:ascii="Arial" w:cs="Arial" w:eastAsia="Arial" w:hAnsi="Arial"/>
          <w:sz w:val="16"/>
          <w:szCs w:val="16"/>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such product in the distributor’s inventory at the time of the price decrease.</w:t>
      </w:r>
    </w:p>
    <w:p>
      <w:pPr>
        <w:spacing w:after="0" w:line="39"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73"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goods shipped, the margin (sales less cost of sales) is recorded as “deferred income on shipments to distributors, net” and an account receivable is recorded.</w:t>
      </w:r>
    </w:p>
    <w:p>
      <w:pPr>
        <w:spacing w:after="0" w:line="140" w:lineRule="exact"/>
        <w:rPr>
          <w:sz w:val="20"/>
          <w:szCs w:val="20"/>
          <w:color w:val="auto"/>
        </w:rPr>
      </w:pPr>
    </w:p>
    <w:p>
      <w:pPr>
        <w:jc w:val="both"/>
        <w:ind w:right="40" w:firstLine="222"/>
        <w:spacing w:after="0" w:line="257"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continuous contact with the distributors to ensure reserves are established for all known material issues.</w:t>
      </w:r>
    </w:p>
    <w:p>
      <w:pPr>
        <w:spacing w:after="0" w:line="80"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 of April 30, 2011 and October 30, 2010, the Company had gross deferred revenue of $357.1 million and $327.2 million, respectively, and gross deferred cost of sales of $87.6 million and $84.4 million, respectively. Deferred income on shipments to distributors increased by approximately $26.7 million in the first six months of fiscal 2011 primarily as a result of the Company’s shipments to its distributors in the first six months of fiscal 2011 exceeding the distributors’ sales to their customers during this same time period.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Shipping costs are charged to cost of sales as incurred.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generally offers a 12-month warranty for its products. The Company’s warranty policy provides for replacement of the defective product.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Specific accruals are recorded for known product warranty issues. Product warranty expenses during either of the three- and six-month periods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April 30, 2011 and May 1, 2010 were not material.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i w:val="1"/>
          <w:iCs w:val="1"/>
          <w:color w:val="auto"/>
        </w:rPr>
        <w:t xml:space="preserve">Grant-Date Fair Value </w:t>
      </w:r>
      <w:r>
        <w:rPr>
          <w:rFonts w:ascii="Arial" w:cs="Arial" w:eastAsia="Arial" w:hAnsi="Arial"/>
          <w:sz w:val="18"/>
          <w:szCs w:val="18"/>
          <w:color w:val="auto"/>
        </w:rPr>
        <w:t>— The Company uses the Black-Scholes option pricing model to calculate the grant-date fair value of stock option awards.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grant-date fair value of restricted stock units represents the fair value of the Company’s common stock on the date of grant, reduced by the present value of dividends expected to be paid on the Company’s common stock prior to vesting. Information pertaining to the Company’s stock option awards and the related estimated weighted-average assumptions used to calculate the fair value of stock options granted during the three- and six-month periods ended April 30, 2011 and May 1, 2010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3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gridSpan w:val="2"/>
            <w:vMerge w:val="continue"/>
          </w:tcPr>
          <w:p>
            <w:pPr>
              <w:spacing w:after="0"/>
              <w:rPr>
                <w:sz w:val="12"/>
                <w:szCs w:val="12"/>
                <w:color w:val="auto"/>
              </w:rPr>
            </w:pPr>
          </w:p>
        </w:tc>
        <w:tc>
          <w:tcPr>
            <w:tcW w:w="1380" w:type="dxa"/>
            <w:vAlign w:val="bottom"/>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April 30, 2011</w:t>
            </w:r>
          </w:p>
        </w:tc>
        <w:tc>
          <w:tcPr>
            <w:tcW w:w="132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May 1, 2010</w:t>
            </w:r>
          </w:p>
        </w:tc>
        <w:tc>
          <w:tcPr>
            <w:tcW w:w="480" w:type="dxa"/>
            <w:vAlign w:val="bottom"/>
          </w:tcPr>
          <w:p>
            <w:pPr>
              <w:spacing w:after="0"/>
              <w:rPr>
                <w:sz w:val="12"/>
                <w:szCs w:val="12"/>
                <w:color w:val="auto"/>
              </w:rPr>
            </w:pPr>
          </w:p>
        </w:tc>
        <w:tc>
          <w:tcPr>
            <w:tcW w:w="1400" w:type="dxa"/>
            <w:vAlign w:val="bottom"/>
            <w:gridSpan w:val="2"/>
          </w:tcPr>
          <w:p>
            <w:pPr>
              <w:jc w:val="right"/>
              <w:ind w:right="312"/>
              <w:spacing w:after="0" w:line="142" w:lineRule="exact"/>
              <w:rPr>
                <w:sz w:val="20"/>
                <w:szCs w:val="20"/>
                <w:color w:val="auto"/>
              </w:rPr>
            </w:pPr>
            <w:r>
              <w:rPr>
                <w:rFonts w:ascii="Arial" w:cs="Arial" w:eastAsia="Arial" w:hAnsi="Arial"/>
                <w:sz w:val="14"/>
                <w:szCs w:val="14"/>
                <w:b w:val="1"/>
                <w:bCs w:val="1"/>
                <w:color w:val="auto"/>
              </w:rPr>
              <w:t>April 30, 2011</w:t>
            </w:r>
          </w:p>
        </w:tc>
        <w:tc>
          <w:tcPr>
            <w:tcW w:w="130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May 1,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87</w:t>
            </w:r>
          </w:p>
        </w:tc>
        <w:tc>
          <w:tcPr>
            <w:tcW w:w="5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26</w:t>
            </w:r>
          </w:p>
        </w:tc>
        <w:tc>
          <w:tcPr>
            <w:tcW w:w="4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84"/>
              </w:rPr>
              <w:t>1,960</w:t>
            </w:r>
          </w:p>
        </w:tc>
        <w:tc>
          <w:tcPr>
            <w:tcW w:w="5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84"/>
              </w:rPr>
              <w:t>1,838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Weighted-average exercise price per share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2"/>
              <w:spacing w:after="0"/>
              <w:rPr>
                <w:sz w:val="20"/>
                <w:szCs w:val="20"/>
                <w:color w:val="auto"/>
              </w:rPr>
            </w:pPr>
            <w:r>
              <w:rPr>
                <w:rFonts w:ascii="Arial" w:cs="Arial" w:eastAsia="Arial" w:hAnsi="Arial"/>
                <w:sz w:val="18"/>
                <w:szCs w:val="18"/>
                <w:color w:val="auto"/>
                <w:w w:val="84"/>
              </w:rPr>
              <w:t>39.27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29.73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52"/>
              <w:spacing w:after="0"/>
              <w:rPr>
                <w:sz w:val="20"/>
                <w:szCs w:val="20"/>
                <w:color w:val="auto"/>
              </w:rPr>
            </w:pPr>
            <w:r>
              <w:rPr>
                <w:rFonts w:ascii="Arial" w:cs="Arial" w:eastAsia="Arial" w:hAnsi="Arial"/>
                <w:sz w:val="18"/>
                <w:szCs w:val="18"/>
                <w:color w:val="auto"/>
                <w:w w:val="84"/>
              </w:rPr>
              <w:t>37.60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84"/>
              </w:rPr>
              <w:t>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 per share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8.39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6.62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8.63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Assumptions: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26.8%</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29.1%</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29.3%</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Weighted-average expected term (in years)</w:t>
            </w:r>
          </w:p>
        </w:tc>
        <w:tc>
          <w:tcPr>
            <w:tcW w:w="36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Arial" w:cs="Arial" w:eastAsia="Arial" w:hAnsi="Arial"/>
                <w:sz w:val="18"/>
                <w:szCs w:val="18"/>
                <w:color w:val="auto"/>
              </w:rPr>
              <w:t>5.3</w:t>
            </w:r>
          </w:p>
        </w:tc>
        <w:tc>
          <w:tcPr>
            <w:tcW w:w="58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5.3</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552"/>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risk-free interest rate</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2.2%</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2.1%</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Weighted-average expected dividend yield</w:t>
            </w:r>
          </w:p>
        </w:tc>
        <w:tc>
          <w:tcPr>
            <w:tcW w:w="36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2" w:lineRule="exact"/>
        <w:rPr>
          <w:sz w:val="20"/>
          <w:szCs w:val="20"/>
          <w:color w:val="auto"/>
        </w:rPr>
      </w:pPr>
    </w:p>
    <w:p>
      <w:pPr>
        <w:ind w:right="80" w:firstLine="8"/>
        <w:spacing w:after="0" w:line="277"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remaining maturities of the traded options used to estimate volatility are at least one year.</w:t>
      </w:r>
    </w:p>
    <w:p>
      <w:pPr>
        <w:spacing w:after="0" w:line="65"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73"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risk-free interest rate.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200" w:firstLine="222"/>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April 30, 2011. The rate of 4.3%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Stock-Based Compensation Activity</w:t>
      </w:r>
    </w:p>
    <w:p>
      <w:pPr>
        <w:spacing w:after="0" w:line="117" w:lineRule="exact"/>
        <w:rPr>
          <w:sz w:val="20"/>
          <w:szCs w:val="20"/>
          <w:color w:val="auto"/>
        </w:rPr>
      </w:pPr>
    </w:p>
    <w:p>
      <w:pPr>
        <w:ind w:right="60" w:firstLine="215"/>
        <w:spacing w:after="0" w:line="277" w:lineRule="auto"/>
        <w:rPr>
          <w:sz w:val="20"/>
          <w:szCs w:val="20"/>
          <w:color w:val="auto"/>
        </w:rPr>
      </w:pPr>
      <w:r>
        <w:rPr>
          <w:rFonts w:ascii="Arial" w:cs="Arial" w:eastAsia="Arial" w:hAnsi="Arial"/>
          <w:sz w:val="18"/>
          <w:szCs w:val="18"/>
          <w:color w:val="auto"/>
        </w:rPr>
        <w:t>A summary of the activity under the Company’s stock option plans as of April 30, 2011 and changes during the three- and six-month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0"/>
              </w:rPr>
              <w:t>Options</w:t>
            </w: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vMerge w:val="restart"/>
          </w:tcPr>
          <w:p>
            <w:pPr>
              <w:jc w:val="center"/>
              <w:ind w:left="7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April 30, 2011</w:t>
            </w:r>
          </w:p>
        </w:tc>
        <w:tc>
          <w:tcPr>
            <w:tcW w:w="2020" w:type="dxa"/>
            <w:vAlign w:val="bottom"/>
            <w:gridSpan w:val="4"/>
          </w:tcPr>
          <w:p>
            <w:pPr>
              <w:jc w:val="center"/>
              <w:ind w:left="374"/>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80" w:type="dxa"/>
            <w:vAlign w:val="bottom"/>
          </w:tcPr>
          <w:p>
            <w:pPr>
              <w:jc w:val="center"/>
              <w:ind w:left="7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2020" w:type="dxa"/>
            <w:vAlign w:val="bottom"/>
            <w:gridSpan w:val="4"/>
          </w:tcPr>
          <w:p>
            <w:pPr>
              <w:jc w:val="center"/>
              <w:ind w:left="374"/>
              <w:spacing w:after="0"/>
              <w:rPr>
                <w:sz w:val="20"/>
                <w:szCs w:val="20"/>
                <w:color w:val="auto"/>
              </w:rPr>
            </w:pPr>
            <w:r>
              <w:rPr>
                <w:rFonts w:ascii="Arial" w:cs="Arial" w:eastAsia="Arial" w:hAnsi="Arial"/>
                <w:sz w:val="14"/>
                <w:szCs w:val="14"/>
                <w:b w:val="1"/>
                <w:bCs w:val="1"/>
                <w:color w:val="auto"/>
                <w:w w:val="91"/>
              </w:rPr>
              <w:t>(in thousands)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Price Per Share</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280" w:type="dxa"/>
            <w:vAlign w:val="bottom"/>
          </w:tcPr>
          <w:p>
            <w:pPr>
              <w:jc w:val="center"/>
              <w:ind w:left="7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January 29, 2011</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38,874</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$29.96</w:t>
            </w: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18"/>
                <w:szCs w:val="18"/>
                <w:color w:val="auto"/>
              </w:rPr>
            </w:pPr>
          </w:p>
        </w:tc>
        <w:tc>
          <w:tcPr>
            <w:tcW w:w="1660" w:type="dxa"/>
            <w:vAlign w:val="bottom"/>
          </w:tcPr>
          <w:p>
            <w:pPr>
              <w:jc w:val="right"/>
              <w:ind w:right="515"/>
              <w:spacing w:after="0"/>
              <w:rPr>
                <w:sz w:val="20"/>
                <w:szCs w:val="20"/>
                <w:color w:val="auto"/>
              </w:rPr>
            </w:pPr>
            <w:r>
              <w:rPr>
                <w:rFonts w:ascii="Arial" w:cs="Arial" w:eastAsia="Arial" w:hAnsi="Arial"/>
                <w:sz w:val="18"/>
                <w:szCs w:val="18"/>
                <w:color w:val="auto"/>
              </w:rPr>
              <w:t>$39.27</w:t>
            </w: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20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(1,723)</w:t>
            </w:r>
          </w:p>
        </w:tc>
        <w:tc>
          <w:tcPr>
            <w:tcW w:w="16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$26.82</w:t>
            </w: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2020" w:type="dxa"/>
            <w:vAlign w:val="bottom"/>
            <w:gridSpan w:val="4"/>
          </w:tcPr>
          <w:p>
            <w:pPr>
              <w:jc w:val="right"/>
              <w:ind w:right="460"/>
              <w:spacing w:after="0"/>
              <w:rPr>
                <w:sz w:val="20"/>
                <w:szCs w:val="20"/>
                <w:color w:val="auto"/>
              </w:rPr>
            </w:pPr>
            <w:r>
              <w:rPr>
                <w:rFonts w:ascii="Arial" w:cs="Arial" w:eastAsia="Arial" w:hAnsi="Arial"/>
                <w:sz w:val="18"/>
                <w:szCs w:val="18"/>
                <w:color w:val="auto"/>
              </w:rPr>
              <w:t>(200)</w:t>
            </w:r>
          </w:p>
        </w:tc>
        <w:tc>
          <w:tcPr>
            <w:tcW w:w="1660" w:type="dxa"/>
            <w:vAlign w:val="bottom"/>
          </w:tcPr>
          <w:p>
            <w:pPr>
              <w:jc w:val="right"/>
              <w:ind w:right="515"/>
              <w:spacing w:after="0"/>
              <w:rPr>
                <w:sz w:val="20"/>
                <w:szCs w:val="20"/>
                <w:color w:val="auto"/>
              </w:rPr>
            </w:pPr>
            <w:r>
              <w:rPr>
                <w:rFonts w:ascii="Arial" w:cs="Arial" w:eastAsia="Arial" w:hAnsi="Arial"/>
                <w:sz w:val="18"/>
                <w:szCs w:val="18"/>
                <w:color w:val="auto"/>
              </w:rPr>
              <w:t>$27.68</w:t>
            </w: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202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6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$39.92</w:t>
            </w:r>
          </w:p>
        </w:tc>
        <w:tc>
          <w:tcPr>
            <w:tcW w:w="1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April 30, 2011</w:t>
            </w:r>
          </w:p>
        </w:tc>
        <w:tc>
          <w:tcPr>
            <w:tcW w:w="10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37,023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jc w:val="right"/>
              <w:ind w:right="515"/>
              <w:spacing w:after="0"/>
              <w:rPr>
                <w:sz w:val="20"/>
                <w:szCs w:val="20"/>
                <w:color w:val="auto"/>
              </w:rPr>
            </w:pPr>
            <w:r>
              <w:rPr>
                <w:rFonts w:ascii="Arial" w:cs="Arial" w:eastAsia="Arial" w:hAnsi="Arial"/>
                <w:sz w:val="18"/>
                <w:szCs w:val="18"/>
                <w:color w:val="auto"/>
              </w:rPr>
              <w:t>$30.13</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80" w:type="dxa"/>
            <w:vAlign w:val="bottom"/>
          </w:tcPr>
          <w:p>
            <w:pPr>
              <w:jc w:val="right"/>
              <w:ind w:right="179"/>
              <w:spacing w:after="0"/>
              <w:rPr>
                <w:sz w:val="20"/>
                <w:szCs w:val="20"/>
                <w:color w:val="auto"/>
              </w:rPr>
            </w:pPr>
            <w:r>
              <w:rPr>
                <w:rFonts w:ascii="Arial" w:cs="Arial" w:eastAsia="Arial" w:hAnsi="Arial"/>
                <w:sz w:val="18"/>
                <w:szCs w:val="18"/>
                <w:color w:val="auto"/>
              </w:rPr>
              <w:t>$386,811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April 30, 2011</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20,447</w:t>
            </w:r>
          </w:p>
        </w:tc>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$31.69</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3.8</w:t>
            </w:r>
          </w:p>
        </w:tc>
        <w:tc>
          <w:tcPr>
            <w:tcW w:w="12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$186,302</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April 30, 2011 (1)</w:t>
            </w:r>
          </w:p>
        </w:tc>
        <w:tc>
          <w:tcPr>
            <w:tcW w:w="1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vMerge w:val="restart"/>
          </w:tcPr>
          <w:p>
            <w:pPr>
              <w:jc w:val="right"/>
              <w:ind w:right="515"/>
              <w:spacing w:after="0"/>
              <w:rPr>
                <w:sz w:val="20"/>
                <w:szCs w:val="20"/>
                <w:color w:val="auto"/>
              </w:rPr>
            </w:pPr>
            <w:r>
              <w:rPr>
                <w:rFonts w:ascii="Arial" w:cs="Arial" w:eastAsia="Arial" w:hAnsi="Arial"/>
                <w:sz w:val="18"/>
                <w:szCs w:val="18"/>
                <w:color w:val="auto"/>
              </w:rPr>
              <w:t>$30.17</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87"/>
              </w:rPr>
              <w:t>4.7</w:t>
            </w:r>
          </w:p>
        </w:tc>
        <w:tc>
          <w:tcPr>
            <w:tcW w:w="1280" w:type="dxa"/>
            <w:vAlign w:val="bottom"/>
            <w:vMerge w:val="restart"/>
          </w:tcPr>
          <w:p>
            <w:pPr>
              <w:jc w:val="right"/>
              <w:ind w:right="179"/>
              <w:spacing w:after="0"/>
              <w:rPr>
                <w:sz w:val="20"/>
                <w:szCs w:val="20"/>
                <w:color w:val="auto"/>
              </w:rPr>
            </w:pPr>
            <w:r>
              <w:rPr>
                <w:rFonts w:ascii="Arial" w:cs="Arial" w:eastAsia="Arial" w:hAnsi="Arial"/>
                <w:sz w:val="18"/>
                <w:szCs w:val="18"/>
                <w:color w:val="auto"/>
              </w:rPr>
              <w:t>$376,153</w:t>
            </w:r>
          </w:p>
        </w:tc>
        <w:tc>
          <w:tcPr>
            <w:tcW w:w="0" w:type="dxa"/>
            <w:vAlign w:val="bottom"/>
          </w:tcPr>
          <w:p>
            <w:pPr>
              <w:spacing w:after="0" w:line="20" w:lineRule="exact"/>
              <w:rPr>
                <w:sz w:val="1"/>
                <w:szCs w:val="1"/>
                <w:color w:val="auto"/>
              </w:rPr>
            </w:pPr>
          </w:p>
        </w:tc>
      </w:tr>
      <w:tr>
        <w:trPr>
          <w:trHeight w:val="210"/>
        </w:trPr>
        <w:tc>
          <w:tcPr>
            <w:tcW w:w="500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36,099</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Options</w:t>
            </w:r>
          </w:p>
        </w:tc>
        <w:tc>
          <w:tcPr>
            <w:tcW w:w="1520" w:type="dxa"/>
            <w:vAlign w:val="bottom"/>
          </w:tcPr>
          <w:p>
            <w:pPr>
              <w:jc w:val="center"/>
              <w:ind w:left="21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Six Months Ended April 30, 2011</w:t>
            </w:r>
          </w:p>
        </w:tc>
        <w:tc>
          <w:tcPr>
            <w:tcW w:w="3960" w:type="dxa"/>
            <w:vAlign w:val="bottom"/>
            <w:gridSpan w:val="4"/>
          </w:tcPr>
          <w:p>
            <w:pPr>
              <w:jc w:val="center"/>
              <w:ind w:left="2235"/>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520" w:type="dxa"/>
            <w:vAlign w:val="bottom"/>
          </w:tcPr>
          <w:p>
            <w:pPr>
              <w:jc w:val="center"/>
              <w:ind w:left="216"/>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0" w:type="dxa"/>
            <w:vAlign w:val="bottom"/>
          </w:tcPr>
          <w:p>
            <w:pPr>
              <w:spacing w:after="0"/>
              <w:rPr>
                <w:sz w:val="1"/>
                <w:szCs w:val="1"/>
                <w:color w:val="auto"/>
              </w:rPr>
            </w:pPr>
          </w:p>
        </w:tc>
      </w:tr>
      <w:tr>
        <w:trPr>
          <w:trHeight w:val="171"/>
        </w:trPr>
        <w:tc>
          <w:tcPr>
            <w:tcW w:w="5940" w:type="dxa"/>
            <w:vAlign w:val="bottom"/>
            <w:gridSpan w:val="2"/>
            <w:vMerge w:val="continue"/>
          </w:tcPr>
          <w:p>
            <w:pPr>
              <w:spacing w:after="0"/>
              <w:rPr>
                <w:sz w:val="14"/>
                <w:szCs w:val="14"/>
                <w:color w:val="auto"/>
              </w:rPr>
            </w:pPr>
          </w:p>
        </w:tc>
        <w:tc>
          <w:tcPr>
            <w:tcW w:w="3960" w:type="dxa"/>
            <w:vAlign w:val="bottom"/>
            <w:gridSpan w:val="4"/>
          </w:tcPr>
          <w:p>
            <w:pPr>
              <w:jc w:val="center"/>
              <w:ind w:left="2235"/>
              <w:spacing w:after="0"/>
              <w:rPr>
                <w:sz w:val="20"/>
                <w:szCs w:val="20"/>
                <w:color w:val="auto"/>
              </w:rPr>
            </w:pPr>
            <w:r>
              <w:rPr>
                <w:rFonts w:ascii="Arial" w:cs="Arial" w:eastAsia="Arial" w:hAnsi="Arial"/>
                <w:sz w:val="14"/>
                <w:szCs w:val="14"/>
                <w:b w:val="1"/>
                <w:bCs w:val="1"/>
                <w:color w:val="auto"/>
                <w:w w:val="91"/>
              </w:rPr>
              <w:t>(in thousands)</w:t>
            </w:r>
          </w:p>
        </w:tc>
        <w:tc>
          <w:tcPr>
            <w:tcW w:w="1520" w:type="dxa"/>
            <w:vAlign w:val="bottom"/>
          </w:tcPr>
          <w:p>
            <w:pPr>
              <w:jc w:val="center"/>
              <w:ind w:left="236"/>
              <w:spacing w:after="0"/>
              <w:rPr>
                <w:sz w:val="20"/>
                <w:szCs w:val="20"/>
                <w:color w:val="auto"/>
              </w:rPr>
            </w:pPr>
            <w:r>
              <w:rPr>
                <w:rFonts w:ascii="Arial" w:cs="Arial" w:eastAsia="Arial" w:hAnsi="Arial"/>
                <w:sz w:val="14"/>
                <w:szCs w:val="14"/>
                <w:b w:val="1"/>
                <w:bCs w:val="1"/>
                <w:color w:val="auto"/>
                <w:w w:val="92"/>
              </w:rPr>
              <w:t>Price Per Share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2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October 30, 2010</w:t>
            </w:r>
          </w:p>
        </w:tc>
        <w:tc>
          <w:tcPr>
            <w:tcW w:w="3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43,079</w:t>
            </w: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3400" w:type="dxa"/>
            <w:vAlign w:val="bottom"/>
            <w:gridSpan w:val="3"/>
          </w:tcPr>
          <w:p>
            <w:pPr>
              <w:jc w:val="right"/>
              <w:ind w:right="20"/>
              <w:spacing w:after="0"/>
              <w:rPr>
                <w:sz w:val="20"/>
                <w:szCs w:val="20"/>
                <w:color w:val="auto"/>
              </w:rPr>
            </w:pPr>
            <w:r>
              <w:rPr>
                <w:rFonts w:ascii="Arial" w:cs="Arial" w:eastAsia="Arial" w:hAnsi="Arial"/>
                <w:sz w:val="18"/>
                <w:szCs w:val="18"/>
                <w:color w:val="auto"/>
              </w:rPr>
              <w:t>1,960</w:t>
            </w:r>
          </w:p>
        </w:tc>
        <w:tc>
          <w:tcPr>
            <w:tcW w:w="560" w:type="dxa"/>
            <w:vAlign w:val="bottom"/>
          </w:tcPr>
          <w:p>
            <w:pPr>
              <w:spacing w:after="0"/>
              <w:rPr>
                <w:sz w:val="18"/>
                <w:szCs w:val="18"/>
                <w:color w:val="auto"/>
              </w:rPr>
            </w:pPr>
          </w:p>
        </w:tc>
        <w:tc>
          <w:tcPr>
            <w:tcW w:w="1520" w:type="dxa"/>
            <w:vAlign w:val="bottom"/>
          </w:tcPr>
          <w:p>
            <w:pPr>
              <w:jc w:val="right"/>
              <w:ind w:right="316"/>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39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(5,743)</w:t>
            </w:r>
          </w:p>
        </w:tc>
        <w:tc>
          <w:tcPr>
            <w:tcW w:w="15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3960" w:type="dxa"/>
            <w:vAlign w:val="bottom"/>
            <w:gridSpan w:val="4"/>
          </w:tcPr>
          <w:p>
            <w:pPr>
              <w:jc w:val="right"/>
              <w:ind w:right="520"/>
              <w:spacing w:after="0"/>
              <w:rPr>
                <w:sz w:val="20"/>
                <w:szCs w:val="20"/>
                <w:color w:val="auto"/>
              </w:rPr>
            </w:pPr>
            <w:r>
              <w:rPr>
                <w:rFonts w:ascii="Arial" w:cs="Arial" w:eastAsia="Arial" w:hAnsi="Arial"/>
                <w:sz w:val="18"/>
                <w:szCs w:val="18"/>
                <w:color w:val="auto"/>
              </w:rPr>
              <w:t>(262)</w:t>
            </w:r>
          </w:p>
        </w:tc>
        <w:tc>
          <w:tcPr>
            <w:tcW w:w="1520" w:type="dxa"/>
            <w:vAlign w:val="bottom"/>
          </w:tcPr>
          <w:p>
            <w:pPr>
              <w:jc w:val="right"/>
              <w:ind w:right="316"/>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39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(2,011)</w:t>
            </w:r>
          </w:p>
        </w:tc>
        <w:tc>
          <w:tcPr>
            <w:tcW w:w="15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April 30, 2011</w:t>
            </w:r>
          </w:p>
        </w:tc>
        <w:tc>
          <w:tcPr>
            <w:tcW w:w="28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37,023</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520" w:type="dxa"/>
            <w:vAlign w:val="bottom"/>
          </w:tcPr>
          <w:p>
            <w:pPr>
              <w:jc w:val="right"/>
              <w:ind w:right="316"/>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During the three and six months ended April 30, 2011, the total intrinsic value of options exercised (i.e. the difference between the market price at exercise and the price paid by the employee to exercise the options) was $23.0 million and $69.7 million, respectively, and the total amount of proceeds received by the Company from exercise of these options was $46.2 million and $148.2 million, respectively. Proceeds from stock option exercises pursuant to employee stock plans in the Company’s statement of cash flows during six months ended April 30, 2011 of $148.1 million are net of the value of shares surrendered by employees in certain limited circumstances to satisfy the exercise price of options, and to satisfy employee tax obligations upon vesting of restricted stock units and in connection with the exercise of stock options granted to the Company’s employees under the Company’s equity compensation plans. The withholding amount is based on the Company’s minimum</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statutory withholding requirement. The total grant-date fair value of stock options that vested during the three and six months ended April 30, 2011, was approximately $1.1 million and $26.4 million, respectively.</w:t>
      </w:r>
    </w:p>
    <w:p>
      <w:pPr>
        <w:spacing w:after="0" w:line="62"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During the three and six months ended May 1, 2010, the total intrinsic value of options exercised (i.e. the difference between the market price at exercise and the price paid by the employee to exercise the options) was $2.5 million and $15.7 million, respectively, and the total amount of proceeds received from exercise of these options was $5.7 million and $193.3 million, respectively. Proceeds from stock option exercises pursuant to employee stock plans in the Company’s statement of cash flows during the six months ended May 1, 2010 of $169.2 million are net of the value of shares surrendered by employees in certain limited circumstances to satisfy the exercise price of options, and to satisfy employee tax obligations upon vesting of restricted stock units and in connection with the exercise of stock options granted to the Company’s employees under the Company’s equity compensation plans. The withholding amount is based on the Company’s minimum statutory withholding requirement. The total grant-date fair value of stock options that vested during the three and six months ended May 1, 2010 was approximately $0.6 million and $32.0 million, respectively.</w:t>
      </w:r>
    </w:p>
    <w:p>
      <w:pPr>
        <w:spacing w:after="0" w:line="71"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 summary of the Company’s restricted stock unit award activity as of April 30, 2011 and changes during the three- and six- 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520" w:type="dxa"/>
            <w:vAlign w:val="bottom"/>
            <w:gridSpan w:val="3"/>
          </w:tcPr>
          <w:p>
            <w:pPr>
              <w:jc w:val="center"/>
              <w:ind w:left="1800"/>
              <w:spacing w:after="0"/>
              <w:rPr>
                <w:sz w:val="20"/>
                <w:szCs w:val="20"/>
                <w:color w:val="auto"/>
              </w:rPr>
            </w:pPr>
            <w:r>
              <w:rPr>
                <w:rFonts w:ascii="Arial" w:cs="Arial" w:eastAsia="Arial" w:hAnsi="Arial"/>
                <w:sz w:val="14"/>
                <w:szCs w:val="14"/>
                <w:b w:val="1"/>
                <w:bCs w:val="1"/>
                <w:color w:val="auto"/>
                <w:w w:val="93"/>
              </w:rPr>
              <w:t>Restricted</w:t>
            </w:r>
          </w:p>
        </w:tc>
        <w:tc>
          <w:tcPr>
            <w:tcW w:w="1480" w:type="dxa"/>
            <w:vAlign w:val="bottom"/>
          </w:tcPr>
          <w:p>
            <w:pPr>
              <w:jc w:val="center"/>
              <w:ind w:left="1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520" w:type="dxa"/>
            <w:vAlign w:val="bottom"/>
            <w:gridSpan w:val="3"/>
          </w:tcPr>
          <w:p>
            <w:pPr>
              <w:jc w:val="center"/>
              <w:ind w:left="1820"/>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480" w:type="dxa"/>
            <w:vAlign w:val="bottom"/>
          </w:tcPr>
          <w:p>
            <w:pPr>
              <w:jc w:val="center"/>
              <w:ind w:left="17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Three Months Ended April 30, 2011</w:t>
            </w:r>
          </w:p>
        </w:tc>
        <w:tc>
          <w:tcPr>
            <w:tcW w:w="3520" w:type="dxa"/>
            <w:vAlign w:val="bottom"/>
            <w:gridSpan w:val="3"/>
          </w:tcPr>
          <w:p>
            <w:pPr>
              <w:jc w:val="center"/>
              <w:ind w:left="18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jc w:val="center"/>
              <w:ind w:left="17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1"/>
        </w:trPr>
        <w:tc>
          <w:tcPr>
            <w:tcW w:w="6420" w:type="dxa"/>
            <w:vAlign w:val="bottom"/>
            <w:gridSpan w:val="2"/>
            <w:vMerge w:val="continue"/>
          </w:tcPr>
          <w:p>
            <w:pPr>
              <w:spacing w:after="0"/>
              <w:rPr>
                <w:sz w:val="14"/>
                <w:szCs w:val="14"/>
                <w:color w:val="auto"/>
              </w:rPr>
            </w:pPr>
          </w:p>
        </w:tc>
        <w:tc>
          <w:tcPr>
            <w:tcW w:w="3520" w:type="dxa"/>
            <w:vAlign w:val="bottom"/>
            <w:gridSpan w:val="3"/>
          </w:tcPr>
          <w:p>
            <w:pPr>
              <w:jc w:val="center"/>
              <w:ind w:left="1800"/>
              <w:spacing w:after="0"/>
              <w:rPr>
                <w:sz w:val="20"/>
                <w:szCs w:val="20"/>
                <w:color w:val="auto"/>
              </w:rPr>
            </w:pPr>
            <w:r>
              <w:rPr>
                <w:rFonts w:ascii="Arial" w:cs="Arial" w:eastAsia="Arial" w:hAnsi="Arial"/>
                <w:sz w:val="14"/>
                <w:szCs w:val="14"/>
                <w:b w:val="1"/>
                <w:bCs w:val="1"/>
                <w:color w:val="auto"/>
                <w:w w:val="91"/>
              </w:rPr>
              <w:t>(in thousands)</w:t>
            </w:r>
          </w:p>
        </w:tc>
        <w:tc>
          <w:tcPr>
            <w:tcW w:w="1480" w:type="dxa"/>
            <w:vAlign w:val="bottom"/>
          </w:tcPr>
          <w:p>
            <w:pPr>
              <w:ind w:left="5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0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stock units outstanding at January 29, 2011</w:t>
            </w:r>
          </w:p>
        </w:tc>
        <w:tc>
          <w:tcPr>
            <w:tcW w:w="35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2,099</w:t>
            </w:r>
          </w:p>
        </w:tc>
        <w:tc>
          <w:tcPr>
            <w:tcW w:w="1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Units granted</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8"/>
                <w:szCs w:val="18"/>
                <w:color w:val="auto"/>
              </w:rPr>
            </w:pPr>
          </w:p>
        </w:tc>
        <w:tc>
          <w:tcPr>
            <w:tcW w:w="1480" w:type="dxa"/>
            <w:vAlign w:val="bottom"/>
          </w:tcPr>
          <w:p>
            <w:pPr>
              <w:ind w:left="580"/>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1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5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(16)</w:t>
            </w:r>
          </w:p>
        </w:tc>
        <w:tc>
          <w:tcPr>
            <w:tcW w:w="1480" w:type="dxa"/>
            <w:vAlign w:val="bottom"/>
          </w:tcPr>
          <w:p>
            <w:pPr>
              <w:ind w:left="58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stock units outstanding at April 30, 2011</w:t>
            </w:r>
          </w:p>
        </w:tc>
        <w:tc>
          <w:tcPr>
            <w:tcW w:w="2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2,091</w:t>
            </w:r>
          </w:p>
        </w:tc>
        <w:tc>
          <w:tcPr>
            <w:tcW w:w="1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520" w:type="dxa"/>
            <w:vAlign w:val="bottom"/>
            <w:gridSpan w:val="3"/>
          </w:tcPr>
          <w:p>
            <w:pPr>
              <w:jc w:val="center"/>
              <w:ind w:left="1800"/>
              <w:spacing w:after="0"/>
              <w:rPr>
                <w:sz w:val="20"/>
                <w:szCs w:val="20"/>
                <w:color w:val="auto"/>
              </w:rPr>
            </w:pPr>
            <w:r>
              <w:rPr>
                <w:rFonts w:ascii="Arial" w:cs="Arial" w:eastAsia="Arial" w:hAnsi="Arial"/>
                <w:sz w:val="14"/>
                <w:szCs w:val="14"/>
                <w:b w:val="1"/>
                <w:bCs w:val="1"/>
                <w:color w:val="auto"/>
                <w:w w:val="93"/>
              </w:rPr>
              <w:t>Restricted</w:t>
            </w:r>
          </w:p>
        </w:tc>
        <w:tc>
          <w:tcPr>
            <w:tcW w:w="1480" w:type="dxa"/>
            <w:vAlign w:val="bottom"/>
          </w:tcPr>
          <w:p>
            <w:pPr>
              <w:ind w:left="5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520" w:type="dxa"/>
            <w:vAlign w:val="bottom"/>
            <w:gridSpan w:val="3"/>
          </w:tcPr>
          <w:p>
            <w:pPr>
              <w:jc w:val="center"/>
              <w:ind w:left="1820"/>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480" w:type="dxa"/>
            <w:vAlign w:val="bottom"/>
          </w:tcPr>
          <w:p>
            <w:pPr>
              <w:jc w:val="center"/>
              <w:ind w:left="17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 during the Six Months Ended April 30, 2011</w:t>
            </w:r>
          </w:p>
        </w:tc>
        <w:tc>
          <w:tcPr>
            <w:tcW w:w="3520" w:type="dxa"/>
            <w:vAlign w:val="bottom"/>
            <w:gridSpan w:val="3"/>
          </w:tcPr>
          <w:p>
            <w:pPr>
              <w:jc w:val="center"/>
              <w:ind w:left="18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jc w:val="center"/>
              <w:ind w:left="17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1"/>
        </w:trPr>
        <w:tc>
          <w:tcPr>
            <w:tcW w:w="6420" w:type="dxa"/>
            <w:vAlign w:val="bottom"/>
            <w:gridSpan w:val="2"/>
            <w:vMerge w:val="continue"/>
          </w:tcPr>
          <w:p>
            <w:pPr>
              <w:spacing w:after="0"/>
              <w:rPr>
                <w:sz w:val="14"/>
                <w:szCs w:val="14"/>
                <w:color w:val="auto"/>
              </w:rPr>
            </w:pPr>
          </w:p>
        </w:tc>
        <w:tc>
          <w:tcPr>
            <w:tcW w:w="3520" w:type="dxa"/>
            <w:vAlign w:val="bottom"/>
            <w:gridSpan w:val="3"/>
          </w:tcPr>
          <w:p>
            <w:pPr>
              <w:jc w:val="center"/>
              <w:ind w:left="1800"/>
              <w:spacing w:after="0"/>
              <w:rPr>
                <w:sz w:val="20"/>
                <w:szCs w:val="20"/>
                <w:color w:val="auto"/>
              </w:rPr>
            </w:pPr>
            <w:r>
              <w:rPr>
                <w:rFonts w:ascii="Arial" w:cs="Arial" w:eastAsia="Arial" w:hAnsi="Arial"/>
                <w:sz w:val="14"/>
                <w:szCs w:val="14"/>
                <w:b w:val="1"/>
                <w:bCs w:val="1"/>
                <w:color w:val="auto"/>
                <w:w w:val="91"/>
              </w:rPr>
              <w:t>(in thousands)</w:t>
            </w:r>
          </w:p>
        </w:tc>
        <w:tc>
          <w:tcPr>
            <w:tcW w:w="1480" w:type="dxa"/>
            <w:vAlign w:val="bottom"/>
          </w:tcPr>
          <w:p>
            <w:pPr>
              <w:ind w:left="5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0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stock units outstanding at October 30, 2010</w:t>
            </w:r>
          </w:p>
        </w:tc>
        <w:tc>
          <w:tcPr>
            <w:tcW w:w="35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1,265</w:t>
            </w:r>
          </w:p>
        </w:tc>
        <w:tc>
          <w:tcPr>
            <w:tcW w:w="1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Units granted</w:t>
            </w:r>
          </w:p>
        </w:tc>
        <w:tc>
          <w:tcPr>
            <w:tcW w:w="3520" w:type="dxa"/>
            <w:vAlign w:val="bottom"/>
            <w:gridSpan w:val="3"/>
          </w:tcPr>
          <w:p>
            <w:pPr>
              <w:jc w:val="right"/>
              <w:ind w:right="620"/>
              <w:spacing w:after="0"/>
              <w:rPr>
                <w:sz w:val="20"/>
                <w:szCs w:val="20"/>
                <w:color w:val="auto"/>
              </w:rPr>
            </w:pPr>
            <w:r>
              <w:rPr>
                <w:rFonts w:ascii="Arial" w:cs="Arial" w:eastAsia="Arial" w:hAnsi="Arial"/>
                <w:sz w:val="18"/>
                <w:szCs w:val="18"/>
                <w:color w:val="auto"/>
              </w:rPr>
              <w:t>870</w:t>
            </w:r>
          </w:p>
        </w:tc>
        <w:tc>
          <w:tcPr>
            <w:tcW w:w="1480" w:type="dxa"/>
            <w:vAlign w:val="bottom"/>
          </w:tcPr>
          <w:p>
            <w:pPr>
              <w:ind w:left="58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5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1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5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(21)</w:t>
            </w:r>
          </w:p>
        </w:tc>
        <w:tc>
          <w:tcPr>
            <w:tcW w:w="1480" w:type="dxa"/>
            <w:vAlign w:val="bottom"/>
          </w:tcPr>
          <w:p>
            <w:pPr>
              <w:ind w:left="58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Restricted stock units outstanding at April 30, 2011</w:t>
            </w:r>
          </w:p>
        </w:tc>
        <w:tc>
          <w:tcPr>
            <w:tcW w:w="2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4"/>
              </w:rPr>
              <w:t>2,091</w:t>
            </w:r>
          </w:p>
        </w:tc>
        <w:tc>
          <w:tcPr>
            <w:tcW w:w="14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$31.03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15"/>
        <w:spacing w:after="0" w:line="342" w:lineRule="auto"/>
        <w:rPr>
          <w:sz w:val="20"/>
          <w:szCs w:val="20"/>
          <w:color w:val="auto"/>
        </w:rPr>
      </w:pPr>
      <w:r>
        <w:rPr>
          <w:rFonts w:ascii="Arial" w:cs="Arial" w:eastAsia="Arial" w:hAnsi="Arial"/>
          <w:sz w:val="16"/>
          <w:szCs w:val="16"/>
          <w:color w:val="auto"/>
        </w:rPr>
        <w:t>As of April 30, 2011, there was $115.3 million (before tax consideration) of total unrecognized compensation cost related to unvested share-based awards, including stock options, restricted stock and restricted stock units. That cost is expected to be recognized over a weighted-average period of 1.5 years.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Comprehensive Income</w:t>
      </w:r>
    </w:p>
    <w:p>
      <w:pPr>
        <w:spacing w:after="0" w:line="121"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May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241,826</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$ 167,140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6,180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Change in unrealized holding losses (net of taxes of $5 and $21, respectively) on securities classified as short-term</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w w:val="97"/>
              </w:rPr>
              <w:t>Change in unrealized holding gains (net of taxes of $23 and $63, respectively) on securities classified as other</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Change in unrealized gains (losses) (net of taxes of $850 and $309, respectively) on derivative instruments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designated as cash flow hedges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5,666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432"/>
        </w:trPr>
        <w:tc>
          <w:tcPr>
            <w:tcW w:w="876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Transition obligation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actuarial (loss) gain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(3,060)</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Other comprehensive gain</w:t>
            </w: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8,788</w:t>
            </w:r>
          </w:p>
        </w:tc>
        <w:tc>
          <w:tcPr>
            <w:tcW w:w="6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250,614</w:t>
            </w:r>
          </w:p>
        </w:tc>
        <w:tc>
          <w:tcPr>
            <w:tcW w:w="6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$ 167,225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May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457,432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$ 286,740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6,159</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Change in unrealized holding gains (losses) (net of taxes of $18 and $16, respectively) on securities classified as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w w:val="97"/>
              </w:rPr>
              <w:t>Change in unrealized holding gains (net of taxes of $63 and $54, respectively) on securities classified as other</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117</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Change in unrealized gains (losses) (net of taxes of $449 and $1,365, respectively) on derivative instruments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designated as cash flow hedges</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2,643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432"/>
        </w:trPr>
        <w:tc>
          <w:tcPr>
            <w:tcW w:w="8760" w:type="dxa"/>
            <w:vAlign w:val="bottom"/>
            <w:gridSpan w:val="2"/>
          </w:tcPr>
          <w:p>
            <w:pPr>
              <w:spacing w:after="0"/>
              <w:rPr>
                <w:sz w:val="20"/>
                <w:szCs w:val="20"/>
                <w:color w:val="auto"/>
              </w:rPr>
            </w:pPr>
            <w:r>
              <w:rPr>
                <w:rFonts w:ascii="Arial" w:cs="Arial" w:eastAsia="Arial" w:hAnsi="Arial"/>
                <w:sz w:val="18"/>
                <w:szCs w:val="18"/>
                <w:color w:val="auto"/>
              </w:rPr>
              <w:t>Pension plans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Prior service cost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Transition (obligation) asset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actuarial (loss) gain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(2,155)</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Other comprehensive gain (loss)</w:t>
            </w: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6,886</w:t>
            </w:r>
          </w:p>
        </w:tc>
        <w:tc>
          <w:tcPr>
            <w:tcW w:w="6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from continuing operations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464,318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282,272</w:t>
            </w:r>
          </w:p>
        </w:tc>
        <w:tc>
          <w:tcPr>
            <w:tcW w:w="0" w:type="dxa"/>
            <w:vAlign w:val="bottom"/>
          </w:tcPr>
          <w:p>
            <w:pPr>
              <w:spacing w:after="0"/>
              <w:rPr>
                <w:sz w:val="1"/>
                <w:szCs w:val="1"/>
                <w:color w:val="auto"/>
              </w:rPr>
            </w:pPr>
          </w:p>
        </w:tc>
      </w:tr>
      <w:tr>
        <w:trPr>
          <w:trHeight w:val="230"/>
        </w:trPr>
        <w:tc>
          <w:tcPr>
            <w:tcW w:w="8760" w:type="dxa"/>
            <w:vAlign w:val="bottom"/>
            <w:gridSpan w:val="2"/>
          </w:tcPr>
          <w:p>
            <w:pPr>
              <w:spacing w:after="0"/>
              <w:rPr>
                <w:sz w:val="20"/>
                <w:szCs w:val="20"/>
                <w:color w:val="auto"/>
              </w:rPr>
            </w:pPr>
            <w:r>
              <w:rPr>
                <w:rFonts w:ascii="Arial" w:cs="Arial" w:eastAsia="Arial" w:hAnsi="Arial"/>
                <w:sz w:val="18"/>
                <w:szCs w:val="18"/>
                <w:color w:val="auto"/>
              </w:rPr>
              <w:t>Gain on sale of discontinued operations, net of tax</w:t>
            </w:r>
          </w:p>
        </w:tc>
        <w:tc>
          <w:tcPr>
            <w:tcW w:w="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6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470,818</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$ 283,131</w:t>
            </w:r>
          </w:p>
        </w:tc>
        <w:tc>
          <w:tcPr>
            <w:tcW w:w="0" w:type="dxa"/>
            <w:vAlign w:val="bottom"/>
          </w:tcPr>
          <w:p>
            <w:pPr>
              <w:spacing w:after="0"/>
              <w:rPr>
                <w:sz w:val="1"/>
                <w:szCs w:val="1"/>
                <w:color w:val="auto"/>
              </w:rPr>
            </w:pPr>
          </w:p>
        </w:tc>
      </w:tr>
      <w:tr>
        <w:trPr>
          <w:trHeight w:val="20"/>
        </w:trPr>
        <w:tc>
          <w:tcPr>
            <w:tcW w:w="8760" w:type="dxa"/>
            <w:vAlign w:val="bottom"/>
            <w:gridSpan w:val="2"/>
            <w:vMerge w:val="restart"/>
          </w:tcPr>
          <w:p>
            <w:pPr>
              <w:ind w:left="562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at April 30, 2011 and October 30, 2010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500" w:type="dxa"/>
            <w:vAlign w:val="bottom"/>
            <w:gridSpan w:val="5"/>
          </w:tcPr>
          <w:p>
            <w:pPr>
              <w:spacing w:after="0"/>
              <w:rPr>
                <w:sz w:val="20"/>
                <w:szCs w:val="20"/>
                <w:color w:val="auto"/>
              </w:rPr>
            </w:pPr>
            <w:r>
              <w:rPr>
                <w:rFonts w:ascii="Arial" w:cs="Arial" w:eastAsia="Arial" w:hAnsi="Arial"/>
                <w:sz w:val="14"/>
                <w:szCs w:val="14"/>
                <w:b w:val="1"/>
                <w:bCs w:val="1"/>
                <w:color w:val="auto"/>
              </w:rPr>
              <w:t>April 30, 2011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October 30, 2010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Unrealized gains on available-for-sale securities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934</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available-for-sale securities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Unrealized gains on derivative instruments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8,776</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Pension plans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200"/>
              <w:spacing w:after="0"/>
              <w:rPr>
                <w:sz w:val="20"/>
                <w:szCs w:val="20"/>
                <w:color w:val="auto"/>
              </w:rPr>
            </w:pPr>
            <w:r>
              <w:rPr>
                <w:rFonts w:ascii="Arial" w:cs="Arial" w:eastAsia="Arial" w:hAnsi="Arial"/>
                <w:sz w:val="18"/>
                <w:szCs w:val="18"/>
                <w:color w:val="auto"/>
              </w:rPr>
              <w:t>Transition obligation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actuarial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(40,994)</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(38,839)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40" w:type="dxa"/>
            <w:vAlign w:val="bottom"/>
          </w:tcPr>
          <w:p>
            <w:pPr>
              <w:ind w:left="400"/>
              <w:spacing w:after="0"/>
              <w:rPr>
                <w:sz w:val="20"/>
                <w:szCs w:val="20"/>
                <w:color w:val="auto"/>
              </w:rPr>
            </w:pPr>
            <w:r>
              <w:rPr>
                <w:rFonts w:ascii="Arial" w:cs="Arial" w:eastAsia="Arial" w:hAnsi="Arial"/>
                <w:sz w:val="18"/>
                <w:szCs w:val="18"/>
                <w:color w:val="auto"/>
              </w:rPr>
              <w:t>Total accumulated other comprehensive loss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(26,709</w:t>
            </w:r>
          </w:p>
        </w:tc>
        <w:tc>
          <w:tcPr>
            <w:tcW w:w="640" w:type="dxa"/>
            <w:vAlign w:val="bottom"/>
            <w:gridSpan w:val="2"/>
          </w:tcPr>
          <w:p>
            <w:pPr>
              <w:jc w:val="right"/>
              <w:ind w:right="5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40" w:firstLine="222"/>
        <w:spacing w:after="0" w:line="264" w:lineRule="auto"/>
        <w:rPr>
          <w:sz w:val="20"/>
          <w:szCs w:val="20"/>
          <w:color w:val="auto"/>
        </w:rPr>
      </w:pPr>
      <w:r>
        <w:rPr>
          <w:rFonts w:ascii="Arial" w:cs="Arial" w:eastAsia="Arial" w:hAnsi="Arial"/>
          <w:sz w:val="18"/>
          <w:szCs w:val="18"/>
          <w:color w:val="auto"/>
        </w:rPr>
        <w:t>The aggregate fair value of investments with unrealized losses as of April 30, 2011 and October 30, 2010 was $605.0 million and $731.0 million, respectively. These unrealized losses are primarily related to commercial paper that earns lower interest rates than current market rates. None of these investments have been in a loss position for more than twelve months.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Unrealized gains and losses on available-for-sale securities classified as short-term investments at April 30, 2011 and October 30, 2010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800" w:type="dxa"/>
            <w:vAlign w:val="bottom"/>
            <w:gridSpan w:val="4"/>
          </w:tcPr>
          <w:p>
            <w:pPr>
              <w:ind w:left="1300"/>
              <w:spacing w:after="0"/>
              <w:rPr>
                <w:sz w:val="20"/>
                <w:szCs w:val="20"/>
                <w:color w:val="auto"/>
              </w:rPr>
            </w:pPr>
            <w:r>
              <w:rPr>
                <w:rFonts w:ascii="Arial" w:cs="Arial" w:eastAsia="Arial" w:hAnsi="Arial"/>
                <w:sz w:val="14"/>
                <w:szCs w:val="14"/>
                <w:b w:val="1"/>
                <w:bCs w:val="1"/>
                <w:color w:val="auto"/>
              </w:rPr>
              <w:t>April 30, 2011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October 30, 2010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available-for-sale securities classified as short-term investments</w:t>
            </w: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162</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Unrealized losses on available-for-sale securities classified as short-term investments</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 on securities classified as short-term investments</w:t>
            </w:r>
          </w:p>
        </w:tc>
        <w:tc>
          <w:tcPr>
            <w:tcW w:w="164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Earnings Per Share</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May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660" w:type="dxa"/>
            <w:vAlign w:val="bottom"/>
            <w:gridSpan w:val="2"/>
          </w:tcPr>
          <w:p>
            <w:pPr>
              <w:ind w:left="3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241,826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167,140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299,923</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297,825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Earnings per share:</w:t>
            </w:r>
          </w:p>
        </w:tc>
        <w:tc>
          <w:tcPr>
            <w:tcW w:w="3660" w:type="dxa"/>
            <w:vAlign w:val="bottom"/>
            <w:gridSpan w:val="2"/>
          </w:tcPr>
          <w:p>
            <w:pPr>
              <w:ind w:left="3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0.81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660" w:type="dxa"/>
            <w:vAlign w:val="bottom"/>
            <w:gridSpan w:val="2"/>
          </w:tcPr>
          <w:p>
            <w:pPr>
              <w:ind w:left="3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241,826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167,140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299,923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297,825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3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9,696</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3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309,619</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305,836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400"/>
              <w:spacing w:after="0"/>
              <w:rPr>
                <w:sz w:val="20"/>
                <w:szCs w:val="20"/>
                <w:color w:val="auto"/>
              </w:rPr>
            </w:pPr>
            <w:r>
              <w:rPr>
                <w:rFonts w:ascii="Arial" w:cs="Arial" w:eastAsia="Arial" w:hAnsi="Arial"/>
                <w:sz w:val="18"/>
                <w:szCs w:val="18"/>
                <w:color w:val="auto"/>
              </w:rPr>
              <w:t>Earnings per share:</w:t>
            </w:r>
          </w:p>
        </w:tc>
        <w:tc>
          <w:tcPr>
            <w:tcW w:w="3660" w:type="dxa"/>
            <w:vAlign w:val="bottom"/>
            <w:gridSpan w:val="2"/>
          </w:tcPr>
          <w:p>
            <w:pPr>
              <w:ind w:left="34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0.78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4,909</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480" w:type="dxa"/>
            <w:vAlign w:val="bottom"/>
          </w:tcPr>
          <w:p>
            <w:pPr>
              <w:jc w:val="right"/>
              <w:ind w:right="315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ind w:lef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May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net of tax</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457,432</w:t>
            </w:r>
          </w:p>
        </w:tc>
        <w:tc>
          <w:tcPr>
            <w:tcW w:w="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$ 286,740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Gain on sale of discontinued operations, net of tax</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463,932</w:t>
            </w:r>
          </w:p>
        </w:tc>
        <w:tc>
          <w:tcPr>
            <w:tcW w:w="12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$ 287,599</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color w:val="auto"/>
              </w:rPr>
              <w:t>Basic shares:</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299,570</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296,718</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share-basic:</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net of tax</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Gain on sale of discontinued operations, net of tax</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color w:val="auto"/>
              </w:rPr>
              <w:t>Diluted shares:</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299,570</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296,718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309,234</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305,354</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color w:val="auto"/>
              </w:rPr>
              <w:t>Earnings per share-diluted:</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 net of tax</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gridSpan w:val="2"/>
          </w:tcPr>
          <w:p>
            <w:pPr>
              <w:ind w:left="200"/>
              <w:spacing w:after="0"/>
              <w:rPr>
                <w:sz w:val="20"/>
                <w:szCs w:val="20"/>
                <w:color w:val="auto"/>
              </w:rPr>
            </w:pPr>
            <w:r>
              <w:rPr>
                <w:rFonts w:ascii="Arial" w:cs="Arial" w:eastAsia="Arial" w:hAnsi="Arial"/>
                <w:sz w:val="18"/>
                <w:szCs w:val="18"/>
                <w:color w:val="auto"/>
              </w:rPr>
              <w:t>Gain on sale of discontinued operations, net of tax</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gridSpan w:val="3"/>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6,503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19,442</w:t>
            </w:r>
          </w:p>
        </w:tc>
        <w:tc>
          <w:tcPr>
            <w:tcW w:w="0" w:type="dxa"/>
            <w:vAlign w:val="bottom"/>
          </w:tcPr>
          <w:p>
            <w:pPr>
              <w:spacing w:after="0"/>
              <w:rPr>
                <w:sz w:val="1"/>
                <w:szCs w:val="1"/>
                <w:color w:val="auto"/>
              </w:rPr>
            </w:pPr>
          </w:p>
        </w:tc>
      </w:tr>
      <w:tr>
        <w:trPr>
          <w:trHeight w:val="432"/>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Note 6 — Special Charges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gridSpan w:val="7"/>
          </w:tcPr>
          <w:p>
            <w:pPr>
              <w:spacing w:after="0"/>
              <w:rPr>
                <w:sz w:val="20"/>
                <w:szCs w:val="20"/>
                <w:color w:val="auto"/>
              </w:rPr>
            </w:pPr>
            <w:r>
              <w:rPr>
                <w:rFonts w:ascii="Arial" w:cs="Arial" w:eastAsia="Arial" w:hAnsi="Arial"/>
                <w:sz w:val="18"/>
                <w:szCs w:val="18"/>
                <w:color w:val="auto"/>
                <w:w w:val="96"/>
              </w:rPr>
              <w:t>A summary of the Company’s special charges and accruals related to ongoing actions is as follows:</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Closure of Wafer</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Closure of</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Reduction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Wafer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1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2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5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Facility</w:t>
            </w:r>
          </w:p>
        </w:tc>
        <w:tc>
          <w:tcPr>
            <w:tcW w:w="11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Operating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Facility</w:t>
            </w: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in Sunnyvale</w:t>
            </w:r>
          </w:p>
        </w:tc>
        <w:tc>
          <w:tcPr>
            <w:tcW w:w="160" w:type="dxa"/>
            <w:vAlign w:val="bottom"/>
          </w:tcPr>
          <w:p>
            <w:pPr>
              <w:spacing w:after="0"/>
              <w:rPr>
                <w:sz w:val="14"/>
                <w:szCs w:val="14"/>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Costs</w:t>
            </w:r>
          </w:p>
        </w:tc>
        <w:tc>
          <w:tcPr>
            <w:tcW w:w="1500" w:type="dxa"/>
            <w:vAlign w:val="bottom"/>
            <w:gridSpan w:val="4"/>
          </w:tcPr>
          <w:p>
            <w:pPr>
              <w:ind w:left="320"/>
              <w:spacing w:after="0"/>
              <w:rPr>
                <w:sz w:val="20"/>
                <w:szCs w:val="20"/>
                <w:color w:val="auto"/>
              </w:rPr>
            </w:pPr>
            <w:r>
              <w:rPr>
                <w:rFonts w:ascii="Arial" w:cs="Arial" w:eastAsia="Arial" w:hAnsi="Arial"/>
                <w:sz w:val="14"/>
                <w:szCs w:val="14"/>
                <w:b w:val="1"/>
                <w:bCs w:val="1"/>
                <w:color w:val="auto"/>
              </w:rPr>
              <w:t>in Cambridge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2008 Charges: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Workforce reductions</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1,627</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Fiscal 2008 Charges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1,627</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2009 Charges:</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7,446</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Facility closure costs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2,411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impairment charge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14,629</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Other items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Fiscal 2009 Charges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30,333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22,132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52,465</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Fiscal 2010 Charges:</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Workforce reductions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Facility closure costs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4,689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impairment charge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Other items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Fiscal 2010 Charges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11,419</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vMerge w:val="restart"/>
          </w:tcPr>
          <w:p>
            <w:pPr>
              <w:ind w:left="6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Closure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Reduction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Wafer</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2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7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w:t>
            </w:r>
          </w:p>
        </w:tc>
        <w:tc>
          <w:tcPr>
            <w:tcW w:w="560" w:type="dxa"/>
            <w:vAlign w:val="bottom"/>
          </w:tcPr>
          <w:p>
            <w:pPr>
              <w:spacing w:after="0"/>
              <w:rPr>
                <w:sz w:val="12"/>
                <w:szCs w:val="12"/>
                <w:color w:val="auto"/>
              </w:rPr>
            </w:pPr>
          </w:p>
        </w:tc>
        <w:tc>
          <w:tcPr>
            <w:tcW w:w="11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9"/>
              </w:rPr>
              <w:t>Facility</w:t>
            </w: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Costs</w:t>
            </w:r>
          </w:p>
        </w:tc>
        <w:tc>
          <w:tcPr>
            <w:tcW w:w="1500" w:type="dxa"/>
            <w:vAlign w:val="bottom"/>
            <w:gridSpan w:val="4"/>
          </w:tcPr>
          <w:p>
            <w:pPr>
              <w:ind w:left="300"/>
              <w:spacing w:after="0"/>
              <w:rPr>
                <w:sz w:val="20"/>
                <w:szCs w:val="20"/>
                <w:color w:val="auto"/>
              </w:rPr>
            </w:pPr>
            <w:r>
              <w:rPr>
                <w:rFonts w:ascii="Arial" w:cs="Arial" w:eastAsia="Arial" w:hAnsi="Arial"/>
                <w:sz w:val="14"/>
                <w:szCs w:val="14"/>
                <w:b w:val="1"/>
                <w:bCs w:val="1"/>
                <w:color w:val="auto"/>
              </w:rPr>
              <w:t>in Cambridge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October 30, 2010</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5,546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7,509</w:t>
            </w: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Effect of foreign currency on accrual</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29, 2011</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4,236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color w:val="auto"/>
              </w:rPr>
              <w:t>Severance payments</w:t>
            </w: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Effect of foreign currency on accrual</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April 30, 2011</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2,969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jc w:val="both"/>
        <w:ind w:right="220" w:firstLine="222"/>
        <w:spacing w:after="0" w:line="264" w:lineRule="auto"/>
        <w:rPr>
          <w:sz w:val="20"/>
          <w:szCs w:val="20"/>
          <w:color w:val="auto"/>
        </w:rPr>
      </w:pPr>
      <w:r>
        <w:rPr>
          <w:rFonts w:ascii="Arial" w:cs="Arial" w:eastAsia="Arial" w:hAnsi="Arial"/>
          <w:sz w:val="18"/>
          <w:szCs w:val="18"/>
          <w:color w:val="auto"/>
        </w:rPr>
        <w:t>The Company ceased production at its California wafer fabrication facility in November 2006. The Company paid the related lease obligation costs on a monthly basis over the remaining lease term, which expired in March 2010. We recorded a one-time settlement charge of $0.4 million in the first quarter of fiscal 2010 related to the termination of the lease. This action was completed during fiscal 2010.</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jc w:val="both"/>
        <w:ind w:right="200" w:firstLine="225"/>
        <w:spacing w:after="0" w:line="264" w:lineRule="auto"/>
        <w:rPr>
          <w:sz w:val="20"/>
          <w:szCs w:val="20"/>
          <w:color w:val="auto"/>
        </w:rPr>
      </w:pPr>
      <w:r>
        <w:rPr>
          <w:rFonts w:ascii="Arial" w:cs="Arial" w:eastAsia="Arial" w:hAnsi="Arial"/>
          <w:sz w:val="18"/>
          <w:szCs w:val="18"/>
          <w:color w:val="auto"/>
        </w:rPr>
        <w:t>During the fourth quarter of fiscal 2008, in order to further reduce its operating cost structure, the Company recorded a special charge of $1.6 million for severance and fringe benefit costs in accordance with its ongoing benefit plan or statutory requirements at foreign locations for 19 engineering, and selling, marketing, general and administrative (SMG&amp;A) employees.</w:t>
      </w:r>
    </w:p>
    <w:p>
      <w:pPr>
        <w:spacing w:after="0" w:line="73"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color w:val="auto"/>
        </w:rPr>
        <w:t>During fiscal 2009, the Company recorded an additional charge of $30.3 million related to this cost reduction action. Approximately $2.1 million of this charge was for lease obligation costs for facilities that the Company ceased using during the first quarter of fiscal 2009; approximately $0.8 million was for the write-off of property, plant and equipment no longer used as a result of this action; and approximately $0.5 million was for contract termination costs and approximately $0.3 million was for clean-up and closure costs that were expensed as incurred. The remaining $26.6 million related to the severance and fringe benefit costs recorded in accordance with the Company’s ongoing benefit plan or statutory requirements at foreign locations for 245 manufacturing employees and 302 engineering and SMG&amp;A employees.</w:t>
      </w:r>
    </w:p>
    <w:p>
      <w:pPr>
        <w:spacing w:after="0" w:line="85"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During the first quarter of fiscal 2010, the Company recorded an additional charge of $11.4 million related to the further reduction of its operating cost structure. Approximately $10.9 million of this charge was for severance and fringe benefit costs recorded in accordance with the Company’s ongoing benefit plan or statutory requirements at foreign locations for 149 engineering and SMG&amp;A employees. Approximately $0.5 million of the charge relates to the Company’s decision to abandon efforts to develop a particular expertise in power management, resulting in the impairment of related intellectual property.</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terminated the employment of all employees associated with this action and is paying amounts owed to them as income continuance.</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a Wafer Fabrication Facility in Cambridge</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During the first quarter of fiscal 2009, the Company recorded a special charge of $22.1 million as a result of its decision to consolidate its Cambridge, Massachusetts wafer fabrication facility into its existing Wilmington, Massachusetts facility. In connection with the anticipated closure of this facility, the Company evaluated the recoverability of the facility’s manufacturing assets and concluded that there was an impairment of approximately $12.9 million based on the revised period of intended use. The remaining $9.2 million was for severance and fringe benefit costs recorded in accordance with the Company’s ongoing benefit plan for 175 manufacturing employees and 9 SMG&amp;A employees associated with this action.</w:t>
      </w:r>
    </w:p>
    <w:p>
      <w:pPr>
        <w:spacing w:after="0" w:line="64" w:lineRule="exact"/>
        <w:rPr>
          <w:sz w:val="20"/>
          <w:szCs w:val="20"/>
          <w:color w:val="auto"/>
        </w:rPr>
      </w:pPr>
    </w:p>
    <w:p>
      <w:pPr>
        <w:jc w:val="both"/>
        <w:ind w:right="540" w:firstLine="222"/>
        <w:spacing w:after="0" w:line="264" w:lineRule="auto"/>
        <w:rPr>
          <w:sz w:val="20"/>
          <w:szCs w:val="20"/>
          <w:color w:val="auto"/>
        </w:rPr>
      </w:pPr>
      <w:r>
        <w:rPr>
          <w:rFonts w:ascii="Arial" w:cs="Arial" w:eastAsia="Arial" w:hAnsi="Arial"/>
          <w:sz w:val="18"/>
          <w:szCs w:val="18"/>
          <w:color w:val="auto"/>
        </w:rPr>
        <w:t>The Company finished production in the Cambridge wafer fabrication facility and began clean-up activities during the fourth quarter of fiscal 2009. During the fourth quarter of fiscal 2009, the Company reversed approximately $1.8 million of its severance accrual. The accrual reversal was required because 51 employees either voluntarily left the Company or found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alternative employment within the Company. In addition, the Company recorded a special charge of approximately $1.7 million for the impairment of manufacturing assets that were originally going to be moved to the Company’s other wafer fabrication facilities but were no longer needed at those facilities and therefore had no future use. The Company also recorded a special charge of $0.1 million for clean-up costs as the Company began its cleanup of the Cambridge wafer fabrication facility at the end of the fourth quarter of fiscal 2009. The Company terminated the employment of all employees associated with this charge and is paying amounts owed to them as income continuance.</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first quarter of fiscal 2010, the Company recorded an additional charge of $4.7 million related to this cost reduction action.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 million of the charge related to lease obligation costs for the Cambridge wafer fabrication facility, which the Company ceased using in the first quarter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fiscal 2010. The remaining $1.3 million of the charge related to clean-up and closure costs that were expensed as incurred.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ind w:right="340" w:firstLine="222"/>
        <w:spacing w:after="0" w:line="264" w:lineRule="auto"/>
        <w:rPr>
          <w:sz w:val="20"/>
          <w:szCs w:val="20"/>
          <w:color w:val="auto"/>
        </w:rPr>
      </w:pPr>
      <w:r>
        <w:rPr>
          <w:rFonts w:ascii="Arial" w:cs="Arial" w:eastAsia="Arial" w:hAnsi="Arial"/>
          <w:sz w:val="18"/>
          <w:szCs w:val="18"/>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April 30, 2011</w:t>
            </w: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536"/>
              <w:spacing w:after="0"/>
              <w:rPr>
                <w:sz w:val="20"/>
                <w:szCs w:val="20"/>
                <w:color w:val="auto"/>
              </w:rPr>
            </w:pPr>
            <w:r>
              <w:rPr>
                <w:rFonts w:ascii="Arial" w:cs="Arial" w:eastAsia="Arial" w:hAnsi="Arial"/>
                <w:sz w:val="14"/>
                <w:szCs w:val="14"/>
                <w:b w:val="1"/>
                <w:bCs w:val="1"/>
                <w:color w:val="auto"/>
                <w:w w:val="95"/>
              </w:rPr>
              <w:t>May 1, 2010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gridSpan w:val="2"/>
            <w:vMerge w:val="restart"/>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60" w:type="dxa"/>
            <w:vAlign w:val="bottom"/>
            <w:vMerge w:val="restart"/>
          </w:tcPr>
          <w:p>
            <w:pPr>
              <w:spacing w:after="0"/>
              <w:rPr>
                <w:sz w:val="10"/>
                <w:szCs w:val="10"/>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$ 384,253</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49%</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$ 316,371</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Automotive</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106,250</w:t>
            </w:r>
          </w:p>
        </w:tc>
        <w:tc>
          <w:tcPr>
            <w:tcW w:w="160" w:type="dxa"/>
            <w:vAlign w:val="bottom"/>
          </w:tcPr>
          <w:p>
            <w:pPr>
              <w:spacing w:after="0"/>
              <w:rPr>
                <w:sz w:val="18"/>
                <w:szCs w:val="18"/>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13%</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28%</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83,101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110,514</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122,444</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Communications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176,301</w:t>
            </w:r>
          </w:p>
        </w:tc>
        <w:tc>
          <w:tcPr>
            <w:tcW w:w="160" w:type="dxa"/>
            <w:vAlign w:val="bottom"/>
          </w:tcPr>
          <w:p>
            <w:pPr>
              <w:spacing w:after="0"/>
              <w:rPr>
                <w:sz w:val="18"/>
                <w:szCs w:val="18"/>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22%</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34%</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131,356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13,462</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14,968</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18%</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$ 790,780</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$ 668,240</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April 30, 2011</w:t>
            </w: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May 1, 2010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6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5"/>
              </w:rPr>
              <w:t>Revenue</w:t>
            </w:r>
          </w:p>
        </w:tc>
        <w:tc>
          <w:tcPr>
            <w:tcW w:w="660" w:type="dxa"/>
            <w:vAlign w:val="bottom"/>
            <w:vMerge w:val="restart"/>
          </w:tcPr>
          <w:p>
            <w:pPr>
              <w:spacing w:after="0"/>
              <w:rPr>
                <w:sz w:val="10"/>
                <w:szCs w:val="10"/>
                <w:color w:val="auto"/>
              </w:rPr>
            </w:pPr>
          </w:p>
        </w:tc>
        <w:tc>
          <w:tcPr>
            <w:tcW w:w="68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720,664</w:t>
            </w:r>
          </w:p>
        </w:tc>
        <w:tc>
          <w:tcPr>
            <w:tcW w:w="1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578,756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200,857</w:t>
            </w:r>
          </w:p>
        </w:tc>
        <w:tc>
          <w:tcPr>
            <w:tcW w:w="180" w:type="dxa"/>
            <w:vAlign w:val="bottom"/>
          </w:tcPr>
          <w:p>
            <w:pPr>
              <w:spacing w:after="0"/>
              <w:rPr>
                <w:sz w:val="18"/>
                <w:szCs w:val="18"/>
                <w:color w:val="auto"/>
              </w:rPr>
            </w:pP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155,699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229,765</w:t>
            </w:r>
          </w:p>
        </w:tc>
        <w:tc>
          <w:tcPr>
            <w:tcW w:w="1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243,390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Communications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341,085</w:t>
            </w:r>
          </w:p>
        </w:tc>
        <w:tc>
          <w:tcPr>
            <w:tcW w:w="180" w:type="dxa"/>
            <w:vAlign w:val="bottom"/>
          </w:tcPr>
          <w:p>
            <w:pPr>
              <w:spacing w:after="0"/>
              <w:rPr>
                <w:sz w:val="18"/>
                <w:szCs w:val="18"/>
                <w:color w:val="auto"/>
              </w:rPr>
            </w:pP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22%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264,793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28,585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20%</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1,519,284</w:t>
            </w:r>
          </w:p>
        </w:tc>
        <w:tc>
          <w:tcPr>
            <w:tcW w:w="1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1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1,271,223</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5620" w:right="5260" w:hanging="5612"/>
        <w:spacing w:after="0" w:line="571" w:lineRule="auto"/>
        <w:tabs>
          <w:tab w:leader="none" w:pos="46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sum of the individual percentages does not equal the total due to rounding.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160" w:firstLine="222"/>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w w:val="92"/>
              </w:rPr>
              <w:t>April 30, 2011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87"/>
              </w:rPr>
              <w:t>May 1, 2010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9"/>
              </w:rPr>
              <w:t>Revenue</w:t>
            </w:r>
          </w:p>
        </w:tc>
        <w:tc>
          <w:tcPr>
            <w:tcW w:w="14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4"/>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0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gridSpan w:val="2"/>
            <w:vMerge w:val="restart"/>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gridSpan w:val="2"/>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$ 350,180</w:t>
            </w:r>
          </w:p>
        </w:tc>
        <w:tc>
          <w:tcPr>
            <w:tcW w:w="184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$ 307,772</w:t>
            </w:r>
          </w:p>
        </w:tc>
        <w:tc>
          <w:tcPr>
            <w:tcW w:w="64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color w:val="auto"/>
              </w:rPr>
              <w:t>213,168</w:t>
            </w:r>
          </w:p>
        </w:tc>
        <w:tc>
          <w:tcPr>
            <w:tcW w:w="1840" w:type="dxa"/>
            <w:vAlign w:val="bottom"/>
            <w:gridSpan w:val="5"/>
          </w:tcPr>
          <w:p>
            <w:pPr>
              <w:jc w:val="right"/>
              <w:ind w:right="5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25%</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170,138</w:t>
            </w:r>
          </w:p>
        </w:tc>
        <w:tc>
          <w:tcPr>
            <w:tcW w:w="6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111,030</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85,690</w:t>
            </w:r>
          </w:p>
        </w:tc>
        <w:tc>
          <w:tcPr>
            <w:tcW w:w="64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20%</w:t>
            </w:r>
          </w:p>
        </w:tc>
        <w:tc>
          <w:tcPr>
            <w:tcW w:w="2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674,378</w:t>
            </w:r>
          </w:p>
        </w:tc>
        <w:tc>
          <w:tcPr>
            <w:tcW w:w="1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563,600</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56,109</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46,486</w:t>
            </w:r>
          </w:p>
        </w:tc>
        <w:tc>
          <w:tcPr>
            <w:tcW w:w="64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rPr>
              <w:t>20%</w:t>
            </w:r>
          </w:p>
        </w:tc>
        <w:tc>
          <w:tcPr>
            <w:tcW w:w="2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$ 730,487</w:t>
            </w:r>
          </w:p>
        </w:tc>
        <w:tc>
          <w:tcPr>
            <w:tcW w:w="1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$ 610,086</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2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60,293</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13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58,154</w:t>
            </w:r>
          </w:p>
        </w:tc>
        <w:tc>
          <w:tcPr>
            <w:tcW w:w="640" w:type="dxa"/>
            <w:vAlign w:val="bottom"/>
            <w:shd w:val="clear" w:color="auto" w:fill="CCEEFF"/>
          </w:tcPr>
          <w:p>
            <w:pPr>
              <w:spacing w:after="0"/>
              <w:rPr>
                <w:sz w:val="18"/>
                <w:szCs w:val="18"/>
                <w:color w:val="auto"/>
              </w:rPr>
            </w:pP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vMerge w:val="restart"/>
          </w:tcPr>
          <w:p>
            <w:pPr>
              <w:jc w:val="right"/>
              <w:ind w:right="220"/>
              <w:spacing w:after="0"/>
              <w:rPr>
                <w:sz w:val="20"/>
                <w:szCs w:val="20"/>
                <w:color w:val="auto"/>
              </w:rPr>
            </w:pPr>
            <w:r>
              <w:rPr>
                <w:rFonts w:ascii="Arial" w:cs="Arial" w:eastAsia="Arial" w:hAnsi="Arial"/>
                <w:sz w:val="18"/>
                <w:szCs w:val="18"/>
                <w:b w:val="1"/>
                <w:bCs w:val="1"/>
                <w:color w:val="auto"/>
              </w:rPr>
              <w:t>18%</w:t>
            </w:r>
          </w:p>
        </w:tc>
        <w:tc>
          <w:tcPr>
            <w:tcW w:w="2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$ 790,780</w:t>
            </w:r>
          </w:p>
        </w:tc>
        <w:tc>
          <w:tcPr>
            <w:tcW w:w="1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$ 668,240</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3"/>
              </w:rPr>
              <w:t>Six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95"/>
              </w:rPr>
              <w:t>April 30, 2011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5"/>
              </w:rPr>
              <w:t>May 1, 2010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840" w:type="dxa"/>
            <w:vAlign w:val="bottom"/>
            <w:gridSpan w:val="2"/>
            <w:vMerge w:val="restart"/>
          </w:tcPr>
          <w:p>
            <w:pPr>
              <w:jc w:val="right"/>
              <w:ind w:right="73"/>
              <w:spacing w:after="0"/>
              <w:rPr>
                <w:sz w:val="20"/>
                <w:szCs w:val="20"/>
                <w:color w:val="auto"/>
              </w:rPr>
            </w:pPr>
            <w:r>
              <w:rPr>
                <w:rFonts w:ascii="Arial" w:cs="Arial" w:eastAsia="Arial" w:hAnsi="Arial"/>
                <w:sz w:val="14"/>
                <w:szCs w:val="14"/>
                <w:b w:val="1"/>
                <w:bCs w:val="1"/>
                <w:color w:val="auto"/>
              </w:rPr>
              <w:t>Revenue</w:t>
            </w:r>
          </w:p>
        </w:tc>
        <w:tc>
          <w:tcPr>
            <w:tcW w:w="200" w:type="dxa"/>
            <w:vAlign w:val="bottom"/>
            <w:gridSpan w:val="2"/>
            <w:vMerge w:val="restart"/>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4"/>
          </w:tcPr>
          <w:p>
            <w:pPr>
              <w:jc w:val="center"/>
              <w:ind w:right="920"/>
              <w:spacing w:after="0" w:line="119" w:lineRule="exact"/>
              <w:rPr>
                <w:sz w:val="20"/>
                <w:szCs w:val="20"/>
                <w:color w:val="auto"/>
              </w:rPr>
            </w:pPr>
            <w:r>
              <w:rPr>
                <w:rFonts w:ascii="Arial" w:cs="Arial" w:eastAsia="Arial" w:hAnsi="Arial"/>
                <w:sz w:val="13"/>
                <w:szCs w:val="13"/>
                <w:b w:val="1"/>
                <w:bCs w:val="1"/>
                <w:color w:val="auto"/>
              </w:rPr>
              <w:t>% of</w:t>
            </w:r>
          </w:p>
        </w:tc>
        <w:tc>
          <w:tcPr>
            <w:tcW w:w="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Y/Y%</w:t>
            </w:r>
          </w:p>
        </w:tc>
        <w:tc>
          <w:tcPr>
            <w:tcW w:w="500" w:type="dxa"/>
            <w:vAlign w:val="bottom"/>
            <w:gridSpan w:val="2"/>
            <w:vMerge w:val="restart"/>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2"/>
              </w:rPr>
              <w:t>Revenue</w:t>
            </w:r>
          </w:p>
        </w:tc>
        <w:tc>
          <w:tcPr>
            <w:tcW w:w="640" w:type="dxa"/>
            <w:vAlign w:val="bottom"/>
            <w:vMerge w:val="restart"/>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9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6"/>
              </w:rPr>
              <w:t>$  682,947</w:t>
            </w:r>
          </w:p>
        </w:tc>
        <w:tc>
          <w:tcPr>
            <w:tcW w:w="140" w:type="dxa"/>
            <w:vAlign w:val="bottom"/>
            <w:shd w:val="clear" w:color="auto" w:fill="CCEEFF"/>
          </w:tcPr>
          <w:p>
            <w:pPr>
              <w:spacing w:after="0"/>
              <w:rPr>
                <w:sz w:val="18"/>
                <w:szCs w:val="18"/>
                <w:color w:val="auto"/>
              </w:rPr>
            </w:pPr>
          </w:p>
        </w:tc>
        <w:tc>
          <w:tcPr>
            <w:tcW w:w="1840" w:type="dxa"/>
            <w:vAlign w:val="bottom"/>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72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  600,719</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408,183</w:t>
            </w:r>
          </w:p>
        </w:tc>
        <w:tc>
          <w:tcPr>
            <w:tcW w:w="140" w:type="dxa"/>
            <w:vAlign w:val="bottom"/>
          </w:tcPr>
          <w:p>
            <w:pPr>
              <w:spacing w:after="0"/>
              <w:rPr>
                <w:sz w:val="18"/>
                <w:szCs w:val="18"/>
                <w:color w:val="auto"/>
              </w:rPr>
            </w:pPr>
          </w:p>
        </w:tc>
        <w:tc>
          <w:tcPr>
            <w:tcW w:w="1840" w:type="dxa"/>
            <w:vAlign w:val="bottom"/>
            <w:gridSpan w:val="5"/>
          </w:tcPr>
          <w:p>
            <w:pPr>
              <w:jc w:val="right"/>
              <w:ind w:right="5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29%</w:t>
            </w:r>
          </w:p>
        </w:tc>
        <w:tc>
          <w:tcPr>
            <w:tcW w:w="1720" w:type="dxa"/>
            <w:vAlign w:val="bottom"/>
            <w:gridSpan w:val="5"/>
          </w:tcPr>
          <w:p>
            <w:pPr>
              <w:jc w:val="right"/>
              <w:ind w:right="660"/>
              <w:spacing w:after="0"/>
              <w:rPr>
                <w:sz w:val="20"/>
                <w:szCs w:val="20"/>
                <w:color w:val="auto"/>
              </w:rPr>
            </w:pPr>
            <w:r>
              <w:rPr>
                <w:rFonts w:ascii="Arial" w:cs="Arial" w:eastAsia="Arial" w:hAnsi="Arial"/>
                <w:sz w:val="18"/>
                <w:szCs w:val="18"/>
                <w:color w:val="auto"/>
              </w:rPr>
              <w:t>317,541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202,434</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w:t>
            </w:r>
          </w:p>
        </w:tc>
        <w:tc>
          <w:tcPr>
            <w:tcW w:w="172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156,599</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8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vMerge w:val="restart"/>
          </w:tcPr>
          <w:p>
            <w:pPr>
              <w:jc w:val="right"/>
              <w:ind w:right="340"/>
              <w:spacing w:after="0"/>
              <w:rPr>
                <w:sz w:val="20"/>
                <w:szCs w:val="20"/>
                <w:color w:val="auto"/>
              </w:rPr>
            </w:pPr>
            <w:r>
              <w:rPr>
                <w:rFonts w:ascii="Arial" w:cs="Arial" w:eastAsia="Arial" w:hAnsi="Arial"/>
                <w:sz w:val="18"/>
                <w:szCs w:val="18"/>
                <w:color w:val="auto"/>
              </w:rPr>
              <w:t>20%</w:t>
            </w:r>
          </w:p>
        </w:tc>
        <w:tc>
          <w:tcPr>
            <w:tcW w:w="240" w:type="dxa"/>
            <w:vAlign w:val="bottom"/>
            <w:vMerge w:val="restart"/>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1,293,564</w:t>
            </w:r>
          </w:p>
        </w:tc>
        <w:tc>
          <w:tcPr>
            <w:tcW w:w="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1,074,859</w:t>
            </w:r>
          </w:p>
        </w:tc>
        <w:tc>
          <w:tcPr>
            <w:tcW w:w="64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109,462</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172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85,683</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8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vMerge w:val="restart"/>
          </w:tcPr>
          <w:p>
            <w:pPr>
              <w:jc w:val="right"/>
              <w:ind w:right="320"/>
              <w:spacing w:after="0"/>
              <w:rPr>
                <w:sz w:val="20"/>
                <w:szCs w:val="20"/>
                <w:color w:val="auto"/>
              </w:rPr>
            </w:pPr>
            <w:r>
              <w:rPr>
                <w:rFonts w:ascii="Arial" w:cs="Arial" w:eastAsia="Arial" w:hAnsi="Arial"/>
                <w:sz w:val="18"/>
                <w:szCs w:val="18"/>
                <w:b w:val="1"/>
                <w:bCs w:val="1"/>
                <w:color w:val="auto"/>
              </w:rPr>
              <w:t>21%</w:t>
            </w:r>
          </w:p>
        </w:tc>
        <w:tc>
          <w:tcPr>
            <w:tcW w:w="240" w:type="dxa"/>
            <w:vAlign w:val="bottom"/>
            <w:vMerge w:val="restart"/>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$ 1,403,026</w:t>
            </w:r>
          </w:p>
        </w:tc>
        <w:tc>
          <w:tcPr>
            <w:tcW w:w="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4"/>
              </w:rPr>
              <w:t>$ 1,160,542</w:t>
            </w: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116,258</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172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110,681</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3"/>
            <w:vMerge w:val="restart"/>
          </w:tcPr>
          <w:p>
            <w:pPr>
              <w:jc w:val="right"/>
              <w:ind w:right="320"/>
              <w:spacing w:after="0"/>
              <w:rPr>
                <w:sz w:val="20"/>
                <w:szCs w:val="20"/>
                <w:color w:val="auto"/>
              </w:rPr>
            </w:pPr>
            <w:r>
              <w:rPr>
                <w:rFonts w:ascii="Arial" w:cs="Arial" w:eastAsia="Arial" w:hAnsi="Arial"/>
                <w:sz w:val="18"/>
                <w:szCs w:val="18"/>
                <w:b w:val="1"/>
                <w:bCs w:val="1"/>
                <w:color w:val="auto"/>
              </w:rPr>
              <w:t>20%</w:t>
            </w:r>
          </w:p>
        </w:tc>
        <w:tc>
          <w:tcPr>
            <w:tcW w:w="240" w:type="dxa"/>
            <w:vAlign w:val="bottom"/>
            <w:vMerge w:val="restart"/>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86"/>
              </w:rPr>
              <w:t>$ 1,519,284</w:t>
            </w:r>
          </w:p>
        </w:tc>
        <w:tc>
          <w:tcPr>
            <w:tcW w:w="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1060" w:type="dxa"/>
            <w:vAlign w:val="bottom"/>
            <w:gridSpan w:val="3"/>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4"/>
              </w:rPr>
              <w:t>$ 1,271,223</w:t>
            </w:r>
          </w:p>
        </w:tc>
        <w:tc>
          <w:tcPr>
            <w:tcW w:w="64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Revenue by geographic region, based upon customer location, for the three- and six-month periods ended April 30, 2011 and May 1, 2010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Region</w:t>
            </w: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4020" w:type="dxa"/>
            <w:vAlign w:val="bottom"/>
            <w:gridSpan w:val="2"/>
            <w:vMerge w:val="continue"/>
          </w:tcPr>
          <w:p>
            <w:pPr>
              <w:spacing w:after="0"/>
              <w:rPr>
                <w:sz w:val="12"/>
                <w:szCs w:val="12"/>
                <w:color w:val="auto"/>
              </w:rPr>
            </w:pPr>
          </w:p>
        </w:tc>
        <w:tc>
          <w:tcPr>
            <w:tcW w:w="2060" w:type="dxa"/>
            <w:vAlign w:val="bottom"/>
          </w:tcPr>
          <w:p>
            <w:pPr>
              <w:spacing w:after="0"/>
              <w:rPr>
                <w:sz w:val="12"/>
                <w:szCs w:val="12"/>
                <w:color w:val="auto"/>
              </w:rPr>
            </w:pPr>
          </w:p>
        </w:tc>
        <w:tc>
          <w:tcPr>
            <w:tcW w:w="15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May 1, 2010</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May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146,199</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$ 128,360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276,596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43,839</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37,984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85,732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231,331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175,930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422,620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Japan</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92,780</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105,871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196,947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216,221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154,571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109,001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302,692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Rest of Asia</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122,060</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111,094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234,697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208,297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220" w:type="dxa"/>
            <w:vAlign w:val="bottom"/>
            <w:gridSpan w:val="2"/>
            <w:shd w:val="clear" w:color="auto" w:fill="CCEEFF"/>
          </w:tcPr>
          <w:p>
            <w:pPr>
              <w:ind w:left="20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790,780</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$ 668,240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9"/>
              </w:rPr>
              <w:t>1,519,284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1,271,223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60" w:type="dxa"/>
            <w:vAlign w:val="bottom"/>
            <w:vMerge w:val="restart"/>
          </w:tcPr>
          <w:p>
            <w:pPr>
              <w:jc w:val="right"/>
              <w:ind w:right="190"/>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In the three- and six-month periods ended April 30, 2011 and May 1, 2010,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21" w:lineRule="exact"/>
        <w:rPr>
          <w:sz w:val="20"/>
          <w:szCs w:val="20"/>
          <w:color w:val="auto"/>
        </w:rPr>
      </w:pPr>
    </w:p>
    <w:p>
      <w:pPr>
        <w:ind w:right="120" w:firstLine="22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80"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62" w:lineRule="exact"/>
        <w:rPr>
          <w:sz w:val="20"/>
          <w:szCs w:val="20"/>
          <w:color w:val="auto"/>
        </w:rPr>
      </w:pPr>
    </w:p>
    <w:p>
      <w:pPr>
        <w:ind w:right="180" w:firstLine="225"/>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16" w:lineRule="exact"/>
        <w:rPr>
          <w:sz w:val="20"/>
          <w:szCs w:val="20"/>
          <w:color w:val="auto"/>
        </w:rPr>
      </w:pPr>
    </w:p>
    <w:p>
      <w:pPr>
        <w:ind w:right="460" w:firstLine="225"/>
        <w:spacing w:after="0" w:line="308"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Level 3 inputs are unobservable inputs for the asset or liability in which there is little, if any, market activity for the asset or liability at the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date. As of April 30, 2011 and October 30, 2010 the Company held no assets or liabilities valued using Level 3 inputs.</w:t>
      </w:r>
    </w:p>
    <w:p>
      <w:pPr>
        <w:spacing w:after="0" w:line="38" w:lineRule="exact"/>
        <w:rPr>
          <w:sz w:val="20"/>
          <w:szCs w:val="20"/>
          <w:color w:val="auto"/>
        </w:rPr>
      </w:pPr>
    </w:p>
    <w:p>
      <w:pPr>
        <w:jc w:val="both"/>
        <w:ind w:right="220" w:firstLine="222"/>
        <w:spacing w:after="0" w:line="342" w:lineRule="auto"/>
        <w:rPr>
          <w:sz w:val="20"/>
          <w:szCs w:val="20"/>
          <w:color w:val="auto"/>
        </w:rPr>
      </w:pPr>
      <w:r>
        <w:rPr>
          <w:rFonts w:ascii="Arial" w:cs="Arial" w:eastAsia="Arial" w:hAnsi="Arial"/>
          <w:sz w:val="16"/>
          <w:szCs w:val="16"/>
          <w:color w:val="auto"/>
        </w:rPr>
        <w:t>The table below sets forth by level the Company’s financial assets and liabilities that were accounted for at fair value on a recurring basis as of April 30, 2011 and October 30, 2010. The table excludes cash on hand and assets and liabilities that are measured at historical cost or any basis other than fair value.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April 30, 2011</w:t>
            </w: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October 30, 2010</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40" w:type="dxa"/>
            <w:vAlign w:val="bottom"/>
            <w:gridSpan w:val="6"/>
          </w:tcPr>
          <w:p>
            <w:pPr>
              <w:jc w:val="right"/>
              <w:ind w:right="580"/>
              <w:spacing w:after="0" w:line="119" w:lineRule="exact"/>
              <w:rPr>
                <w:sz w:val="20"/>
                <w:szCs w:val="20"/>
                <w:color w:val="auto"/>
              </w:rPr>
            </w:pPr>
            <w:r>
              <w:rPr>
                <w:rFonts w:ascii="Arial" w:cs="Arial" w:eastAsia="Arial" w:hAnsi="Arial"/>
                <w:sz w:val="13"/>
                <w:szCs w:val="13"/>
                <w:b w:val="1"/>
                <w:bCs w:val="1"/>
                <w:color w:val="auto"/>
              </w:rPr>
              <w:t>Fair Value measurement at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720" w:type="dxa"/>
            <w:vAlign w:val="bottom"/>
            <w:gridSpan w:val="6"/>
          </w:tcPr>
          <w:p>
            <w:pPr>
              <w:jc w:val="right"/>
              <w:ind w:right="860"/>
              <w:spacing w:after="0" w:line="119" w:lineRule="exact"/>
              <w:rPr>
                <w:sz w:val="20"/>
                <w:szCs w:val="20"/>
                <w:color w:val="auto"/>
              </w:rPr>
            </w:pPr>
            <w:r>
              <w:rPr>
                <w:rFonts w:ascii="Arial" w:cs="Arial" w:eastAsia="Arial" w:hAnsi="Arial"/>
                <w:sz w:val="13"/>
                <w:szCs w:val="13"/>
                <w:b w:val="1"/>
                <w:bCs w:val="1"/>
                <w:color w:val="auto"/>
              </w:rPr>
              <w:t>Fair Value measurement at</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Reporting Date using:</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Reporting Date using:</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Quoted</w:t>
            </w: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Quoted</w:t>
            </w: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Prices in</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Prices in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Active</w:t>
            </w:r>
          </w:p>
        </w:tc>
        <w:tc>
          <w:tcPr>
            <w:tcW w:w="560" w:type="dxa"/>
            <w:vAlign w:val="bottom"/>
          </w:tcPr>
          <w:p>
            <w:pPr>
              <w:spacing w:after="0"/>
              <w:rPr>
                <w:sz w:val="12"/>
                <w:szCs w:val="12"/>
                <w:color w:val="auto"/>
              </w:rPr>
            </w:pPr>
          </w:p>
        </w:tc>
        <w:tc>
          <w:tcPr>
            <w:tcW w:w="11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Active</w:t>
            </w:r>
          </w:p>
        </w:tc>
        <w:tc>
          <w:tcPr>
            <w:tcW w:w="360" w:type="dxa"/>
            <w:vAlign w:val="bottom"/>
          </w:tcPr>
          <w:p>
            <w:pPr>
              <w:spacing w:after="0"/>
              <w:rPr>
                <w:sz w:val="12"/>
                <w:szCs w:val="12"/>
                <w:color w:val="auto"/>
              </w:rPr>
            </w:pPr>
          </w:p>
        </w:tc>
        <w:tc>
          <w:tcPr>
            <w:tcW w:w="144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Markets</w:t>
            </w:r>
          </w:p>
        </w:tc>
        <w:tc>
          <w:tcPr>
            <w:tcW w:w="5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Markets</w:t>
            </w:r>
          </w:p>
        </w:tc>
        <w:tc>
          <w:tcPr>
            <w:tcW w:w="3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for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for</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Identical</w:t>
            </w:r>
          </w:p>
        </w:tc>
        <w:tc>
          <w:tcPr>
            <w:tcW w:w="56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360" w:type="dxa"/>
            <w:vAlign w:val="bottom"/>
          </w:tcPr>
          <w:p>
            <w:pPr>
              <w:spacing w:after="0"/>
              <w:rPr>
                <w:sz w:val="12"/>
                <w:szCs w:val="12"/>
                <w:color w:val="auto"/>
              </w:rPr>
            </w:pPr>
          </w:p>
        </w:tc>
        <w:tc>
          <w:tcPr>
            <w:tcW w:w="14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Assets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Inputs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Assets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1)</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420"/>
              <w:spacing w:after="0"/>
              <w:rPr>
                <w:sz w:val="20"/>
                <w:szCs w:val="20"/>
                <w:color w:val="auto"/>
              </w:rPr>
            </w:pPr>
            <w:r>
              <w:rPr>
                <w:rFonts w:ascii="Arial" w:cs="Arial" w:eastAsia="Arial" w:hAnsi="Arial"/>
                <w:sz w:val="18"/>
                <w:szCs w:val="18"/>
                <w:color w:val="auto"/>
              </w:rPr>
              <w:t>Institutional 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1,419,715</w:t>
            </w:r>
          </w:p>
        </w:tc>
        <w:tc>
          <w:tcPr>
            <w:tcW w:w="20" w:type="dxa"/>
            <w:vAlign w:val="bottom"/>
          </w:tcPr>
          <w:p>
            <w:pPr>
              <w:spacing w:after="0"/>
              <w:rPr>
                <w:sz w:val="18"/>
                <w:szCs w:val="18"/>
                <w:color w:val="auto"/>
              </w:rPr>
            </w:pP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1,419,715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921,034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921,034</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Corporate obligations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426,255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426,255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99,959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99,959</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tcPr>
          <w:p>
            <w:pPr>
              <w:ind w:left="420"/>
              <w:spacing w:after="0" w:line="201" w:lineRule="exact"/>
              <w:rPr>
                <w:sz w:val="20"/>
                <w:szCs w:val="20"/>
                <w:color w:val="auto"/>
              </w:rPr>
            </w:pPr>
            <w:r>
              <w:rPr>
                <w:rFonts w:ascii="Arial" w:cs="Arial" w:eastAsia="Arial" w:hAnsi="Arial"/>
                <w:sz w:val="18"/>
                <w:szCs w:val="18"/>
                <w:color w:val="auto"/>
              </w:rPr>
              <w:t>Securities with one year or less to</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620"/>
              <w:spacing w:after="0"/>
              <w:rPr>
                <w:sz w:val="20"/>
                <w:szCs w:val="20"/>
                <w:color w:val="auto"/>
              </w:rPr>
            </w:pPr>
            <w:r>
              <w:rPr>
                <w:rFonts w:ascii="Arial" w:cs="Arial" w:eastAsia="Arial" w:hAnsi="Arial"/>
                <w:sz w:val="18"/>
                <w:szCs w:val="18"/>
                <w:color w:val="auto"/>
              </w:rPr>
              <w:t>maturity:</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Corporate obligations (1)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1,503,974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1,503,974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1,520,220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1,520,220</w:t>
            </w:r>
          </w:p>
        </w:tc>
        <w:tc>
          <w:tcPr>
            <w:tcW w:w="0" w:type="dxa"/>
            <w:vAlign w:val="bottom"/>
          </w:tcPr>
          <w:p>
            <w:pPr>
              <w:spacing w:after="0"/>
              <w:rPr>
                <w:sz w:val="1"/>
                <w:szCs w:val="1"/>
                <w:color w:val="auto"/>
              </w:rPr>
            </w:pPr>
          </w:p>
        </w:tc>
      </w:tr>
      <w:tr>
        <w:trPr>
          <w:trHeight w:val="202"/>
        </w:trPr>
        <w:tc>
          <w:tcPr>
            <w:tcW w:w="3420" w:type="dxa"/>
            <w:vAlign w:val="bottom"/>
          </w:tcPr>
          <w:p>
            <w:pPr>
              <w:ind w:left="620"/>
              <w:spacing w:after="0" w:line="201" w:lineRule="exact"/>
              <w:rPr>
                <w:sz w:val="20"/>
                <w:szCs w:val="20"/>
                <w:color w:val="auto"/>
              </w:rPr>
            </w:pPr>
            <w:r>
              <w:rPr>
                <w:rFonts w:ascii="Arial" w:cs="Arial" w:eastAsia="Arial" w:hAnsi="Arial"/>
                <w:sz w:val="18"/>
                <w:szCs w:val="18"/>
                <w:color w:val="auto"/>
              </w:rPr>
              <w:t>Floating rate notes, issued at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820"/>
              <w:spacing w:after="0"/>
              <w:rPr>
                <w:sz w:val="20"/>
                <w:szCs w:val="20"/>
                <w:color w:val="auto"/>
              </w:rPr>
            </w:pPr>
            <w:r>
              <w:rPr>
                <w:rFonts w:ascii="Arial" w:cs="Arial" w:eastAsia="Arial" w:hAnsi="Arial"/>
                <w:sz w:val="18"/>
                <w:szCs w:val="18"/>
                <w:color w:val="auto"/>
              </w:rPr>
              <w:t>par</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Securities with greater than one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year to maturity:</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620"/>
              <w:spacing w:after="0"/>
              <w:rPr>
                <w:sz w:val="20"/>
                <w:szCs w:val="20"/>
                <w:color w:val="auto"/>
              </w:rPr>
            </w:pPr>
            <w:r>
              <w:rPr>
                <w:rFonts w:ascii="Arial" w:cs="Arial" w:eastAsia="Arial" w:hAnsi="Arial"/>
                <w:sz w:val="18"/>
                <w:szCs w:val="18"/>
                <w:color w:val="auto"/>
              </w:rPr>
              <w:t>Floating rate notes (1)</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17,629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17,629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17,548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17,548</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tcPr>
          <w:p>
            <w:pPr>
              <w:ind w:left="220"/>
              <w:spacing w:after="0" w:line="201" w:lineRule="exact"/>
              <w:rPr>
                <w:sz w:val="20"/>
                <w:szCs w:val="20"/>
                <w:color w:val="auto"/>
              </w:rPr>
            </w:pPr>
            <w:r>
              <w:rPr>
                <w:rFonts w:ascii="Arial" w:cs="Arial" w:eastAsia="Arial" w:hAnsi="Arial"/>
                <w:sz w:val="18"/>
                <w:szCs w:val="18"/>
                <w:color w:val="auto"/>
              </w:rPr>
              <w:t>Forward foreign currency exchange</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420"/>
              <w:spacing w:after="0"/>
              <w:rPr>
                <w:sz w:val="20"/>
                <w:szCs w:val="20"/>
                <w:color w:val="auto"/>
              </w:rPr>
            </w:pPr>
            <w:r>
              <w:rPr>
                <w:rFonts w:ascii="Arial" w:cs="Arial" w:eastAsia="Arial" w:hAnsi="Arial"/>
                <w:sz w:val="18"/>
                <w:szCs w:val="18"/>
                <w:color w:val="auto"/>
              </w:rPr>
              <w:t>contracts (2)</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12,376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12,376</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7,256</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7,256</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compensation investments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8,690</w:t>
            </w:r>
          </w:p>
        </w:tc>
        <w:tc>
          <w:tcPr>
            <w:tcW w:w="0" w:type="dxa"/>
            <w:vAlign w:val="bottom"/>
          </w:tcPr>
          <w:p>
            <w:pPr>
              <w:spacing w:after="0"/>
              <w:rPr>
                <w:sz w:val="1"/>
                <w:szCs w:val="1"/>
                <w:color w:val="auto"/>
              </w:rPr>
            </w:pPr>
          </w:p>
        </w:tc>
      </w:tr>
      <w:tr>
        <w:trPr>
          <w:trHeight w:val="216"/>
        </w:trPr>
        <w:tc>
          <w:tcPr>
            <w:tcW w:w="3420" w:type="dxa"/>
            <w:vAlign w:val="bottom"/>
          </w:tcPr>
          <w:p>
            <w:pPr>
              <w:ind w:left="220"/>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1,495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1,495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1,317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 agreements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18,310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26,801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26,801</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b w:val="1"/>
                <w:bCs w:val="1"/>
                <w:color w:val="auto"/>
              </w:rPr>
              <w:t>Total assets measured at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1,447,124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1,978,544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3,425,668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931,041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1,721,784</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2,652,825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2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shd w:val="clear" w:color="auto" w:fill="CCEEFF"/>
          </w:tcPr>
          <w:p>
            <w:pPr>
              <w:ind w:left="820"/>
              <w:spacing w:after="0" w:line="201" w:lineRule="exact"/>
              <w:rPr>
                <w:sz w:val="20"/>
                <w:szCs w:val="20"/>
                <w:color w:val="auto"/>
              </w:rPr>
            </w:pPr>
            <w:r>
              <w:rPr>
                <w:rFonts w:ascii="Arial" w:cs="Arial" w:eastAsia="Arial" w:hAnsi="Arial"/>
                <w:sz w:val="18"/>
                <w:szCs w:val="18"/>
                <w:color w:val="auto"/>
              </w:rPr>
              <w:t>$375 million aggregate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principle 5.0% debt (3)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392,302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392,302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400,635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400,635</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b w:val="1"/>
                <w:bCs w:val="1"/>
                <w:color w:val="auto"/>
              </w:rPr>
              <w:t>Total liabilities measured at fair value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392,302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392,302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400,635</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400,635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16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April 30, 2011 and October 30, 2010 was $1,523.0 million and $1,639.1 million, respectively.</w:t>
      </w:r>
    </w:p>
    <w:p>
      <w:pPr>
        <w:spacing w:after="0" w:line="21" w:lineRule="exact"/>
        <w:rPr>
          <w:rFonts w:ascii="Arial" w:cs="Arial" w:eastAsia="Arial" w:hAnsi="Arial"/>
          <w:sz w:val="18"/>
          <w:szCs w:val="18"/>
          <w:color w:val="auto"/>
        </w:rPr>
      </w:pPr>
    </w:p>
    <w:p>
      <w:pPr>
        <w:ind w:left="460" w:right="54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a master netting arrangement by counterparty with respect to derivative contracts. As of April 30, 2011 and October 30, 2010, contracts in a liability position of $0.7 million and $0.8 million, respectively were netted against contracts in an asset position in the condensed consolidated balance sheets.</w:t>
      </w:r>
    </w:p>
    <w:p>
      <w:pPr>
        <w:spacing w:after="0" w:line="32"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Equal to the accreted notional value of the debt plus the mark-to-market of the interest rate component of the long-term debt to fair value. The fair value of the long-term debt as of April 30, 2011 and October 30, 2010 was $412.2 million and $416.3 million, respectively.</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62"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and other investments </w:t>
      </w:r>
      <w:r>
        <w:rPr>
          <w:rFonts w:ascii="Arial" w:cs="Arial" w:eastAsia="Arial" w:hAnsi="Arial"/>
          <w:sz w:val="18"/>
          <w:szCs w:val="18"/>
          <w:color w:val="auto"/>
        </w:rPr>
        <w:t>— The fair value of these mutual fund, money market fund and equity investments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quoted market prices.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Long-term debt </w:t>
      </w:r>
      <w:r>
        <w:rPr>
          <w:rFonts w:ascii="Arial" w:cs="Arial" w:eastAsia="Arial" w:hAnsi="Arial"/>
          <w:sz w:val="18"/>
          <w:szCs w:val="18"/>
          <w:color w:val="auto"/>
        </w:rPr>
        <w:t>— The fair value of long-term debt is based on quotes received from third party banks.</w:t>
      </w:r>
    </w:p>
    <w:p>
      <w:pPr>
        <w:spacing w:after="0" w:line="117"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b w:val="1"/>
          <w:bCs w:val="1"/>
          <w:i w:val="1"/>
          <w:iCs w:val="1"/>
          <w:color w:val="auto"/>
        </w:rPr>
        <w:t xml:space="preserve">Interest rate swap agreements </w:t>
      </w:r>
      <w:r>
        <w:rPr>
          <w:rFonts w:ascii="Arial" w:cs="Arial" w:eastAsia="Arial" w:hAnsi="Arial"/>
          <w:sz w:val="18"/>
          <w:szCs w:val="18"/>
          <w:color w:val="auto"/>
        </w:rPr>
        <w:t>— The fair value of interest rate swap agreements is based on quotes received from third party banks. These values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 the estimated amount the Company would receive or pay to terminate the agreements taking into consideration current interest rates as well as the creditworthiness of the counterparty.</w:t>
      </w:r>
    </w:p>
    <w:p>
      <w:pPr>
        <w:spacing w:after="0" w:line="73"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b w:val="1"/>
          <w:bCs w:val="1"/>
          <w:i w:val="1"/>
          <w:iCs w:val="1"/>
          <w:color w:val="auto"/>
        </w:rPr>
        <w:t xml:space="preserve">Forward foreign currency exchange contracts </w:t>
      </w:r>
      <w:r>
        <w:rPr>
          <w:rFonts w:ascii="Arial" w:cs="Arial" w:eastAsia="Arial" w:hAnsi="Arial"/>
          <w:sz w:val="18"/>
          <w:szCs w:val="18"/>
          <w:color w:val="auto"/>
        </w:rPr>
        <w:t>— The estimated fair value of forward foreign currency exchange contracts, which includes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Company accounts for its equity investments in privately held companies under the cost method. These investments are subject to periodic impairment review and measured and recorded at fair value when they are deemed to be other-than-temporarily impaired. The aggregate carrying value of the Company’s investments in privately held companies was approximately $2.1 million and was classified in other investments on the Company’s Condensed Consolidated Balance Sheets as of April 30, 2011. The Company did not have any investments in privately held companies as of October 30, 2010.</w:t>
      </w:r>
    </w:p>
    <w:p>
      <w:pPr>
        <w:spacing w:after="0" w:line="46"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On April 4, 2011, the Company issued $375 million aggregate principal amount of 3.0% senior unsecured notes due April 15, 2016 (the 3.0% Notes) with semi-annual fixed interest payments due on April 15 and October 15 of each year, commencing October 15, 2011. The fair value of the 3.0% Notes as of April 30, 2011 was $379.4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21" w:lineRule="exact"/>
        <w:rPr>
          <w:sz w:val="20"/>
          <w:szCs w:val="20"/>
          <w:color w:val="auto"/>
        </w:rPr>
      </w:pPr>
    </w:p>
    <w:p>
      <w:pPr>
        <w:ind w:right="60" w:firstLine="225"/>
        <w:spacing w:after="0" w:line="268" w:lineRule="auto"/>
        <w:rPr>
          <w:sz w:val="20"/>
          <w:szCs w:val="20"/>
          <w:color w:val="auto"/>
        </w:rPr>
      </w:pPr>
      <w:r>
        <w:rPr>
          <w:rFonts w:ascii="Arial" w:cs="Arial" w:eastAsia="Arial" w:hAnsi="Arial"/>
          <w:sz w:val="17"/>
          <w:szCs w:val="17"/>
          <w:i w:val="1"/>
          <w:iCs w:val="1"/>
          <w:color w:val="auto"/>
        </w:rPr>
        <w:t xml:space="preserve">Foreign Exchange Exposure Management </w:t>
      </w:r>
      <w:r>
        <w:rPr>
          <w:rFonts w:ascii="Arial" w:cs="Arial" w:eastAsia="Arial" w:hAnsi="Arial"/>
          <w:sz w:val="17"/>
          <w:szCs w:val="17"/>
          <w:color w:val="auto"/>
        </w:rPr>
        <w:t>— The Company enters into forward foreign currency exchange contracts to offset certain operational and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exposures include the Philippine Peso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instrument reported as a component of accumulated other comprehensive (loss) income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April 30, 2011 and October 30, 2010, the total notional amount of these undesignated hedges was $36.2 million and $42.1 million, respectively. The fair value of these hedging instruments in the Company’s condensed consolidated balance sheets as of April 30, 2011 was $0.5 million. As of October 30, 2010, the amount was immaterial.</w:t>
      </w:r>
    </w:p>
    <w:p>
      <w:pPr>
        <w:spacing w:after="0" w:line="80"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i w:val="1"/>
          <w:iCs w:val="1"/>
          <w:color w:val="auto"/>
        </w:rPr>
        <w:t xml:space="preserve">Interest Rate Exposure Management </w:t>
      </w:r>
      <w:r>
        <w:rPr>
          <w:rFonts w:ascii="Arial" w:cs="Arial" w:eastAsia="Arial" w:hAnsi="Arial"/>
          <w:sz w:val="17"/>
          <w:szCs w:val="17"/>
          <w:color w:val="auto"/>
        </w:rPr>
        <w:t>— On June 30, 2009, the Company entered into interest rate swap transactions related to its outstanding 5.0% senior</w:t>
      </w:r>
      <w:r>
        <w:rPr>
          <w:rFonts w:ascii="Arial" w:cs="Arial" w:eastAsia="Arial" w:hAnsi="Arial"/>
          <w:sz w:val="17"/>
          <w:szCs w:val="17"/>
          <w:i w:val="1"/>
          <w:iCs w:val="1"/>
          <w:color w:val="auto"/>
        </w:rPr>
        <w:t xml:space="preserve"> </w:t>
      </w:r>
      <w:r>
        <w:rPr>
          <w:rFonts w:ascii="Arial" w:cs="Arial" w:eastAsia="Arial" w:hAnsi="Arial"/>
          <w:sz w:val="17"/>
          <w:szCs w:val="17"/>
          <w:color w:val="auto"/>
        </w:rPr>
        <w:t>unsecured notes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of every January and July, commencing January 1, 2010 through and ending on the maturity date; and (ii) pay on the $375 million notional amount an annual three month LIBOR plus 2.05% (2.35% as of April 30, 2011) interest payment, payable in four installments on the 1st of every January, April, July and October, commencing on October 1, 2009 and ending on the maturity date. The LIBOR-based rate is set quarterly three months prior to the date of the interest payment. The Company designated these swaps as fair value hedges.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gain or loss on the hedged item (that is, the fixed-rate borrowings) attributable to the hedged benchmark interest rate risk and the offsetting gain or loss on the related interest rate swaps for the six-month periods ended April 30, 2011 and May 1, 2010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Statement Classification</w:t>
            </w:r>
          </w:p>
        </w:tc>
        <w:tc>
          <w:tcPr>
            <w:tcW w:w="1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April 30, 2011</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May 1, 2010</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gridSpan w:val="3"/>
            <w:vMerge w:val="continue"/>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Loss on Swaps</w:t>
            </w:r>
          </w:p>
        </w:tc>
        <w:tc>
          <w:tcPr>
            <w:tcW w:w="300" w:type="dxa"/>
            <w:vAlign w:val="bottom"/>
          </w:tcPr>
          <w:p>
            <w:pPr>
              <w:spacing w:after="0"/>
              <w:rPr>
                <w:sz w:val="12"/>
                <w:szCs w:val="12"/>
                <w:color w:val="auto"/>
              </w:rPr>
            </w:pPr>
          </w:p>
        </w:tc>
        <w:tc>
          <w:tcPr>
            <w:tcW w:w="112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Gain on Note</w:t>
            </w:r>
          </w:p>
        </w:tc>
        <w:tc>
          <w:tcPr>
            <w:tcW w:w="300" w:type="dxa"/>
            <w:vAlign w:val="bottom"/>
          </w:tcPr>
          <w:p>
            <w:pPr>
              <w:spacing w:after="0"/>
              <w:rPr>
                <w:sz w:val="12"/>
                <w:szCs w:val="12"/>
                <w:color w:val="auto"/>
              </w:rPr>
            </w:pPr>
          </w:p>
        </w:tc>
        <w:tc>
          <w:tcPr>
            <w:tcW w:w="11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4"/>
              </w:rPr>
              <w:t>Net Income Effect</w:t>
            </w:r>
          </w:p>
        </w:tc>
        <w:tc>
          <w:tcPr>
            <w:tcW w:w="300" w:type="dxa"/>
            <w:vAlign w:val="bottom"/>
          </w:tcPr>
          <w:p>
            <w:pPr>
              <w:spacing w:after="0"/>
              <w:rPr>
                <w:sz w:val="12"/>
                <w:szCs w:val="12"/>
                <w:color w:val="auto"/>
              </w:rPr>
            </w:pPr>
          </w:p>
        </w:tc>
        <w:tc>
          <w:tcPr>
            <w:tcW w:w="120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Gain on Swaps</w:t>
            </w:r>
          </w:p>
        </w:tc>
        <w:tc>
          <w:tcPr>
            <w:tcW w:w="30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Loss on Note</w:t>
            </w:r>
          </w:p>
        </w:tc>
        <w:tc>
          <w:tcPr>
            <w:tcW w:w="300" w:type="dxa"/>
            <w:vAlign w:val="bottom"/>
          </w:tcPr>
          <w:p>
            <w:pPr>
              <w:spacing w:after="0"/>
              <w:rPr>
                <w:sz w:val="12"/>
                <w:szCs w:val="12"/>
                <w:color w:val="auto"/>
              </w:rPr>
            </w:pPr>
          </w:p>
        </w:tc>
        <w:tc>
          <w:tcPr>
            <w:tcW w:w="118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94"/>
              </w:rPr>
              <w:t>Net Income Effect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9"/>
                <w:szCs w:val="19"/>
                <w:color w:val="auto"/>
              </w:rPr>
            </w:pPr>
          </w:p>
        </w:tc>
        <w:tc>
          <w:tcPr>
            <w:tcW w:w="1220" w:type="dxa"/>
            <w:vAlign w:val="bottom"/>
            <w:tcBorders>
              <w:top w:val="single" w:sz="8" w:color="auto"/>
            </w:tcBorders>
          </w:tcPr>
          <w:p>
            <w:pPr>
              <w:jc w:val="right"/>
              <w:ind w:right="239"/>
              <w:spacing w:after="0"/>
              <w:rPr>
                <w:sz w:val="20"/>
                <w:szCs w:val="20"/>
                <w:color w:val="auto"/>
              </w:rPr>
            </w:pPr>
            <w:r>
              <w:rPr>
                <w:rFonts w:ascii="Arial" w:cs="Arial" w:eastAsia="Arial" w:hAnsi="Arial"/>
                <w:sz w:val="18"/>
                <w:szCs w:val="18"/>
                <w:color w:val="auto"/>
              </w:rPr>
              <w:t>$(8,491)</w:t>
            </w:r>
          </w:p>
        </w:tc>
        <w:tc>
          <w:tcPr>
            <w:tcW w:w="300" w:type="dxa"/>
            <w:vAlign w:val="bottom"/>
          </w:tcPr>
          <w:p>
            <w:pPr>
              <w:spacing w:after="0"/>
              <w:rPr>
                <w:sz w:val="19"/>
                <w:szCs w:val="19"/>
                <w:color w:val="auto"/>
              </w:rPr>
            </w:pPr>
          </w:p>
        </w:tc>
        <w:tc>
          <w:tcPr>
            <w:tcW w:w="1120" w:type="dxa"/>
            <w:vAlign w:val="bottom"/>
            <w:tcBorders>
              <w:top w:val="single" w:sz="8" w:color="auto"/>
            </w:tcBorders>
          </w:tcPr>
          <w:p>
            <w:pPr>
              <w:jc w:val="right"/>
              <w:ind w:right="282"/>
              <w:spacing w:after="0"/>
              <w:rPr>
                <w:sz w:val="20"/>
                <w:szCs w:val="20"/>
                <w:color w:val="auto"/>
              </w:rPr>
            </w:pPr>
            <w:r>
              <w:rPr>
                <w:rFonts w:ascii="Arial" w:cs="Arial" w:eastAsia="Arial" w:hAnsi="Arial"/>
                <w:sz w:val="18"/>
                <w:szCs w:val="18"/>
                <w:color w:val="auto"/>
              </w:rPr>
              <w:t>$8,491</w:t>
            </w:r>
          </w:p>
        </w:tc>
        <w:tc>
          <w:tcPr>
            <w:tcW w:w="300" w:type="dxa"/>
            <w:vAlign w:val="bottom"/>
          </w:tcPr>
          <w:p>
            <w:pPr>
              <w:spacing w:after="0"/>
              <w:rPr>
                <w:sz w:val="19"/>
                <w:szCs w:val="19"/>
                <w:color w:val="auto"/>
              </w:rPr>
            </w:pPr>
          </w:p>
        </w:tc>
        <w:tc>
          <w:tcPr>
            <w:tcW w:w="11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9"/>
                <w:szCs w:val="19"/>
                <w:color w:val="auto"/>
              </w:rPr>
            </w:pPr>
          </w:p>
        </w:tc>
        <w:tc>
          <w:tcPr>
            <w:tcW w:w="1200" w:type="dxa"/>
            <w:vAlign w:val="bottom"/>
            <w:tcBorders>
              <w:top w:val="single" w:sz="8" w:color="auto"/>
            </w:tcBorders>
          </w:tcPr>
          <w:p>
            <w:pPr>
              <w:jc w:val="right"/>
              <w:ind w:right="319"/>
              <w:spacing w:after="0"/>
              <w:rPr>
                <w:sz w:val="20"/>
                <w:szCs w:val="20"/>
                <w:color w:val="auto"/>
              </w:rPr>
            </w:pPr>
            <w:r>
              <w:rPr>
                <w:rFonts w:ascii="Arial" w:cs="Arial" w:eastAsia="Arial" w:hAnsi="Arial"/>
                <w:sz w:val="18"/>
                <w:szCs w:val="18"/>
                <w:color w:val="auto"/>
              </w:rPr>
              <w:t>$9,630</w:t>
            </w:r>
          </w:p>
        </w:tc>
        <w:tc>
          <w:tcPr>
            <w:tcW w:w="300" w:type="dxa"/>
            <w:vAlign w:val="bottom"/>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$(9,630)</w:t>
            </w:r>
          </w:p>
        </w:tc>
        <w:tc>
          <w:tcPr>
            <w:tcW w:w="300" w:type="dxa"/>
            <w:vAlign w:val="bottom"/>
          </w:tcPr>
          <w:p>
            <w:pPr>
              <w:spacing w:after="0"/>
              <w:rPr>
                <w:sz w:val="19"/>
                <w:szCs w:val="19"/>
                <w:color w:val="auto"/>
              </w:rPr>
            </w:pPr>
          </w:p>
        </w:tc>
        <w:tc>
          <w:tcPr>
            <w:tcW w:w="11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amounts earned and owed under the swap agreements are accrued each period and are reported in interest expense. There was no ineffectiveness recognized in any of the periods presented.</w:t>
      </w:r>
    </w:p>
    <w:p>
      <w:pPr>
        <w:spacing w:after="0" w:line="62"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Furthermore, none of the Company’s derivative transactions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70"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Company records the fair value of its derivative financial instruments in the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total notional amount of derivative instruments designated as hedging instruments as of April 30, 2011 and October 30, 2010 was as follows: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$375 million of interest rate swap agreements accounted for as fair value hedges, and $146.0 million and $140.0 million, respectively, of cash flow hedges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denominated in Euros, British Pounds and Philippine Pesos. The fair value of these hedging instruments in the Company’s condensed consolidated balance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sheets as of April 30, 2011 and October 30, 2010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4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Balance Sheet Location</w:t>
            </w:r>
          </w:p>
        </w:tc>
        <w:tc>
          <w:tcPr>
            <w:tcW w:w="500" w:type="dxa"/>
            <w:vAlign w:val="bottom"/>
          </w:tcPr>
          <w:p>
            <w:pPr>
              <w:spacing w:after="0"/>
              <w:rPr>
                <w:sz w:val="14"/>
                <w:szCs w:val="14"/>
                <w:color w:val="auto"/>
              </w:rPr>
            </w:pPr>
          </w:p>
        </w:tc>
        <w:tc>
          <w:tcPr>
            <w:tcW w:w="1220" w:type="dxa"/>
            <w:vAlign w:val="bottom"/>
          </w:tcPr>
          <w:p>
            <w:pPr>
              <w:jc w:val="right"/>
              <w:ind w:right="122"/>
              <w:spacing w:after="0"/>
              <w:rPr>
                <w:sz w:val="20"/>
                <w:szCs w:val="20"/>
                <w:color w:val="auto"/>
              </w:rPr>
            </w:pPr>
            <w:r>
              <w:rPr>
                <w:rFonts w:ascii="Arial" w:cs="Arial" w:eastAsia="Arial" w:hAnsi="Arial"/>
                <w:sz w:val="14"/>
                <w:szCs w:val="14"/>
                <w:b w:val="1"/>
                <w:bCs w:val="1"/>
                <w:color w:val="auto"/>
              </w:rPr>
              <w:t>Fair Value at</w:t>
            </w:r>
          </w:p>
        </w:tc>
        <w:tc>
          <w:tcPr>
            <w:tcW w:w="500" w:type="dxa"/>
            <w:vAlign w:val="bottom"/>
          </w:tcPr>
          <w:p>
            <w:pPr>
              <w:spacing w:after="0"/>
              <w:rPr>
                <w:sz w:val="14"/>
                <w:szCs w:val="14"/>
                <w:color w:val="auto"/>
              </w:rPr>
            </w:pPr>
          </w:p>
        </w:tc>
        <w:tc>
          <w:tcPr>
            <w:tcW w:w="14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171"/>
        </w:trPr>
        <w:tc>
          <w:tcPr>
            <w:tcW w:w="3620" w:type="dxa"/>
            <w:vAlign w:val="bottom"/>
            <w:vMerge w:val="restart"/>
          </w:tcPr>
          <w:p>
            <w:pPr>
              <w:spacing w:after="0"/>
              <w:rPr>
                <w:sz w:val="20"/>
                <w:szCs w:val="20"/>
                <w:color w:val="auto"/>
              </w:rPr>
            </w:pPr>
            <w:r>
              <w:rPr>
                <w:rFonts w:ascii="Arial" w:cs="Arial" w:eastAsia="Arial" w:hAnsi="Arial"/>
                <w:sz w:val="18"/>
                <w:szCs w:val="18"/>
                <w:color w:val="auto"/>
              </w:rPr>
              <w:t>Interest rate swap agreements</w:t>
            </w:r>
          </w:p>
        </w:tc>
        <w:tc>
          <w:tcPr>
            <w:tcW w:w="340" w:type="dxa"/>
            <w:vAlign w:val="bottom"/>
          </w:tcPr>
          <w:p>
            <w:pPr>
              <w:spacing w:after="0"/>
              <w:rPr>
                <w:sz w:val="14"/>
                <w:szCs w:val="14"/>
                <w:color w:val="auto"/>
              </w:rPr>
            </w:pPr>
          </w:p>
        </w:tc>
        <w:tc>
          <w:tcPr>
            <w:tcW w:w="384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April 30, 2011</w:t>
            </w:r>
          </w:p>
        </w:tc>
        <w:tc>
          <w:tcPr>
            <w:tcW w:w="500" w:type="dxa"/>
            <w:vAlign w:val="bottom"/>
          </w:tcPr>
          <w:p>
            <w:pPr>
              <w:spacing w:after="0"/>
              <w:rPr>
                <w:sz w:val="14"/>
                <w:szCs w:val="14"/>
                <w:color w:val="auto"/>
              </w:rPr>
            </w:pPr>
          </w:p>
        </w:tc>
        <w:tc>
          <w:tcPr>
            <w:tcW w:w="14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October 30, 2010</w:t>
            </w:r>
          </w:p>
        </w:tc>
        <w:tc>
          <w:tcPr>
            <w:tcW w:w="0" w:type="dxa"/>
            <w:vAlign w:val="bottom"/>
          </w:tcPr>
          <w:p>
            <w:pPr>
              <w:spacing w:after="0"/>
              <w:rPr>
                <w:sz w:val="1"/>
                <w:szCs w:val="1"/>
                <w:color w:val="auto"/>
              </w:rPr>
            </w:pPr>
          </w:p>
        </w:tc>
      </w:tr>
      <w:tr>
        <w:trPr>
          <w:trHeight w:val="195"/>
        </w:trPr>
        <w:tc>
          <w:tcPr>
            <w:tcW w:w="36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6"/>
                <w:szCs w:val="16"/>
                <w:color w:val="auto"/>
              </w:rPr>
            </w:pPr>
          </w:p>
        </w:tc>
        <w:tc>
          <w:tcPr>
            <w:tcW w:w="1220" w:type="dxa"/>
            <w:vAlign w:val="bottom"/>
          </w:tcPr>
          <w:p>
            <w:pPr>
              <w:jc w:val="right"/>
              <w:ind w:right="282"/>
              <w:spacing w:after="0" w:line="195" w:lineRule="exact"/>
              <w:rPr>
                <w:sz w:val="20"/>
                <w:szCs w:val="20"/>
                <w:color w:val="auto"/>
              </w:rPr>
            </w:pPr>
            <w:r>
              <w:rPr>
                <w:rFonts w:ascii="Arial" w:cs="Arial" w:eastAsia="Arial" w:hAnsi="Arial"/>
                <w:sz w:val="18"/>
                <w:szCs w:val="18"/>
                <w:color w:val="auto"/>
              </w:rPr>
              <w:t>$18,310</w:t>
            </w:r>
          </w:p>
        </w:tc>
        <w:tc>
          <w:tcPr>
            <w:tcW w:w="500" w:type="dxa"/>
            <w:vAlign w:val="bottom"/>
          </w:tcPr>
          <w:p>
            <w:pPr>
              <w:spacing w:after="0"/>
              <w:rPr>
                <w:sz w:val="16"/>
                <w:szCs w:val="16"/>
                <w:color w:val="auto"/>
              </w:rPr>
            </w:pPr>
          </w:p>
        </w:tc>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line="195" w:lineRule="exact"/>
              <w:rPr>
                <w:sz w:val="20"/>
                <w:szCs w:val="20"/>
                <w:color w:val="auto"/>
              </w:rPr>
            </w:pPr>
            <w:r>
              <w:rPr>
                <w:rFonts w:ascii="Arial" w:cs="Arial" w:eastAsia="Arial" w:hAnsi="Arial"/>
                <w:sz w:val="18"/>
                <w:szCs w:val="18"/>
                <w:color w:val="auto"/>
                <w:w w:val="87"/>
              </w:rPr>
              <w:t>26,801</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w w:val="99"/>
              </w:rPr>
              <w:t>Forward foreign currency exchange contracts</w:t>
            </w:r>
          </w:p>
        </w:tc>
        <w:tc>
          <w:tcPr>
            <w:tcW w:w="418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gridSpan w:val="2"/>
          </w:tcPr>
          <w:p>
            <w:pPr>
              <w:jc w:val="right"/>
              <w:ind w:right="282"/>
              <w:spacing w:after="0"/>
              <w:rPr>
                <w:sz w:val="20"/>
                <w:szCs w:val="20"/>
                <w:color w:val="auto"/>
              </w:rPr>
            </w:pPr>
            <w:r>
              <w:rPr>
                <w:rFonts w:ascii="Arial" w:cs="Arial" w:eastAsia="Arial" w:hAnsi="Arial"/>
                <w:sz w:val="18"/>
                <w:szCs w:val="18"/>
                <w:color w:val="auto"/>
              </w:rPr>
              <w:t>$11,925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405"/>
        </w:trPr>
        <w:tc>
          <w:tcPr>
            <w:tcW w:w="3620" w:type="dxa"/>
            <w:vAlign w:val="bottom"/>
          </w:tcPr>
          <w:p>
            <w:pPr>
              <w:spacing w:after="0"/>
              <w:rPr>
                <w:sz w:val="24"/>
                <w:szCs w:val="24"/>
                <w:color w:val="auto"/>
              </w:rPr>
            </w:pPr>
          </w:p>
        </w:tc>
        <w:tc>
          <w:tcPr>
            <w:tcW w:w="4180" w:type="dxa"/>
            <w:vAlign w:val="bottom"/>
            <w:gridSpan w:val="2"/>
          </w:tcPr>
          <w:p>
            <w:pPr>
              <w:jc w:val="right"/>
              <w:ind w:right="1919"/>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222"/>
        <w:spacing w:after="0" w:line="277" w:lineRule="auto"/>
        <w:rPr>
          <w:sz w:val="20"/>
          <w:szCs w:val="20"/>
          <w:color w:val="auto"/>
        </w:rPr>
      </w:pPr>
      <w:r>
        <w:rPr>
          <w:rFonts w:ascii="Arial" w:cs="Arial" w:eastAsia="Arial" w:hAnsi="Arial"/>
          <w:sz w:val="18"/>
          <w:szCs w:val="18"/>
          <w:color w:val="auto"/>
        </w:rPr>
        <w:t>The effect of derivative instruments designated as cash flow hedges on the condensed consolidated statements of income for the three- and six-month periods ended April 30, 2011 and May 1, 2010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28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540" w:type="dxa"/>
            <w:vAlign w:val="bottom"/>
            <w:vMerge w:val="restart"/>
          </w:tcPr>
          <w:p>
            <w:pPr>
              <w:spacing w:after="0"/>
              <w:rPr>
                <w:sz w:val="20"/>
                <w:szCs w:val="20"/>
                <w:color w:val="auto"/>
              </w:rPr>
            </w:pPr>
            <w:r>
              <w:rPr>
                <w:rFonts w:ascii="Arial" w:cs="Arial" w:eastAsia="Arial" w:hAnsi="Arial"/>
                <w:sz w:val="18"/>
                <w:szCs w:val="18"/>
                <w:color w:val="auto"/>
              </w:rPr>
              <w:t>Gain (loss) recognized in OCI on derivatives (net of tax of $1,390 in 2011 and $462 in 2010)</w:t>
            </w:r>
          </w:p>
        </w:tc>
        <w:tc>
          <w:tcPr>
            <w:tcW w:w="12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April 30, 2011</w:t>
            </w:r>
          </w:p>
        </w:tc>
        <w:tc>
          <w:tcPr>
            <w:tcW w:w="540" w:type="dxa"/>
            <w:vAlign w:val="bottom"/>
          </w:tcPr>
          <w:p>
            <w:pPr>
              <w:spacing w:after="0"/>
              <w:rPr>
                <w:sz w:val="12"/>
                <w:szCs w:val="12"/>
                <w:color w:val="auto"/>
              </w:rPr>
            </w:pPr>
          </w:p>
        </w:tc>
        <w:tc>
          <w:tcPr>
            <w:tcW w:w="11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May 1, 2010</w:t>
            </w:r>
          </w:p>
        </w:tc>
        <w:tc>
          <w:tcPr>
            <w:tcW w:w="0" w:type="dxa"/>
            <w:vAlign w:val="bottom"/>
          </w:tcPr>
          <w:p>
            <w:pPr>
              <w:spacing w:after="0"/>
              <w:rPr>
                <w:sz w:val="1"/>
                <w:szCs w:val="1"/>
                <w:color w:val="auto"/>
              </w:rPr>
            </w:pPr>
          </w:p>
        </w:tc>
      </w:tr>
      <w:tr>
        <w:trPr>
          <w:trHeight w:val="195"/>
        </w:trPr>
        <w:tc>
          <w:tcPr>
            <w:tcW w:w="8540" w:type="dxa"/>
            <w:vAlign w:val="bottom"/>
            <w:vMerge w:val="continue"/>
          </w:tcPr>
          <w:p>
            <w:pPr>
              <w:spacing w:after="0"/>
              <w:rPr>
                <w:sz w:val="16"/>
                <w:szCs w:val="16"/>
                <w:color w:val="auto"/>
              </w:rPr>
            </w:pPr>
          </w:p>
        </w:tc>
        <w:tc>
          <w:tcPr>
            <w:tcW w:w="1200" w:type="dxa"/>
            <w:vAlign w:val="bottom"/>
          </w:tcPr>
          <w:p>
            <w:pPr>
              <w:ind w:left="280"/>
              <w:spacing w:after="0" w:line="195" w:lineRule="exact"/>
              <w:rPr>
                <w:sz w:val="20"/>
                <w:szCs w:val="20"/>
                <w:color w:val="auto"/>
              </w:rPr>
            </w:pPr>
            <w:r>
              <w:rPr>
                <w:rFonts w:ascii="Arial" w:cs="Arial" w:eastAsia="Arial" w:hAnsi="Arial"/>
                <w:sz w:val="18"/>
                <w:szCs w:val="18"/>
                <w:color w:val="auto"/>
              </w:rPr>
              <w:t>$ 9,266</w:t>
            </w:r>
          </w:p>
        </w:tc>
        <w:tc>
          <w:tcPr>
            <w:tcW w:w="540" w:type="dxa"/>
            <w:vAlign w:val="bottom"/>
          </w:tcPr>
          <w:p>
            <w:pPr>
              <w:spacing w:after="0"/>
              <w:rPr>
                <w:sz w:val="16"/>
                <w:szCs w:val="16"/>
                <w:color w:val="auto"/>
              </w:rPr>
            </w:pPr>
          </w:p>
        </w:tc>
        <w:tc>
          <w:tcPr>
            <w:tcW w:w="1140" w:type="dxa"/>
            <w:vAlign w:val="bottom"/>
          </w:tcPr>
          <w:p>
            <w:pPr>
              <w:ind w:left="240"/>
              <w:spacing w:after="0" w:line="195" w:lineRule="exact"/>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(Gain) loss reclassified from OCI into income (net of tax of $540 in 2011 and $153 in 2010)</w:t>
            </w:r>
          </w:p>
        </w:tc>
        <w:tc>
          <w:tcPr>
            <w:tcW w:w="1200" w:type="dxa"/>
            <w:vAlign w:val="bottom"/>
          </w:tcPr>
          <w:p>
            <w:pPr>
              <w:ind w:left="280"/>
              <w:spacing w:after="0"/>
              <w:rPr>
                <w:sz w:val="20"/>
                <w:szCs w:val="20"/>
                <w:color w:val="auto"/>
              </w:rPr>
            </w:pPr>
            <w:r>
              <w:rPr>
                <w:rFonts w:ascii="Arial" w:cs="Arial" w:eastAsia="Arial" w:hAnsi="Arial"/>
                <w:sz w:val="18"/>
                <w:szCs w:val="18"/>
                <w:color w:val="auto"/>
              </w:rPr>
              <w:t>$(3,600)</w:t>
            </w:r>
          </w:p>
        </w:tc>
        <w:tc>
          <w:tcPr>
            <w:tcW w:w="1680" w:type="dxa"/>
            <w:vAlign w:val="bottom"/>
            <w:gridSpan w:val="2"/>
          </w:tcPr>
          <w:p>
            <w:pPr>
              <w:ind w:left="780"/>
              <w:spacing w:after="0"/>
              <w:rPr>
                <w:sz w:val="20"/>
                <w:szCs w:val="20"/>
                <w:color w:val="auto"/>
              </w:rPr>
            </w:pPr>
            <w:r>
              <w:rPr>
                <w:rFonts w:ascii="Arial" w:cs="Arial" w:eastAsia="Arial" w:hAnsi="Arial"/>
                <w:sz w:val="18"/>
                <w:szCs w:val="18"/>
                <w:color w:val="auto"/>
              </w:rPr>
              <w:t>$  873</w:t>
            </w:r>
          </w:p>
        </w:tc>
        <w:tc>
          <w:tcPr>
            <w:tcW w:w="0" w:type="dxa"/>
            <w:vAlign w:val="bottom"/>
          </w:tcPr>
          <w:p>
            <w:pPr>
              <w:spacing w:after="0"/>
              <w:rPr>
                <w:sz w:val="1"/>
                <w:szCs w:val="1"/>
                <w:color w:val="auto"/>
              </w:rPr>
            </w:pPr>
          </w:p>
        </w:tc>
      </w:tr>
      <w:tr>
        <w:trPr>
          <w:trHeight w:val="365"/>
        </w:trPr>
        <w:tc>
          <w:tcPr>
            <w:tcW w:w="8540" w:type="dxa"/>
            <w:vAlign w:val="bottom"/>
          </w:tcPr>
          <w:p>
            <w:pPr>
              <w:spacing w:after="0"/>
              <w:rPr>
                <w:sz w:val="24"/>
                <w:szCs w:val="24"/>
                <w:color w:val="auto"/>
              </w:rPr>
            </w:pPr>
          </w:p>
        </w:tc>
        <w:tc>
          <w:tcPr>
            <w:tcW w:w="28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8540" w:type="dxa"/>
            <w:vAlign w:val="bottom"/>
            <w:vMerge w:val="restart"/>
          </w:tcPr>
          <w:p>
            <w:pPr>
              <w:spacing w:after="0"/>
              <w:rPr>
                <w:sz w:val="20"/>
                <w:szCs w:val="20"/>
                <w:color w:val="auto"/>
              </w:rPr>
            </w:pPr>
            <w:r>
              <w:rPr>
                <w:rFonts w:ascii="Arial" w:cs="Arial" w:eastAsia="Arial" w:hAnsi="Arial"/>
                <w:sz w:val="18"/>
                <w:szCs w:val="18"/>
                <w:color w:val="auto"/>
              </w:rPr>
              <w:t>Gain (loss) recognized in OCI on derivatives (net of tax of $1,044 in 2011 and $1,157 in 2010)</w:t>
            </w:r>
          </w:p>
        </w:tc>
        <w:tc>
          <w:tcPr>
            <w:tcW w:w="12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April 30, 2011</w:t>
            </w:r>
          </w:p>
        </w:tc>
        <w:tc>
          <w:tcPr>
            <w:tcW w:w="540" w:type="dxa"/>
            <w:vAlign w:val="bottom"/>
          </w:tcPr>
          <w:p>
            <w:pPr>
              <w:spacing w:after="0"/>
              <w:rPr>
                <w:sz w:val="12"/>
                <w:szCs w:val="12"/>
                <w:color w:val="auto"/>
              </w:rPr>
            </w:pPr>
          </w:p>
        </w:tc>
        <w:tc>
          <w:tcPr>
            <w:tcW w:w="114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May 1, 2010</w:t>
            </w:r>
          </w:p>
        </w:tc>
        <w:tc>
          <w:tcPr>
            <w:tcW w:w="0" w:type="dxa"/>
            <w:vAlign w:val="bottom"/>
          </w:tcPr>
          <w:p>
            <w:pPr>
              <w:spacing w:after="0"/>
              <w:rPr>
                <w:sz w:val="1"/>
                <w:szCs w:val="1"/>
                <w:color w:val="auto"/>
              </w:rPr>
            </w:pPr>
          </w:p>
        </w:tc>
      </w:tr>
      <w:tr>
        <w:trPr>
          <w:trHeight w:val="195"/>
        </w:trPr>
        <w:tc>
          <w:tcPr>
            <w:tcW w:w="8540" w:type="dxa"/>
            <w:vAlign w:val="bottom"/>
            <w:vMerge w:val="continue"/>
          </w:tcPr>
          <w:p>
            <w:pPr>
              <w:spacing w:after="0"/>
              <w:rPr>
                <w:sz w:val="16"/>
                <w:szCs w:val="16"/>
                <w:color w:val="auto"/>
              </w:rPr>
            </w:pPr>
          </w:p>
        </w:tc>
        <w:tc>
          <w:tcPr>
            <w:tcW w:w="1200" w:type="dxa"/>
            <w:vAlign w:val="bottom"/>
          </w:tcPr>
          <w:p>
            <w:pPr>
              <w:ind w:left="280"/>
              <w:spacing w:after="0" w:line="195" w:lineRule="exact"/>
              <w:rPr>
                <w:sz w:val="20"/>
                <w:szCs w:val="20"/>
                <w:color w:val="auto"/>
              </w:rPr>
            </w:pPr>
            <w:r>
              <w:rPr>
                <w:rFonts w:ascii="Arial" w:cs="Arial" w:eastAsia="Arial" w:hAnsi="Arial"/>
                <w:sz w:val="18"/>
                <w:szCs w:val="18"/>
                <w:color w:val="auto"/>
              </w:rPr>
              <w:t>$ 6,655</w:t>
            </w:r>
          </w:p>
        </w:tc>
        <w:tc>
          <w:tcPr>
            <w:tcW w:w="540" w:type="dxa"/>
            <w:vAlign w:val="bottom"/>
          </w:tcPr>
          <w:p>
            <w:pPr>
              <w:spacing w:after="0"/>
              <w:rPr>
                <w:sz w:val="16"/>
                <w:szCs w:val="16"/>
                <w:color w:val="auto"/>
              </w:rPr>
            </w:pPr>
          </w:p>
        </w:tc>
        <w:tc>
          <w:tcPr>
            <w:tcW w:w="1140" w:type="dxa"/>
            <w:vAlign w:val="bottom"/>
          </w:tcPr>
          <w:p>
            <w:pPr>
              <w:ind w:left="240"/>
              <w:spacing w:after="0" w:line="195" w:lineRule="exact"/>
              <w:rPr>
                <w:sz w:val="20"/>
                <w:szCs w:val="20"/>
                <w:color w:val="auto"/>
              </w:rPr>
            </w:pPr>
            <w:r>
              <w:rPr>
                <w:rFonts w:ascii="Arial" w:cs="Arial" w:eastAsia="Arial" w:hAnsi="Arial"/>
                <w:sz w:val="18"/>
                <w:szCs w:val="18"/>
                <w:color w:val="auto"/>
              </w:rPr>
              <w:t>$(7,242)</w:t>
            </w:r>
          </w:p>
        </w:tc>
        <w:tc>
          <w:tcPr>
            <w:tcW w:w="0" w:type="dxa"/>
            <w:vAlign w:val="bottom"/>
          </w:tcPr>
          <w:p>
            <w:pPr>
              <w:spacing w:after="0"/>
              <w:rPr>
                <w:sz w:val="1"/>
                <w:szCs w:val="1"/>
                <w:color w:val="auto"/>
              </w:rPr>
            </w:pPr>
          </w:p>
        </w:tc>
      </w:tr>
      <w:tr>
        <w:trPr>
          <w:trHeight w:val="230"/>
        </w:trPr>
        <w:tc>
          <w:tcPr>
            <w:tcW w:w="8540" w:type="dxa"/>
            <w:vAlign w:val="bottom"/>
          </w:tcPr>
          <w:p>
            <w:pPr>
              <w:spacing w:after="0"/>
              <w:rPr>
                <w:sz w:val="20"/>
                <w:szCs w:val="20"/>
                <w:color w:val="auto"/>
              </w:rPr>
            </w:pPr>
            <w:r>
              <w:rPr>
                <w:rFonts w:ascii="Arial" w:cs="Arial" w:eastAsia="Arial" w:hAnsi="Arial"/>
                <w:sz w:val="18"/>
                <w:szCs w:val="18"/>
                <w:color w:val="auto"/>
              </w:rPr>
              <w:t>Gain reclassified from OCI into income (net of tax of $595 in 2011 and $208 in 2010)</w:t>
            </w:r>
          </w:p>
        </w:tc>
        <w:tc>
          <w:tcPr>
            <w:tcW w:w="1200" w:type="dxa"/>
            <w:vAlign w:val="bottom"/>
          </w:tcPr>
          <w:p>
            <w:pPr>
              <w:ind w:left="280"/>
              <w:spacing w:after="0"/>
              <w:rPr>
                <w:sz w:val="20"/>
                <w:szCs w:val="20"/>
                <w:color w:val="auto"/>
              </w:rPr>
            </w:pPr>
            <w:r>
              <w:rPr>
                <w:rFonts w:ascii="Arial" w:cs="Arial" w:eastAsia="Arial" w:hAnsi="Arial"/>
                <w:sz w:val="18"/>
                <w:szCs w:val="18"/>
                <w:color w:val="auto"/>
              </w:rPr>
              <w:t>$(4,012)</w:t>
            </w:r>
          </w:p>
        </w:tc>
        <w:tc>
          <w:tcPr>
            <w:tcW w:w="1680" w:type="dxa"/>
            <w:vAlign w:val="bottom"/>
            <w:gridSpan w:val="2"/>
          </w:tcPr>
          <w:p>
            <w:pPr>
              <w:ind w:left="78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amounts reclassified into earnings before tax are recognized in cost of sales and operating expenses for the three- and six-month periods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30, 2011 and May 1, 2010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8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April 30, 2011</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May 1, 2010</w:t>
            </w:r>
          </w:p>
        </w:tc>
      </w:tr>
      <w:tr>
        <w:trPr>
          <w:trHeight w:val="210"/>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$1,815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9"/>
              </w:rPr>
              <w:t>$114</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ind w:left="280"/>
              <w:spacing w:after="0"/>
              <w:rPr>
                <w:sz w:val="20"/>
                <w:szCs w:val="20"/>
                <w:color w:val="auto"/>
              </w:rPr>
            </w:pPr>
            <w:r>
              <w:rPr>
                <w:rFonts w:ascii="Arial" w:cs="Arial" w:eastAsia="Arial" w:hAnsi="Arial"/>
                <w:sz w:val="18"/>
                <w:szCs w:val="18"/>
                <w:color w:val="auto"/>
              </w:rPr>
              <w:t>$1,167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$483</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1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$1,158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9"/>
              </w:rPr>
              <w:t>$429</w:t>
            </w:r>
          </w:p>
        </w:tc>
      </w:tr>
      <w:tr>
        <w:trPr>
          <w:trHeight w:val="365"/>
        </w:trPr>
        <w:tc>
          <w:tcPr>
            <w:tcW w:w="8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w w:val="98"/>
              </w:rPr>
              <w:t>Six Months Ended</w:t>
            </w:r>
          </w:p>
        </w:tc>
        <w:tc>
          <w:tcPr>
            <w:tcW w:w="720" w:type="dxa"/>
            <w:vAlign w:val="bottom"/>
            <w:tcBorders>
              <w:bottom w:val="single" w:sz="8" w:color="auto"/>
            </w:tcBorders>
          </w:tcPr>
          <w:p>
            <w:pPr>
              <w:spacing w:after="0"/>
              <w:rPr>
                <w:sz w:val="24"/>
                <w:szCs w:val="24"/>
                <w:color w:val="auto"/>
              </w:rPr>
            </w:pPr>
          </w:p>
        </w:tc>
      </w:tr>
      <w:tr>
        <w:trPr>
          <w:trHeight w:val="142"/>
        </w:trPr>
        <w:tc>
          <w:tcPr>
            <w:tcW w:w="8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w w:val="97"/>
              </w:rPr>
              <w:t>May 1, 2010</w:t>
            </w:r>
          </w:p>
        </w:tc>
      </w:tr>
      <w:tr>
        <w:trPr>
          <w:trHeight w:val="210"/>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$2,249</w:t>
            </w:r>
          </w:p>
        </w:tc>
        <w:tc>
          <w:tcPr>
            <w:tcW w:w="14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50"/>
              <w:spacing w:after="0"/>
              <w:rPr>
                <w:sz w:val="20"/>
                <w:szCs w:val="20"/>
                <w:color w:val="auto"/>
              </w:rPr>
            </w:pPr>
            <w:r>
              <w:rPr>
                <w:rFonts w:ascii="Arial" w:cs="Arial" w:eastAsia="Arial" w:hAnsi="Arial"/>
                <w:sz w:val="18"/>
                <w:szCs w:val="18"/>
                <w:color w:val="auto"/>
              </w:rPr>
              <w:t>$1,279</w:t>
            </w: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tcPr>
          <w:p>
            <w:pPr>
              <w:ind w:left="140"/>
              <w:spacing w:after="0"/>
              <w:rPr>
                <w:sz w:val="20"/>
                <w:szCs w:val="20"/>
                <w:color w:val="auto"/>
              </w:rPr>
            </w:pPr>
            <w:r>
              <w:rPr>
                <w:rFonts w:ascii="Arial" w:cs="Arial" w:eastAsia="Arial" w:hAnsi="Arial"/>
                <w:sz w:val="18"/>
                <w:szCs w:val="18"/>
                <w:color w:val="auto"/>
              </w:rPr>
              <w:t>$1,196</w:t>
            </w:r>
          </w:p>
        </w:tc>
        <w:tc>
          <w:tcPr>
            <w:tcW w:w="140" w:type="dxa"/>
            <w:vAlign w:val="bottom"/>
          </w:tcPr>
          <w:p>
            <w:pPr>
              <w:spacing w:after="0"/>
              <w:rPr>
                <w:sz w:val="18"/>
                <w:szCs w:val="18"/>
                <w:color w:val="auto"/>
              </w:rPr>
            </w:pPr>
          </w:p>
        </w:tc>
        <w:tc>
          <w:tcPr>
            <w:tcW w:w="760" w:type="dxa"/>
            <w:vAlign w:val="bottom"/>
            <w:gridSpan w:val="3"/>
          </w:tcPr>
          <w:p>
            <w:pPr>
              <w:ind w:left="6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250"/>
              <w:spacing w:after="0"/>
              <w:rPr>
                <w:sz w:val="20"/>
                <w:szCs w:val="20"/>
                <w:color w:val="auto"/>
              </w:rPr>
            </w:pPr>
            <w:r>
              <w:rPr>
                <w:rFonts w:ascii="Arial" w:cs="Arial" w:eastAsia="Arial" w:hAnsi="Arial"/>
                <w:sz w:val="18"/>
                <w:szCs w:val="18"/>
                <w:color w:val="auto"/>
              </w:rPr>
              <w:t>227</w:t>
            </w: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1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$1,162</w:t>
            </w: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226</w:t>
            </w:r>
          </w:p>
        </w:tc>
      </w:tr>
    </w:tbl>
    <w:p>
      <w:pPr>
        <w:spacing w:after="0" w:line="94" w:lineRule="exact"/>
        <w:rPr>
          <w:sz w:val="20"/>
          <w:szCs w:val="20"/>
          <w:color w:val="auto"/>
        </w:rPr>
      </w:pPr>
    </w:p>
    <w:p>
      <w:pPr>
        <w:jc w:val="both"/>
        <w:ind w:right="80" w:firstLine="215"/>
        <w:spacing w:after="0" w:line="277" w:lineRule="auto"/>
        <w:rPr>
          <w:sz w:val="20"/>
          <w:szCs w:val="20"/>
          <w:color w:val="auto"/>
        </w:rPr>
      </w:pPr>
      <w:r>
        <w:rPr>
          <w:rFonts w:ascii="Arial" w:cs="Arial" w:eastAsia="Arial" w:hAnsi="Arial"/>
          <w:sz w:val="18"/>
          <w:szCs w:val="18"/>
          <w:color w:val="auto"/>
        </w:rPr>
        <w:t>All derivative gains and losses included in OCI will be reclassified into earnings within the next 12 months. There was no ineffectiveness in the three- and six-month periods ended April 30, 2011 or May 1,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annually evaluates goodwill for impairment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1) or more frequently if indicators of impairment exist. For our latest annual impairment assessment which occurred on August 1, 2010, the Company identified its reporting units to be its five operating segments,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in any of the fiscal years presented. The Company’s next annual impairment assessment will be made on the first day of the fourth quarter of fiscal 2011 unless indicators arise that would require the Company to reevaluate at an earlier date. The following table presents the changes in goodwill during the first six months of fiscal 2011:</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4900" w:type="dxa"/>
            <w:vAlign w:val="bottom"/>
            <w:gridSpan w:val="4"/>
          </w:tcPr>
          <w:p>
            <w:pPr>
              <w:ind w:left="36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5"/>
              </w:rPr>
              <w:t>April 30, 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78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255,580</w:t>
            </w: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3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378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260,639</w:t>
            </w: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assets, which will continue to be amortized,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April 30, 2011</w:t>
            </w:r>
          </w:p>
        </w:tc>
        <w:tc>
          <w:tcPr>
            <w:tcW w:w="5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6"/>
              </w:rPr>
              <w:t>October 30, 2010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780"/>
              <w:spacing w:after="0" w:line="123" w:lineRule="exact"/>
              <w:rPr>
                <w:sz w:val="20"/>
                <w:szCs w:val="20"/>
                <w:color w:val="auto"/>
              </w:rPr>
            </w:pPr>
            <w:r>
              <w:rPr>
                <w:rFonts w:ascii="Arial" w:cs="Arial" w:eastAsia="Arial" w:hAnsi="Arial"/>
                <w:sz w:val="14"/>
                <w:szCs w:val="14"/>
                <w:color w:val="auto"/>
                <w:w w:val="85"/>
              </w:rPr>
              <w:t>Gross</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8"/>
              </w:rPr>
              <w:t>Carrying</w:t>
            </w: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780"/>
              <w:spacing w:after="0"/>
              <w:rPr>
                <w:sz w:val="20"/>
                <w:szCs w:val="20"/>
                <w:color w:val="auto"/>
              </w:rPr>
            </w:pPr>
            <w:r>
              <w:rPr>
                <w:rFonts w:ascii="Arial" w:cs="Arial" w:eastAsia="Arial" w:hAnsi="Arial"/>
                <w:sz w:val="14"/>
                <w:szCs w:val="14"/>
                <w:color w:val="auto"/>
                <w:w w:val="99"/>
              </w:rPr>
              <w:t>Amount</w:t>
            </w: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6,699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7,166</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3,055</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2,858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9,754</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10,024</w:t>
            </w: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Intangible assets are amortized on a straight-line basis over their estimated useful lives or on an accelerated method of amortization that is expected to reflect the estimated pattern of economic use. The remaining amortization expense will be recognized over a weighted-average period of approximately 0.4 years.</w:t>
      </w:r>
    </w:p>
    <w:p>
      <w:pPr>
        <w:spacing w:after="0" w:line="73" w:lineRule="exact"/>
        <w:rPr>
          <w:sz w:val="20"/>
          <w:szCs w:val="20"/>
          <w:color w:val="auto"/>
        </w:rPr>
      </w:pPr>
    </w:p>
    <w:p>
      <w:pPr>
        <w:ind w:right="100" w:firstLine="215"/>
        <w:spacing w:after="0" w:line="277" w:lineRule="auto"/>
        <w:rPr>
          <w:sz w:val="20"/>
          <w:szCs w:val="20"/>
          <w:color w:val="auto"/>
        </w:rPr>
      </w:pPr>
      <w:r>
        <w:rPr>
          <w:rFonts w:ascii="Arial" w:cs="Arial" w:eastAsia="Arial" w:hAnsi="Arial"/>
          <w:sz w:val="18"/>
          <w:szCs w:val="18"/>
          <w:color w:val="auto"/>
        </w:rPr>
        <w:t>Amortization expense was $0.3 million and $1.8 million for the three-month periods ended April 30, 2011 and May 1, 2010, respectively and $0.7 million and $3.6 million for the six-month periods ended April 30, 2011 and May 1, 2010, respectively.</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4"/>
                <w:szCs w:val="14"/>
                <w:color w:val="auto"/>
              </w:rPr>
              <w:t>Amortization</w:t>
            </w:r>
          </w:p>
        </w:tc>
      </w:tr>
      <w:tr>
        <w:trPr>
          <w:trHeight w:val="167"/>
        </w:trPr>
        <w:tc>
          <w:tcPr>
            <w:tcW w:w="9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w:t>
            </w:r>
          </w:p>
        </w:tc>
        <w:tc>
          <w:tcPr>
            <w:tcW w:w="580" w:type="dxa"/>
            <w:vAlign w:val="bottom"/>
          </w:tcPr>
          <w:p>
            <w:pPr>
              <w:spacing w:after="0"/>
              <w:rPr>
                <w:sz w:val="14"/>
                <w:szCs w:val="14"/>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Expense</w:t>
            </w:r>
          </w:p>
        </w:tc>
      </w:tr>
      <w:tr>
        <w:trPr>
          <w:trHeight w:val="224"/>
        </w:trPr>
        <w:tc>
          <w:tcPr>
            <w:tcW w:w="9900" w:type="dxa"/>
            <w:vAlign w:val="bottom"/>
          </w:tcPr>
          <w:p>
            <w:pPr>
              <w:spacing w:after="0"/>
              <w:rPr>
                <w:sz w:val="20"/>
                <w:szCs w:val="20"/>
                <w:color w:val="auto"/>
              </w:rPr>
            </w:pPr>
            <w:r>
              <w:rPr>
                <w:rFonts w:ascii="Arial" w:cs="Arial" w:eastAsia="Arial" w:hAnsi="Arial"/>
                <w:sz w:val="18"/>
                <w:szCs w:val="18"/>
                <w:color w:val="auto"/>
              </w:rPr>
              <w:t>Remainder of 2011</w:t>
            </w:r>
          </w:p>
        </w:tc>
        <w:tc>
          <w:tcPr>
            <w:tcW w:w="580" w:type="dxa"/>
            <w:vAlign w:val="bottom"/>
          </w:tcPr>
          <w:p>
            <w:pPr>
              <w:spacing w:after="0"/>
              <w:rPr>
                <w:sz w:val="19"/>
                <w:szCs w:val="19"/>
                <w:color w:val="auto"/>
              </w:rPr>
            </w:pPr>
          </w:p>
        </w:tc>
        <w:tc>
          <w:tcPr>
            <w:tcW w:w="940" w:type="dxa"/>
            <w:vAlign w:val="bottom"/>
          </w:tcPr>
          <w:p>
            <w:pPr>
              <w:ind w:left="240"/>
              <w:spacing w:after="0"/>
              <w:rPr>
                <w:sz w:val="20"/>
                <w:szCs w:val="20"/>
                <w:color w:val="auto"/>
              </w:rPr>
            </w:pPr>
            <w:r>
              <w:rPr>
                <w:rFonts w:ascii="Arial" w:cs="Arial" w:eastAsia="Arial" w:hAnsi="Arial"/>
                <w:sz w:val="18"/>
                <w:szCs w:val="18"/>
                <w:color w:val="auto"/>
              </w:rPr>
              <w:t>$644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Pension Plans</w:t>
      </w:r>
    </w:p>
    <w:p>
      <w:pPr>
        <w:spacing w:after="0" w:line="121" w:lineRule="exact"/>
        <w:rPr>
          <w:sz w:val="20"/>
          <w:szCs w:val="20"/>
          <w:color w:val="auto"/>
        </w:rPr>
      </w:pPr>
    </w:p>
    <w:p>
      <w:pPr>
        <w:ind w:right="440" w:firstLine="222"/>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left="153"/>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May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2,308</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2,875</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(2,760)</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Amortization of initial net obligation (asset)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 (gain)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Net periodic pension cost</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left="133"/>
              <w:spacing w:after="0"/>
              <w:rPr>
                <w:sz w:val="20"/>
                <w:szCs w:val="20"/>
                <w:color w:val="auto"/>
              </w:rPr>
            </w:pPr>
            <w:r>
              <w:rPr>
                <w:rFonts w:ascii="Arial" w:cs="Arial" w:eastAsia="Arial" w:hAnsi="Arial"/>
                <w:sz w:val="14"/>
                <w:szCs w:val="14"/>
                <w:b w:val="1"/>
                <w:bCs w:val="1"/>
                <w:color w:val="auto"/>
                <w:w w:val="93"/>
              </w:rPr>
              <w:t>Six Months Ended</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May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4,532</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5,628</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(5,405)</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Amortization of initial net obligation (asset)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 (gain)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200"/>
              <w:spacing w:after="0"/>
              <w:rPr>
                <w:sz w:val="20"/>
                <w:szCs w:val="20"/>
                <w:color w:val="auto"/>
              </w:rPr>
            </w:pPr>
            <w:r>
              <w:rPr>
                <w:rFonts w:ascii="Arial" w:cs="Arial" w:eastAsia="Arial" w:hAnsi="Arial"/>
                <w:sz w:val="18"/>
                <w:szCs w:val="18"/>
                <w:color w:val="auto"/>
              </w:rPr>
              <w:t>Net periodic pension cost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225"/>
        <w:spacing w:after="0" w:line="342" w:lineRule="auto"/>
        <w:rPr>
          <w:sz w:val="20"/>
          <w:szCs w:val="20"/>
          <w:color w:val="auto"/>
        </w:rPr>
      </w:pPr>
      <w:r>
        <w:rPr>
          <w:rFonts w:ascii="Arial" w:cs="Arial" w:eastAsia="Arial" w:hAnsi="Arial"/>
          <w:sz w:val="16"/>
          <w:szCs w:val="16"/>
          <w:color w:val="auto"/>
        </w:rPr>
        <w:t>Pension contributions of $2.7 million and $5.2 million were made by the Company during the three and six months ended April 30, 2011, respectively. The Company presently anticipates contributing an additional $4.8 million to fund its defined benefit pension plans in fiscal year 2011 for a total of $10.0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Revolving Credit Facility</w:t>
      </w:r>
    </w:p>
    <w:p>
      <w:pPr>
        <w:spacing w:after="0" w:line="121" w:lineRule="exact"/>
        <w:rPr>
          <w:sz w:val="20"/>
          <w:szCs w:val="20"/>
          <w:color w:val="auto"/>
        </w:rPr>
      </w:pPr>
    </w:p>
    <w:p>
      <w:pPr>
        <w:ind w:right="20" w:firstLine="215"/>
        <w:spacing w:after="0" w:line="269" w:lineRule="auto"/>
        <w:rPr>
          <w:sz w:val="20"/>
          <w:szCs w:val="20"/>
          <w:color w:val="auto"/>
        </w:rPr>
      </w:pPr>
      <w:r>
        <w:rPr>
          <w:rFonts w:ascii="Arial" w:cs="Arial" w:eastAsia="Arial" w:hAnsi="Arial"/>
          <w:sz w:val="17"/>
          <w:szCs w:val="17"/>
          <w:color w:val="auto"/>
        </w:rPr>
        <w:t>As of April 30, 2011, the Company had $3,431.4 million of cash and cash equivalents and short-term investments, of which $1,246.5 million was held in the United States. The balance of the Company’s cash and cash equivalents and short-term investments was held outside the United States in various foreign subsidiaries. As the Company intends to reinvest certain of its foreign earnings indefinitely, this cash is not available to meet certain of the Company’s cash requirements in the United States, including for cash dividends and common stock repurchases. The Company entered into a five-year, $165 million unsecured revolving credit facility with certain institutional lenders in May 2008. To date, the Company has not borrowed under this credit facility but the Company may borrow in the future and use the proceeds for support of commercial paper issuance, stock repurchases, dividend payments, acquisitions, capital expenditures, working capital and other lawful corporate purposes. Any advances under this credit agreement will accrue interest at rates that are equal to LIBOR plus a margin that is based on the Company’s leverage ratio. The terms of this facility also include financial covenants that require the Company to maintain a minimum interest coverage ratio and not exceed a maximum leverage ratio. As of April 30, 2011, the Company was compliant with these covenants. The terms of the facility also impose restrictions on the Company’s ability to undertake certain transactions, to create certain liens on assets and to incur certain subsidiary indebtedness.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Debt</w:t>
      </w:r>
    </w:p>
    <w:p>
      <w:pPr>
        <w:spacing w:after="0" w:line="121"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On June 30, 2009, the Company issued $375 million aggregate principal amount of 5.0% senior unsecured notes due July 1, 2014 (the 5.0% Notes) with semi-annual fixed interest payments on January 1 and July 1 of each year, commencing January 1, 2010. The sale of the 5.0%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5.0% Notes. The indenture governing the 5.0%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April 30, 2011, the Company was compliant with these covenants.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On June 30, 2009, the Company entered into interest rate swap transactions where the Company swapped the notional amount of its $375 million of fixed rate debt at 5.0% into floating interest rate debt through July 1, 2014. Under the terms of the swaps, the Company will (i) receive on the $375 million notional amount a 5.0% annual interest payment that is paid in two installments on the 1st business day of every January and July, commencing January 1, 2010 through and ending on the maturity date; and (ii) pay on the $375 million notional amount an annual three month LIBOR plus 2.05% (2.35% as of April 30, 2011) interest payment, payable in four installments on the 1st business day of every January, April, July and October, commencing on October 1, 2009 and ending on the maturity date. The LIBOR- based rate is set quarterly three months prior to the date of the interest payment.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December 22, 2010, Analog Devices Holdings B.V. a wholly owned subsidiary of the Company, entered into a credit agreement with Bank of America,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 London Branch as administrative agent. The borrower’s obligations are guaranteed by the Company. The credit agreement provides for a term 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of $145 million, which matures on December 22, 2013. The terms of the agreement provide for a three year principle amortization schedule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$3.6 million payable quarterly every March, June, September and December with the balance payable upon the maturity date. The loan will bear interest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fluctuating rate for each period equal to the annual LIBOR rate applicable to that interest period plus 1.25% (1.56% as of April 30, 2011). The terms of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include limitations on subsidiary indebtedness and on liens against the assets of the Company and its subsidiaries, and also include financial covenants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require the Company to maintain a minimum interest coverage ratio and not exceed a maximum leverage ratio. As of April 30, 2011, the Company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compliant with these covenants. As of April 30, 2011, $14.5 million of this debt was classified as short-term.</w:t>
      </w:r>
    </w:p>
    <w:p>
      <w:pPr>
        <w:spacing w:after="0" w:line="103"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On April 4, 2011, the Company issued $375 million aggregate principal amount of 3.0% senior unsecured notes due April 15, 2016 (the 3.0% Notes) with semi-annual fixed interest payments due on April 15 and October 15 of each year, commencing October 15, 2011. The sale of the 3.0%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discounts and commissions, which will be amortized over the term of the 3.0% Notes. The indenture governing the 3.0%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April 30, 2011, the Company was compliant with these covenants.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Common Stock Repurchase</w:t>
      </w:r>
    </w:p>
    <w:p>
      <w:pPr>
        <w:spacing w:after="0" w:line="121" w:lineRule="exact"/>
        <w:rPr>
          <w:sz w:val="20"/>
          <w:szCs w:val="20"/>
          <w:color w:val="auto"/>
        </w:rPr>
      </w:pPr>
    </w:p>
    <w:p>
      <w:pPr>
        <w:ind w:right="80" w:firstLine="222"/>
        <w:spacing w:after="0" w:line="288"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$5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April 30, 2011, the Company had repurchased a total of approximately 120.8 million shares of its common stock for approximately $4,129.4 million under this program. An additional $870.6 million remains available for repurchase of shares under the current authorized program. The repurchased shares are held as authorized but unissued shares of common stock. Any future common stock repurchases will be dependent upon several factors, including the amount of cash available to the Company in the United States and the Company’s financial performance, outlook and liquidity. The Company also from time to time repurchases shares in settlement of employee tax withholding obligations due upon the vesting of restricted stock units, or in certain limited circumstances to satisfy the exercise price of options granted to the Company’s employees under the Company’s equity compensation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Discontinued Operations</w:t>
      </w:r>
    </w:p>
    <w:p>
      <w:pPr>
        <w:spacing w:after="0" w:line="121"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color w:val="auto"/>
        </w:rPr>
        <w:t>In November 2007, the Company entered into a purchase and sale agreement with certain subsidiaries of ON Semiconductor Corporation to sell the Company’s CPU voltage regulation and PC thermal monitoring business which consisted of core voltage regulator products for the central processing unit in computing and gaming applications and temperature sensors and fan-speed controllers for managing the temperature of the central processing unit. In connection with the purchase and sale agreement, $7.5 million was placed into escrow and was excluded from the gain calculations. During the third quarter of fiscal 2008, additional proceeds were released from escrow and an additional pre-tax gain of $6.6 million, or $3.8 million net of tax,</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was recorded as a gain on sale of discontinued operations. Additionally, at the time of the sale, the Company entered into a one-year manufacturing supply agreement with a subsidiary of ON Semiconductor Corporation for an additional $37 million. The Company has allocated the proceeds from this arrangement based on the fair value of the two elements of this transaction: (i) the sale of a business and (ii) the obligation to manufacture product for a one-year period. As a result, $85 million was recorded as a liability related to the manufacturing supply agreement, all of which has been utilized. The liability was included in current liabilities of discontinued operations on the Company’s consolidated balance sheet. The Company recorded the revenue associated with this manufacturing supply agreement in discontinued operations. In the first quarter of fiscal 2010, additional proceeds of $1 million were released from escrow and $0.6 million net of tax was recorded as additional gain from the sale of discontinued operations. The Company does not expect any additional proceeds from this sale.</w:t>
      </w:r>
    </w:p>
    <w:p>
      <w:pPr>
        <w:spacing w:after="0" w:line="84"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In September 2007, the Company entered into a definitive agreement to sell its Baseband Chipset Business to MediaTek Inc. The decision to sell the Baseband Chipset Business was due to the Company’s decision to focus its resources in areas where its signal processing expertise can provide unique capabilities and earn superior returns. The cash proceeds received were net of a refundable withholding tax of $62 million. In connection with the purchase and sale agreement, $10 million was placed into escrow and was excluded from the gain calculations. The Company made additional cash payments of $1.7 million during fiscal 2009 related to retention payments for employees who transferred to MediaTek Inc. and for the reimbursement of intellectual property license fees incurred by MediaTek Inc. In the first quarter of fiscal 2010, the Company received cash proceeds of $62 million as a result of the refund of the withholding tax and also recorded an additional gain on sale of $0.3 million, or $0.2 million net of tax, due to the settlement of certain items at less than the amounts accrued. In the first quarter of fiscal 2011, additional proceeds of $10 million were released from escrow and $6.5 million net of tax was recorded as additional gain from the sale of discontinued operations. The Company does not expect any additional proceeds from this sale.</w:t>
      </w:r>
    </w:p>
    <w:p>
      <w:pPr>
        <w:spacing w:after="0" w:line="59"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following amounts related to the CPU voltage regulation and PC thermal monitoring and Baseband Chipset Businesses have been segregated from continuing operations and reported as discontinued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8"/>
              </w:rPr>
              <w:t>Six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May 1, 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before income taxes</w:t>
            </w:r>
          </w:p>
        </w:tc>
        <w:tc>
          <w:tcPr>
            <w:tcW w:w="23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discontinued operations, net of tax</w:t>
            </w:r>
          </w:p>
        </w:tc>
        <w:tc>
          <w:tcPr>
            <w:tcW w:w="256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121"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from that which is reflected in the historical income tax provisions and accruals. Such differences could have a material impact on the Company’s income tax provision and operating results in the period in which such determination is made.</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Years 2004 and 2005 IRS Examination</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During the fourth quarter of fiscal 2007, the Internal Revenue Service (IRS) completed its field examination of the Company’s fiscal years 2004 and 2005. On January 2, 2008, the IRS issued its report for fiscal 2004 and 2005, which included four proposed adjustments related to these two fiscal years that the Company protested to the Appellate Division. Two of the unresolved matters were one-time issues that pertain to Section 965 of the Internal Revenue Code related to the beneficial tax treatment of dividends paid from foreign owned companies under The American Jobs Creation Act. The other matters pertain to the computation of the research and development (R&amp;D) tax credit and certain profits earned from manufacturing activities carried on outside the United States. The Company recorded a tax liability for a portion of the proposed R&amp;D tax credit adjustment. These four items had an additional potential tax liability of $46 million. The Company had concluded, based on discussions with its tax advisors, that these items were not likely to result in any additional tax liability. Therefore, the Company had not recorded any additional tax liability for these items.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76" w:lineRule="auto"/>
        <w:rPr>
          <w:sz w:val="20"/>
          <w:szCs w:val="20"/>
          <w:color w:val="auto"/>
        </w:rPr>
      </w:pPr>
      <w:r>
        <w:rPr>
          <w:rFonts w:ascii="Arial" w:cs="Arial" w:eastAsia="Arial" w:hAnsi="Arial"/>
          <w:sz w:val="17"/>
          <w:szCs w:val="17"/>
          <w:color w:val="auto"/>
        </w:rPr>
        <w:t>During the second quarter of fiscal 2011, the Company reached settlement with the Appellate Division on three of the four items under protest. The remaining unresolved matter is a one-time issue pertaining to Section 965 of the Internal Revenue Code related to the beneficial tax treatment of dividends from foreign owned companies under The American Jobs Creation Act. The Company will submit a petition to Tax Court for this open matter. The potential liability for this adjustment is $36.5 million. The Company has concluded, based on discussions with its tax advisors, that this item is not likely to result in any additional tax liability. Therefore, the Company has not recorded any additional tax liability for this issue.</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Years 2006 and 2007 IRS Examination</w:t>
      </w:r>
    </w:p>
    <w:p>
      <w:pPr>
        <w:spacing w:after="0" w:line="117"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During the third quarter of fiscal 2009, the IRS completed its field examination of the Company’s fiscal years 2006 and 2007. The IRS and the Company agreed on the treatment of a number of issues that have been included in an Issue Resolutions Agreement related to the 2006 and 2007 tax returns. However, no agreement was reached on the tax treatment of a number of issues for the fiscal 2006 and fiscal 2007 tax years, including the same R&amp;D credit and foreign manufacturing issues mentioned above related to fiscal 2004 and 2005, the pricing of intercompany sales (transfer pricing) and the deductibility of certain stock option compensation expenses. The Company recorded taxes related to a portion of the proposed R&amp;D tax credit adjustment. These four items had an additional potential total tax liability of $195 million. The Company concluded, based on discussions with its tax advisors, that these items were not likely to result in any additional tax liability. Therefore, the Company had not recorded any additional tax liability for these items and appealed these proposed adjustments through the normal processes for the resolution of differences between the IRS and taxpayers.</w:t>
      </w:r>
    </w:p>
    <w:p>
      <w:pPr>
        <w:spacing w:after="0" w:line="58" w:lineRule="exact"/>
        <w:rPr>
          <w:sz w:val="20"/>
          <w:szCs w:val="20"/>
          <w:color w:val="auto"/>
        </w:rPr>
      </w:pPr>
    </w:p>
    <w:p>
      <w:pPr>
        <w:ind w:right="340" w:firstLine="225"/>
        <w:spacing w:after="0" w:line="257" w:lineRule="auto"/>
        <w:rPr>
          <w:sz w:val="20"/>
          <w:szCs w:val="20"/>
          <w:color w:val="auto"/>
        </w:rPr>
      </w:pPr>
      <w:r>
        <w:rPr>
          <w:rFonts w:ascii="Arial" w:cs="Arial" w:eastAsia="Arial" w:hAnsi="Arial"/>
          <w:sz w:val="18"/>
          <w:szCs w:val="18"/>
          <w:color w:val="auto"/>
        </w:rPr>
        <w:t>During the second quarter of fiscal 2011, the Company reached an agreement with the Appellate Division on three of the four protested items, two of which were the same issues settled relating to the 2004 and 2005 tax years. Transfer pricing remains as the only item under protest with the Appellate Division. The potential U.S. tax liability for this matter is $157.5 million. This matter could impact taxes payable for subsequent years. The Company has concluded, based on discussions with its tax advisors, that this item is not likely to result in any additional tax liability. Therefore, the Company has not recorded any additional tax liability for this issue.</w:t>
      </w:r>
    </w:p>
    <w:p>
      <w:pPr>
        <w:spacing w:after="0" w:line="80" w:lineRule="exact"/>
        <w:rPr>
          <w:sz w:val="20"/>
          <w:szCs w:val="20"/>
          <w:color w:val="auto"/>
        </w:rPr>
      </w:pPr>
    </w:p>
    <w:p>
      <w:pPr>
        <w:ind w:right="440" w:firstLine="215"/>
        <w:spacing w:after="0" w:line="277" w:lineRule="auto"/>
        <w:rPr>
          <w:sz w:val="20"/>
          <w:szCs w:val="20"/>
          <w:color w:val="auto"/>
        </w:rPr>
      </w:pPr>
      <w:r>
        <w:rPr>
          <w:rFonts w:ascii="Arial" w:cs="Arial" w:eastAsia="Arial" w:hAnsi="Arial"/>
          <w:sz w:val="18"/>
          <w:szCs w:val="18"/>
          <w:color w:val="auto"/>
        </w:rPr>
        <w:t>As a result of settling certain tax issues for fiscal 2004 through fiscal 2007 tax years at the Appellate Division of the IRS the Company recorded a net $10.8 million tax benefit in the second quarter of fiscal 2011.</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Fiscal Years 2008 and 2009 IRS Examination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IRS has not started their examination of the Company’s fiscal year 2008 or fiscal year 2009.</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changes in the total amounts of uncertain tax positions for the six months ended April 30, 2011.</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Balance, October 30, 2010</w:t>
            </w:r>
          </w:p>
        </w:tc>
        <w:tc>
          <w:tcPr>
            <w:tcW w:w="3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18,447</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Additions based on tax positions related to the prior year</w:t>
            </w:r>
          </w:p>
        </w:tc>
        <w:tc>
          <w:tcPr>
            <w:tcW w:w="3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tax positions related to prior years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Settlements with taxing authorities</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Balance, April 30, 2011</w:t>
            </w:r>
          </w:p>
        </w:tc>
        <w:tc>
          <w:tcPr>
            <w:tcW w:w="3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15"/>
        <w:spacing w:after="0" w:line="302" w:lineRule="auto"/>
        <w:rPr>
          <w:sz w:val="20"/>
          <w:szCs w:val="20"/>
          <w:color w:val="auto"/>
        </w:rPr>
      </w:pPr>
      <w:r>
        <w:rPr>
          <w:rFonts w:ascii="Arial" w:cs="Arial" w:eastAsia="Arial" w:hAnsi="Arial"/>
          <w:sz w:val="16"/>
          <w:szCs w:val="16"/>
          <w:color w:val="auto"/>
        </w:rPr>
        <w:t>Although the Company believes its estimates of income tax payable are reasonable, no assurance can be given that the Company will prevail in the matters raised and that the outcome of one or all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 as well as for subsequent years.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Multiple-Deliverable Revenue Arrangements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In October 2009, the Financial Accounting Standards Board (FASB) issued Accounting Standards Update No. 2009-13 — </w:t>
      </w:r>
      <w:r>
        <w:rPr>
          <w:rFonts w:ascii="Arial" w:cs="Arial" w:eastAsia="Arial" w:hAnsi="Arial"/>
          <w:sz w:val="16"/>
          <w:szCs w:val="16"/>
          <w:i w:val="1"/>
          <w:iCs w:val="1"/>
          <w:color w:val="auto"/>
        </w:rPr>
        <w:t>Revenue Recognition (Topic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605): Multiple-Deliverable Revenue Arrangements </w:t>
      </w:r>
      <w:r>
        <w:rPr>
          <w:rFonts w:ascii="Arial" w:cs="Arial" w:eastAsia="Arial" w:hAnsi="Arial"/>
          <w:sz w:val="17"/>
          <w:szCs w:val="17"/>
          <w:color w:val="auto"/>
        </w:rPr>
        <w:t>(formerly EITF Issue No. 08-1) (ASU No, 2009-13). This standard modifies the revenue recognition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guidance for arrangements that involve the delivery of multiple elements, such as product, software, services or support, to a customer at different times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 of a single revenue generating transaction. This standard provides principles and application guidance to determine whether multiple deliverables exist,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how the individual deliverables should be separated and how to allocate the revenue in the arrangement among those separate deliverables. The standard also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expands the disclosure requirements for multiple-deliverable revenue arrangements. ASU No. 2009-13 is effective for fiscal years that begin on or after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15, 2010, which is the Company’s fiscal year 2011. The adoption of ASU 2009-13 in the first quarter of fiscal 2011 did not have a material impact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 xml:space="preserve">In December 2010, the FASB issued ASU No. 2010-29, </w:t>
      </w:r>
      <w:r>
        <w:rPr>
          <w:rFonts w:ascii="Arial" w:cs="Arial" w:eastAsia="Arial" w:hAnsi="Arial"/>
          <w:sz w:val="16"/>
          <w:szCs w:val="16"/>
          <w:i w:val="1"/>
          <w:iCs w:val="1"/>
          <w:color w:val="auto"/>
        </w:rPr>
        <w:t>Business Combinations (ASC Topic 805) — Disclosure of Supplementary Pro Forma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Business Combinations </w:t>
      </w:r>
      <w:r>
        <w:rPr>
          <w:rFonts w:ascii="Arial" w:cs="Arial" w:eastAsia="Arial" w:hAnsi="Arial"/>
          <w:sz w:val="16"/>
          <w:szCs w:val="16"/>
          <w:color w:val="auto"/>
        </w:rPr>
        <w:t>(ASU No. 2010-29). ASU No. 2010-29 requires a public entity to disclose revenue and earnings of the combined entity as though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business combination that occurred during the current year had occurred as of the beginning of the prior year. It also requires a description of the nature and amount of material, nonrecurring adjustments directly attributable to the business combination included in the reported revenue and earnings. The new disclosure will be effective for the Company’s first quarter of fiscal year 2012. The adoption of ASU No. 2010-29 will require additional disclosure in the event of a business combination but will not have a material impact on the Company’s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 Goodwill and Other</w:t>
      </w:r>
    </w:p>
    <w:p>
      <w:pPr>
        <w:spacing w:after="0" w:line="117"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 xml:space="preserve">In December 2010, the FASB issued ASU No. 2010-28, </w:t>
      </w:r>
      <w:r>
        <w:rPr>
          <w:rFonts w:ascii="Arial" w:cs="Arial" w:eastAsia="Arial" w:hAnsi="Arial"/>
          <w:sz w:val="17"/>
          <w:szCs w:val="17"/>
          <w:i w:val="1"/>
          <w:iCs w:val="1"/>
          <w:color w:val="auto"/>
        </w:rPr>
        <w:t>Intangibles- Goodwill and Other (ASC Topic 350)</w:t>
      </w:r>
      <w:r>
        <w:rPr>
          <w:rFonts w:ascii="Arial" w:cs="Arial" w:eastAsia="Arial" w:hAnsi="Arial"/>
          <w:sz w:val="17"/>
          <w:szCs w:val="17"/>
          <w:color w:val="auto"/>
        </w:rPr>
        <w:t xml:space="preserve"> (ASU No. 2010-28). ASU 210-28 modifies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ASU 2010-28 is effective for fiscal years that begin after December 15, 2010, which is the Company’s fiscal year 2012. The company is currently evaluating the impact, if any, that ASU No. 2010-28 may have on the Company’s financial condition and results of operations.</w:t>
      </w:r>
    </w:p>
    <w:p>
      <w:pPr>
        <w:sectPr>
          <w:pgSz w:w="11900" w:h="16838" w:orient="portrait"/>
          <w:cols w:equalWidth="0" w:num="1">
            <w:col w:w="11420"/>
          </w:cols>
          <w:pgMar w:left="240" w:top="419" w:right="239" w:bottom="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19" w:right="239" w:bottom="0" w:gutter="0" w:footer="0" w:header="0"/>
          <w:type w:val="continuous"/>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Subsequent Event</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On May 16, 2011, the Company’s Board of Directors declared a cash dividend of $0.25 per outstanding share of common stock. The dividend will be paid on June 15, 2011 to all shareholders of record at the close of business on May 27, 2011.</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60" w:firstLine="222"/>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30, 2010.</w:t>
      </w:r>
    </w:p>
    <w:p>
      <w:pPr>
        <w:spacing w:after="0" w:line="57" w:lineRule="exact"/>
        <w:rPr>
          <w:sz w:val="20"/>
          <w:szCs w:val="20"/>
          <w:color w:val="auto"/>
        </w:rPr>
      </w:pPr>
    </w:p>
    <w:p>
      <w:pPr>
        <w:ind w:right="40" w:firstLine="222"/>
        <w:spacing w:after="0" w:line="267" w:lineRule="auto"/>
        <w:rPr>
          <w:sz w:val="20"/>
          <w:szCs w:val="20"/>
          <w:color w:val="auto"/>
        </w:rPr>
      </w:pPr>
      <w:r>
        <w:rPr>
          <w:rFonts w:ascii="Arial" w:cs="Arial" w:eastAsia="Arial" w:hAnsi="Arial"/>
          <w:sz w:val="17"/>
          <w:szCs w:val="17"/>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regarding our future financial performance, particularly in light of the uncertainty remaining after the recent global credit and financial market crisis; the impact of the recent earthquake and tsunami in Japan; our anticipated growth and trends in our businesses, our future capital needs and capital expenditures; our future market position and expected competitive changes in the marketplace for our products; our ability to innovate new products and technologies; the timing or the effectiveness of our efforts to refocus our operations and reduce our cost structure and the expected amounts of any cost savings related to those efforts; our ability to access credit or capital markets; our ability to pay dividends or repurchase stock; our ability to service our outstanding debt; our expected tax rate; the future actions of our third-party suppliers; the expected outcomes of intellectual property and litigation matters; potential acquisitions or divestitures; the expected activities of our key personnel;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this Quarterly Report on Form 10-Q. Therefore, actual results may differ materially and adversely from those expressed in any forward-looking statements. We undertake no obligation to revise or update any forward-looking statements except to the extent required by law.</w:t>
      </w:r>
    </w:p>
    <w:p>
      <w:pPr>
        <w:spacing w:after="0" w:line="85"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During the first quarter of fiscal 2008, we sold our baseband chipset business and related support operations, or Baseband Chipset Business, to MediaTek Inc. and sold our CPU voltage regulation and PC thermal monitoring business to certain subsidiaries of ON Semiconductor Corporation. The financial results of these businesses are presented as discontinued operations in the consolidated statements of income for all periods presented. Unless otherwise noted, this Management’s Discussion and Analysis relates only to financial results from continuing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00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April 30, 2011</w:t>
            </w:r>
          </w:p>
        </w:tc>
        <w:tc>
          <w:tcPr>
            <w:tcW w:w="440" w:type="dxa"/>
            <w:vAlign w:val="bottom"/>
          </w:tcPr>
          <w:p>
            <w:pPr>
              <w:spacing w:after="0"/>
              <w:rPr>
                <w:sz w:val="12"/>
                <w:szCs w:val="12"/>
                <w:color w:val="auto"/>
              </w:rPr>
            </w:pPr>
          </w:p>
        </w:tc>
        <w:tc>
          <w:tcPr>
            <w:tcW w:w="118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May 1, 2010</w:t>
            </w:r>
          </w:p>
        </w:tc>
        <w:tc>
          <w:tcPr>
            <w:tcW w:w="42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33"/>
              <w:spacing w:after="0" w:line="142" w:lineRule="exact"/>
              <w:rPr>
                <w:sz w:val="20"/>
                <w:szCs w:val="20"/>
                <w:color w:val="auto"/>
              </w:rPr>
            </w:pPr>
            <w:r>
              <w:rPr>
                <w:rFonts w:ascii="Arial" w:cs="Arial" w:eastAsia="Arial" w:hAnsi="Arial"/>
                <w:sz w:val="14"/>
                <w:szCs w:val="14"/>
                <w:b w:val="1"/>
                <w:bCs w:val="1"/>
                <w:color w:val="auto"/>
              </w:rPr>
              <w:t>April 30, 2011</w:t>
            </w:r>
          </w:p>
        </w:tc>
        <w:tc>
          <w:tcPr>
            <w:tcW w:w="42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May 1, 2010</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6"/>
              </w:rPr>
              <w:t>790,780</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668,240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7"/>
              </w:rPr>
              <w:t>1,519,284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1,271,223</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Gross margin %</w:t>
            </w:r>
          </w:p>
        </w:tc>
        <w:tc>
          <w:tcPr>
            <w:tcW w:w="380" w:type="dxa"/>
            <w:vAlign w:val="bottom"/>
          </w:tcPr>
          <w:p>
            <w:pPr>
              <w:spacing w:after="0"/>
              <w:rPr>
                <w:sz w:val="18"/>
                <w:szCs w:val="18"/>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67.6%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65.0%</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66.9%</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63.2%</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86"/>
              </w:rPr>
              <w:t>241,826</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167,140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457,432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286,740</w:t>
            </w: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net of tax, as a % of</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000" w:type="dxa"/>
            <w:vAlign w:val="bottom"/>
          </w:tcPr>
          <w:p>
            <w:pPr>
              <w:ind w:left="220"/>
              <w:spacing w:after="0"/>
              <w:rPr>
                <w:sz w:val="20"/>
                <w:szCs w:val="20"/>
                <w:color w:val="auto"/>
              </w:rPr>
            </w:pPr>
            <w:r>
              <w:rPr>
                <w:rFonts w:ascii="Arial" w:cs="Arial" w:eastAsia="Arial" w:hAnsi="Arial"/>
                <w:sz w:val="18"/>
                <w:szCs w:val="18"/>
                <w:color w:val="auto"/>
              </w:rPr>
              <w:t>revenue</w:t>
            </w:r>
          </w:p>
        </w:tc>
        <w:tc>
          <w:tcPr>
            <w:tcW w:w="380" w:type="dxa"/>
            <w:vAlign w:val="bottom"/>
          </w:tcPr>
          <w:p>
            <w:pPr>
              <w:spacing w:after="0"/>
              <w:rPr>
                <w:sz w:val="20"/>
                <w:szCs w:val="20"/>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30.6%</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25.0%</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30.1%</w:t>
            </w: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22.6%</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0.78</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0.55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0.94</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Diluted EPS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0.78</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210"/>
              <w:spacing w:after="0"/>
              <w:rPr>
                <w:sz w:val="20"/>
                <w:szCs w:val="20"/>
                <w:color w:val="auto"/>
              </w:rPr>
            </w:pPr>
            <w:r>
              <w:rPr>
                <w:rFonts w:ascii="Arial" w:cs="Arial" w:eastAsia="Arial" w:hAnsi="Arial"/>
                <w:sz w:val="18"/>
                <w:szCs w:val="18"/>
                <w:color w:val="auto"/>
              </w:rPr>
              <w:t>0.55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3"/>
              <w:spacing w:after="0"/>
              <w:rPr>
                <w:sz w:val="20"/>
                <w:szCs w:val="20"/>
                <w:color w:val="auto"/>
              </w:rPr>
            </w:pPr>
            <w:r>
              <w:rPr>
                <w:rFonts w:ascii="Arial" w:cs="Arial" w:eastAsia="Arial" w:hAnsi="Arial"/>
                <w:sz w:val="18"/>
                <w:szCs w:val="18"/>
                <w:color w:val="auto"/>
              </w:rPr>
              <w:t>1.50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0.94</w:t>
            </w:r>
          </w:p>
        </w:tc>
      </w:tr>
      <w:tr>
        <w:trPr>
          <w:trHeight w:val="391"/>
        </w:trPr>
        <w:tc>
          <w:tcPr>
            <w:tcW w:w="5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432"/>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6"/>
        </w:trPr>
        <w:tc>
          <w:tcPr>
            <w:tcW w:w="50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year-to-year revenue changes by end market and product category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62"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the second quarter of fiscal 2011, our revenue increased 18% from the second quarter of fiscal 2010 and our diluted earnings per share from continuing operations increased from $0.55 to $0.78. Cash flow from operations in the first six months of fiscal 2011 was $413.4 million, or 27% of revenue. We received proceeds of $515.5 million during the first six months of fiscal 2011 relating to the issuance of $375 million aggregate principal amount of 3.0% senior unsecured notes and a $145 million term loan facility we entered into through a wholly owned subsidiary. In addition we received $148.1 million in net proceeds related to employee stock option exercises. In the first six months of fiscal 2011 we repurchased a total of approximately 4.8 million shares of our common stock for an aggregate of $181.2 million, distributed $131.8 million to our shareholders in dividend payments and paid $59.7 million for capital expenditures. These factors contributed to the net increase in cash and cash equivalents of $824.8 million in the first six months of fiscal 2011.</w:t>
      </w:r>
    </w:p>
    <w:p>
      <w:pPr>
        <w:spacing w:after="0" w:line="59"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year-to-year increase in revenue and profitability for the three and six months ended April 30, 2011 was primarily the result of the continued resurgence of economic activity and improving global macro-economic conditions following the general economic downturn resulting from the global credit and financial crisis. The strategy we employed over the past two years to focus on products and markets that value innovation and to make fundamental improvements to our cost structure aided in our growth and profitability. Improving macro-trends in the industrial, communications, automotive and healthcare markets also helped, and we believe will continue to help, to generate strong growth opportunities for us in the future. However, these trends remain uncertain and we cannot predict the sustainability of the current economic conditions or how changes in the markets we operate in may affect us in the future. Based on discussions with our customers and supply chain and foundry partners, we do not currently expect a material adverse effect to our results of operations as a result of the Japan earthquake and tsunami that occurred in March 2011. However, we are continuing to monitor the impact of the crisis on our customers and supply chain and there can be no assurance that, once the full impact of the disaster has been absorbed, our results of operations will not be materially affected by the events in Japan. Consequently, our reported results for the second quarter of fiscal 2011 may not be indicative of our future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April 30, 2011</w:t>
            </w:r>
          </w:p>
        </w:tc>
        <w:tc>
          <w:tcPr>
            <w:tcW w:w="66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tcBorders>
              <w:bottom w:val="single" w:sz="8" w:color="auto"/>
            </w:tcBorders>
            <w:gridSpan w:val="2"/>
          </w:tcPr>
          <w:p>
            <w:pPr>
              <w:jc w:val="center"/>
              <w:ind w:left="536"/>
              <w:spacing w:after="0"/>
              <w:rPr>
                <w:sz w:val="20"/>
                <w:szCs w:val="20"/>
                <w:color w:val="auto"/>
              </w:rPr>
            </w:pPr>
            <w:r>
              <w:rPr>
                <w:rFonts w:ascii="Arial" w:cs="Arial" w:eastAsia="Arial" w:hAnsi="Arial"/>
                <w:sz w:val="14"/>
                <w:szCs w:val="14"/>
                <w:b w:val="1"/>
                <w:bCs w:val="1"/>
                <w:color w:val="auto"/>
                <w:w w:val="95"/>
              </w:rPr>
              <w:t>May 1, 2010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gridSpan w:val="2"/>
            <w:vMerge w:val="restart"/>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60" w:type="dxa"/>
            <w:vAlign w:val="bottom"/>
            <w:vMerge w:val="restart"/>
          </w:tcPr>
          <w:p>
            <w:pPr>
              <w:spacing w:after="0"/>
              <w:rPr>
                <w:sz w:val="10"/>
                <w:szCs w:val="10"/>
                <w:color w:val="auto"/>
              </w:rPr>
            </w:pPr>
          </w:p>
        </w:tc>
        <w:tc>
          <w:tcPr>
            <w:tcW w:w="70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$ 384,253</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49%</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$ 316,371</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Automotive</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106,250</w:t>
            </w:r>
          </w:p>
        </w:tc>
        <w:tc>
          <w:tcPr>
            <w:tcW w:w="160" w:type="dxa"/>
            <w:vAlign w:val="bottom"/>
          </w:tcPr>
          <w:p>
            <w:pPr>
              <w:spacing w:after="0"/>
              <w:rPr>
                <w:sz w:val="18"/>
                <w:szCs w:val="18"/>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13%</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28%</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83,101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110,514</w:t>
            </w:r>
          </w:p>
        </w:tc>
        <w:tc>
          <w:tcPr>
            <w:tcW w:w="16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122,444</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Communications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176,301</w:t>
            </w:r>
          </w:p>
        </w:tc>
        <w:tc>
          <w:tcPr>
            <w:tcW w:w="160" w:type="dxa"/>
            <w:vAlign w:val="bottom"/>
          </w:tcPr>
          <w:p>
            <w:pPr>
              <w:spacing w:after="0"/>
              <w:rPr>
                <w:sz w:val="18"/>
                <w:szCs w:val="18"/>
                <w:color w:val="auto"/>
              </w:rPr>
            </w:pP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22%</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34%</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131,356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13,462</w:t>
            </w: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14,968</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18%</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2"/>
              </w:rPr>
              <w:t>$ 790,780</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48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$ 668,240</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5260" w:hanging="5612"/>
        <w:spacing w:after="0" w:line="571" w:lineRule="auto"/>
        <w:tabs>
          <w:tab w:leader="none" w:pos="46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sum of the individual percentages does not equal the total due to rounding.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April 30, 2011</w:t>
            </w: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May 1, 2010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5"/>
              </w:rPr>
              <w:t>Revenue</w:t>
            </w:r>
          </w:p>
        </w:tc>
        <w:tc>
          <w:tcPr>
            <w:tcW w:w="18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1400" w:type="dxa"/>
            <w:vAlign w:val="bottom"/>
            <w:gridSpan w:val="2"/>
          </w:tcPr>
          <w:p>
            <w:pPr>
              <w:jc w:val="center"/>
              <w:ind w:right="70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6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5"/>
              </w:rPr>
              <w:t>Revenue</w:t>
            </w:r>
          </w:p>
        </w:tc>
        <w:tc>
          <w:tcPr>
            <w:tcW w:w="660" w:type="dxa"/>
            <w:vAlign w:val="bottom"/>
            <w:vMerge w:val="restart"/>
          </w:tcPr>
          <w:p>
            <w:pPr>
              <w:spacing w:after="0"/>
              <w:rPr>
                <w:sz w:val="10"/>
                <w:szCs w:val="10"/>
                <w:color w:val="auto"/>
              </w:rPr>
            </w:pPr>
          </w:p>
        </w:tc>
        <w:tc>
          <w:tcPr>
            <w:tcW w:w="680" w:type="dxa"/>
            <w:vAlign w:val="bottom"/>
          </w:tcPr>
          <w:p>
            <w:pPr>
              <w:jc w:val="right"/>
              <w:ind w:right="115"/>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7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720,664</w:t>
            </w:r>
          </w:p>
        </w:tc>
        <w:tc>
          <w:tcPr>
            <w:tcW w:w="1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578,756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Automotive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200,857</w:t>
            </w:r>
          </w:p>
        </w:tc>
        <w:tc>
          <w:tcPr>
            <w:tcW w:w="180" w:type="dxa"/>
            <w:vAlign w:val="bottom"/>
          </w:tcPr>
          <w:p>
            <w:pPr>
              <w:spacing w:after="0"/>
              <w:rPr>
                <w:sz w:val="18"/>
                <w:szCs w:val="18"/>
                <w:color w:val="auto"/>
              </w:rPr>
            </w:pP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155,699</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229,765</w:t>
            </w:r>
          </w:p>
        </w:tc>
        <w:tc>
          <w:tcPr>
            <w:tcW w:w="18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243,390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Communications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341,085</w:t>
            </w:r>
          </w:p>
        </w:tc>
        <w:tc>
          <w:tcPr>
            <w:tcW w:w="180" w:type="dxa"/>
            <w:vAlign w:val="bottom"/>
          </w:tcPr>
          <w:p>
            <w:pPr>
              <w:spacing w:after="0"/>
              <w:rPr>
                <w:sz w:val="18"/>
                <w:szCs w:val="18"/>
                <w:color w:val="auto"/>
              </w:rPr>
            </w:pPr>
          </w:p>
        </w:tc>
        <w:tc>
          <w:tcPr>
            <w:tcW w:w="1840" w:type="dxa"/>
            <w:vAlign w:val="bottom"/>
            <w:gridSpan w:val="3"/>
          </w:tcPr>
          <w:p>
            <w:pPr>
              <w:jc w:val="right"/>
              <w:ind w:right="560"/>
              <w:spacing w:after="0"/>
              <w:rPr>
                <w:sz w:val="20"/>
                <w:szCs w:val="20"/>
                <w:color w:val="auto"/>
              </w:rPr>
            </w:pPr>
            <w:r>
              <w:rPr>
                <w:rFonts w:ascii="Arial" w:cs="Arial" w:eastAsia="Arial" w:hAnsi="Arial"/>
                <w:sz w:val="18"/>
                <w:szCs w:val="18"/>
                <w:color w:val="auto"/>
              </w:rPr>
              <w:t>22%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264,793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Computer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26,913</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28,585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20%</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1,519,284</w:t>
            </w:r>
          </w:p>
        </w:tc>
        <w:tc>
          <w:tcPr>
            <w:tcW w:w="1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100%</w:t>
            </w:r>
          </w:p>
        </w:tc>
        <w:tc>
          <w:tcPr>
            <w:tcW w:w="11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1,271,223</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increase in revenue in the three- and six-month periods ended April 30, 2011 in industrial end market revenue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 of a broad-based increase in demand in this end market, which was most significant for products sold into the instrumentation and industrial automation sectors and to a lesser extent, products sold into the energy and healthcare sectors.</w:t>
      </w:r>
    </w:p>
    <w:p>
      <w:pPr>
        <w:spacing w:after="0" w:line="73" w:lineRule="exact"/>
        <w:rPr>
          <w:sz w:val="20"/>
          <w:szCs w:val="20"/>
          <w:color w:val="auto"/>
        </w:rPr>
      </w:pPr>
    </w:p>
    <w:p>
      <w:pPr>
        <w:ind w:right="500" w:firstLine="225"/>
        <w:spacing w:after="0" w:line="342" w:lineRule="auto"/>
        <w:rPr>
          <w:sz w:val="20"/>
          <w:szCs w:val="20"/>
          <w:color w:val="auto"/>
        </w:rPr>
      </w:pPr>
      <w:r>
        <w:rPr>
          <w:rFonts w:ascii="Arial" w:cs="Arial" w:eastAsia="Arial" w:hAnsi="Arial"/>
          <w:sz w:val="16"/>
          <w:szCs w:val="16"/>
          <w:i w:val="1"/>
          <w:iCs w:val="1"/>
          <w:color w:val="auto"/>
        </w:rPr>
        <w:t xml:space="preserve">Automotive </w:t>
      </w:r>
      <w:r>
        <w:rPr>
          <w:rFonts w:ascii="Arial" w:cs="Arial" w:eastAsia="Arial" w:hAnsi="Arial"/>
          <w:sz w:val="16"/>
          <w:szCs w:val="16"/>
          <w:color w:val="auto"/>
        </w:rPr>
        <w:t>— The year-to-year increase in revenue in the three- and six-month periods ended April 30, 2011 in automotive end market revenue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the result of a general increase in the electronic content found in vehicles and to a lesser extent inventory replenishment by our customers.</w:t>
      </w:r>
    </w:p>
    <w:p>
      <w:pPr>
        <w:spacing w:after="0" w:line="16" w:lineRule="exact"/>
        <w:rPr>
          <w:sz w:val="20"/>
          <w:szCs w:val="20"/>
          <w:color w:val="auto"/>
        </w:rPr>
      </w:pPr>
    </w:p>
    <w:p>
      <w:pPr>
        <w:ind w:right="260" w:firstLine="225"/>
        <w:spacing w:after="0" w:line="312" w:lineRule="auto"/>
        <w:rPr>
          <w:sz w:val="20"/>
          <w:szCs w:val="20"/>
          <w:color w:val="auto"/>
        </w:rPr>
      </w:pPr>
      <w:r>
        <w:rPr>
          <w:rFonts w:ascii="Arial" w:cs="Arial" w:eastAsia="Arial" w:hAnsi="Arial"/>
          <w:sz w:val="16"/>
          <w:szCs w:val="16"/>
          <w:i w:val="1"/>
          <w:iCs w:val="1"/>
          <w:color w:val="auto"/>
        </w:rPr>
        <w:t xml:space="preserve">Consumer — </w:t>
      </w:r>
      <w:r>
        <w:rPr>
          <w:rFonts w:ascii="Arial" w:cs="Arial" w:eastAsia="Arial" w:hAnsi="Arial"/>
          <w:sz w:val="16"/>
          <w:szCs w:val="16"/>
          <w:color w:val="auto"/>
        </w:rPr>
        <w:t>The year-to-year decrease in revenue in the three- and six- month periods ended April 30, 2011 in consumer end market revenue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the result of a decrease in demand for products in the digital camera and home entertainment sector as a result of the earthquake and tsunami that occurred in Japan in March 2011, partially offset by an increase in demand for products used in other consumer applications in this end market.</w:t>
      </w:r>
    </w:p>
    <w:p>
      <w:pPr>
        <w:spacing w:after="0" w:line="39"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i w:val="1"/>
          <w:iCs w:val="1"/>
          <w:color w:val="auto"/>
        </w:rPr>
        <w:t xml:space="preserve">Communications — </w:t>
      </w:r>
      <w:r>
        <w:rPr>
          <w:rFonts w:ascii="Arial" w:cs="Arial" w:eastAsia="Arial" w:hAnsi="Arial"/>
          <w:sz w:val="16"/>
          <w:szCs w:val="16"/>
          <w:color w:val="auto"/>
        </w:rPr>
        <w:t>The year-to-year increase in revenue in the three- and six-month periods ended April 30, 2011 in communications end market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the result of a broad-based increase in demand in this end market, which was most significant for the base station end market sector.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117"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2"/>
              </w:rPr>
              <w:t>April 30, 2011</w:t>
            </w: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535"/>
              <w:spacing w:after="0"/>
              <w:rPr>
                <w:sz w:val="20"/>
                <w:szCs w:val="20"/>
                <w:color w:val="auto"/>
              </w:rPr>
            </w:pPr>
            <w:r>
              <w:rPr>
                <w:rFonts w:ascii="Arial" w:cs="Arial" w:eastAsia="Arial" w:hAnsi="Arial"/>
                <w:sz w:val="14"/>
                <w:szCs w:val="14"/>
                <w:b w:val="1"/>
                <w:bCs w:val="1"/>
                <w:color w:val="auto"/>
                <w:w w:val="95"/>
              </w:rPr>
              <w:t>May 1, 2010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9"/>
              </w:rPr>
              <w:t>Revenue</w:t>
            </w:r>
          </w:p>
        </w:tc>
        <w:tc>
          <w:tcPr>
            <w:tcW w:w="240" w:type="dxa"/>
            <w:vAlign w:val="bottom"/>
            <w:gridSpan w:val="2"/>
            <w:vMerge w:val="restart"/>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gridSpan w:val="2"/>
          </w:tcPr>
          <w:p>
            <w:pPr>
              <w:jc w:val="center"/>
              <w:ind w:right="76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60" w:type="dxa"/>
            <w:vAlign w:val="bottom"/>
            <w:vMerge w:val="restart"/>
          </w:tcPr>
          <w:p>
            <w:pPr>
              <w:spacing w:after="0"/>
              <w:rPr>
                <w:sz w:val="10"/>
                <w:szCs w:val="10"/>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9"/>
              </w:rPr>
              <w:t>Revenue</w:t>
            </w:r>
          </w:p>
        </w:tc>
        <w:tc>
          <w:tcPr>
            <w:tcW w:w="660" w:type="dxa"/>
            <w:vAlign w:val="bottom"/>
            <w:vMerge w:val="restart"/>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2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$ 350,180</w:t>
            </w:r>
          </w:p>
        </w:tc>
        <w:tc>
          <w:tcPr>
            <w:tcW w:w="2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44%</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$ 307,772</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2020" w:type="dxa"/>
            <w:vAlign w:val="bottom"/>
            <w:gridSpan w:val="3"/>
          </w:tcPr>
          <w:p>
            <w:pPr>
              <w:jc w:val="right"/>
              <w:ind w:right="20"/>
              <w:spacing w:after="0"/>
              <w:rPr>
                <w:sz w:val="20"/>
                <w:szCs w:val="20"/>
                <w:color w:val="auto"/>
              </w:rPr>
            </w:pPr>
            <w:r>
              <w:rPr>
                <w:rFonts w:ascii="Arial" w:cs="Arial" w:eastAsia="Arial" w:hAnsi="Arial"/>
                <w:sz w:val="18"/>
                <w:szCs w:val="18"/>
                <w:color w:val="auto"/>
              </w:rPr>
              <w:t>213,168</w:t>
            </w:r>
          </w:p>
        </w:tc>
        <w:tc>
          <w:tcPr>
            <w:tcW w:w="220" w:type="dxa"/>
            <w:vAlign w:val="bottom"/>
          </w:tcPr>
          <w:p>
            <w:pPr>
              <w:spacing w:after="0"/>
              <w:rPr>
                <w:sz w:val="18"/>
                <w:szCs w:val="18"/>
                <w:color w:val="auto"/>
              </w:rPr>
            </w:pPr>
          </w:p>
        </w:tc>
        <w:tc>
          <w:tcPr>
            <w:tcW w:w="1840" w:type="dxa"/>
            <w:vAlign w:val="bottom"/>
            <w:gridSpan w:val="3"/>
          </w:tcPr>
          <w:p>
            <w:pPr>
              <w:jc w:val="right"/>
              <w:ind w:right="600"/>
              <w:spacing w:after="0"/>
              <w:rPr>
                <w:sz w:val="20"/>
                <w:szCs w:val="20"/>
                <w:color w:val="auto"/>
              </w:rPr>
            </w:pPr>
            <w:r>
              <w:rPr>
                <w:rFonts w:ascii="Arial" w:cs="Arial" w:eastAsia="Arial" w:hAnsi="Arial"/>
                <w:sz w:val="18"/>
                <w:szCs w:val="18"/>
                <w:color w:val="auto"/>
              </w:rPr>
              <w:t>27%</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25%</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170,138</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111,030</w:t>
            </w:r>
          </w:p>
        </w:tc>
        <w:tc>
          <w:tcPr>
            <w:tcW w:w="24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85,690</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20%</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gridSpan w:val="2"/>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674,378</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85%</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563,600</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56,109</w:t>
            </w:r>
          </w:p>
        </w:tc>
        <w:tc>
          <w:tcPr>
            <w:tcW w:w="24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46,486</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20%</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gridSpan w:val="2"/>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$ 730,487</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92%</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$ 610,086</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60,293</w:t>
            </w:r>
          </w:p>
        </w:tc>
        <w:tc>
          <w:tcPr>
            <w:tcW w:w="240" w:type="dxa"/>
            <w:vAlign w:val="bottom"/>
            <w:gridSpan w:val="2"/>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58,154</w:t>
            </w:r>
          </w:p>
        </w:tc>
        <w:tc>
          <w:tcPr>
            <w:tcW w:w="86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18%</w:t>
            </w: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gridSpan w:val="2"/>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$ 790,780</w:t>
            </w:r>
          </w:p>
        </w:tc>
        <w:tc>
          <w:tcPr>
            <w:tcW w:w="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4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$ 668,240</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40" w:type="dxa"/>
            <w:vAlign w:val="bottom"/>
            <w:gridSpan w:val="4"/>
          </w:tcPr>
          <w:p>
            <w:pPr>
              <w:jc w:val="right"/>
              <w:ind w:right="14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93"/>
              </w:rPr>
              <w:t>Six Months Ended</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435"/>
              <w:spacing w:after="0"/>
              <w:rPr>
                <w:sz w:val="20"/>
                <w:szCs w:val="20"/>
                <w:color w:val="auto"/>
              </w:rPr>
            </w:pPr>
            <w:r>
              <w:rPr>
                <w:rFonts w:ascii="Arial" w:cs="Arial" w:eastAsia="Arial" w:hAnsi="Arial"/>
                <w:sz w:val="14"/>
                <w:szCs w:val="14"/>
                <w:b w:val="1"/>
                <w:bCs w:val="1"/>
                <w:color w:val="auto"/>
                <w:w w:val="95"/>
              </w:rPr>
              <w:t>April 30, 2011</w:t>
            </w:r>
          </w:p>
        </w:tc>
        <w:tc>
          <w:tcPr>
            <w:tcW w:w="6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May 1, 2010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5"/>
              </w:rPr>
              <w:t>Revenue</w:t>
            </w:r>
          </w:p>
        </w:tc>
        <w:tc>
          <w:tcPr>
            <w:tcW w:w="640" w:type="dxa"/>
            <w:vAlign w:val="bottom"/>
            <w:gridSpan w:val="2"/>
            <w:vMerge w:val="restart"/>
          </w:tcPr>
          <w:p>
            <w:pPr>
              <w:spacing w:after="0"/>
              <w:rPr>
                <w:sz w:val="10"/>
                <w:szCs w:val="10"/>
                <w:color w:val="auto"/>
              </w:rPr>
            </w:pPr>
          </w:p>
        </w:tc>
        <w:tc>
          <w:tcPr>
            <w:tcW w:w="140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 of</w:t>
            </w:r>
          </w:p>
        </w:tc>
        <w:tc>
          <w:tcPr>
            <w:tcW w:w="6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46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5"/>
              </w:rPr>
              <w:t>Revenue</w:t>
            </w:r>
          </w:p>
        </w:tc>
        <w:tc>
          <w:tcPr>
            <w:tcW w:w="660" w:type="dxa"/>
            <w:vAlign w:val="bottom"/>
            <w:vMerge w:val="restart"/>
          </w:tcPr>
          <w:p>
            <w:pPr>
              <w:spacing w:after="0"/>
              <w:rPr>
                <w:sz w:val="10"/>
                <w:szCs w:val="10"/>
                <w:color w:val="auto"/>
              </w:rPr>
            </w:pPr>
          </w:p>
        </w:tc>
        <w:tc>
          <w:tcPr>
            <w:tcW w:w="680" w:type="dxa"/>
            <w:vAlign w:val="bottom"/>
          </w:tcPr>
          <w:p>
            <w:pPr>
              <w:jc w:val="right"/>
              <w:ind w:right="114"/>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74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682,947</w:t>
            </w:r>
          </w:p>
        </w:tc>
        <w:tc>
          <w:tcPr>
            <w:tcW w:w="620" w:type="dxa"/>
            <w:vAlign w:val="bottom"/>
            <w:shd w:val="clear" w:color="auto" w:fill="CCEEFF"/>
          </w:tcPr>
          <w:p>
            <w:pPr>
              <w:spacing w:after="0"/>
              <w:rPr>
                <w:sz w:val="18"/>
                <w:szCs w:val="18"/>
                <w:color w:val="auto"/>
              </w:rPr>
            </w:pPr>
          </w:p>
        </w:tc>
        <w:tc>
          <w:tcPr>
            <w:tcW w:w="1400" w:type="dxa"/>
            <w:vAlign w:val="bottom"/>
            <w:tcBorders>
              <w:lef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600,719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Amplifiers / Radio frequency</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408,183</w:t>
            </w:r>
          </w:p>
        </w:tc>
        <w:tc>
          <w:tcPr>
            <w:tcW w:w="620" w:type="dxa"/>
            <w:vAlign w:val="bottom"/>
          </w:tcPr>
          <w:p>
            <w:pPr>
              <w:spacing w:after="0"/>
              <w:rPr>
                <w:sz w:val="18"/>
                <w:szCs w:val="18"/>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27%</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317,541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analog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202,434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tcBorders>
              <w:lef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156,599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Subtotal analog signal processing</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1,293,564</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85%</w:t>
            </w: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1,074,859</w:t>
            </w:r>
          </w:p>
        </w:tc>
        <w:tc>
          <w:tcPr>
            <w:tcW w:w="6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109,462</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tcBorders>
              <w:lef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85,683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analog products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21%</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1,403,026</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92%</w:t>
            </w:r>
          </w:p>
        </w:tc>
        <w:tc>
          <w:tcPr>
            <w:tcW w:w="11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1,160,542</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Borders>
              <w:left w:val="single" w:sz="8" w:color="auto"/>
            </w:tcBorders>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Digital signal processing</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0" w:type="dxa"/>
            <w:vAlign w:val="bottom"/>
            <w:tcBorders>
              <w:left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110,681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6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20%</w:t>
            </w: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1,519,284</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w:t>
            </w:r>
          </w:p>
        </w:tc>
        <w:tc>
          <w:tcPr>
            <w:tcW w:w="112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1,271,223</w:t>
            </w:r>
          </w:p>
        </w:tc>
        <w:tc>
          <w:tcPr>
            <w:tcW w:w="660" w:type="dxa"/>
            <w:vAlign w:val="bottom"/>
            <w:vMerge w:val="continue"/>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the individual percentages does not equal the total due to rounding.</w:t>
      </w:r>
    </w:p>
    <w:p>
      <w:pPr>
        <w:spacing w:after="0" w:line="117" w:lineRule="exact"/>
        <w:rPr>
          <w:sz w:val="20"/>
          <w:szCs w:val="20"/>
          <w:color w:val="auto"/>
        </w:rPr>
      </w:pPr>
    </w:p>
    <w:p>
      <w:pPr>
        <w:ind w:right="240" w:firstLine="222"/>
        <w:spacing w:after="0" w:line="277" w:lineRule="auto"/>
        <w:rPr>
          <w:sz w:val="20"/>
          <w:szCs w:val="20"/>
          <w:color w:val="auto"/>
        </w:rPr>
      </w:pPr>
      <w:r>
        <w:rPr>
          <w:rFonts w:ascii="Arial" w:cs="Arial" w:eastAsia="Arial" w:hAnsi="Arial"/>
          <w:sz w:val="18"/>
          <w:szCs w:val="18"/>
          <w:color w:val="auto"/>
        </w:rPr>
        <w:t>The year-to-year increase in total revenue in the three- and six-month periods ended April 30, 2011 was primarily the result of a broad-based increase in sales across all product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Revenue by geographic region, based upon customer location, for the three- and six-month periods ended April 30, 2011 and May 1, 2010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vMerge w:val="restart"/>
          </w:tcPr>
          <w:p>
            <w:pPr>
              <w:ind w:left="2540"/>
              <w:spacing w:after="0"/>
              <w:rPr>
                <w:sz w:val="20"/>
                <w:szCs w:val="20"/>
                <w:color w:val="auto"/>
              </w:rPr>
            </w:pPr>
            <w:r>
              <w:rPr>
                <w:rFonts w:ascii="Arial" w:cs="Arial" w:eastAsia="Arial" w:hAnsi="Arial"/>
                <w:sz w:val="14"/>
                <w:szCs w:val="14"/>
                <w:b w:val="1"/>
                <w:bCs w:val="1"/>
                <w:color w:val="auto"/>
              </w:rPr>
              <w:t>Region</w:t>
            </w: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15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May 1, 2010</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30, 2011</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May 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72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146,199</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$ 128,360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276,596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Rest of North and South America</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43,839</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37,984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85,732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231,331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175,930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422,620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Japan</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92,780</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105,871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196,947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216,221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154,571</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109,001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302,692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Rest of Asia</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122,060</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111,094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234,697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208,297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72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790,780</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$ 668,240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9"/>
              </w:rPr>
              <w:t>1,519,284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1,271,223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color w:val="auto"/>
        </w:rPr>
        <w:t>In the three- and six-month periods ended April 30, 2011 and May 1, 2010, the predominant countries comprising “Rest of North and South America” are Canada and Mexico; the predominant countries comprising “Europe” are Germany, Sweden, France and the United Kingdom; and the predominant countries comprising “Rest of Asia” are Taiwan and South Korea.</w:t>
      </w:r>
    </w:p>
    <w:p>
      <w:pPr>
        <w:spacing w:after="0" w:line="73"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Sales increased in all geographic regions, except Japan, in the second quarter of fiscal 2011 as compared to second quarter of fiscal 2010, with sales in Europe and China experiencing the largest increases. The decrease in sales in Japan was primarily the result of lower sales activity in the consumer end market sector in this region as a result of the earthquake and tsunami that occurred in Japan in March 2011, partially offset by an increase in communications end market sales in this region.</w:t>
      </w:r>
    </w:p>
    <w:p>
      <w:pPr>
        <w:spacing w:after="0" w:line="79"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Sales increased in all geographic regions, except Japan, in the first six months of fiscal 2011 as compared to the first six months of fiscal 2010, with sales in Europe and China experiencing the largest increases. The decrease in sales in Japan was primarily the result of lower sales activity in the consumer end market sector in this region as a result of the earthquake and tsunami that occurred in Japan in March 2011, partially offset by an increase in industrial end market sales in this region.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94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94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10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3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April 30, 2011</w:t>
            </w:r>
          </w:p>
        </w:tc>
        <w:tc>
          <w:tcPr>
            <w:tcW w:w="440" w:type="dxa"/>
            <w:vAlign w:val="bottom"/>
          </w:tcPr>
          <w:p>
            <w:pPr>
              <w:spacing w:after="0"/>
              <w:rPr>
                <w:sz w:val="12"/>
                <w:szCs w:val="12"/>
                <w:color w:val="auto"/>
              </w:rPr>
            </w:pPr>
          </w:p>
        </w:tc>
        <w:tc>
          <w:tcPr>
            <w:tcW w:w="11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May 1, 2010</w:t>
            </w:r>
          </w:p>
        </w:tc>
        <w:tc>
          <w:tcPr>
            <w:tcW w:w="440" w:type="dxa"/>
            <w:vAlign w:val="bottom"/>
          </w:tcPr>
          <w:p>
            <w:pPr>
              <w:spacing w:after="0"/>
              <w:rPr>
                <w:sz w:val="12"/>
                <w:szCs w:val="12"/>
                <w:color w:val="auto"/>
              </w:rPr>
            </w:pPr>
          </w:p>
        </w:tc>
        <w:tc>
          <w:tcPr>
            <w:tcW w:w="13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April 30, 2011</w:t>
            </w:r>
          </w:p>
        </w:tc>
        <w:tc>
          <w:tcPr>
            <w:tcW w:w="440" w:type="dxa"/>
            <w:vAlign w:val="bottom"/>
          </w:tcPr>
          <w:p>
            <w:pPr>
              <w:spacing w:after="0"/>
              <w:rPr>
                <w:sz w:val="12"/>
                <w:szCs w:val="12"/>
                <w:color w:val="auto"/>
              </w:rPr>
            </w:pPr>
          </w:p>
        </w:tc>
        <w:tc>
          <w:tcPr>
            <w:tcW w:w="11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1, 2010</w:t>
            </w:r>
          </w:p>
        </w:tc>
        <w:tc>
          <w:tcPr>
            <w:tcW w:w="0" w:type="dxa"/>
            <w:vAlign w:val="bottom"/>
          </w:tcPr>
          <w:p>
            <w:pPr>
              <w:spacing w:after="0"/>
              <w:rPr>
                <w:sz w:val="1"/>
                <w:szCs w:val="1"/>
                <w:color w:val="auto"/>
              </w:rPr>
            </w:pPr>
          </w:p>
        </w:tc>
      </w:tr>
      <w:tr>
        <w:trPr>
          <w:trHeight w:val="195"/>
        </w:trPr>
        <w:tc>
          <w:tcPr>
            <w:tcW w:w="5100" w:type="dxa"/>
            <w:vAlign w:val="bottom"/>
            <w:vMerge w:val="continue"/>
          </w:tcPr>
          <w:p>
            <w:pPr>
              <w:spacing w:after="0"/>
              <w:rPr>
                <w:sz w:val="16"/>
                <w:szCs w:val="16"/>
                <w:color w:val="auto"/>
              </w:rPr>
            </w:pPr>
          </w:p>
        </w:tc>
        <w:tc>
          <w:tcPr>
            <w:tcW w:w="132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$534,214</w:t>
            </w:r>
          </w:p>
        </w:tc>
        <w:tc>
          <w:tcPr>
            <w:tcW w:w="440" w:type="dxa"/>
            <w:vAlign w:val="bottom"/>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$434,515</w:t>
            </w:r>
          </w:p>
        </w:tc>
        <w:tc>
          <w:tcPr>
            <w:tcW w:w="440" w:type="dxa"/>
            <w:vAlign w:val="bottom"/>
          </w:tcPr>
          <w:p>
            <w:pPr>
              <w:spacing w:after="0"/>
              <w:rPr>
                <w:sz w:val="16"/>
                <w:szCs w:val="16"/>
                <w:color w:val="auto"/>
              </w:rPr>
            </w:pPr>
          </w:p>
        </w:tc>
        <w:tc>
          <w:tcPr>
            <w:tcW w:w="132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$1,016,387</w:t>
            </w:r>
          </w:p>
        </w:tc>
        <w:tc>
          <w:tcPr>
            <w:tcW w:w="440" w:type="dxa"/>
            <w:vAlign w:val="bottom"/>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$802,991</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Gross margin %</w:t>
            </w:r>
          </w:p>
        </w:tc>
        <w:tc>
          <w:tcPr>
            <w:tcW w:w="1320" w:type="dxa"/>
            <w:vAlign w:val="bottom"/>
          </w:tcPr>
          <w:p>
            <w:pPr>
              <w:jc w:val="right"/>
              <w:ind w:right="139"/>
              <w:spacing w:after="0"/>
              <w:rPr>
                <w:sz w:val="20"/>
                <w:szCs w:val="20"/>
                <w:color w:val="auto"/>
              </w:rPr>
            </w:pPr>
            <w:r>
              <w:rPr>
                <w:rFonts w:ascii="Arial" w:cs="Arial" w:eastAsia="Arial" w:hAnsi="Arial"/>
                <w:sz w:val="18"/>
                <w:szCs w:val="18"/>
                <w:color w:val="auto"/>
              </w:rPr>
              <w:t>67.6%</w:t>
            </w:r>
          </w:p>
        </w:tc>
        <w:tc>
          <w:tcPr>
            <w:tcW w:w="1620" w:type="dxa"/>
            <w:vAlign w:val="bottom"/>
            <w:gridSpan w:val="2"/>
          </w:tcPr>
          <w:p>
            <w:pPr>
              <w:jc w:val="right"/>
              <w:ind w:right="59"/>
              <w:spacing w:after="0"/>
              <w:rPr>
                <w:sz w:val="20"/>
                <w:szCs w:val="20"/>
                <w:color w:val="auto"/>
              </w:rPr>
            </w:pPr>
            <w:r>
              <w:rPr>
                <w:rFonts w:ascii="Arial" w:cs="Arial" w:eastAsia="Arial" w:hAnsi="Arial"/>
                <w:sz w:val="18"/>
                <w:szCs w:val="18"/>
                <w:color w:val="auto"/>
              </w:rPr>
              <w:t>65.0%</w:t>
            </w:r>
          </w:p>
        </w:tc>
        <w:tc>
          <w:tcPr>
            <w:tcW w:w="1760" w:type="dxa"/>
            <w:vAlign w:val="bottom"/>
            <w:gridSpan w:val="2"/>
          </w:tcPr>
          <w:p>
            <w:pPr>
              <w:jc w:val="right"/>
              <w:ind w:right="62"/>
              <w:spacing w:after="0"/>
              <w:rPr>
                <w:sz w:val="20"/>
                <w:szCs w:val="20"/>
                <w:color w:val="auto"/>
              </w:rPr>
            </w:pPr>
            <w:r>
              <w:rPr>
                <w:rFonts w:ascii="Arial" w:cs="Arial" w:eastAsia="Arial" w:hAnsi="Arial"/>
                <w:sz w:val="18"/>
                <w:szCs w:val="18"/>
                <w:color w:val="auto"/>
              </w:rPr>
              <w:t>66.9%</w:t>
            </w:r>
          </w:p>
        </w:tc>
        <w:tc>
          <w:tcPr>
            <w:tcW w:w="1620" w:type="dxa"/>
            <w:vAlign w:val="bottom"/>
            <w:gridSpan w:val="2"/>
          </w:tcPr>
          <w:p>
            <w:pPr>
              <w:jc w:val="right"/>
              <w:ind w:right="59"/>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Gross margin percentage was higher by 260 basis points in the second quarter of fiscal 2011 as compared to the second quarter of fiscal 2010 primarily as a result of an increase in sales of $122.5 million, increased operating levels in our manufacturing facilities and the impact of efforts to reduce overall manufacturing costs, including the savings realized as a result of wafer fabrication consolidation actions.</w:t>
      </w:r>
    </w:p>
    <w:p>
      <w:pPr>
        <w:spacing w:after="0" w:line="73" w:lineRule="exact"/>
        <w:rPr>
          <w:sz w:val="20"/>
          <w:szCs w:val="20"/>
          <w:color w:val="auto"/>
        </w:rPr>
      </w:pPr>
    </w:p>
    <w:p>
      <w:pPr>
        <w:ind w:right="340" w:firstLine="225"/>
        <w:spacing w:after="0" w:line="264" w:lineRule="auto"/>
        <w:rPr>
          <w:sz w:val="20"/>
          <w:szCs w:val="20"/>
          <w:color w:val="auto"/>
        </w:rPr>
      </w:pPr>
      <w:r>
        <w:rPr>
          <w:rFonts w:ascii="Arial" w:cs="Arial" w:eastAsia="Arial" w:hAnsi="Arial"/>
          <w:sz w:val="18"/>
          <w:szCs w:val="18"/>
          <w:color w:val="auto"/>
        </w:rPr>
        <w:t>Gross margin percentage was higher by 370 basis points in the six months ended April 30, 2011 as compared to the six months ended May 1, 2010 primarily as a result of an increase in sales of $248.1 million, increased operating levels in our manufacturing facilities and the impact of efforts to reduce overall manufacturing costs, including the savings realized as a result of wafer fabrication consolidation 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9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94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08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3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April 30, 2011</w:t>
            </w:r>
          </w:p>
        </w:tc>
        <w:tc>
          <w:tcPr>
            <w:tcW w:w="460" w:type="dxa"/>
            <w:vAlign w:val="bottom"/>
          </w:tcPr>
          <w:p>
            <w:pPr>
              <w:spacing w:after="0"/>
              <w:rPr>
                <w:sz w:val="12"/>
                <w:szCs w:val="12"/>
                <w:color w:val="auto"/>
              </w:rPr>
            </w:pPr>
          </w:p>
        </w:tc>
        <w:tc>
          <w:tcPr>
            <w:tcW w:w="11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1, 2010</w:t>
            </w:r>
          </w:p>
        </w:tc>
        <w:tc>
          <w:tcPr>
            <w:tcW w:w="440" w:type="dxa"/>
            <w:vAlign w:val="bottom"/>
          </w:tcPr>
          <w:p>
            <w:pPr>
              <w:spacing w:after="0"/>
              <w:rPr>
                <w:sz w:val="12"/>
                <w:szCs w:val="12"/>
                <w:color w:val="auto"/>
              </w:rPr>
            </w:pPr>
          </w:p>
        </w:tc>
        <w:tc>
          <w:tcPr>
            <w:tcW w:w="132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April 30, 2011</w:t>
            </w:r>
          </w:p>
        </w:tc>
        <w:tc>
          <w:tcPr>
            <w:tcW w:w="440" w:type="dxa"/>
            <w:vAlign w:val="bottom"/>
          </w:tcPr>
          <w:p>
            <w:pPr>
              <w:spacing w:after="0"/>
              <w:rPr>
                <w:sz w:val="12"/>
                <w:szCs w:val="12"/>
                <w:color w:val="auto"/>
              </w:rPr>
            </w:pPr>
          </w:p>
        </w:tc>
        <w:tc>
          <w:tcPr>
            <w:tcW w:w="11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1, 2010</w:t>
            </w:r>
          </w:p>
        </w:tc>
        <w:tc>
          <w:tcPr>
            <w:tcW w:w="0" w:type="dxa"/>
            <w:vAlign w:val="bottom"/>
          </w:tcPr>
          <w:p>
            <w:pPr>
              <w:spacing w:after="0"/>
              <w:rPr>
                <w:sz w:val="1"/>
                <w:szCs w:val="1"/>
                <w:color w:val="auto"/>
              </w:rPr>
            </w:pPr>
          </w:p>
        </w:tc>
      </w:tr>
      <w:tr>
        <w:trPr>
          <w:trHeight w:val="195"/>
        </w:trPr>
        <w:tc>
          <w:tcPr>
            <w:tcW w:w="5080" w:type="dxa"/>
            <w:vAlign w:val="bottom"/>
            <w:vMerge w:val="continue"/>
          </w:tcPr>
          <w:p>
            <w:pPr>
              <w:spacing w:after="0"/>
              <w:rPr>
                <w:sz w:val="16"/>
                <w:szCs w:val="16"/>
                <w:color w:val="auto"/>
              </w:rPr>
            </w:pPr>
          </w:p>
        </w:tc>
        <w:tc>
          <w:tcPr>
            <w:tcW w:w="132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$130,460</w:t>
            </w:r>
          </w:p>
        </w:tc>
        <w:tc>
          <w:tcPr>
            <w:tcW w:w="460" w:type="dxa"/>
            <w:vAlign w:val="bottom"/>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$122,780</w:t>
            </w:r>
          </w:p>
        </w:tc>
        <w:tc>
          <w:tcPr>
            <w:tcW w:w="440" w:type="dxa"/>
            <w:vAlign w:val="bottom"/>
          </w:tcPr>
          <w:p>
            <w:pPr>
              <w:spacing w:after="0"/>
              <w:rPr>
                <w:sz w:val="16"/>
                <w:szCs w:val="16"/>
                <w:color w:val="auto"/>
              </w:rPr>
            </w:pPr>
          </w:p>
        </w:tc>
        <w:tc>
          <w:tcPr>
            <w:tcW w:w="1320" w:type="dxa"/>
            <w:vAlign w:val="bottom"/>
          </w:tcPr>
          <w:p>
            <w:pPr>
              <w:jc w:val="right"/>
              <w:ind w:right="282"/>
              <w:spacing w:after="0" w:line="195" w:lineRule="exact"/>
              <w:rPr>
                <w:sz w:val="20"/>
                <w:szCs w:val="20"/>
                <w:color w:val="auto"/>
              </w:rPr>
            </w:pPr>
            <w:r>
              <w:rPr>
                <w:rFonts w:ascii="Arial" w:cs="Arial" w:eastAsia="Arial" w:hAnsi="Arial"/>
                <w:sz w:val="18"/>
                <w:szCs w:val="18"/>
                <w:color w:val="auto"/>
              </w:rPr>
              <w:t>$253,205</w:t>
            </w:r>
          </w:p>
        </w:tc>
        <w:tc>
          <w:tcPr>
            <w:tcW w:w="440" w:type="dxa"/>
            <w:vAlign w:val="bottom"/>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$237,178</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R&amp;D expenses as a % of revenue</w:t>
            </w:r>
          </w:p>
        </w:tc>
        <w:tc>
          <w:tcPr>
            <w:tcW w:w="1320" w:type="dxa"/>
            <w:vAlign w:val="bottom"/>
          </w:tcPr>
          <w:p>
            <w:pPr>
              <w:jc w:val="right"/>
              <w:ind w:right="119"/>
              <w:spacing w:after="0"/>
              <w:rPr>
                <w:sz w:val="20"/>
                <w:szCs w:val="20"/>
                <w:color w:val="auto"/>
              </w:rPr>
            </w:pPr>
            <w:r>
              <w:rPr>
                <w:rFonts w:ascii="Arial" w:cs="Arial" w:eastAsia="Arial" w:hAnsi="Arial"/>
                <w:sz w:val="18"/>
                <w:szCs w:val="18"/>
                <w:color w:val="auto"/>
              </w:rPr>
              <w:t>16.5%</w:t>
            </w:r>
          </w:p>
        </w:tc>
        <w:tc>
          <w:tcPr>
            <w:tcW w:w="1640" w:type="dxa"/>
            <w:vAlign w:val="bottom"/>
            <w:gridSpan w:val="2"/>
          </w:tcPr>
          <w:p>
            <w:pPr>
              <w:jc w:val="right"/>
              <w:ind w:right="79"/>
              <w:spacing w:after="0"/>
              <w:rPr>
                <w:sz w:val="20"/>
                <w:szCs w:val="20"/>
                <w:color w:val="auto"/>
              </w:rPr>
            </w:pPr>
            <w:r>
              <w:rPr>
                <w:rFonts w:ascii="Arial" w:cs="Arial" w:eastAsia="Arial" w:hAnsi="Arial"/>
                <w:sz w:val="18"/>
                <w:szCs w:val="18"/>
                <w:color w:val="auto"/>
              </w:rPr>
              <w:t>18.4%</w:t>
            </w:r>
          </w:p>
        </w:tc>
        <w:tc>
          <w:tcPr>
            <w:tcW w:w="1760" w:type="dxa"/>
            <w:vAlign w:val="bottom"/>
            <w:gridSpan w:val="2"/>
          </w:tcPr>
          <w:p>
            <w:pPr>
              <w:jc w:val="right"/>
              <w:ind w:right="142"/>
              <w:spacing w:after="0"/>
              <w:rPr>
                <w:sz w:val="20"/>
                <w:szCs w:val="20"/>
                <w:color w:val="auto"/>
              </w:rPr>
            </w:pPr>
            <w:r>
              <w:rPr>
                <w:rFonts w:ascii="Arial" w:cs="Arial" w:eastAsia="Arial" w:hAnsi="Arial"/>
                <w:sz w:val="18"/>
                <w:szCs w:val="18"/>
                <w:color w:val="auto"/>
              </w:rPr>
              <w:t>16.7%</w:t>
            </w:r>
          </w:p>
        </w:tc>
        <w:tc>
          <w:tcPr>
            <w:tcW w:w="1620" w:type="dxa"/>
            <w:vAlign w:val="bottom"/>
            <w:gridSpan w:val="2"/>
          </w:tcPr>
          <w:p>
            <w:pPr>
              <w:jc w:val="right"/>
              <w:ind w:right="59"/>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Research and development, or R&amp;D, expenses increased $7.7 million, or 6%, in the second quarter of fiscal 2011 as compared to the second quarter of fiscal 2010, and increased $16.0 million, or 7%, in the six months ended April 30, 2011 as compared to the six months ended May 1, 2010. The increases for the three- and six- month periods were primarily the result of higher employee salary and benefit expense due to salary increases that were effective at the beginning of the second quarter of fiscal 2011. In addition, variable compensation expense, which is a variable expense linked to our overall profitability and revenue growth, increased.</w:t>
      </w:r>
    </w:p>
    <w:p>
      <w:pPr>
        <w:spacing w:after="0" w:line="80"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R&amp;D expenses as a percentage of revenue will fluctuate from year-to-year depending on the amount of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and therefore, we expect to continue to make significant R&amp;D investments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96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16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3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April 30, 2011</w:t>
            </w:r>
          </w:p>
        </w:tc>
        <w:tc>
          <w:tcPr>
            <w:tcW w:w="440" w:type="dxa"/>
            <w:vAlign w:val="bottom"/>
          </w:tcPr>
          <w:p>
            <w:pPr>
              <w:spacing w:after="0"/>
              <w:rPr>
                <w:sz w:val="12"/>
                <w:szCs w:val="12"/>
                <w:color w:val="auto"/>
              </w:rPr>
            </w:pPr>
          </w:p>
        </w:tc>
        <w:tc>
          <w:tcPr>
            <w:tcW w:w="10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May 1, 2010</w:t>
            </w:r>
          </w:p>
        </w:tc>
        <w:tc>
          <w:tcPr>
            <w:tcW w:w="440" w:type="dxa"/>
            <w:vAlign w:val="bottom"/>
          </w:tcPr>
          <w:p>
            <w:pPr>
              <w:spacing w:after="0"/>
              <w:rPr>
                <w:sz w:val="12"/>
                <w:szCs w:val="12"/>
                <w:color w:val="auto"/>
              </w:rPr>
            </w:pPr>
          </w:p>
        </w:tc>
        <w:tc>
          <w:tcPr>
            <w:tcW w:w="13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April 30, 2011</w:t>
            </w:r>
          </w:p>
        </w:tc>
        <w:tc>
          <w:tcPr>
            <w:tcW w:w="460" w:type="dxa"/>
            <w:vAlign w:val="bottom"/>
          </w:tcPr>
          <w:p>
            <w:pPr>
              <w:spacing w:after="0"/>
              <w:rPr>
                <w:sz w:val="12"/>
                <w:szCs w:val="12"/>
                <w:color w:val="auto"/>
              </w:rPr>
            </w:pPr>
          </w:p>
        </w:tc>
        <w:tc>
          <w:tcPr>
            <w:tcW w:w="11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1, 2010</w:t>
            </w:r>
          </w:p>
        </w:tc>
        <w:tc>
          <w:tcPr>
            <w:tcW w:w="0" w:type="dxa"/>
            <w:vAlign w:val="bottom"/>
          </w:tcPr>
          <w:p>
            <w:pPr>
              <w:spacing w:after="0"/>
              <w:rPr>
                <w:sz w:val="1"/>
                <w:szCs w:val="1"/>
                <w:color w:val="auto"/>
              </w:rPr>
            </w:pPr>
          </w:p>
        </w:tc>
      </w:tr>
      <w:tr>
        <w:trPr>
          <w:trHeight w:val="195"/>
        </w:trPr>
        <w:tc>
          <w:tcPr>
            <w:tcW w:w="5160" w:type="dxa"/>
            <w:vAlign w:val="bottom"/>
            <w:vMerge w:val="continue"/>
          </w:tcPr>
          <w:p>
            <w:pPr>
              <w:spacing w:after="0"/>
              <w:rPr>
                <w:sz w:val="16"/>
                <w:szCs w:val="16"/>
                <w:color w:val="auto"/>
              </w:rPr>
            </w:pPr>
          </w:p>
        </w:tc>
        <w:tc>
          <w:tcPr>
            <w:tcW w:w="134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$105,268</w:t>
            </w:r>
          </w:p>
        </w:tc>
        <w:tc>
          <w:tcPr>
            <w:tcW w:w="440" w:type="dxa"/>
            <w:vAlign w:val="bottom"/>
          </w:tcPr>
          <w:p>
            <w:pPr>
              <w:spacing w:after="0"/>
              <w:rPr>
                <w:sz w:val="16"/>
                <w:szCs w:val="16"/>
                <w:color w:val="auto"/>
              </w:rPr>
            </w:pPr>
          </w:p>
        </w:tc>
        <w:tc>
          <w:tcPr>
            <w:tcW w:w="10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$97,660</w:t>
            </w:r>
          </w:p>
        </w:tc>
        <w:tc>
          <w:tcPr>
            <w:tcW w:w="440" w:type="dxa"/>
            <w:vAlign w:val="bottom"/>
          </w:tcPr>
          <w:p>
            <w:pPr>
              <w:spacing w:after="0"/>
              <w:rPr>
                <w:sz w:val="16"/>
                <w:szCs w:val="16"/>
                <w:color w:val="auto"/>
              </w:rPr>
            </w:pPr>
          </w:p>
        </w:tc>
        <w:tc>
          <w:tcPr>
            <w:tcW w:w="1320" w:type="dxa"/>
            <w:vAlign w:val="bottom"/>
          </w:tcPr>
          <w:p>
            <w:pPr>
              <w:jc w:val="right"/>
              <w:ind w:right="282"/>
              <w:spacing w:after="0" w:line="195" w:lineRule="exact"/>
              <w:rPr>
                <w:sz w:val="20"/>
                <w:szCs w:val="20"/>
                <w:color w:val="auto"/>
              </w:rPr>
            </w:pPr>
            <w:r>
              <w:rPr>
                <w:rFonts w:ascii="Arial" w:cs="Arial" w:eastAsia="Arial" w:hAnsi="Arial"/>
                <w:sz w:val="18"/>
                <w:szCs w:val="18"/>
                <w:color w:val="auto"/>
              </w:rPr>
              <w:t>$205,290</w:t>
            </w:r>
          </w:p>
        </w:tc>
        <w:tc>
          <w:tcPr>
            <w:tcW w:w="460" w:type="dxa"/>
            <w:vAlign w:val="bottom"/>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$186,141</w:t>
            </w: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SMG&amp;A expenses as a % of revenue</w:t>
            </w:r>
          </w:p>
        </w:tc>
        <w:tc>
          <w:tcPr>
            <w:tcW w:w="1340" w:type="dxa"/>
            <w:vAlign w:val="bottom"/>
          </w:tcPr>
          <w:p>
            <w:pPr>
              <w:jc w:val="right"/>
              <w:ind w:right="139"/>
              <w:spacing w:after="0"/>
              <w:rPr>
                <w:sz w:val="20"/>
                <w:szCs w:val="20"/>
                <w:color w:val="auto"/>
              </w:rPr>
            </w:pPr>
            <w:r>
              <w:rPr>
                <w:rFonts w:ascii="Arial" w:cs="Arial" w:eastAsia="Arial" w:hAnsi="Arial"/>
                <w:sz w:val="18"/>
                <w:szCs w:val="18"/>
                <w:color w:val="auto"/>
              </w:rPr>
              <w:t>13.3%</w:t>
            </w:r>
          </w:p>
        </w:tc>
        <w:tc>
          <w:tcPr>
            <w:tcW w:w="1520" w:type="dxa"/>
            <w:vAlign w:val="bottom"/>
            <w:gridSpan w:val="2"/>
          </w:tcPr>
          <w:p>
            <w:pPr>
              <w:jc w:val="right"/>
              <w:ind w:right="79"/>
              <w:spacing w:after="0"/>
              <w:rPr>
                <w:sz w:val="20"/>
                <w:szCs w:val="20"/>
                <w:color w:val="auto"/>
              </w:rPr>
            </w:pPr>
            <w:r>
              <w:rPr>
                <w:rFonts w:ascii="Arial" w:cs="Arial" w:eastAsia="Arial" w:hAnsi="Arial"/>
                <w:sz w:val="18"/>
                <w:szCs w:val="18"/>
                <w:color w:val="auto"/>
              </w:rPr>
              <w:t>14.6%</w:t>
            </w:r>
          </w:p>
        </w:tc>
        <w:tc>
          <w:tcPr>
            <w:tcW w:w="1760" w:type="dxa"/>
            <w:vAlign w:val="bottom"/>
            <w:gridSpan w:val="2"/>
          </w:tcPr>
          <w:p>
            <w:pPr>
              <w:jc w:val="right"/>
              <w:ind w:right="122"/>
              <w:spacing w:after="0"/>
              <w:rPr>
                <w:sz w:val="20"/>
                <w:szCs w:val="20"/>
                <w:color w:val="auto"/>
              </w:rPr>
            </w:pPr>
            <w:r>
              <w:rPr>
                <w:rFonts w:ascii="Arial" w:cs="Arial" w:eastAsia="Arial" w:hAnsi="Arial"/>
                <w:sz w:val="18"/>
                <w:szCs w:val="18"/>
                <w:color w:val="auto"/>
              </w:rPr>
              <w:t>13.5%</w:t>
            </w:r>
          </w:p>
        </w:tc>
        <w:tc>
          <w:tcPr>
            <w:tcW w:w="1640" w:type="dxa"/>
            <w:vAlign w:val="bottom"/>
            <w:gridSpan w:val="2"/>
          </w:tcPr>
          <w:p>
            <w:pPr>
              <w:jc w:val="right"/>
              <w:ind w:right="59"/>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Selling, marketing, general and administrative, or SMG&amp;A, expenses increased $7.6 million, or 8%, in the second quarter of fiscal 2011 as compared to the second quarter of fiscal 2010, and increased $19.1 million, or 10%, in the six months ended April 30, 2011 as compared to the six months ended May 1, 2010. The increases for the three- and six- month periods were primarily the result of higher employee salary and benefit expense due to salary increases that were effective at the beginning of the second quarter of fiscal 2011. In addition, variable compensation expense, which is a variable expense linked to our overall profitability and revenue growth, increased.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is a summary of the restructuring actions we have taken over the last several years.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We ceased production at our California wafer fabrication facility in November 2006. We paid the related lease obligation costs on a monthly basis over the remaining lease term, which expired in March 2010. We recorded a one-time settlement charge of $0.4 million in the first quarter of fiscal 2010 related to the termination of the lease. This action was completed during fiscal 2010.</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Operating Costs</w:t>
      </w:r>
    </w:p>
    <w:p>
      <w:pPr>
        <w:spacing w:after="0" w:line="117" w:lineRule="exact"/>
        <w:rPr>
          <w:sz w:val="20"/>
          <w:szCs w:val="20"/>
          <w:color w:val="auto"/>
        </w:rPr>
      </w:pPr>
    </w:p>
    <w:p>
      <w:pPr>
        <w:ind w:right="200" w:firstLine="450"/>
        <w:spacing w:after="0" w:line="264" w:lineRule="auto"/>
        <w:rPr>
          <w:sz w:val="20"/>
          <w:szCs w:val="20"/>
          <w:color w:val="auto"/>
        </w:rPr>
      </w:pPr>
      <w:r>
        <w:rPr>
          <w:rFonts w:ascii="Arial" w:cs="Arial" w:eastAsia="Arial" w:hAnsi="Arial"/>
          <w:sz w:val="18"/>
          <w:szCs w:val="18"/>
          <w:color w:val="auto"/>
        </w:rPr>
        <w:t>During the fourth quarter of fiscal 2008, in order to further reduce our operating cost structure, we recorded a special charge of $1.6 million for severance and fringe benefit costs in accordance with our ongoing benefit plan or the statutory requirements at foreign locations for 19 engineering, selling, marketing, general and administrative employees.</w:t>
      </w:r>
    </w:p>
    <w:p>
      <w:pPr>
        <w:spacing w:after="0" w:line="73"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During fiscal 2009, we recorded an additional charge of $30.3 million related to this cost reduction action. Approximately $2.1 million of this charge was for lease obligation costs for facilities that we ceased using during the first quarter of fiscal 2009; approximately $0.8 million was for the write-off of property, plant and equipment no longer used as a result of this action; and approximately $0.5 million was for contract termination costs and approximately $0.3 million was for clean-up and closure costs that we expensed as incurred. The remaining $26.6 million related to the severance and fringe benefit costs recorded in accordance with our ongoing benefit plan or statutory requirements at foreign locations for 245 manufacturing employees and 302 engineering and SMG&amp;A employees. This cost reduction action, which was substantially completed during the second quarter of fiscal 2009, resulted in annual savings of approximately $36.4 million. These annual savings are being realized as follows: approximately $31.6 million in SMG&amp;A expenses and approximately $4.8 million in cost of sales.</w:t>
      </w:r>
    </w:p>
    <w:p>
      <w:pPr>
        <w:spacing w:after="0" w:line="84" w:lineRule="exact"/>
        <w:rPr>
          <w:sz w:val="20"/>
          <w:szCs w:val="20"/>
          <w:color w:val="auto"/>
        </w:rPr>
      </w:pPr>
    </w:p>
    <w:p>
      <w:pPr>
        <w:ind w:right="180" w:firstLine="225"/>
        <w:spacing w:after="0" w:line="276" w:lineRule="auto"/>
        <w:rPr>
          <w:sz w:val="20"/>
          <w:szCs w:val="20"/>
          <w:color w:val="auto"/>
        </w:rPr>
      </w:pPr>
      <w:r>
        <w:rPr>
          <w:rFonts w:ascii="Arial" w:cs="Arial" w:eastAsia="Arial" w:hAnsi="Arial"/>
          <w:sz w:val="17"/>
          <w:szCs w:val="17"/>
          <w:color w:val="auto"/>
        </w:rPr>
        <w:t>During the first quarter of fiscal 2010, we recorded an additional charge of $11.4 million related to the further reduction of our operating cost structure. Approximately $10.9 million of this charge was for severance and fringe benefit costs recorded in accordance with our ongoing benefit plan or statutory requirements at foreign locations for 149 engineering and SMG&amp;A employees. Approximately $0.5 million of the charge related to our decision to abandon efforts to develop a particular expertise in power management, resulting in the impairment of related intellectual property. These cost reductions actions, which were fully implemented in the first quarter of fiscal 2011, resulted in annual savings of approximately $16 million.</w:t>
      </w:r>
    </w:p>
    <w:p>
      <w:pPr>
        <w:spacing w:after="0" w:line="64" w:lineRule="exact"/>
        <w:rPr>
          <w:sz w:val="20"/>
          <w:szCs w:val="20"/>
          <w:color w:val="auto"/>
        </w:rPr>
      </w:pPr>
    </w:p>
    <w:p>
      <w:pPr>
        <w:ind w:left="240" w:right="1240" w:hanging="2"/>
        <w:spacing w:after="0" w:line="375" w:lineRule="auto"/>
        <w:rPr>
          <w:sz w:val="20"/>
          <w:szCs w:val="20"/>
          <w:color w:val="auto"/>
        </w:rPr>
      </w:pPr>
      <w:r>
        <w:rPr>
          <w:rFonts w:ascii="Arial" w:cs="Arial" w:eastAsia="Arial" w:hAnsi="Arial"/>
          <w:sz w:val="18"/>
          <w:szCs w:val="18"/>
          <w:color w:val="auto"/>
        </w:rPr>
        <w:t xml:space="preserve">We terminated the employment of all employees associated with this action and are paying amounts owed to them as income continuance. </w:t>
      </w:r>
      <w:r>
        <w:rPr>
          <w:rFonts w:ascii="Arial" w:cs="Arial" w:eastAsia="Arial" w:hAnsi="Arial"/>
          <w:sz w:val="18"/>
          <w:szCs w:val="18"/>
          <w:i w:val="1"/>
          <w:iCs w:val="1"/>
          <w:color w:val="auto"/>
        </w:rPr>
        <w:t>Closure of a Wafer Fabrication Facility in Cambridge</w:t>
      </w:r>
    </w:p>
    <w:p>
      <w:pPr>
        <w:spacing w:after="0" w:line="1" w:lineRule="exact"/>
        <w:rPr>
          <w:sz w:val="20"/>
          <w:szCs w:val="20"/>
          <w:color w:val="auto"/>
        </w:rPr>
      </w:pPr>
    </w:p>
    <w:p>
      <w:pPr>
        <w:ind w:right="220" w:firstLine="225"/>
        <w:spacing w:after="0" w:line="276" w:lineRule="auto"/>
        <w:rPr>
          <w:sz w:val="20"/>
          <w:szCs w:val="20"/>
          <w:color w:val="auto"/>
        </w:rPr>
      </w:pPr>
      <w:r>
        <w:rPr>
          <w:rFonts w:ascii="Arial" w:cs="Arial" w:eastAsia="Arial" w:hAnsi="Arial"/>
          <w:sz w:val="17"/>
          <w:szCs w:val="17"/>
          <w:color w:val="auto"/>
        </w:rPr>
        <w:t>During the first quarter of fiscal 2009, we recorded a special charge of $22.1 million as a result of our decision to consolidate our Cambridge, Massachusetts wafer fabrication facility into our existing Wilmington, Massachusetts facility. In connection with the anticipated closure of this facility, we evaluated the recoverability of the facility’s manufacturing assets and concluded that there was an impairment of approximately $12.9 million based on the revised period of intended use. The remaining $9.2 million was for severance and fringe benefit costs recorded in accordance with our ongoing benefit plan for 175 manufacturing employees and 9 SMG&amp;A employees associated with this action.</w:t>
      </w:r>
    </w:p>
    <w:p>
      <w:pPr>
        <w:spacing w:after="0" w:line="64" w:lineRule="exact"/>
        <w:rPr>
          <w:sz w:val="20"/>
          <w:szCs w:val="20"/>
          <w:color w:val="auto"/>
        </w:rPr>
      </w:pPr>
    </w:p>
    <w:p>
      <w:pPr>
        <w:ind w:right="40" w:firstLine="222"/>
        <w:spacing w:after="0" w:line="289" w:lineRule="auto"/>
        <w:rPr>
          <w:sz w:val="20"/>
          <w:szCs w:val="20"/>
          <w:color w:val="auto"/>
        </w:rPr>
      </w:pPr>
      <w:r>
        <w:rPr>
          <w:rFonts w:ascii="Arial" w:cs="Arial" w:eastAsia="Arial" w:hAnsi="Arial"/>
          <w:sz w:val="16"/>
          <w:szCs w:val="16"/>
          <w:color w:val="auto"/>
        </w:rPr>
        <w:t>We finished production in the Cambridge wafer fabrication facility and began clean-up activities during the fourth quarter of fiscal 2009. During the fourth quarter of fiscal 2009, we reversed approximately $1.8 million of our severance accrual. The accrual reversal was required because 51 employees either voluntarily left Analog or found alternative employment within Analog. In addition, we recorded a special charge of approximately $1.7 million for the impairment of manufacturing assets that were originally going to be moved to our other wafer fabrication facilities but were no longer needed at those facilities and therefore had no future use. We also recorded a special charge of $0.1 million for clean-up costs as we began our clean-up of the Cambridge wafer fabrication facility at the end of the fourth quarter of fiscal 2009. We terminated the employment of all employees associated with this charge and are paying amounts owed to them as income continuance. We estimate that this action will result in annual cost savings of approximately $41 million per year, which we began realizing in the third quarter of fiscal 2010. These annual savings are being realized as follows: approximately $40.2 million in cost of sales, of which approximately $4.0 million relates to non-cash depreciation savings, and approximately $0.8 million relates to SMG&amp;A expenses.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During the first quarter of fiscal 2010, we recorded an additional charge of $4.7 million related to this cost reduction action. Approximately $3.4 million of the charge related to lease obligation costs for the Cambridge wafer fabrication facility, which we ceased using in the first quarter of fiscal 2010, and the remaining $1.3 million of the charge related to clean-up and closure costs. These cost reductions resulted in annual savings of approximately $2.4 million, which we began realizing in the first quarter of fiscal 2010.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9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94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080" w:type="dxa"/>
            <w:vAlign w:val="bottom"/>
            <w:vMerge w:val="restart"/>
          </w:tcPr>
          <w:p>
            <w:pPr>
              <w:spacing w:after="0"/>
              <w:rPr>
                <w:sz w:val="20"/>
                <w:szCs w:val="20"/>
                <w:color w:val="auto"/>
              </w:rPr>
            </w:pPr>
            <w:r>
              <w:rPr>
                <w:rFonts w:ascii="Arial" w:cs="Arial" w:eastAsia="Arial" w:hAnsi="Arial"/>
                <w:sz w:val="18"/>
                <w:szCs w:val="18"/>
                <w:color w:val="auto"/>
              </w:rPr>
              <w:t>Operating income from continuing operations</w:t>
            </w:r>
          </w:p>
        </w:tc>
        <w:tc>
          <w:tcPr>
            <w:tcW w:w="13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April 30, 2011</w:t>
            </w:r>
          </w:p>
        </w:tc>
        <w:tc>
          <w:tcPr>
            <w:tcW w:w="460" w:type="dxa"/>
            <w:vAlign w:val="bottom"/>
          </w:tcPr>
          <w:p>
            <w:pPr>
              <w:spacing w:after="0"/>
              <w:rPr>
                <w:sz w:val="12"/>
                <w:szCs w:val="12"/>
                <w:color w:val="auto"/>
              </w:rPr>
            </w:pPr>
          </w:p>
        </w:tc>
        <w:tc>
          <w:tcPr>
            <w:tcW w:w="11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1, 2010</w:t>
            </w:r>
          </w:p>
        </w:tc>
        <w:tc>
          <w:tcPr>
            <w:tcW w:w="440" w:type="dxa"/>
            <w:vAlign w:val="bottom"/>
          </w:tcPr>
          <w:p>
            <w:pPr>
              <w:spacing w:after="0"/>
              <w:rPr>
                <w:sz w:val="12"/>
                <w:szCs w:val="12"/>
                <w:color w:val="auto"/>
              </w:rPr>
            </w:pPr>
          </w:p>
        </w:tc>
        <w:tc>
          <w:tcPr>
            <w:tcW w:w="132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April 30, 2011</w:t>
            </w:r>
          </w:p>
        </w:tc>
        <w:tc>
          <w:tcPr>
            <w:tcW w:w="440" w:type="dxa"/>
            <w:vAlign w:val="bottom"/>
          </w:tcPr>
          <w:p>
            <w:pPr>
              <w:spacing w:after="0"/>
              <w:rPr>
                <w:sz w:val="12"/>
                <w:szCs w:val="12"/>
                <w:color w:val="auto"/>
              </w:rPr>
            </w:pPr>
          </w:p>
        </w:tc>
        <w:tc>
          <w:tcPr>
            <w:tcW w:w="11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1, 2010</w:t>
            </w:r>
          </w:p>
        </w:tc>
        <w:tc>
          <w:tcPr>
            <w:tcW w:w="0" w:type="dxa"/>
            <w:vAlign w:val="bottom"/>
          </w:tcPr>
          <w:p>
            <w:pPr>
              <w:spacing w:after="0"/>
              <w:rPr>
                <w:sz w:val="1"/>
                <w:szCs w:val="1"/>
                <w:color w:val="auto"/>
              </w:rPr>
            </w:pPr>
          </w:p>
        </w:tc>
      </w:tr>
      <w:tr>
        <w:trPr>
          <w:trHeight w:val="195"/>
        </w:trPr>
        <w:tc>
          <w:tcPr>
            <w:tcW w:w="5080" w:type="dxa"/>
            <w:vAlign w:val="bottom"/>
            <w:vMerge w:val="continue"/>
          </w:tcPr>
          <w:p>
            <w:pPr>
              <w:spacing w:after="0"/>
              <w:rPr>
                <w:sz w:val="16"/>
                <w:szCs w:val="16"/>
                <w:color w:val="auto"/>
              </w:rPr>
            </w:pPr>
          </w:p>
        </w:tc>
        <w:tc>
          <w:tcPr>
            <w:tcW w:w="132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$298,486</w:t>
            </w:r>
          </w:p>
        </w:tc>
        <w:tc>
          <w:tcPr>
            <w:tcW w:w="460" w:type="dxa"/>
            <w:vAlign w:val="bottom"/>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$214,075</w:t>
            </w:r>
          </w:p>
        </w:tc>
        <w:tc>
          <w:tcPr>
            <w:tcW w:w="440" w:type="dxa"/>
            <w:vAlign w:val="bottom"/>
          </w:tcPr>
          <w:p>
            <w:pPr>
              <w:spacing w:after="0"/>
              <w:rPr>
                <w:sz w:val="16"/>
                <w:szCs w:val="16"/>
                <w:color w:val="auto"/>
              </w:rPr>
            </w:pPr>
          </w:p>
        </w:tc>
        <w:tc>
          <w:tcPr>
            <w:tcW w:w="1320" w:type="dxa"/>
            <w:vAlign w:val="bottom"/>
          </w:tcPr>
          <w:p>
            <w:pPr>
              <w:jc w:val="right"/>
              <w:ind w:right="282"/>
              <w:spacing w:after="0" w:line="195" w:lineRule="exact"/>
              <w:rPr>
                <w:sz w:val="20"/>
                <w:szCs w:val="20"/>
                <w:color w:val="auto"/>
              </w:rPr>
            </w:pPr>
            <w:r>
              <w:rPr>
                <w:rFonts w:ascii="Arial" w:cs="Arial" w:eastAsia="Arial" w:hAnsi="Arial"/>
                <w:sz w:val="18"/>
                <w:szCs w:val="18"/>
                <w:color w:val="auto"/>
              </w:rPr>
              <w:t>$557,892</w:t>
            </w:r>
          </w:p>
        </w:tc>
        <w:tc>
          <w:tcPr>
            <w:tcW w:w="440" w:type="dxa"/>
            <w:vAlign w:val="bottom"/>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$363,189</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w w:val="99"/>
              </w:rPr>
              <w:t>Operating income from continuing operations as a % of revenue</w:t>
            </w:r>
          </w:p>
        </w:tc>
        <w:tc>
          <w:tcPr>
            <w:tcW w:w="1320" w:type="dxa"/>
            <w:vAlign w:val="bottom"/>
          </w:tcPr>
          <w:p>
            <w:pPr>
              <w:jc w:val="right"/>
              <w:ind w:right="119"/>
              <w:spacing w:after="0"/>
              <w:rPr>
                <w:sz w:val="20"/>
                <w:szCs w:val="20"/>
                <w:color w:val="auto"/>
              </w:rPr>
            </w:pPr>
            <w:r>
              <w:rPr>
                <w:rFonts w:ascii="Arial" w:cs="Arial" w:eastAsia="Arial" w:hAnsi="Arial"/>
                <w:sz w:val="18"/>
                <w:szCs w:val="18"/>
                <w:color w:val="auto"/>
              </w:rPr>
              <w:t>37.7%</w:t>
            </w:r>
          </w:p>
        </w:tc>
        <w:tc>
          <w:tcPr>
            <w:tcW w:w="1640" w:type="dxa"/>
            <w:vAlign w:val="bottom"/>
            <w:gridSpan w:val="2"/>
          </w:tcPr>
          <w:p>
            <w:pPr>
              <w:jc w:val="right"/>
              <w:ind w:right="79"/>
              <w:spacing w:after="0"/>
              <w:rPr>
                <w:sz w:val="20"/>
                <w:szCs w:val="20"/>
                <w:color w:val="auto"/>
              </w:rPr>
            </w:pPr>
            <w:r>
              <w:rPr>
                <w:rFonts w:ascii="Arial" w:cs="Arial" w:eastAsia="Arial" w:hAnsi="Arial"/>
                <w:sz w:val="18"/>
                <w:szCs w:val="18"/>
                <w:color w:val="auto"/>
              </w:rPr>
              <w:t>32.0%</w:t>
            </w:r>
          </w:p>
        </w:tc>
        <w:tc>
          <w:tcPr>
            <w:tcW w:w="1760" w:type="dxa"/>
            <w:vAlign w:val="bottom"/>
            <w:gridSpan w:val="2"/>
          </w:tcPr>
          <w:p>
            <w:pPr>
              <w:jc w:val="right"/>
              <w:ind w:right="142"/>
              <w:spacing w:after="0"/>
              <w:rPr>
                <w:sz w:val="20"/>
                <w:szCs w:val="20"/>
                <w:color w:val="auto"/>
              </w:rPr>
            </w:pPr>
            <w:r>
              <w:rPr>
                <w:rFonts w:ascii="Arial" w:cs="Arial" w:eastAsia="Arial" w:hAnsi="Arial"/>
                <w:sz w:val="18"/>
                <w:szCs w:val="18"/>
                <w:color w:val="auto"/>
              </w:rPr>
              <w:t>36.7%</w:t>
            </w:r>
          </w:p>
        </w:tc>
        <w:tc>
          <w:tcPr>
            <w:tcW w:w="1620" w:type="dxa"/>
            <w:vAlign w:val="bottom"/>
            <w:gridSpan w:val="2"/>
          </w:tcPr>
          <w:p>
            <w:pPr>
              <w:jc w:val="right"/>
              <w:ind w:right="59"/>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2"/>
        <w:spacing w:after="0" w:line="308" w:lineRule="auto"/>
        <w:rPr>
          <w:sz w:val="20"/>
          <w:szCs w:val="20"/>
          <w:color w:val="auto"/>
        </w:rPr>
      </w:pPr>
      <w:r>
        <w:rPr>
          <w:rFonts w:ascii="Arial" w:cs="Arial" w:eastAsia="Arial" w:hAnsi="Arial"/>
          <w:sz w:val="17"/>
          <w:szCs w:val="17"/>
          <w:color w:val="auto"/>
        </w:rPr>
        <w:t>The $84.4 million increase in operating income from continuing operations in the second quarter of fiscal 2011 as compared to the second quarter of fiscal 2010 was primarily the result of an increase in revenue of $122.5 million and a 260 basis point increase in gross margin percentage.</w:t>
      </w:r>
    </w:p>
    <w:p>
      <w:pPr>
        <w:spacing w:after="0" w:line="38" w:lineRule="exact"/>
        <w:rPr>
          <w:sz w:val="20"/>
          <w:szCs w:val="20"/>
          <w:color w:val="auto"/>
        </w:rPr>
      </w:pPr>
    </w:p>
    <w:p>
      <w:pPr>
        <w:ind w:right="120" w:firstLine="222"/>
        <w:spacing w:after="0" w:line="308" w:lineRule="auto"/>
        <w:rPr>
          <w:sz w:val="20"/>
          <w:szCs w:val="20"/>
          <w:color w:val="auto"/>
        </w:rPr>
      </w:pPr>
      <w:r>
        <w:rPr>
          <w:rFonts w:ascii="Arial" w:cs="Arial" w:eastAsia="Arial" w:hAnsi="Arial"/>
          <w:sz w:val="17"/>
          <w:szCs w:val="17"/>
          <w:color w:val="auto"/>
        </w:rPr>
        <w:t>The $194.7 million increase in operating income from continuing operations in the six months ended April 30, 2011 as compared to the six months ended May 1, 2010 was primarily the result of an increase in revenue of $248.1 million and a 370 basis point increase in gross margin percentage.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5"/>
              </w:rPr>
              <w:t>Six Months Ended</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8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April 30, 2011</w:t>
            </w:r>
          </w:p>
        </w:tc>
        <w:tc>
          <w:tcPr>
            <w:tcW w:w="340" w:type="dxa"/>
            <w:vAlign w:val="bottom"/>
            <w:gridSpan w:val="2"/>
          </w:tcPr>
          <w:p>
            <w:pPr>
              <w:spacing w:after="0"/>
              <w:rPr>
                <w:sz w:val="12"/>
                <w:szCs w:val="12"/>
                <w:color w:val="auto"/>
              </w:rPr>
            </w:pPr>
          </w:p>
        </w:tc>
        <w:tc>
          <w:tcPr>
            <w:tcW w:w="104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w w:val="92"/>
              </w:rPr>
              <w:t>May 1, 2010</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w w:val="90"/>
              </w:rPr>
              <w:t>April 30, 2011</w:t>
            </w: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May 1, 2010</w:t>
            </w:r>
          </w:p>
        </w:tc>
        <w:tc>
          <w:tcPr>
            <w:tcW w:w="100" w:type="dxa"/>
            <w:vAlign w:val="bottom"/>
          </w:tcPr>
          <w:p>
            <w:pPr>
              <w:spacing w:after="0"/>
              <w:rPr>
                <w:sz w:val="12"/>
                <w:szCs w:val="12"/>
                <w:color w:val="auto"/>
              </w:rPr>
            </w:pPr>
          </w:p>
        </w:tc>
      </w:tr>
      <w:tr>
        <w:trPr>
          <w:trHeight w:val="20"/>
        </w:trPr>
        <w:tc>
          <w:tcPr>
            <w:tcW w:w="6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2,568</w:t>
            </w:r>
          </w:p>
        </w:tc>
        <w:tc>
          <w:tcPr>
            <w:tcW w:w="5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6,908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5,106</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8"/>
                <w:szCs w:val="18"/>
                <w:color w:val="auto"/>
              </w:rPr>
              <w:t>(2,197)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(2,025)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(4,482)</w:t>
            </w:r>
          </w:p>
        </w:tc>
        <w:tc>
          <w:tcPr>
            <w:tcW w:w="2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(4,205)</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Total nonoperating expense</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2,316</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Nonoperating expense was higher by $1.7 million in the second quarter of fiscal 2011 as compared to the second quarter of fiscal 2010 primarily due to an increase in interest expense incurred as a result of the issuance of $375 million aggregate principal amount of 3.0% senior unsecured notes on April 4, 2011 and the $145 million term loan facility we entered into through a wholly owned subsidiary in December 2010. This increase was partially offset by an increase to interest income as a result of higher invested cash balances, partially mitigated by lower interest rates.</w:t>
      </w:r>
    </w:p>
    <w:p>
      <w:pPr>
        <w:spacing w:after="0" w:line="63"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Nonoperating expense was higher by $1.4 million in the six months ended April 30, 2011 as compared to the six months ended May 1, 2010 primarily due to an increase in interest expense incurred as a result of the issuance of $375 million aggregate principal amount of 3.0% senior unsecured notes on April 4, 2011 and the $145 million term loan facility we entered into through a wholly owned subsidiary in December 2010. This increase was partially offset by an increase to interest income as a result of higher invested cash balances, partially mitigated by lower interest rates.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82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8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32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2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April 30, 2011</w:t>
            </w:r>
          </w:p>
        </w:tc>
        <w:tc>
          <w:tcPr>
            <w:tcW w:w="480" w:type="dxa"/>
            <w:vAlign w:val="bottom"/>
          </w:tcPr>
          <w:p>
            <w:pPr>
              <w:spacing w:after="0"/>
              <w:rPr>
                <w:sz w:val="12"/>
                <w:szCs w:val="12"/>
                <w:color w:val="auto"/>
              </w:rPr>
            </w:pPr>
          </w:p>
        </w:tc>
        <w:tc>
          <w:tcPr>
            <w:tcW w:w="11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1, 2010</w:t>
            </w:r>
          </w:p>
        </w:tc>
        <w:tc>
          <w:tcPr>
            <w:tcW w:w="480" w:type="dxa"/>
            <w:vAlign w:val="bottom"/>
          </w:tcPr>
          <w:p>
            <w:pPr>
              <w:spacing w:after="0"/>
              <w:rPr>
                <w:sz w:val="12"/>
                <w:szCs w:val="12"/>
                <w:color w:val="auto"/>
              </w:rPr>
            </w:pPr>
          </w:p>
        </w:tc>
        <w:tc>
          <w:tcPr>
            <w:tcW w:w="122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April 30, 2011</w:t>
            </w:r>
          </w:p>
        </w:tc>
        <w:tc>
          <w:tcPr>
            <w:tcW w:w="480" w:type="dxa"/>
            <w:vAlign w:val="bottom"/>
          </w:tcPr>
          <w:p>
            <w:pPr>
              <w:spacing w:after="0"/>
              <w:rPr>
                <w:sz w:val="12"/>
                <w:szCs w:val="12"/>
                <w:color w:val="auto"/>
              </w:rPr>
            </w:pPr>
          </w:p>
        </w:tc>
        <w:tc>
          <w:tcPr>
            <w:tcW w:w="11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1, 2010</w:t>
            </w:r>
          </w:p>
        </w:tc>
        <w:tc>
          <w:tcPr>
            <w:tcW w:w="0" w:type="dxa"/>
            <w:vAlign w:val="bottom"/>
          </w:tcPr>
          <w:p>
            <w:pPr>
              <w:spacing w:after="0"/>
              <w:rPr>
                <w:sz w:val="1"/>
                <w:szCs w:val="1"/>
                <w:color w:val="auto"/>
              </w:rPr>
            </w:pPr>
          </w:p>
        </w:tc>
      </w:tr>
      <w:tr>
        <w:trPr>
          <w:trHeight w:val="195"/>
        </w:trPr>
        <w:tc>
          <w:tcPr>
            <w:tcW w:w="5320" w:type="dxa"/>
            <w:vAlign w:val="bottom"/>
            <w:vMerge w:val="continue"/>
          </w:tcPr>
          <w:p>
            <w:pPr>
              <w:spacing w:after="0"/>
              <w:rPr>
                <w:sz w:val="16"/>
                <w:szCs w:val="16"/>
                <w:color w:val="auto"/>
              </w:rPr>
            </w:pPr>
          </w:p>
        </w:tc>
        <w:tc>
          <w:tcPr>
            <w:tcW w:w="124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$54,930</w:t>
            </w:r>
          </w:p>
        </w:tc>
        <w:tc>
          <w:tcPr>
            <w:tcW w:w="480" w:type="dxa"/>
            <w:vAlign w:val="bottom"/>
          </w:tcPr>
          <w:p>
            <w:pPr>
              <w:spacing w:after="0"/>
              <w:rPr>
                <w:sz w:val="16"/>
                <w:szCs w:val="16"/>
                <w:color w:val="auto"/>
              </w:rPr>
            </w:pPr>
          </w:p>
        </w:tc>
        <w:tc>
          <w:tcPr>
            <w:tcW w:w="11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$46,880</w:t>
            </w:r>
          </w:p>
        </w:tc>
        <w:tc>
          <w:tcPr>
            <w:tcW w:w="480" w:type="dxa"/>
            <w:vAlign w:val="bottom"/>
          </w:tcPr>
          <w:p>
            <w:pPr>
              <w:spacing w:after="0"/>
              <w:rPr>
                <w:sz w:val="16"/>
                <w:szCs w:val="16"/>
                <w:color w:val="auto"/>
              </w:rPr>
            </w:pPr>
          </w:p>
        </w:tc>
        <w:tc>
          <w:tcPr>
            <w:tcW w:w="1220" w:type="dxa"/>
            <w:vAlign w:val="bottom"/>
          </w:tcPr>
          <w:p>
            <w:pPr>
              <w:jc w:val="right"/>
              <w:ind w:right="282"/>
              <w:spacing w:after="0" w:line="195" w:lineRule="exact"/>
              <w:rPr>
                <w:sz w:val="20"/>
                <w:szCs w:val="20"/>
                <w:color w:val="auto"/>
              </w:rPr>
            </w:pPr>
            <w:r>
              <w:rPr>
                <w:rFonts w:ascii="Arial" w:cs="Arial" w:eastAsia="Arial" w:hAnsi="Arial"/>
                <w:sz w:val="18"/>
                <w:szCs w:val="18"/>
                <w:color w:val="auto"/>
              </w:rPr>
              <w:t>$98,144</w:t>
            </w:r>
          </w:p>
        </w:tc>
        <w:tc>
          <w:tcPr>
            <w:tcW w:w="480" w:type="dxa"/>
            <w:vAlign w:val="bottom"/>
          </w:tcPr>
          <w:p>
            <w:pPr>
              <w:spacing w:after="0"/>
              <w:rPr>
                <w:sz w:val="16"/>
                <w:szCs w:val="16"/>
                <w:color w:val="auto"/>
              </w:rPr>
            </w:pPr>
          </w:p>
        </w:tc>
        <w:tc>
          <w:tcPr>
            <w:tcW w:w="110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$75,547</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240" w:type="dxa"/>
            <w:vAlign w:val="bottom"/>
          </w:tcPr>
          <w:p>
            <w:pPr>
              <w:jc w:val="right"/>
              <w:ind w:right="139"/>
              <w:spacing w:after="0"/>
              <w:rPr>
                <w:sz w:val="20"/>
                <w:szCs w:val="20"/>
                <w:color w:val="auto"/>
              </w:rPr>
            </w:pPr>
            <w:r>
              <w:rPr>
                <w:rFonts w:ascii="Arial" w:cs="Arial" w:eastAsia="Arial" w:hAnsi="Arial"/>
                <w:sz w:val="18"/>
                <w:szCs w:val="18"/>
                <w:color w:val="auto"/>
              </w:rPr>
              <w:t>18.5%</w:t>
            </w:r>
          </w:p>
        </w:tc>
        <w:tc>
          <w:tcPr>
            <w:tcW w:w="1580" w:type="dxa"/>
            <w:vAlign w:val="bottom"/>
            <w:gridSpan w:val="2"/>
          </w:tcPr>
          <w:p>
            <w:pPr>
              <w:jc w:val="right"/>
              <w:ind w:right="79"/>
              <w:spacing w:after="0"/>
              <w:rPr>
                <w:sz w:val="20"/>
                <w:szCs w:val="20"/>
                <w:color w:val="auto"/>
              </w:rPr>
            </w:pPr>
            <w:r>
              <w:rPr>
                <w:rFonts w:ascii="Arial" w:cs="Arial" w:eastAsia="Arial" w:hAnsi="Arial"/>
                <w:sz w:val="18"/>
                <w:szCs w:val="18"/>
                <w:color w:val="auto"/>
              </w:rPr>
              <w:t>21.9%</w:t>
            </w:r>
          </w:p>
        </w:tc>
        <w:tc>
          <w:tcPr>
            <w:tcW w:w="1700" w:type="dxa"/>
            <w:vAlign w:val="bottom"/>
            <w:gridSpan w:val="2"/>
          </w:tcPr>
          <w:p>
            <w:pPr>
              <w:jc w:val="right"/>
              <w:ind w:right="142"/>
              <w:spacing w:after="0"/>
              <w:rPr>
                <w:sz w:val="20"/>
                <w:szCs w:val="20"/>
                <w:color w:val="auto"/>
              </w:rPr>
            </w:pPr>
            <w:r>
              <w:rPr>
                <w:rFonts w:ascii="Arial" w:cs="Arial" w:eastAsia="Arial" w:hAnsi="Arial"/>
                <w:sz w:val="18"/>
                <w:szCs w:val="18"/>
                <w:color w:val="auto"/>
              </w:rPr>
              <w:t>17.7%</w:t>
            </w:r>
          </w:p>
        </w:tc>
        <w:tc>
          <w:tcPr>
            <w:tcW w:w="1580" w:type="dxa"/>
            <w:vAlign w:val="bottom"/>
            <w:gridSpan w:val="2"/>
          </w:tcPr>
          <w:p>
            <w:pPr>
              <w:jc w:val="right"/>
              <w:ind w:right="79"/>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225"/>
        <w:spacing w:after="0" w:line="302" w:lineRule="auto"/>
        <w:rPr>
          <w:sz w:val="20"/>
          <w:szCs w:val="20"/>
          <w:color w:val="auto"/>
        </w:rPr>
      </w:pPr>
      <w:r>
        <w:rPr>
          <w:rFonts w:ascii="Arial" w:cs="Arial" w:eastAsia="Arial" w:hAnsi="Arial"/>
          <w:sz w:val="16"/>
          <w:szCs w:val="16"/>
          <w:color w:val="auto"/>
        </w:rPr>
        <w:t>Our effective tax rate for the second quarter of fiscal 2011 was lower by 340 basis points compared to our effective tax rate for the second quarter of fiscal 2010. The tax rate for the second quarter of fiscal 2011 included a net tax benefit of $10.8 million related to the settlement with the Appellate Division of the Internal Revenue Service of certain tax matters for the fiscal 2004 through fiscal 2007 tax years. The tax benefit, which had the effect of decreasing our 2011 tax rate, was partially offset by a change in the mix of our income in the second quarter of fiscal 2011 to jurisdictions where income is taxed at a higher rate.</w:t>
      </w:r>
    </w:p>
    <w:p>
      <w:pPr>
        <w:spacing w:after="0" w:line="46" w:lineRule="exact"/>
        <w:rPr>
          <w:sz w:val="20"/>
          <w:szCs w:val="20"/>
          <w:color w:val="auto"/>
        </w:rPr>
      </w:pPr>
    </w:p>
    <w:p>
      <w:pPr>
        <w:ind w:right="60" w:firstLine="225"/>
        <w:spacing w:after="0" w:line="290" w:lineRule="auto"/>
        <w:rPr>
          <w:sz w:val="20"/>
          <w:szCs w:val="20"/>
          <w:color w:val="auto"/>
        </w:rPr>
      </w:pPr>
      <w:r>
        <w:rPr>
          <w:rFonts w:ascii="Arial" w:cs="Arial" w:eastAsia="Arial" w:hAnsi="Arial"/>
          <w:sz w:val="16"/>
          <w:szCs w:val="16"/>
          <w:color w:val="auto"/>
        </w:rPr>
        <w:t>Our effective tax rate for the six months ended April 30, 2011 was lower by 320 basis points compared to our effective tax rate for the six months ended May 1, 2010. The tax rate for the six months ended April 30, 2011 included the following items which caused a decrease in our tax rate: the reinstatement of the federal R&amp;D tax credit in December 2010 retroactive to January 1, 2010 resulting in a $6 million income tax savings, a $7 million reduction in the state tax credits valuation reserve which we believe we can now recover, a $0.5 million tax benefit from the increase in Irish deferred taxes as a result of the increase in the Irish manufacturing tax rate from 10% to 12.5% and a net $10.8 million tax benefit related to the settlement with the Appellate Division of the Internal Revenue Service of certain tax matters for the fiscal 2004 through fiscal 2007 tax years. These items, which had the effect of decreasing our 2011 tax rate, were partially offset by a change in the mix of our income in the six months ended April 30, 2011 to jurisdictions where income is taxed at a higher rate. In addition, the six months ended May 1, 2010 included special charges, a majority of which provided a tax benefit at the higher U.S.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Borders>
              <w:bottom w:val="single" w:sz="8" w:color="auto"/>
            </w:tcBorders>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34"/>
              <w:spacing w:after="0" w:line="142" w:lineRule="exact"/>
              <w:rPr>
                <w:sz w:val="20"/>
                <w:szCs w:val="20"/>
                <w:color w:val="auto"/>
              </w:rPr>
            </w:pPr>
            <w:r>
              <w:rPr>
                <w:rFonts w:ascii="Arial" w:cs="Arial" w:eastAsia="Arial" w:hAnsi="Arial"/>
                <w:sz w:val="14"/>
                <w:szCs w:val="14"/>
                <w:b w:val="1"/>
                <w:bCs w:val="1"/>
                <w:color w:val="auto"/>
              </w:rPr>
              <w:t>April 30, 2011</w:t>
            </w:r>
          </w:p>
        </w:tc>
        <w:tc>
          <w:tcPr>
            <w:tcW w:w="460" w:type="dxa"/>
            <w:vAlign w:val="bottom"/>
          </w:tcPr>
          <w:p>
            <w:pPr>
              <w:spacing w:after="0"/>
              <w:rPr>
                <w:sz w:val="12"/>
                <w:szCs w:val="12"/>
                <w:color w:val="auto"/>
              </w:rPr>
            </w:pPr>
          </w:p>
        </w:tc>
        <w:tc>
          <w:tcPr>
            <w:tcW w:w="118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May 1, 2010</w:t>
            </w:r>
          </w:p>
        </w:tc>
        <w:tc>
          <w:tcPr>
            <w:tcW w:w="44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54"/>
              <w:spacing w:after="0" w:line="142" w:lineRule="exact"/>
              <w:rPr>
                <w:sz w:val="20"/>
                <w:szCs w:val="20"/>
                <w:color w:val="auto"/>
              </w:rPr>
            </w:pPr>
            <w:r>
              <w:rPr>
                <w:rFonts w:ascii="Arial" w:cs="Arial" w:eastAsia="Arial" w:hAnsi="Arial"/>
                <w:sz w:val="14"/>
                <w:szCs w:val="14"/>
                <w:b w:val="1"/>
                <w:bCs w:val="1"/>
                <w:color w:val="auto"/>
              </w:rPr>
              <w:t>April 30, 2011</w:t>
            </w:r>
          </w:p>
        </w:tc>
        <w:tc>
          <w:tcPr>
            <w:tcW w:w="440" w:type="dxa"/>
            <w:vAlign w:val="bottom"/>
          </w:tcPr>
          <w:p>
            <w:pPr>
              <w:spacing w:after="0"/>
              <w:rPr>
                <w:sz w:val="12"/>
                <w:szCs w:val="12"/>
                <w:color w:val="auto"/>
              </w:rPr>
            </w:pPr>
          </w:p>
        </w:tc>
        <w:tc>
          <w:tcPr>
            <w:tcW w:w="118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May 1, 2010</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6"/>
              </w:rPr>
              <w:t>241,826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9"/>
              </w:rPr>
              <w:t>167,140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89"/>
              </w:rPr>
              <w:t>457,432</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6"/>
              </w:rPr>
              <w:t>286,740</w:t>
            </w: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rPr>
              <w:t>Income from continuing operations, net of tax, as a % of</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5080" w:type="dxa"/>
            <w:vAlign w:val="bottom"/>
          </w:tcPr>
          <w:p>
            <w:pPr>
              <w:ind w:left="220"/>
              <w:spacing w:after="0"/>
              <w:rPr>
                <w:sz w:val="20"/>
                <w:szCs w:val="20"/>
                <w:color w:val="auto"/>
              </w:rPr>
            </w:pPr>
            <w:r>
              <w:rPr>
                <w:rFonts w:ascii="Arial" w:cs="Arial" w:eastAsia="Arial" w:hAnsi="Arial"/>
                <w:sz w:val="18"/>
                <w:szCs w:val="18"/>
                <w:color w:val="auto"/>
              </w:rPr>
              <w:t>revenue</w:t>
            </w:r>
          </w:p>
        </w:tc>
        <w:tc>
          <w:tcPr>
            <w:tcW w:w="380" w:type="dxa"/>
            <w:vAlign w:val="bottom"/>
          </w:tcPr>
          <w:p>
            <w:pPr>
              <w:spacing w:after="0"/>
              <w:rPr>
                <w:sz w:val="20"/>
                <w:szCs w:val="20"/>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30.6%</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25.0%</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30.1%</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22.6%</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0.78</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0.55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1.48</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0.94</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income from continuing operations in the second quarter of fiscal 2011 was higher than in the second quarter of fiscal 2010 by approximately</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$74.7 million primarily as a result of the $84.4 million increase in operating income from continuing operations, offset by a higher provision for income taxes in the second quarter of fiscal 2011 than in the second quarter of fiscal 2010.</w:t>
      </w:r>
    </w:p>
    <w:p>
      <w:pPr>
        <w:spacing w:after="0" w:line="76" w:lineRule="exact"/>
        <w:rPr>
          <w:sz w:val="20"/>
          <w:szCs w:val="20"/>
          <w:color w:val="auto"/>
        </w:rPr>
      </w:pPr>
    </w:p>
    <w:p>
      <w:pPr>
        <w:jc w:val="both"/>
        <w:ind w:right="280" w:firstLine="225"/>
        <w:spacing w:after="0" w:line="264" w:lineRule="auto"/>
        <w:rPr>
          <w:sz w:val="20"/>
          <w:szCs w:val="20"/>
          <w:color w:val="auto"/>
        </w:rPr>
      </w:pPr>
      <w:r>
        <w:rPr>
          <w:rFonts w:ascii="Arial" w:cs="Arial" w:eastAsia="Arial" w:hAnsi="Arial"/>
          <w:sz w:val="18"/>
          <w:szCs w:val="18"/>
          <w:color w:val="auto"/>
        </w:rPr>
        <w:t>Net income from continuing operations in the six months ended April 30, 2011 was higher than in the six months ended May 1, 2010 by approximately $170.7 million primarily as a result of the $194.7 million increase in operating income from continuing operations, offset by a higher provision for income taxes in the six months ended April 30, 2011 than in the six months ended May 1,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8740" w:type="dxa"/>
            <w:vAlign w:val="bottom"/>
            <w:vMerge w:val="restart"/>
          </w:tcPr>
          <w:p>
            <w:pPr>
              <w:spacing w:after="0"/>
              <w:rPr>
                <w:sz w:val="20"/>
                <w:szCs w:val="20"/>
                <w:color w:val="auto"/>
              </w:rPr>
            </w:pPr>
            <w:r>
              <w:rPr>
                <w:rFonts w:ascii="Arial" w:cs="Arial" w:eastAsia="Arial" w:hAnsi="Arial"/>
                <w:sz w:val="18"/>
                <w:szCs w:val="18"/>
                <w:color w:val="auto"/>
              </w:rPr>
              <w:t>Gain on sale of discontinued operations, net of tax</w:t>
            </w:r>
          </w:p>
        </w:tc>
        <w:tc>
          <w:tcPr>
            <w:tcW w:w="1140" w:type="dxa"/>
            <w:vAlign w:val="bottom"/>
            <w:tcBorders>
              <w:bottom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rPr>
              <w:t>April 30, 2011</w:t>
            </w:r>
          </w:p>
        </w:tc>
        <w:tc>
          <w:tcPr>
            <w:tcW w:w="540" w:type="dxa"/>
            <w:vAlign w:val="bottom"/>
          </w:tcPr>
          <w:p>
            <w:pPr>
              <w:spacing w:after="0"/>
              <w:rPr>
                <w:sz w:val="12"/>
                <w:szCs w:val="12"/>
                <w:color w:val="auto"/>
              </w:rPr>
            </w:pPr>
          </w:p>
        </w:tc>
        <w:tc>
          <w:tcPr>
            <w:tcW w:w="10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May 1, 2010</w:t>
            </w:r>
          </w:p>
        </w:tc>
        <w:tc>
          <w:tcPr>
            <w:tcW w:w="0" w:type="dxa"/>
            <w:vAlign w:val="bottom"/>
          </w:tcPr>
          <w:p>
            <w:pPr>
              <w:spacing w:after="0"/>
              <w:rPr>
                <w:sz w:val="1"/>
                <w:szCs w:val="1"/>
                <w:color w:val="auto"/>
              </w:rPr>
            </w:pPr>
          </w:p>
        </w:tc>
      </w:tr>
      <w:tr>
        <w:trPr>
          <w:trHeight w:val="195"/>
        </w:trPr>
        <w:tc>
          <w:tcPr>
            <w:tcW w:w="8740" w:type="dxa"/>
            <w:vAlign w:val="bottom"/>
            <w:vMerge w:val="continue"/>
          </w:tcPr>
          <w:p>
            <w:pPr>
              <w:spacing w:after="0"/>
              <w:rPr>
                <w:sz w:val="16"/>
                <w:szCs w:val="16"/>
                <w:color w:val="auto"/>
              </w:rPr>
            </w:pPr>
          </w:p>
        </w:tc>
        <w:tc>
          <w:tcPr>
            <w:tcW w:w="3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276"/>
              <w:spacing w:after="0" w:line="195" w:lineRule="exact"/>
              <w:rPr>
                <w:sz w:val="20"/>
                <w:szCs w:val="20"/>
                <w:color w:val="auto"/>
              </w:rPr>
            </w:pPr>
            <w:r>
              <w:rPr>
                <w:rFonts w:ascii="Arial" w:cs="Arial" w:eastAsia="Arial" w:hAnsi="Arial"/>
                <w:sz w:val="18"/>
                <w:szCs w:val="18"/>
                <w:color w:val="auto"/>
                <w:w w:val="84"/>
              </w:rPr>
              <w:t>6,500</w:t>
            </w:r>
          </w:p>
        </w:tc>
        <w:tc>
          <w:tcPr>
            <w:tcW w:w="540" w:type="dxa"/>
            <w:vAlign w:val="bottom"/>
          </w:tcPr>
          <w:p>
            <w:pPr>
              <w:spacing w:after="0"/>
              <w:rPr>
                <w:sz w:val="16"/>
                <w:szCs w:val="16"/>
                <w:color w:val="auto"/>
              </w:rPr>
            </w:pPr>
          </w:p>
        </w:tc>
        <w:tc>
          <w:tcPr>
            <w:tcW w:w="1000" w:type="dxa"/>
            <w:vAlign w:val="bottom"/>
          </w:tcPr>
          <w:p>
            <w:pPr>
              <w:jc w:val="right"/>
              <w:ind w:right="259"/>
              <w:spacing w:after="0" w:line="195" w:lineRule="exact"/>
              <w:rPr>
                <w:sz w:val="20"/>
                <w:szCs w:val="20"/>
                <w:color w:val="auto"/>
              </w:rPr>
            </w:pPr>
            <w:r>
              <w:rPr>
                <w:rFonts w:ascii="Arial" w:cs="Arial" w:eastAsia="Arial" w:hAnsi="Arial"/>
                <w:sz w:val="18"/>
                <w:szCs w:val="18"/>
                <w:color w:val="auto"/>
              </w:rPr>
              <w:t>$ 859</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Arial" w:cs="Arial" w:eastAsia="Arial" w:hAnsi="Arial"/>
                <w:sz w:val="18"/>
                <w:szCs w:val="18"/>
                <w:color w:val="auto"/>
              </w:rPr>
              <w:t>Diluted EPS from discontinued operations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6"/>
              <w:spacing w:after="0"/>
              <w:rPr>
                <w:sz w:val="20"/>
                <w:szCs w:val="20"/>
                <w:color w:val="auto"/>
              </w:rPr>
            </w:pPr>
            <w:r>
              <w:rPr>
                <w:rFonts w:ascii="Arial" w:cs="Arial" w:eastAsia="Arial" w:hAnsi="Arial"/>
                <w:sz w:val="18"/>
                <w:szCs w:val="18"/>
                <w:color w:val="auto"/>
              </w:rPr>
              <w:t>0.02</w:t>
            </w:r>
          </w:p>
        </w:tc>
        <w:tc>
          <w:tcPr>
            <w:tcW w:w="1540" w:type="dxa"/>
            <w:vAlign w:val="bottom"/>
            <w:gridSpan w:val="2"/>
          </w:tcPr>
          <w:p>
            <w:pPr>
              <w:jc w:val="right"/>
              <w:ind w:right="259"/>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We sold our Baseband Chipset Business to MediaTek Inc. and our CPU voltage regulation and PC thermal monitoring business to certain subsidiaries of ON Semiconductor Corporation during the first quarter of fiscal 2008. Accordingly, we have presented the results of the operations of these businesses as discontinued operations within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280" w:firstLine="222"/>
        <w:spacing w:after="0" w:line="312" w:lineRule="auto"/>
        <w:rPr>
          <w:sz w:val="20"/>
          <w:szCs w:val="20"/>
          <w:color w:val="auto"/>
        </w:rPr>
      </w:pPr>
      <w:r>
        <w:rPr>
          <w:rFonts w:ascii="Arial" w:cs="Arial" w:eastAsia="Arial" w:hAnsi="Arial"/>
          <w:sz w:val="16"/>
          <w:szCs w:val="16"/>
          <w:color w:val="auto"/>
        </w:rPr>
        <w:t>The following statements are based on current expectations. These statements are forward-looking and actual results may differ materially.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We are planning for revenue in the third quarter of fiscal 2011 to be in the range of $765 million to $795 million. Our plan is for gross margin for the third quarter of fiscal 2011 to be approximately 67.0% to 68.0% and for operating expenses to be approximately flat to down 1% from the second quarter of fiscal 2011. As a result, we are planning for diluted earnings per share from continuing operations to be in the range of $0.70 to $0.75 in the third quarter of fiscal 2011.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308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834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3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April 30, 2011</w:t>
            </w:r>
          </w:p>
        </w:tc>
        <w:tc>
          <w:tcPr>
            <w:tcW w:w="520" w:type="dxa"/>
            <w:vAlign w:val="bottom"/>
          </w:tcPr>
          <w:p>
            <w:pPr>
              <w:spacing w:after="0"/>
              <w:rPr>
                <w:sz w:val="12"/>
                <w:szCs w:val="12"/>
                <w:color w:val="auto"/>
              </w:rPr>
            </w:pPr>
          </w:p>
        </w:tc>
        <w:tc>
          <w:tcPr>
            <w:tcW w:w="12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May 1, 2010</w:t>
            </w:r>
          </w:p>
        </w:tc>
        <w:tc>
          <w:tcPr>
            <w:tcW w:w="0" w:type="dxa"/>
            <w:vAlign w:val="bottom"/>
          </w:tcPr>
          <w:p>
            <w:pPr>
              <w:spacing w:after="0"/>
              <w:rPr>
                <w:sz w:val="1"/>
                <w:szCs w:val="1"/>
                <w:color w:val="auto"/>
              </w:rPr>
            </w:pPr>
          </w:p>
        </w:tc>
      </w:tr>
      <w:tr>
        <w:trPr>
          <w:trHeight w:val="195"/>
        </w:trPr>
        <w:tc>
          <w:tcPr>
            <w:tcW w:w="8340" w:type="dxa"/>
            <w:vAlign w:val="bottom"/>
            <w:vMerge w:val="continue"/>
          </w:tcPr>
          <w:p>
            <w:pPr>
              <w:spacing w:after="0"/>
              <w:rPr>
                <w:sz w:val="16"/>
                <w:szCs w:val="16"/>
                <w:color w:val="auto"/>
              </w:rPr>
            </w:pPr>
          </w:p>
        </w:tc>
        <w:tc>
          <w:tcPr>
            <w:tcW w:w="132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$413,389</w:t>
            </w:r>
          </w:p>
        </w:tc>
        <w:tc>
          <w:tcPr>
            <w:tcW w:w="520" w:type="dxa"/>
            <w:vAlign w:val="bottom"/>
          </w:tcPr>
          <w:p>
            <w:pPr>
              <w:spacing w:after="0"/>
              <w:rPr>
                <w:sz w:val="16"/>
                <w:szCs w:val="16"/>
                <w:color w:val="auto"/>
              </w:rPr>
            </w:pPr>
          </w:p>
        </w:tc>
        <w:tc>
          <w:tcPr>
            <w:tcW w:w="124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$492,093</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Net cash provided by operations as a % of revenue</w:t>
            </w:r>
          </w:p>
        </w:tc>
        <w:tc>
          <w:tcPr>
            <w:tcW w:w="1320" w:type="dxa"/>
            <w:vAlign w:val="bottom"/>
          </w:tcPr>
          <w:p>
            <w:pPr>
              <w:jc w:val="right"/>
              <w:ind w:right="139"/>
              <w:spacing w:after="0"/>
              <w:rPr>
                <w:sz w:val="20"/>
                <w:szCs w:val="20"/>
                <w:color w:val="auto"/>
              </w:rPr>
            </w:pPr>
            <w:r>
              <w:rPr>
                <w:rFonts w:ascii="Arial" w:cs="Arial" w:eastAsia="Arial" w:hAnsi="Arial"/>
                <w:sz w:val="18"/>
                <w:szCs w:val="18"/>
                <w:color w:val="auto"/>
              </w:rPr>
              <w:t>27.2%</w:t>
            </w:r>
          </w:p>
        </w:tc>
        <w:tc>
          <w:tcPr>
            <w:tcW w:w="1760" w:type="dxa"/>
            <w:vAlign w:val="bottom"/>
            <w:gridSpan w:val="2"/>
          </w:tcPr>
          <w:p>
            <w:pPr>
              <w:jc w:val="right"/>
              <w:ind w:right="99"/>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At April 30, 2011, cash, cash equivalents and short-term investments totaled $3,431.4 million. The primary sources of funds for the first six months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fiscal 2011 were net cash generated from operating activities of $413.4 million, proceeds of $515.5 million relating to the issuance of $375 million aggregate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principal amount of 3.0% senior unsecured notes due April 15, 2016 and the $145 million term loan facility we entered into through a wholly owned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subsidiary. In addition we received $148.1 million in net proceeds from employee stock option exercises. The principal uses of funds for the first six months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fiscal 2011 were the repurchase of approximately 4.8 million shares of our common stock for an aggregate of $181.2 million, dividend payments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$131.8 million from a quarterly dividend of $0.22 per share and capital expenditures of $59.7 million. These factors contributed to the net increase in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cash equivalents of $824.8 million in the first six months of fiscal 2011.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April 30, 2011</w:t>
            </w:r>
          </w:p>
        </w:tc>
        <w:tc>
          <w:tcPr>
            <w:tcW w:w="500" w:type="dxa"/>
            <w:vAlign w:val="bottom"/>
          </w:tcPr>
          <w:p>
            <w:pPr>
              <w:spacing w:after="0"/>
              <w:rPr>
                <w:sz w:val="14"/>
                <w:szCs w:val="14"/>
                <w:color w:val="auto"/>
              </w:rPr>
            </w:pP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October 30,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$414,579</w:t>
            </w:r>
          </w:p>
        </w:tc>
        <w:tc>
          <w:tcPr>
            <w:tcW w:w="19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$387,169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Days sales outstanding</w:t>
            </w:r>
          </w:p>
        </w:tc>
        <w:tc>
          <w:tcPr>
            <w:tcW w:w="1320" w:type="dxa"/>
            <w:vAlign w:val="bottom"/>
          </w:tcPr>
          <w:p>
            <w:pPr>
              <w:jc w:val="right"/>
              <w:ind w:right="274"/>
              <w:spacing w:after="0"/>
              <w:rPr>
                <w:sz w:val="20"/>
                <w:szCs w:val="20"/>
                <w:color w:val="auto"/>
              </w:rPr>
            </w:pPr>
            <w:r>
              <w:rPr>
                <w:rFonts w:ascii="Arial" w:cs="Arial" w:eastAsia="Arial" w:hAnsi="Arial"/>
                <w:sz w:val="18"/>
                <w:szCs w:val="18"/>
                <w:color w:val="auto"/>
              </w:rPr>
              <w:t>48</w:t>
            </w:r>
          </w:p>
        </w:tc>
        <w:tc>
          <w:tcPr>
            <w:tcW w:w="1980" w:type="dxa"/>
            <w:vAlign w:val="bottom"/>
            <w:gridSpan w:val="2"/>
          </w:tcPr>
          <w:p>
            <w:pPr>
              <w:jc w:val="right"/>
              <w:ind w:right="368"/>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32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$293,780</w:t>
            </w:r>
          </w:p>
        </w:tc>
        <w:tc>
          <w:tcPr>
            <w:tcW w:w="19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$277,478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1320" w:type="dxa"/>
            <w:vAlign w:val="bottom"/>
          </w:tcPr>
          <w:p>
            <w:pPr>
              <w:jc w:val="right"/>
              <w:ind w:right="274"/>
              <w:spacing w:after="0"/>
              <w:rPr>
                <w:sz w:val="20"/>
                <w:szCs w:val="20"/>
                <w:color w:val="auto"/>
              </w:rPr>
            </w:pPr>
            <w:r>
              <w:rPr>
                <w:rFonts w:ascii="Arial" w:cs="Arial" w:eastAsia="Arial" w:hAnsi="Arial"/>
                <w:sz w:val="18"/>
                <w:szCs w:val="18"/>
                <w:color w:val="auto"/>
              </w:rPr>
              <w:t>104</w:t>
            </w:r>
          </w:p>
        </w:tc>
        <w:tc>
          <w:tcPr>
            <w:tcW w:w="1980" w:type="dxa"/>
            <w:vAlign w:val="bottom"/>
            <w:gridSpan w:val="2"/>
          </w:tcPr>
          <w:p>
            <w:pPr>
              <w:jc w:val="right"/>
              <w:ind w:right="368"/>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Accounts receivable at April 30, 2011 increased $27.4 million, or 7%, from the end of the fourth quarter of fiscal 2010. The increase in receivables was primarily the result of higher revenue in the second quarter of fiscal 2011 as compared to the fourth quarter of fiscal 2010. Days sales outstanding increased by two days as a result of higher product shipments in the final month of the second quarter of fiscal 2011 as compared to the final month of the fourth quarter of fiscal 2010.</w:t>
      </w:r>
    </w:p>
    <w:p>
      <w:pPr>
        <w:spacing w:after="0" w:line="79"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Inventory at April 30, 2011 increased by $16.3 million, or 6%, from the end of the fourth quarter of fiscal 2010. The increase in inventory relates primarily to an increase in manufacturing production to support the higher revenue levels recorded in the first six months of fiscal 2011. Days cost of sales in inventory increased four days primarily due to lower manufacturing costs which resulted in cost of sales increasing only 1% as compared to a 6% increase in inventory.</w:t>
      </w:r>
    </w:p>
    <w:p>
      <w:pPr>
        <w:spacing w:after="0" w:line="39"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Current liabilities decreased to $588.2 million at April 30, 2011, a decrease of $55.3 million, or 9%, from $643.5 million at the end of fiscal 2010. This decrease was primarily due to a decrease in income tax payable as a result of the settlement with the Appellate Division of the Internal Revenue Service of certain tax matters for the fiscal 2004 through fiscal 2007 tax years. In addition accrued liabilities declined as a result of a decrease in variable compensation expense. These decreases were partially offset by an increase in the current portion of our long-term debt in relation to the term loan facility entered into in December 2010 through our wholly owned subsidiary and an increase in deferred income on shipments to distributors, net, more fully described below.</w:t>
      </w:r>
    </w:p>
    <w:p>
      <w:pPr>
        <w:spacing w:after="0" w:line="50" w:lineRule="exact"/>
        <w:rPr>
          <w:sz w:val="20"/>
          <w:szCs w:val="20"/>
          <w:color w:val="auto"/>
        </w:rPr>
      </w:pPr>
    </w:p>
    <w:p>
      <w:pPr>
        <w:ind w:right="220" w:firstLine="215"/>
        <w:spacing w:after="0" w:line="273" w:lineRule="auto"/>
        <w:rPr>
          <w:sz w:val="20"/>
          <w:szCs w:val="20"/>
          <w:color w:val="auto"/>
        </w:rPr>
      </w:pPr>
      <w:r>
        <w:rPr>
          <w:rFonts w:ascii="Arial" w:cs="Arial" w:eastAsia="Arial" w:hAnsi="Arial"/>
          <w:sz w:val="17"/>
          <w:szCs w:val="17"/>
          <w:color w:val="auto"/>
        </w:rPr>
        <w:t>As of April 30, 2011 and October 30, 2010, gross deferred revenue was $357.1 million and $327.2 million, respectively, and gross deferred cost of sales was $87.6 million and $84.4 million, respectively. Deferred income on shipments to distributors increased by approximately $26.7 million in the first six months of fiscal 2011 primarily as a result of our shipments to our distributors in the first six months of fiscal 2011 exceeding the distributors’ sales to their customers during this same time period. Sales to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80" w:lineRule="exact"/>
        <w:rPr>
          <w:sz w:val="20"/>
          <w:szCs w:val="20"/>
          <w:color w:val="auto"/>
        </w:rPr>
      </w:pPr>
    </w:p>
    <w:p>
      <w:pPr>
        <w:ind w:right="300" w:firstLine="225"/>
        <w:spacing w:after="0" w:line="342" w:lineRule="auto"/>
        <w:rPr>
          <w:sz w:val="20"/>
          <w:szCs w:val="20"/>
          <w:color w:val="auto"/>
        </w:rPr>
      </w:pPr>
      <w:r>
        <w:rPr>
          <w:rFonts w:ascii="Arial" w:cs="Arial" w:eastAsia="Arial" w:hAnsi="Arial"/>
          <w:sz w:val="16"/>
          <w:szCs w:val="16"/>
          <w:color w:val="auto"/>
        </w:rPr>
        <w:t>Net additions to property, plant and equipment were $59.7 million in the first six months of fiscal 2011 and were funded with a combination of cash on hand and cash generated from operations. We expect capital expenditures to be approximately $135 million in fiscal 2011 for general purposes.</w:t>
      </w:r>
    </w:p>
    <w:p>
      <w:pPr>
        <w:spacing w:after="0" w:line="16"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On May 16, 2011, our Board of Directors declared a cash dividend of $0.25 per outstanding share of common stock. The dividend will be paid on June 15, 2011 to all shareholders of record at the close of business on May 27, 2011 and is expected to total approximately $75 million. We currently expect quarterly dividends to continue at $0.25 per share, although they remain subject to determination and declaration by our Board of Directors. The payment of future dividends, if any, will be based on several factors including our financial performance, outlook and liquidity.</w:t>
      </w:r>
    </w:p>
    <w:p>
      <w:pPr>
        <w:spacing w:after="0" w:line="63"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Our common stock repurchase program has been in place since August 2004. On November 19, 2010, our Board of Directors authorized the repurchase by us of an additional $1 billion of our common stock, increasing the total amount of our common stock we are authorized to repurchase under the program to $5 billion.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April 30, 2011, we had repurchased a total of approximately 120.8 million shares of our common stock for approximately $4,129.4 million under this program. As of April 30, 2011, an additional $870.6 million worth of shares remains available for repurchase under the current authorized program. The repurchased shares are held as authorized but unissued shares of common stock. Any future common stock repurchases will be dependent upon several factors, including the amount of cash available to us in the United States, and our financial performance, outlook and liquidity. We also from time to time repurchase shares in settlement of employee tax withholding obligations due upon the vesting of restricted stock units or the exercise of stock options, or in certain limited circumstances to satisfy the exercise price of options granted to our employees under our equity compensation plans.</w:t>
      </w:r>
    </w:p>
    <w:p>
      <w:pPr>
        <w:spacing w:after="0" w:line="75"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On June 30, 2009, we issued $375 million aggregate principal amount of 5.0% senior unsecured notes due July 1, 2014 (the 5.0% Notes) with annual interest payments of 5.0% paid in two installments on January 1 and July 1 of each year, commencing January 1, 2010. The net proceeds of the offering were $370.4 million, after issuing at a discount and deducting expenses, underwriting discounts and commissions, which will be amortized over the term of the 5.0% Notes. We swapped the fixed interest portion of these Notes for a variable interest rate based on the three-month LIBOR plus 2.05% (2.35% as of April 30, 2011). The variable interest payments based on the variable annual rate are payable quarterly. The LIBOR based rate is set quarterly three months prior to the date of the interest payment. The indenture governing the 5.0%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w:t>
      </w:r>
    </w:p>
    <w:p>
      <w:pPr>
        <w:spacing w:after="0" w:line="58"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On December 22, 2010, Analog Devices Holdings B.V. a wholly owned subsidiary of ours, entered into a credit agreement with Bank of America, N.A., London Branch as administrative agent. The borrower’s obligations are guaranteed by us. The credit agreement provides for a term loan facility of</w:t>
      </w:r>
    </w:p>
    <w:p>
      <w:pPr>
        <w:ind w:right="200"/>
        <w:spacing w:after="0" w:line="252" w:lineRule="auto"/>
        <w:rPr>
          <w:sz w:val="20"/>
          <w:szCs w:val="20"/>
          <w:color w:val="auto"/>
        </w:rPr>
      </w:pPr>
      <w:r>
        <w:rPr>
          <w:rFonts w:ascii="Arial" w:cs="Arial" w:eastAsia="Arial" w:hAnsi="Arial"/>
          <w:sz w:val="18"/>
          <w:szCs w:val="18"/>
          <w:color w:val="auto"/>
        </w:rPr>
        <w:t>$145 million, which matures on December 22, 2013. The terms of the agreement provide for a three-year principal amortization schedule with $3.6 million payable quarterly every March, June, September and December with the balance payable upon the maturity date. The loan will bear interest at a fluctuating rate for each period equal to the annual LIBOR rate applicable to that interest period plus 1.25% (1.56% as of April 30, 2011). The terms of this facility include limitations on subsidiary indebtedness and on liens against our assets and the assets of our subsidiaries, and also include financial covenants that require us to maintain a minimum interest coverage ratio and not exceed a maximum leverage ratio. The proceeds of this loan are being used to restructure our captive finance subsidiaries.</w:t>
      </w:r>
    </w:p>
    <w:p>
      <w:pPr>
        <w:spacing w:after="0" w:line="86" w:lineRule="exact"/>
        <w:rPr>
          <w:sz w:val="20"/>
          <w:szCs w:val="20"/>
          <w:color w:val="auto"/>
        </w:rPr>
      </w:pPr>
    </w:p>
    <w:p>
      <w:pPr>
        <w:ind w:right="100" w:firstLine="225"/>
        <w:spacing w:after="0" w:line="297" w:lineRule="auto"/>
        <w:rPr>
          <w:sz w:val="20"/>
          <w:szCs w:val="20"/>
          <w:color w:val="auto"/>
        </w:rPr>
      </w:pPr>
      <w:r>
        <w:rPr>
          <w:rFonts w:ascii="Arial" w:cs="Arial" w:eastAsia="Arial" w:hAnsi="Arial"/>
          <w:sz w:val="16"/>
          <w:szCs w:val="16"/>
          <w:color w:val="auto"/>
        </w:rPr>
        <w:t>On April 4, 2011, we issued $375 million aggregate principal amount of 3.0% senior unsecured notes due April 15, 2016 (the 3.0% Notes) with semi-annual fixed interest payments due on April 15 and October 15 of each year, commencing October 15, 2011. The indenture governing the 3.0%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In addition, we have a five-year $165 million unsecured revolving credit facility that expires in May 2013.</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date, we have not borrowed under this credit facility but we may borrow in the future and use the proceeds for support of commercial paper issuance, stock repurchases dividend payments, acquisitions, capital expenditures, working capital and other lawful corporate purposes.</w:t>
      </w:r>
    </w:p>
    <w:p>
      <w:pPr>
        <w:spacing w:after="0" w:line="62" w:lineRule="exact"/>
        <w:rPr>
          <w:sz w:val="20"/>
          <w:szCs w:val="20"/>
          <w:color w:val="auto"/>
        </w:rPr>
      </w:pPr>
    </w:p>
    <w:p>
      <w:pPr>
        <w:ind w:right="20" w:firstLine="215"/>
        <w:spacing w:after="0" w:line="302" w:lineRule="auto"/>
        <w:rPr>
          <w:sz w:val="20"/>
          <w:szCs w:val="20"/>
          <w:color w:val="auto"/>
        </w:rPr>
      </w:pPr>
      <w:r>
        <w:rPr>
          <w:rFonts w:ascii="Arial" w:cs="Arial" w:eastAsia="Arial" w:hAnsi="Arial"/>
          <w:sz w:val="16"/>
          <w:szCs w:val="16"/>
          <w:color w:val="auto"/>
        </w:rPr>
        <w:t>At April 30, 2011, our principal source of liquidity was $3,431.4 million of cash and cash equivalents and short-term investments of which approximately $1,246.5 million was held in the United States. The balance of our cash and cash equivalents and short-term investments was held outside the United States in various foreign subsidiaries. As we intend to reinvest certain of our foreign earnings indefinitely, this cash held outside the United States is not available to meet certain of our cash requirements in the United States, including for cash dividends and common stock repurchases.</w:t>
      </w:r>
    </w:p>
    <w:p>
      <w:pPr>
        <w:spacing w:after="0" w:line="46" w:lineRule="exact"/>
        <w:rPr>
          <w:sz w:val="20"/>
          <w:szCs w:val="20"/>
          <w:color w:val="auto"/>
        </w:rPr>
      </w:pPr>
    </w:p>
    <w:p>
      <w:pPr>
        <w:jc w:val="both"/>
        <w:ind w:right="60" w:firstLine="222"/>
        <w:spacing w:after="0" w:line="286" w:lineRule="auto"/>
        <w:rPr>
          <w:sz w:val="20"/>
          <w:szCs w:val="20"/>
          <w:color w:val="auto"/>
        </w:rPr>
      </w:pPr>
      <w:r>
        <w:rPr>
          <w:rFonts w:ascii="Arial" w:cs="Arial" w:eastAsia="Arial" w:hAnsi="Arial"/>
          <w:sz w:val="17"/>
          <w:szCs w:val="17"/>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20" w:firstLine="225"/>
        <w:spacing w:after="0" w:line="291" w:lineRule="auto"/>
        <w:rPr>
          <w:sz w:val="20"/>
          <w:szCs w:val="20"/>
          <w:color w:val="auto"/>
        </w:rPr>
      </w:pPr>
      <w:r>
        <w:rPr>
          <w:rFonts w:ascii="Arial" w:cs="Arial" w:eastAsia="Arial" w:hAnsi="Arial"/>
          <w:sz w:val="16"/>
          <w:szCs w:val="16"/>
          <w:color w:val="auto"/>
        </w:rPr>
        <w:t>On December 22, 2010, Analog Devices Holdings B.V. a wholly owned subsidiary of ours, entered into a credit agreement with Bank of America, N.A., London Branch as administrative agent. The borrower’s obligations are guaranteed by us. The credit agreement provides for a term loan facility of</w:t>
      </w:r>
    </w:p>
    <w:p>
      <w:pPr>
        <w:ind w:right="220"/>
        <w:spacing w:after="0" w:line="270" w:lineRule="auto"/>
        <w:rPr>
          <w:sz w:val="20"/>
          <w:szCs w:val="20"/>
          <w:color w:val="auto"/>
        </w:rPr>
      </w:pPr>
      <w:r>
        <w:rPr>
          <w:rFonts w:ascii="Arial" w:cs="Arial" w:eastAsia="Arial" w:hAnsi="Arial"/>
          <w:sz w:val="17"/>
          <w:szCs w:val="17"/>
          <w:color w:val="auto"/>
        </w:rPr>
        <w:t>$145 million, which matures on December 22, 2013. The terms of the agreement provide for a three-year principal amortization schedule with $3.6 million payable quarterly every March, June, September and December with the balance payable upon the maturity date. The loan will bear interest at a fluctuating rate for each period equal to the annual LIBOR rate applicable to that interest period plus 1.25% (1.56% as of April 30, 2011). The terms of this facility include limitations on subsidiary indebtedness and on liens against our assets and the assets of our subsidiaries, and also include financial covenants that require us to maintain a minimum interest coverage ratio and not exceed a maximum leverage ratio. As of April 30, 2011, we were compliant with these covenants. As of April 30, 2011, $14.5 million of this debt was classified as short-term.</w:t>
      </w:r>
    </w:p>
    <w:p>
      <w:pPr>
        <w:spacing w:after="0" w:line="7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On April 4, 2011, we issued $375 million aggregate principal amount of 3.0% senior unsecured notes due April 15, 2016 with semi-annual fixed interest payments due on April 15 and October 15 of each year, commencing October 15, 2011. The indenture governing the 3.0%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April 30, 2011, we were compliant with these covenants.</w:t>
      </w:r>
    </w:p>
    <w:p>
      <w:pPr>
        <w:spacing w:after="0" w:line="80" w:lineRule="exact"/>
        <w:rPr>
          <w:sz w:val="20"/>
          <w:szCs w:val="20"/>
          <w:color w:val="auto"/>
        </w:rPr>
      </w:pPr>
    </w:p>
    <w:p>
      <w:pPr>
        <w:ind w:right="180" w:firstLine="215"/>
        <w:spacing w:after="0" w:line="259" w:lineRule="auto"/>
        <w:rPr>
          <w:sz w:val="20"/>
          <w:szCs w:val="20"/>
          <w:color w:val="auto"/>
        </w:rPr>
      </w:pPr>
      <w:r>
        <w:rPr>
          <w:rFonts w:ascii="Arial" w:cs="Arial" w:eastAsia="Arial" w:hAnsi="Arial"/>
          <w:sz w:val="18"/>
          <w:szCs w:val="18"/>
          <w:color w:val="auto"/>
        </w:rPr>
        <w:t>Assuming the current three-month LIBOR remains the same for the duration of the agreement and assuming the debt obligations are held to maturity, the following amounts will be due under the credit agreement and were not previously reflected in the contractual obligations table contained in the section entitled “Management’s Discussion and Analysis of Financial Condition and Results of Operations” of our Annual Report on Form 10-K for the fiscal year ended October 30, 2010:</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1"/>
              </w:rPr>
              <w:t>Less than</w:t>
            </w:r>
          </w:p>
        </w:tc>
        <w:tc>
          <w:tcPr>
            <w:tcW w:w="24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Payment due by period</w:t>
            </w:r>
          </w:p>
        </w:tc>
        <w:tc>
          <w:tcPr>
            <w:tcW w:w="3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2"/>
        </w:trPr>
        <w:tc>
          <w:tcPr>
            <w:tcW w:w="4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104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w w:val="95"/>
              </w:rPr>
              <w:t>1 Year</w:t>
            </w:r>
          </w:p>
        </w:tc>
        <w:tc>
          <w:tcPr>
            <w:tcW w:w="138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w w:val="99"/>
              </w:rPr>
              <w:t>1-3 Years</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4-5 Years</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$ 516,375</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14,500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$ 126,875</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$ 375,000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3"/>
              </w:rPr>
              <w:t>Interest payments associated with long-term debt obligations</w:t>
            </w:r>
          </w:p>
        </w:tc>
        <w:tc>
          <w:tcPr>
            <w:tcW w:w="5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61,964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13,749</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36,965</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11,250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$ 578,339</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28,249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$ 163,840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$ 386,250</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20" w:firstLine="222"/>
        <w:spacing w:after="0" w:line="277" w:lineRule="auto"/>
        <w:rPr>
          <w:sz w:val="20"/>
          <w:szCs w:val="20"/>
          <w:color w:val="auto"/>
        </w:rPr>
      </w:pPr>
      <w:r>
        <w:rPr>
          <w:rFonts w:ascii="Arial" w:cs="Arial" w:eastAsia="Arial" w:hAnsi="Arial"/>
          <w:sz w:val="18"/>
          <w:szCs w:val="18"/>
          <w:color w:val="auto"/>
        </w:rPr>
        <w:t>There have not been any other material changes during the first six months of fiscal 2011 to the amounts presented in the table summarizing our contractual obligations included in our Annual Report on Form 10-K for the fiscal year ended October 30, 2010.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Multiple-Deliverable Revenue Arrangements</w:t>
      </w:r>
    </w:p>
    <w:p>
      <w:pPr>
        <w:spacing w:after="0" w:line="117"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 xml:space="preserve">In October 2009, the Financial Accounting Standards Board (FASB) issued Accounting Standards Update No. 2009-13 — </w:t>
      </w:r>
      <w:r>
        <w:rPr>
          <w:rFonts w:ascii="Arial" w:cs="Arial" w:eastAsia="Arial" w:hAnsi="Arial"/>
          <w:sz w:val="17"/>
          <w:szCs w:val="17"/>
          <w:i w:val="1"/>
          <w:iCs w:val="1"/>
          <w:color w:val="auto"/>
        </w:rPr>
        <w:t>Revenue Recognition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605): Multiple-Deliverable Revenue Arrangements </w:t>
      </w:r>
      <w:r>
        <w:rPr>
          <w:rFonts w:ascii="Arial" w:cs="Arial" w:eastAsia="Arial" w:hAnsi="Arial"/>
          <w:sz w:val="17"/>
          <w:szCs w:val="17"/>
          <w:color w:val="auto"/>
        </w:rPr>
        <w:t>(formerly EITF Issue No. 08-1) (ASU No, 2009-13). This standard modifies the revenue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for arrangements that involve the delivery of multiple elements, such as product, software, services or support, to a customer at different times as part of a single revenue generating transaction. This standard provides principles and application guidance to determine whether multiple deliverables exist, how the individual deliverables should be separated and how to allocate the revenue in the arrangement among those separate deliverables. The standard also expands the disclosure requirements for multiple-deliverable revenue arrangements. ASU No. 2009-13 is effective for fiscal years that begin on or after June 15, 2010, which is our fiscal year 2011. The adoption of ASU 2009-13 in the first quarter of fiscal 2011 did not have a material impact on our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 xml:space="preserve">In December 2010, the FASB issued ASU No. 2010-29, </w:t>
      </w:r>
      <w:r>
        <w:rPr>
          <w:rFonts w:ascii="Arial" w:cs="Arial" w:eastAsia="Arial" w:hAnsi="Arial"/>
          <w:sz w:val="16"/>
          <w:szCs w:val="16"/>
          <w:i w:val="1"/>
          <w:iCs w:val="1"/>
          <w:color w:val="auto"/>
        </w:rPr>
        <w:t>Business Combinations (ASC Topic 805) — Disclosure of Supplementary Pro Forma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Business Combinations </w:t>
      </w:r>
      <w:r>
        <w:rPr>
          <w:rFonts w:ascii="Arial" w:cs="Arial" w:eastAsia="Arial" w:hAnsi="Arial"/>
          <w:sz w:val="16"/>
          <w:szCs w:val="16"/>
          <w:color w:val="auto"/>
        </w:rPr>
        <w:t>(ASU No. 2010-29). ASU No. 2010-29 requires a public entity to disclose revenue and earnings of the combined entity as though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business combination that occurred during the current year had occurred as of the beginning of the prior year. It also requires a description of the nature and amount of material, nonrecurring adjustments directly attributable to the business combination included in the reported revenue and earnings. The new disclosure will be effective for our first quarter of fiscal year 2012. The adoption of ASU No. 2010-29 will require additional disclosure in the event of a business combination but will not have a material impact on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 Goodwill and Other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 xml:space="preserve">In December 2010, the FASB issued ASU No. 2010-28, </w:t>
      </w:r>
      <w:r>
        <w:rPr>
          <w:rFonts w:ascii="Arial" w:cs="Arial" w:eastAsia="Arial" w:hAnsi="Arial"/>
          <w:sz w:val="18"/>
          <w:szCs w:val="18"/>
          <w:i w:val="1"/>
          <w:iCs w:val="1"/>
          <w:color w:val="auto"/>
        </w:rPr>
        <w:t>Intangibles- Goodwill and Other (ASC Topic 350)</w:t>
      </w:r>
      <w:r>
        <w:rPr>
          <w:rFonts w:ascii="Arial" w:cs="Arial" w:eastAsia="Arial" w:hAnsi="Arial"/>
          <w:sz w:val="18"/>
          <w:szCs w:val="18"/>
          <w:color w:val="auto"/>
        </w:rPr>
        <w:t xml:space="preserve"> (ASU No. 2010-28). ASU No. 2010-28 modifies Step 1 of the goodwill impairment test for reporting units with zero or negative carrying amounts. For those reporting units, an entity is required to perform Step 2 of the goodwill impairment test if it is more likely than not that a goodwill impairment exists. In determining whether it is more likely than not that a goodwill impairment exists, an entity should consider whether there are any adverse qualitative factors indicating that an impairment may exist. ASU 2010-28 is effective for fiscal years that begin after December 15, 2010, which is our fiscal year 2012. We are currently evaluating the impact, if any, that ASU No. 2010-28 may have on our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There were no material changes in the first six months of fiscal 2011 to the information provided under the heading “Critical Accounting Policies and Estimates” included in our Annual Report on Form 10-K for the fiscal year ended October 30,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Exposure</w:t>
      </w:r>
    </w:p>
    <w:p>
      <w:pPr>
        <w:spacing w:after="0" w:line="117"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On December 22, 2010, Analog Devices Holdings B.V. a wholly owned subsidiary of ours, entered into a credit agreement with Bank of America, N.A., London Branch as administrative agent for purposes other than trading purposes. The borrower’s obligations are guaranteed by us. The credit agreement provides for a term loan facility of $145 million, which matures on December 22, 2013. The loan will bear interest at a fluctuating rate for each period equal to the annual LIBOR rate applicable to that interest period plus 1.25% (1.56% as of April 30, 2011). On April 4, 2011, we issued for purposes other than trading purposes $375 million aggregate principal amount of 3.0% senior unsecured notes due April 15, 2016 with semi-annual fixed interest payments due on April 15 and October 15 of each year, commencing October 15, 2011.</w:t>
      </w:r>
    </w:p>
    <w:p>
      <w:pPr>
        <w:spacing w:after="0" w:line="70"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If LIBOR changes by 100 basis points, our annual interest expense would change by approximately an additional $1.1 million from the amount set forth in the information provided under Item 7A. “Quantitative and Qualitative Disclosures about Market Risk” set forth in our Annual Report on Form 10-K for the year ended October 30, 2010.</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There have been no other material changes in the first six months of fiscal 2011 in the information provided under Item 7A. “Quantitative and Qualitative Disclosures about Market Risk” set forth in our Annual Report on Form 10-K for the year ended October 30,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April 30, 2011.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April 30, 2011,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ind w:right="140" w:firstLine="8"/>
        <w:spacing w:after="0" w:line="264"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April 30, 2011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October 30, 2010 and Part II, Item 1A “Risk Factors” of our Quarterly Report on Form 10-Q for the quarter ended January 29, 2011.</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117"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Global credit and financial markets appear to be recovering from extreme disruptions experienced over the past two years. However, uncertainty about continuing economic stability remains. These economic uncertainties affect businesses such as ours in a number of ways, making it difficult to accurately forecast and plan our future business activities. High unemployment rates, continued weakness in commercial and residential real estate markets and the tightening of credit by financial institutions may lead consumers and businesses to continue to postpone spending, which may cause our customers to cancel, decrease or delay their existing and future orders with us. In addition, financial difficulties experienced by our suppliers or distributors could result in product delays, increased accounts receivable defaults and inventory challenges. Renewed financial turmoil may cause financial institutions to consolidate or go out of business, which increases the risk that the actual amounts realized in the future on our financial instruments could differ significantly from the fair value assigned to them. During the global financial crisis, many governments adopted stimulus or spending programs designed to ease the economic impact of the crisis. Some of our businesses benefited from these stimulus programs and as these programs conclude, those businesses could be negatively impacted. The continuing debt crisis in certain European countries could cause the value of the Euro to deteriorate, thus reducing the purchasing power of our European customers. In addition, the continuing European debt crisis and related financial restructuring efforts has contributed to the instability in global credit markets. We are unable to predict the impact of these events on the apparent economic recovery, and if economic conditions deteriorate again, we may record additional charges relating to restructuring costs or the impairment of assets and our business and results of operations could be materially and adversely affected.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17" w:lineRule="exact"/>
        <w:rPr>
          <w:sz w:val="20"/>
          <w:szCs w:val="20"/>
          <w:color w:val="auto"/>
        </w:rPr>
      </w:pPr>
    </w:p>
    <w:p>
      <w:pPr>
        <w:ind w:right="680" w:firstLine="225"/>
        <w:spacing w:after="0" w:line="277" w:lineRule="auto"/>
        <w:rPr>
          <w:sz w:val="20"/>
          <w:szCs w:val="20"/>
          <w:color w:val="auto"/>
        </w:rPr>
      </w:pPr>
      <w:r>
        <w:rPr>
          <w:rFonts w:ascii="Arial" w:cs="Arial" w:eastAsia="Arial" w:hAnsi="Arial"/>
          <w:sz w:val="18"/>
          <w:szCs w:val="18"/>
          <w:color w:val="auto"/>
        </w:rPr>
        <w:t>Our future revenue, gross margins, operating results and net income are difficult to predict and may be materially affected by a number of factors, including:</w:t>
      </w:r>
    </w:p>
    <w:p>
      <w:pPr>
        <w:spacing w:after="0" w:line="62"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effects of adverse economic conditions in the United States and international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30"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effectiveness of our efforts to refocus our operations, including our ability to reduce our cost structure in both the short term and over a longer duration;</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ability of our third party suppliers, subcontractors and manufacturers to supply us with sufficient quantities of products or components;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any significant decline in our backlog;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geographic, product or customer mix;</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ability to utilize our manufacturing facilities at efficient levels;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costs related to compliance with increasing worldwide environmental regulations;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our effective tax rates in the United States, Ireland or worldwide; and</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62"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depending on the mix of future business, that products stocked in our inventory will not be rendered obsolete before we ship them.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117" w:lineRule="exact"/>
        <w:rPr>
          <w:sz w:val="20"/>
          <w:szCs w:val="20"/>
          <w:color w:val="auto"/>
        </w:rPr>
      </w:pPr>
    </w:p>
    <w:p>
      <w:pPr>
        <w:ind w:right="120" w:firstLine="215"/>
        <w:spacing w:after="0" w:line="255" w:lineRule="auto"/>
        <w:rPr>
          <w:sz w:val="20"/>
          <w:szCs w:val="20"/>
          <w:color w:val="auto"/>
        </w:rPr>
      </w:pPr>
      <w:r>
        <w:rPr>
          <w:rFonts w:ascii="Arial" w:cs="Arial" w:eastAsia="Arial" w:hAnsi="Arial"/>
          <w:sz w:val="18"/>
          <w:szCs w:val="18"/>
          <w:color w:val="auto"/>
        </w:rPr>
        <w:t>A number of factors may increase our future effective tax rate, including: increases in tax rates in various jurisdictions; the jurisdictions in which profits are earned and taxed; the resolution of issues arising from tax audits with various tax authorities; changes in the valuation of our deferred tax assets and liabilities; adjustments to income taxes upon finalization of various tax returns; increases in expenses not deductible for tax purposes, including write-offs of acquired in-process research and development and impairments of goodwill in connection with acquisitions; changes in available tax credits; and changes in tax laws or the interpretation of such tax laws. Any significant increase in our future effective tax rates could adversely impact our net income for future periods.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29"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62"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We face intense technological and pricing competition in the semiconductor industry, and we expect this competition to increase in the future, including from companies located outside the United States. Many other companies offer products that compete with our products. Some have (or as a result of consolidation within the industry may have) greater financial, manufacturing, technical, sales and marketing resources than we have.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and assembly and test services, and generally cannot control their availability or conditions of supply.</w:t>
      </w:r>
    </w:p>
    <w:p>
      <w:pPr>
        <w:spacing w:after="0" w:line="62"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We rely, and plan to continue to rely, on suppliers, assembly and test subcontractors,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Additionally, we utilize a limited number of third-party wafer fabricators, primarily Taiwan Semiconductor Manufacturing Company, or TSMC. In addition, these suppliers often provide manufacturing services to our competitors and therefore periods of increased industry demand may result in capacity constraints. In certain instances, the third party supplier is the sole source of highly specialized processing services. If our suppliers are unable or unwilling to manufacture and deliver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replacement suppliers or manufacturing processes are not available, we may also experience delays in product development or shipment which could, in turn, result in the temporary or permanent loss of customers. A significant portion of our revenue for the first six months of fiscal 2011 was from products fabricated at third-party wafer-fabrication facilities, primarily TSMC.</w:t>
      </w:r>
    </w:p>
    <w:p>
      <w:pPr>
        <w:spacing w:after="0" w:line="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62"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62"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with respect to infringement or other product matters, and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70"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8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ind w:right="80" w:firstLine="222"/>
        <w:spacing w:after="0" w:line="289"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From time to time, we receive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those claims or pay damage</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technology.</w:t>
      </w:r>
    </w:p>
    <w:p>
      <w:pPr>
        <w:spacing w:after="0" w:line="80"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50"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117"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62" w:lineRule="exact"/>
        <w:rPr>
          <w:sz w:val="20"/>
          <w:szCs w:val="20"/>
          <w:color w:val="auto"/>
        </w:rPr>
      </w:pPr>
    </w:p>
    <w:p>
      <w:pPr>
        <w:ind w:right="20" w:firstLine="215"/>
        <w:spacing w:after="0" w:line="270"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Acquisitions also involve a number of risks, including:</w:t>
      </w:r>
    </w:p>
    <w:p>
      <w:pPr>
        <w:spacing w:after="0" w:line="117"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We, like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For example, in March 2011, a severe earthquake and tsunami hit Japan, which together with resulting damage to certain nuclear power plants, has resulted in widespread destruction and economic uncertainty in that region. Japan represented approximately 13% of our revenue in the first six months of fiscal 2011. Based on discussions with our customers and supply chain and foundry partners, we do not currently expect a material adverse effect to our results of operations as a result of this disaster. However, we are continuing to monitor the impact of the crisis on our customers and supply chain and there can be no assurance that, once the full impact of the disaster has been absorbed, our results of operations will not be materially affected by the events in Japan. Any prolonged inability to utilize one of our manufacturing facilities, or those of our subcontractors or third-party wafer fabrication foundries, as a result of fire, natural disaster, unavailability of utilities or otherwise, could result in a temporary or permanent loss of customers for affected products, which could have a material adverse effect on our results of operations and financial condition.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117" w:lineRule="exact"/>
        <w:rPr>
          <w:sz w:val="20"/>
          <w:szCs w:val="20"/>
          <w:color w:val="auto"/>
        </w:rPr>
      </w:pPr>
    </w:p>
    <w:p>
      <w:pPr>
        <w:ind w:firstLine="222"/>
        <w:spacing w:after="0" w:line="287" w:lineRule="auto"/>
        <w:rPr>
          <w:sz w:val="20"/>
          <w:szCs w:val="20"/>
          <w:color w:val="auto"/>
        </w:rPr>
      </w:pPr>
      <w:r>
        <w:rPr>
          <w:rFonts w:ascii="Arial" w:cs="Arial" w:eastAsia="Arial" w:hAnsi="Arial"/>
          <w:sz w:val="16"/>
          <w:szCs w:val="16"/>
          <w:color w:val="auto"/>
        </w:rPr>
        <w:t>We have significant operations and manufacturing facilities outside the United States, including in Ireland and the Philippines. During the first six months of fiscal 2011, we derived approximately 82% of our revenue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At April 30, 2011, our principal source of liquidity was $3,431.4 million of cash and cash equivalents and short-term investments. As of April 30, 2011, approximately $1,246.5 million of our cash and cash equivalents and short-term investments was held in the United States and the balance was held outside the United States. in various foreign subsidiaries. As we intend to reinvest certain of our foreign earnings indefinitely, this cash held outside the United States is not available to meet certain of our cash requirements in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or from other sources of cash obtained at an acceptable cost, our business strategies and operating results could be adversely affected.</w:t>
      </w:r>
    </w:p>
    <w:p>
      <w:pPr>
        <w:spacing w:after="0" w:line="65"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 corruption and environmental compliance, trade and travel restrictions, pandemics, import and export license requirements and restrictions, difficulties in staffing and managing worldwide operations, and accounts receivable collections.</w:t>
      </w:r>
    </w:p>
    <w:p>
      <w:pPr>
        <w:spacing w:after="0" w:line="71"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anti-corruption, and intellectual property rights and enforcement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those rights. Enforcement of existing laws or agreements may be inconsistent. In addition, changes in the political environment, governmental policies or U.S.-China relations could result in revisions to laws or regulations or their interpretation and enforcement, increased taxation, restrictions on imports, import duties or currency revaluations, which could have an adverse effect on our business plans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117"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bankruptcy by these distributors. Our inability to collect open accounts receivable could adversely affect our operating results. Termination of a significant distributor, whether at our initiative or the distributor’s initiative, could disrupt our current business, and if we are unable to find suitable replacements, our operating results could be adversely affected.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increasingly strict environmental health and safety (EHS) regulations, which could increase our expenses and affect our operating results.</w:t>
      </w:r>
    </w:p>
    <w:p>
      <w:pPr>
        <w:spacing w:after="0" w:line="140"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color w:val="auto"/>
        </w:rPr>
        <w:t>Our industry is subject to increasingly strict EHS requirements, particularly those environmental requirements that control and restrict the use, transportation, emission, discharge, storage and disposal of certain chemicals used or produced in the semiconductor manufacturing process. Public attention to environmental concerns continues to increase, and our customers routinely include stringent environmental standards in their contracts with us. Changes in environmental laws or regulations may require us to invest in costly equipment or alter the way our products are made. In addition, we use hazardous and other regulated materials that subject us to risks of strict liability for damages caused by potential or actual releases of such materials. Any failure to control such materials adequately or to comply with statutory or regulatory standards or contractual obligations could result in liability for damages, penalties, and civil and criminal fines, and might damage our reputation, increase our expenses, and adversely affect our operating results.</w:t>
      </w:r>
    </w:p>
    <w:p>
      <w:pPr>
        <w:spacing w:after="0" w:line="59"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U.S. Congress may pass federal greenhouse gas legislation in the future. The U.S. Environmental Protection Agency (EPA) has issued greenhouse gas reporting regulations that may apply to certain of our operations.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two series of $375 million senior unsecured notes or our $145 million term loan facility.</w:t>
      </w:r>
    </w:p>
    <w:p>
      <w:pPr>
        <w:spacing w:after="0" w:line="62" w:lineRule="exact"/>
        <w:rPr>
          <w:sz w:val="20"/>
          <w:szCs w:val="20"/>
          <w:color w:val="auto"/>
        </w:rPr>
      </w:pPr>
    </w:p>
    <w:p>
      <w:pPr>
        <w:ind w:right="20" w:firstLine="225"/>
        <w:spacing w:after="0" w:line="273" w:lineRule="auto"/>
        <w:rPr>
          <w:sz w:val="20"/>
          <w:szCs w:val="20"/>
          <w:color w:val="auto"/>
        </w:rPr>
      </w:pPr>
      <w:r>
        <w:rPr>
          <w:rFonts w:ascii="Arial" w:cs="Arial" w:eastAsia="Arial" w:hAnsi="Arial"/>
          <w:sz w:val="17"/>
          <w:szCs w:val="17"/>
          <w:color w:val="auto"/>
        </w:rPr>
        <w:t>In fiscal 2009, we issued in a public offering $375 million aggregate principal amount of 5.0% senior unsecured notes due July 1, 2014. In April 2011, we issued in a public offering $375 million aggregate principal amount of 3.0% senior unsecured notes due April 15, 2016. In December 2010, we entered into a $145 million term loan facility which matures on December 22, 2013.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debt, we may be required to, among other things:</w:t>
      </w:r>
    </w:p>
    <w:p>
      <w:pPr>
        <w:spacing w:after="0" w:line="70"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seek additional financing in the debt or equity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refinance or restructure all or a portion of our indebtedness, including the notes;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sell selected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reduce or delay planned capital expenditures; or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reduce or delay planned operating expenditures.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40" w:firstLine="225"/>
        <w:spacing w:after="0" w:line="308" w:lineRule="auto"/>
        <w:rPr>
          <w:sz w:val="20"/>
          <w:szCs w:val="20"/>
          <w:color w:val="auto"/>
        </w:rPr>
      </w:pPr>
      <w:r>
        <w:rPr>
          <w:rFonts w:ascii="Arial" w:cs="Arial" w:eastAsia="Arial" w:hAnsi="Arial"/>
          <w:sz w:val="17"/>
          <w:szCs w:val="17"/>
          <w:color w:val="auto"/>
        </w:rPr>
        <w:t>Such measures might not be sufficient to enable us to service our debt, including the notes or our term loan facility, which could negatively impact our financial results. In addition, any such financing, refinancing or sale of assets might not be available on economically favorable terms.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credit facility and outstanding debt instruments may limit our activities.</w:t>
      </w:r>
    </w:p>
    <w:p>
      <w:pPr>
        <w:spacing w:after="0" w:line="117"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Our current credit and term loan facilities and our 5.0% and 3.0%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credit and term loan facilities require us to maintain compliance with specified financial ratios. If we breach any of the covenants under our credit or term loan facilities or the indenture governing our outstanding notes and do not obtain appropriate waivers, then, subject to applicable cure periods, our outstanding indebtedness thereunder could be declared immediately due and payable.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crises in global credit, debt and financial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30"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actual or perceived noncompliance with corporate responsibility or ethics standards by us or any of our employees, officers or directors; and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17"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w w:val="97"/>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Total Number of</w:t>
            </w:r>
          </w:p>
        </w:tc>
        <w:tc>
          <w:tcPr>
            <w:tcW w:w="3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1"/>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Shares Purchased as</w:t>
            </w:r>
          </w:p>
        </w:tc>
        <w:tc>
          <w:tcPr>
            <w:tcW w:w="3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3"/>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5"/>
              </w:rPr>
              <w:t>Total Number of</w:t>
            </w: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Part of Publicly</w:t>
            </w:r>
          </w:p>
        </w:tc>
        <w:tc>
          <w:tcPr>
            <w:tcW w:w="3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1"/>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Shares Purchased</w:t>
            </w:r>
          </w:p>
        </w:tc>
        <w:tc>
          <w:tcPr>
            <w:tcW w:w="320" w:type="dxa"/>
            <w:vAlign w:val="bottom"/>
          </w:tcPr>
          <w:p>
            <w:pPr>
              <w:spacing w:after="0"/>
              <w:rPr>
                <w:sz w:val="12"/>
                <w:szCs w:val="12"/>
                <w:color w:val="auto"/>
              </w:rPr>
            </w:pPr>
          </w:p>
        </w:tc>
        <w:tc>
          <w:tcPr>
            <w:tcW w:w="13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Average Price</w:t>
            </w:r>
          </w:p>
        </w:tc>
        <w:tc>
          <w:tcPr>
            <w:tcW w:w="320" w:type="dxa"/>
            <w:vAlign w:val="bottom"/>
          </w:tcPr>
          <w:p>
            <w:pPr>
              <w:spacing w:after="0"/>
              <w:rPr>
                <w:sz w:val="12"/>
                <w:szCs w:val="12"/>
                <w:color w:val="auto"/>
              </w:rPr>
            </w:pPr>
          </w:p>
        </w:tc>
        <w:tc>
          <w:tcPr>
            <w:tcW w:w="17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Announced Plans or</w:t>
            </w:r>
          </w:p>
        </w:tc>
        <w:tc>
          <w:tcPr>
            <w:tcW w:w="32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color w:val="auto"/>
                <w:w w:val="90"/>
              </w:rPr>
              <w:t>the Plans 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tcBorders>
              <w:bottom w:val="single" w:sz="8" w:color="auto"/>
            </w:tcBorders>
          </w:tcPr>
          <w:p>
            <w:pPr>
              <w:ind w:left="1620"/>
              <w:spacing w:after="0"/>
              <w:rPr>
                <w:sz w:val="20"/>
                <w:szCs w:val="20"/>
                <w:color w:val="auto"/>
              </w:rPr>
            </w:pPr>
            <w:r>
              <w:rPr>
                <w:rFonts w:ascii="Arial" w:cs="Arial" w:eastAsia="Arial" w:hAnsi="Arial"/>
                <w:sz w:val="14"/>
                <w:szCs w:val="14"/>
                <w:color w:val="auto"/>
              </w:rPr>
              <w:t>Period</w:t>
            </w: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w w:val="93"/>
              </w:rPr>
              <w:t>(a)</w:t>
            </w:r>
          </w:p>
        </w:tc>
        <w:tc>
          <w:tcPr>
            <w:tcW w:w="320" w:type="dxa"/>
            <w:vAlign w:val="bottom"/>
          </w:tcPr>
          <w:p>
            <w:pPr>
              <w:spacing w:after="0"/>
              <w:rPr>
                <w:sz w:val="14"/>
                <w:szCs w:val="14"/>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Paid Per Share (b)</w:t>
            </w:r>
          </w:p>
        </w:tc>
        <w:tc>
          <w:tcPr>
            <w:tcW w:w="320" w:type="dxa"/>
            <w:vAlign w:val="bottom"/>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Programs (c)</w:t>
            </w:r>
          </w:p>
        </w:tc>
        <w:tc>
          <w:tcPr>
            <w:tcW w:w="320" w:type="dxa"/>
            <w:vAlign w:val="bottom"/>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January 30, 2011 through February 26, 2011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729,609</w:t>
            </w: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$40.11</w:t>
            </w:r>
          </w:p>
        </w:tc>
        <w:tc>
          <w:tcPr>
            <w:tcW w:w="20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727,196</w:t>
            </w:r>
          </w:p>
        </w:tc>
        <w:tc>
          <w:tcPr>
            <w:tcW w:w="22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$908,998,261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February 27, 2011 through March 26, 2011</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347,192</w:t>
            </w:r>
          </w:p>
        </w:tc>
        <w:tc>
          <w:tcPr>
            <w:tcW w:w="420" w:type="dxa"/>
            <w:vAlign w:val="bottom"/>
          </w:tcPr>
          <w:p>
            <w:pPr>
              <w:spacing w:after="0"/>
              <w:rPr>
                <w:sz w:val="18"/>
                <w:szCs w:val="18"/>
                <w:color w:val="auto"/>
              </w:rPr>
            </w:pPr>
          </w:p>
        </w:tc>
        <w:tc>
          <w:tcPr>
            <w:tcW w:w="1620" w:type="dxa"/>
            <w:vAlign w:val="bottom"/>
            <w:gridSpan w:val="2"/>
          </w:tcPr>
          <w:p>
            <w:pPr>
              <w:jc w:val="right"/>
              <w:ind w:right="368"/>
              <w:spacing w:after="0"/>
              <w:rPr>
                <w:sz w:val="20"/>
                <w:szCs w:val="20"/>
                <w:color w:val="auto"/>
              </w:rPr>
            </w:pPr>
            <w:r>
              <w:rPr>
                <w:rFonts w:ascii="Arial" w:cs="Arial" w:eastAsia="Arial" w:hAnsi="Arial"/>
                <w:sz w:val="18"/>
                <w:szCs w:val="18"/>
                <w:color w:val="auto"/>
              </w:rPr>
              <w:t>$39.13</w:t>
            </w:r>
          </w:p>
        </w:tc>
        <w:tc>
          <w:tcPr>
            <w:tcW w:w="2060" w:type="dxa"/>
            <w:vAlign w:val="bottom"/>
            <w:gridSpan w:val="4"/>
          </w:tcPr>
          <w:p>
            <w:pPr>
              <w:jc w:val="right"/>
              <w:ind w:right="500"/>
              <w:spacing w:after="0"/>
              <w:rPr>
                <w:sz w:val="20"/>
                <w:szCs w:val="20"/>
                <w:color w:val="auto"/>
              </w:rPr>
            </w:pPr>
            <w:r>
              <w:rPr>
                <w:rFonts w:ascii="Arial" w:cs="Arial" w:eastAsia="Arial" w:hAnsi="Arial"/>
                <w:sz w:val="18"/>
                <w:szCs w:val="18"/>
                <w:color w:val="auto"/>
              </w:rPr>
              <w:t>346,884</w:t>
            </w:r>
          </w:p>
        </w:tc>
        <w:tc>
          <w:tcPr>
            <w:tcW w:w="2200" w:type="dxa"/>
            <w:vAlign w:val="bottom"/>
            <w:gridSpan w:val="2"/>
          </w:tcPr>
          <w:p>
            <w:pPr>
              <w:jc w:val="right"/>
              <w:ind w:right="408"/>
              <w:spacing w:after="0"/>
              <w:rPr>
                <w:sz w:val="20"/>
                <w:szCs w:val="20"/>
                <w:color w:val="auto"/>
              </w:rPr>
            </w:pPr>
            <w:r>
              <w:rPr>
                <w:rFonts w:ascii="Arial" w:cs="Arial" w:eastAsia="Arial" w:hAnsi="Arial"/>
                <w:sz w:val="18"/>
                <w:szCs w:val="18"/>
                <w:color w:val="auto"/>
              </w:rPr>
              <w:t>$895,423,733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March 27, 2011 through April 30, 2011</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640,503</w:t>
            </w: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$38.74</w:t>
            </w:r>
          </w:p>
        </w:tc>
        <w:tc>
          <w:tcPr>
            <w:tcW w:w="206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640,503</w:t>
            </w:r>
          </w:p>
        </w:tc>
        <w:tc>
          <w:tcPr>
            <w:tcW w:w="22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$870,609,793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color w:val="auto"/>
              </w:rPr>
              <w:t>Total</w:t>
            </w:r>
          </w:p>
        </w:tc>
        <w:tc>
          <w:tcPr>
            <w:tcW w:w="76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1,717,304</w:t>
            </w:r>
          </w:p>
        </w:tc>
        <w:tc>
          <w:tcPr>
            <w:tcW w:w="420" w:type="dxa"/>
            <w:vAlign w:val="bottom"/>
          </w:tcPr>
          <w:p>
            <w:pPr>
              <w:spacing w:after="0"/>
              <w:rPr>
                <w:sz w:val="19"/>
                <w:szCs w:val="19"/>
                <w:color w:val="auto"/>
              </w:rPr>
            </w:pPr>
          </w:p>
        </w:tc>
        <w:tc>
          <w:tcPr>
            <w:tcW w:w="1620" w:type="dxa"/>
            <w:vAlign w:val="bottom"/>
            <w:gridSpan w:val="2"/>
          </w:tcPr>
          <w:p>
            <w:pPr>
              <w:jc w:val="right"/>
              <w:ind w:right="368"/>
              <w:spacing w:after="0"/>
              <w:rPr>
                <w:sz w:val="20"/>
                <w:szCs w:val="20"/>
                <w:color w:val="auto"/>
              </w:rPr>
            </w:pPr>
            <w:r>
              <w:rPr>
                <w:rFonts w:ascii="Arial" w:cs="Arial" w:eastAsia="Arial" w:hAnsi="Arial"/>
                <w:sz w:val="18"/>
                <w:szCs w:val="18"/>
                <w:color w:val="auto"/>
              </w:rPr>
              <w:t>$39.40</w:t>
            </w:r>
          </w:p>
        </w:tc>
        <w:tc>
          <w:tcPr>
            <w:tcW w:w="820" w:type="dxa"/>
            <w:vAlign w:val="bottom"/>
            <w:gridSpan w:val="2"/>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1,714,583</w:t>
            </w:r>
          </w:p>
        </w:tc>
        <w:tc>
          <w:tcPr>
            <w:tcW w:w="500" w:type="dxa"/>
            <w:vAlign w:val="bottom"/>
          </w:tcPr>
          <w:p>
            <w:pPr>
              <w:spacing w:after="0"/>
              <w:rPr>
                <w:sz w:val="19"/>
                <w:szCs w:val="19"/>
                <w:color w:val="auto"/>
              </w:rPr>
            </w:pPr>
          </w:p>
        </w:tc>
        <w:tc>
          <w:tcPr>
            <w:tcW w:w="2200" w:type="dxa"/>
            <w:vAlign w:val="bottom"/>
            <w:gridSpan w:val="2"/>
          </w:tcPr>
          <w:p>
            <w:pPr>
              <w:jc w:val="right"/>
              <w:ind w:right="408"/>
              <w:spacing w:after="0"/>
              <w:rPr>
                <w:sz w:val="20"/>
                <w:szCs w:val="20"/>
                <w:color w:val="auto"/>
              </w:rPr>
            </w:pPr>
            <w:r>
              <w:rPr>
                <w:rFonts w:ascii="Arial" w:cs="Arial" w:eastAsia="Arial" w:hAnsi="Arial"/>
                <w:sz w:val="18"/>
                <w:szCs w:val="18"/>
                <w:color w:val="auto"/>
              </w:rPr>
              <w:t>$870,609,793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036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2,721 shares paid to us by employees to satisfy employee tax obligations upon vesting of restricted stock units granted to our employees under our equity compensation plans.</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the stock repurchase program includes the commissions paid to the brokers.</w:t>
      </w:r>
    </w:p>
    <w:p>
      <w:pPr>
        <w:spacing w:after="0" w:line="88" w:lineRule="exact"/>
        <w:rPr>
          <w:rFonts w:ascii="Arial" w:cs="Arial" w:eastAsia="Arial" w:hAnsi="Arial"/>
          <w:sz w:val="17"/>
          <w:szCs w:val="17"/>
          <w:color w:val="auto"/>
        </w:rPr>
      </w:pPr>
    </w:p>
    <w:p>
      <w:pPr>
        <w:ind w:left="460" w:hanging="452"/>
        <w:spacing w:after="0" w:line="297"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Shares repurchased pursuant to the stock repurchase program publicly announced on August 12, 2004. On November 19, 2010, our Board of Directors authorized the repurchase by us of an additional $1 billion of our common stock, increasing the total amount of our common stock we are authorized to repurchase under the program to $5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900" w:type="dxa"/>
            <w:vAlign w:val="bottom"/>
            <w:gridSpan w:val="2"/>
          </w:tcPr>
          <w:p>
            <w:pPr>
              <w:ind w:left="1960"/>
              <w:spacing w:after="0"/>
              <w:rPr>
                <w:sz w:val="20"/>
                <w:szCs w:val="20"/>
                <w:color w:val="auto"/>
              </w:rPr>
            </w:pPr>
            <w:r>
              <w:rPr>
                <w:rFonts w:ascii="Arial" w:cs="Arial" w:eastAsia="Arial" w:hAnsi="Arial"/>
                <w:sz w:val="18"/>
                <w:szCs w:val="18"/>
                <w:color w:val="auto"/>
              </w:rPr>
              <w:t>ANALOG DEVICES, INC.</w:t>
            </w:r>
          </w:p>
        </w:tc>
        <w:tc>
          <w:tcPr>
            <w:tcW w:w="112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17, 2011</w:t>
            </w:r>
          </w:p>
        </w:tc>
        <w:tc>
          <w:tcPr>
            <w:tcW w:w="6900" w:type="dxa"/>
            <w:vAlign w:val="bottom"/>
            <w:gridSpan w:val="2"/>
          </w:tcPr>
          <w:p>
            <w:pPr>
              <w:ind w:left="1960"/>
              <w:spacing w:after="0"/>
              <w:rPr>
                <w:sz w:val="20"/>
                <w:szCs w:val="20"/>
                <w:color w:val="auto"/>
              </w:rPr>
            </w:pPr>
            <w:r>
              <w:rPr>
                <w:rFonts w:ascii="Arial" w:cs="Arial" w:eastAsia="Arial" w:hAnsi="Arial"/>
                <w:sz w:val="18"/>
                <w:szCs w:val="18"/>
                <w:color w:val="auto"/>
              </w:rPr>
              <w:t>By: /s/ Jerald G. Fishman</w:t>
            </w:r>
          </w:p>
        </w:tc>
        <w:tc>
          <w:tcPr>
            <w:tcW w:w="112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112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12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120" w:type="dxa"/>
            <w:vAlign w:val="bottom"/>
          </w:tcPr>
          <w:p>
            <w:pPr>
              <w:spacing w:after="0"/>
              <w:rPr>
                <w:sz w:val="20"/>
                <w:szCs w:val="20"/>
                <w:color w:val="auto"/>
              </w:rPr>
            </w:pPr>
          </w:p>
        </w:tc>
      </w:tr>
      <w:tr>
        <w:trPr>
          <w:trHeight w:val="648"/>
        </w:trPr>
        <w:tc>
          <w:tcPr>
            <w:tcW w:w="3400" w:type="dxa"/>
            <w:vAlign w:val="bottom"/>
          </w:tcPr>
          <w:p>
            <w:pPr>
              <w:spacing w:after="0"/>
              <w:rPr>
                <w:sz w:val="20"/>
                <w:szCs w:val="20"/>
                <w:color w:val="auto"/>
              </w:rPr>
            </w:pPr>
            <w:r>
              <w:rPr>
                <w:rFonts w:ascii="Arial" w:cs="Arial" w:eastAsia="Arial" w:hAnsi="Arial"/>
                <w:sz w:val="18"/>
                <w:szCs w:val="18"/>
                <w:color w:val="auto"/>
              </w:rPr>
              <w:t>Date: May 17, 2011</w:t>
            </w:r>
          </w:p>
        </w:tc>
        <w:tc>
          <w:tcPr>
            <w:tcW w:w="6900" w:type="dxa"/>
            <w:vAlign w:val="bottom"/>
            <w:gridSpan w:val="2"/>
          </w:tcPr>
          <w:p>
            <w:pPr>
              <w:ind w:left="1960"/>
              <w:spacing w:after="0"/>
              <w:rPr>
                <w:sz w:val="20"/>
                <w:szCs w:val="20"/>
                <w:color w:val="auto"/>
              </w:rPr>
            </w:pPr>
            <w:r>
              <w:rPr>
                <w:rFonts w:ascii="Arial" w:cs="Arial" w:eastAsia="Arial" w:hAnsi="Arial"/>
                <w:sz w:val="18"/>
                <w:szCs w:val="18"/>
                <w:color w:val="auto"/>
              </w:rPr>
              <w:t>By: /s/ David A. Zinsner</w:t>
            </w:r>
          </w:p>
        </w:tc>
        <w:tc>
          <w:tcPr>
            <w:tcW w:w="112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A. Zinsner</w:t>
            </w:r>
          </w:p>
        </w:tc>
        <w:tc>
          <w:tcPr>
            <w:tcW w:w="112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4"/>
              </w:rPr>
              <w:t>Vice President, Finance and Chief Financial Officer (Principal</w:t>
            </w:r>
          </w:p>
        </w:tc>
        <w:tc>
          <w:tcPr>
            <w:tcW w:w="112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Financial Officer)</w:t>
            </w:r>
          </w:p>
        </w:tc>
        <w:tc>
          <w:tcPr>
            <w:tcW w:w="1120" w:type="dxa"/>
            <w:vAlign w:val="bottom"/>
          </w:tcPr>
          <w:p>
            <w:pPr>
              <w:spacing w:after="0"/>
              <w:rPr>
                <w:sz w:val="20"/>
                <w:szCs w:val="20"/>
                <w:color w:val="auto"/>
              </w:rPr>
            </w:pPr>
          </w:p>
        </w:tc>
      </w:tr>
      <w:tr>
        <w:trPr>
          <w:trHeight w:val="405"/>
        </w:trPr>
        <w:tc>
          <w:tcPr>
            <w:tcW w:w="3400" w:type="dxa"/>
            <w:vAlign w:val="bottom"/>
          </w:tcPr>
          <w:p>
            <w:pPr>
              <w:spacing w:after="0"/>
              <w:rPr>
                <w:sz w:val="24"/>
                <w:szCs w:val="24"/>
                <w:color w:val="auto"/>
              </w:rPr>
            </w:pPr>
          </w:p>
        </w:tc>
        <w:tc>
          <w:tcPr>
            <w:tcW w:w="6900" w:type="dxa"/>
            <w:vAlign w:val="bottom"/>
            <w:gridSpan w:val="2"/>
          </w:tcPr>
          <w:p>
            <w:pPr>
              <w:jc w:val="right"/>
              <w:ind w:right="4410"/>
              <w:spacing w:after="0"/>
              <w:rPr>
                <w:sz w:val="20"/>
                <w:szCs w:val="20"/>
                <w:color w:val="auto"/>
              </w:rPr>
            </w:pPr>
            <w:r>
              <w:rPr>
                <w:rFonts w:ascii="Arial" w:cs="Arial" w:eastAsia="Arial" w:hAnsi="Arial"/>
                <w:sz w:val="18"/>
                <w:szCs w:val="18"/>
                <w:color w:val="auto"/>
              </w:rPr>
              <w:t>47</w:t>
            </w:r>
          </w:p>
        </w:tc>
        <w:tc>
          <w:tcPr>
            <w:tcW w:w="112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38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Borders>
              <w:top w:val="single" w:sz="8" w:color="auto"/>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7"/>
              </w:rPr>
              <w:t>Underwriting Agreement among Analog Devices and Credit Suisse Securities (USA) LLC and Merrill Lynch, Pierce, Fenner &amp; Smith</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2"/>
              </w:rPr>
              <w:t>Incorporated, dated March 30, 2011, filed as exhibit 1.1 to the Company’s Current Report on Form 8-K (File No. 1-7819) on March 31, 2011</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and incorporated herein by reference.</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4"/>
              </w:rPr>
              <w:t>Supplemental Indenture, between Analog Devices and The Bank of New York Mellon Trust Company, N.A., dated April 4, 2011, filed as</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9"/>
              </w:rPr>
              <w:t>exhibit 4.1 to the Company’s Current Report on Form 8-K (File No. 1-7819) on April 4, 2011 and incorporated herein by reference.</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6"/>
              </w:rPr>
              <w:t>Form of 3.00% Global Note due April 15, 2016, filed as exhibit 4.2 to the Company’s Current Report on Form 8-K (File No. 1-7819)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April 4, 2011 and incorporated herein by reference.</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Certification Pursuant to Rule 13a-14(a) and 15d-14(a) of the Securities Exchange Act, as Adopted Pursuant to Section 302 of the Sarbanes-</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Oxley Act of 2002 (Chief Executive Officer).</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w w:val="91"/>
              </w:rPr>
              <w:t>Certification Pursuant to Rule 13a-14(a) and 15d-14(a) of the Securities Exchange Act, as Adopted Pursuant to Section 302 of the Sarbanes-</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Oxley Act of 2002 (Chief Financial Officer).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Executive Officer).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Certification Pursuant to 18 U.S.C. Section 1350 (Chief Financial Officer).</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Labels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10260" w:type="dxa"/>
            <w:vAlign w:val="bottom"/>
            <w:gridSpan w:val="3"/>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Attached as Exhibit 101 to this report are the following formatted in XBRL (Extensible Business Reporting Language): (i) Condensed Consolidated Statements of Income for the three months ended April 30, 2011 and May 1, 2010 and for the six months ended April 30, 2011 and May 1, 2010, (ii) Condensed Consolidated Balance Sheets at April 30, 2011 and October 30, 2010, (iii) Condensed Consolidated Statements of Cash Flows for the six months ended April 30, 2011 and May 1, 2010 and (iv) Notes to Condensed Consolidated Financial Statements.</w:t>
      </w:r>
    </w:p>
    <w:p>
      <w:pPr>
        <w:spacing w:after="0" w:line="6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accordance with Rule 406T of Regulation S-T, the XBRL-related information in Exhibit 101 to this Quarterly Report on Form 10-Q is deemed not filed or part of a registration statement or prospectus for purposes of sections 11 or 12 of the Securities Act, is deemed not filed for purposes of Section 18 of the Exchange Act, and otherwise is not subject to liability under these sections.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19"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660" w:hanging="43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17,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117" w:lineRule="exact"/>
        <w:rPr>
          <w:sz w:val="20"/>
          <w:szCs w:val="20"/>
          <w:color w:val="auto"/>
        </w:rPr>
      </w:pPr>
    </w:p>
    <w:p>
      <w:pPr>
        <w:ind w:left="660" w:hanging="43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17,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7"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April 30, 2011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17,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5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April 30, 2011 as filed with the Securities and Exchange Commission on the date hereof (the “Report”), the undersigned, David A. Zinsner, Chief Financial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May 17, 2011</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Zinsner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A. Zinsner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2019-12-09T20:20:26Z</dcterms:created>
  <dcterms:modified xsi:type="dcterms:W3CDTF">2019-12-09T20:20:26Z</dcterms:modified>
</cp:coreProperties>
</file>