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76,596 Shares</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[ANALOG LOGO]</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The shares of Common Stock, $.16 2/3 par value per share (the "Common Stock"), of Analog Devices, Inc. ("Analog" or the "Company") covered by this Prospectus are issued and outstanding shares which may be offered and sold, from time to time, for the account of certain stockholders of the Company (the "Selling Stockholders"). See "The Selling Stockholders." The shares of Common Stock covered by this Prospectus were issued to the Selling Stockholders in a private placement made in connection with the acquisition of Mosaic Microsystems Limited ("Mosaic") by the Company on July 1, 1996. All of the shares offered hereunder are to be sold for the account of the Selling Stockholders. The Company will not receive any of the proceeds from the sale of the shares by the Selling Stockholders. The Common Stock of the Company is traded on the New York Stock Exchange under the symbol "ADI." On July 16, 1996, the last reported sale price of the Common Stock on the New York Stock Exchange was $19.375 per share.</w:t>
      </w:r>
    </w:p>
    <w:p>
      <w:pPr>
        <w:spacing w:after="0" w:line="384"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left="1160" w:right="2519" w:hanging="419"/>
        <w:spacing w:after="0" w:line="290" w:lineRule="auto"/>
        <w:tabs>
          <w:tab w:leader="none" w:pos="1140" w:val="left"/>
        </w:tabs>
        <w:rPr>
          <w:sz w:val="20"/>
          <w:szCs w:val="20"/>
          <w:color w:val="auto"/>
        </w:rPr>
      </w:pPr>
      <w:r>
        <w:rPr>
          <w:rFonts w:ascii="Courier New" w:cs="Courier New" w:eastAsia="Courier New" w:hAnsi="Courier New"/>
          <w:sz w:val="16"/>
          <w:szCs w:val="16"/>
          <w:color w:val="auto"/>
        </w:rPr>
        <w:t>SEE</w:t>
        <w:tab/>
        <w:t>"RISK FACTORS" BEGINNING ON PAGE 4 FOR A DISCUSSION OF CERTAIN FACTORS THAT SHOULD BE CONSIDERED BY PROSPECTIVE INVESTORS.</w:t>
      </w:r>
    </w:p>
    <w:p>
      <w:pPr>
        <w:spacing w:after="0" w:line="164"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THESE SECURITIES HAVE NOT BEEN APPROVED OR DISAPPROVED BY THE SECURITIES AND</w:t>
      </w:r>
    </w:p>
    <w:p>
      <w:pPr>
        <w:spacing w:after="0" w:line="4" w:lineRule="exact"/>
        <w:rPr>
          <w:sz w:val="24"/>
          <w:szCs w:val="24"/>
          <w:color w:val="auto"/>
        </w:rPr>
      </w:pPr>
    </w:p>
    <w:p>
      <w:pPr>
        <w:jc w:val="center"/>
        <w:ind w:right="1779"/>
        <w:spacing w:after="0" w:line="237" w:lineRule="auto"/>
        <w:rPr>
          <w:sz w:val="20"/>
          <w:szCs w:val="20"/>
          <w:color w:val="auto"/>
        </w:rPr>
      </w:pPr>
      <w:r>
        <w:rPr>
          <w:rFonts w:ascii="Courier New" w:cs="Courier New" w:eastAsia="Courier New" w:hAnsi="Courier New"/>
          <w:sz w:val="18"/>
          <w:szCs w:val="18"/>
          <w:color w:val="auto"/>
        </w:rPr>
        <w:t>EXCHANGE COMMISSION OR ANY STATE SECURITIES COMMISSION NOR HAS THE COMMISSION OR ANY STATE SECURITIES COMMISSION PASSED UPON THE ACCURACY OR ADEQUACY OF THIS PROSPECTUS. ANY REPRESENTATION TO THE CONTRARY IS A CRIMINAL OFFENSE.</w:t>
      </w:r>
    </w:p>
    <w:p>
      <w:pPr>
        <w:spacing w:after="0" w:line="202"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The date of this Prospectus is August 7, 1996.</w:t>
      </w:r>
    </w:p>
    <w:p>
      <w:pPr>
        <w:sectPr>
          <w:pgSz w:w="11900" w:h="16838" w:orient="portrait"/>
          <w:cols w:equalWidth="0" w:num="1">
            <w:col w:w="10219"/>
          </w:cols>
          <w:pgMar w:left="240" w:top="244"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jc w:val="center"/>
        <w:ind w:right="1659"/>
        <w:spacing w:after="0" w:line="238" w:lineRule="auto"/>
        <w:rPr>
          <w:sz w:val="20"/>
          <w:szCs w:val="20"/>
          <w:color w:val="auto"/>
        </w:rPr>
      </w:pPr>
      <w:r>
        <w:rPr>
          <w:rFonts w:ascii="Courier New" w:cs="Courier New" w:eastAsia="Courier New" w:hAnsi="Courier New"/>
          <w:sz w:val="18"/>
          <w:szCs w:val="18"/>
          <w:color w:val="auto"/>
        </w:rPr>
        <w:t>AVAILABLE INFORMATION</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The Company is subject to the informational requirements of the Securities Exchange Act of 1934, as amended (the "Exchange Act"), and in accordance therewith files reports and other information with the Securities and Exchange Commission (the "Commission"). The reports, proxy materials and other information filed by the Company with the Commission may be inspected and copied at the public reference facilities maintained by the Commission at the Public Reference Section of the Commission at 450 Fifth Street, N.W., Washington, D.C. 20549, and at the Regional Offices of the Commission located at Seven World Trade Center, Suite 1300, New York, New York 10048, and at Citicorp Center, 500 West Madison Street, Suite 1400, Chicago, Illinois 60661. Copies of such materials also may be obtained from the Public Reference Section of the Commission at 450 Fifth Street, N.W., Washington, D.C. 20549 at prescribed rates. The Common Stock of the Company is listed on the New York Stock Exchange. Reports, proxy materials and other information concerning the Company may also be inspected at the offices of the New York Stock Exchange, 20 Broad Street, New York, New York 10005.</w:t>
      </w:r>
    </w:p>
    <w:p>
      <w:pPr>
        <w:spacing w:after="0" w:line="208"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The Company has filed with the Commission a Registration Statement on Form S-3 under the Securities Act of 1933, as amended (the "Securities Act"), with respect to the shares of Common Stock offered hereby. This Prospectus does not contain all the information set forth in the Registration Statement and the exhibits and schedules thereto, certain portions of which are omitted as permitted by the rules and regulations of the Commission. For further information with respect to the Company and the shares of Common Stock offered hereby, reference is made to the Registration Statement, including the exhibits and schedules. The Registration Statement, together with the exhibits and schedules thereto, may be inspected, without charge, at the Commission's principal office at 450 Fifth Street, N.W., Washington, D.C. 20549, and also at the regional offices of the Commission listed above. Copies of such material may also be obtained from the Commission upon the payment of prescribed rates.</w:t>
      </w:r>
    </w:p>
    <w:p>
      <w:pPr>
        <w:spacing w:after="0" w:line="38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Statements contained in this Prospectus as to any contracts, agreements or other documents filed as an exhibit to the Registration Statement are not necessarily complete, and in each instance reference is hereby made to the copy of such contract, agreement or other document filed as an exhibit to the Registration Statement for a full statement of the provisions thereof, and each such statement in this Prospectus is qualified in all respects by such reference.</w:t>
      </w:r>
    </w:p>
    <w:p>
      <w:pPr>
        <w:spacing w:after="0" w:line="205"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INCORPORATION OF CERTAIN DOCUMENTS BY REFERENCE</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In accordance with the requirements of the Exchange Act, certain reports and other information are filed by the Company periodically with the Commission. The following documents filed by the Company with the Commission are incorporated herein by reference: (1) the Company's Annual Report on Form 10-K for the fiscal year ended October 28, 1995, (2) the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Company's Quarterly Report on Form 10-Q for the quarter ended February 3, 1996,</w:t>
      </w:r>
    </w:p>
    <w:p>
      <w:pPr>
        <w:spacing w:after="0" w:line="21" w:lineRule="exact"/>
        <w:rPr>
          <w:sz w:val="20"/>
          <w:szCs w:val="20"/>
          <w:color w:val="auto"/>
        </w:rPr>
      </w:pPr>
    </w:p>
    <w:p>
      <w:pPr>
        <w:ind w:right="2099" w:firstLine="8"/>
        <w:spacing w:after="0" w:line="268"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Quarterly Report on Form 10-Q for the quarter ended May 4, 1996, (4) the Company's Current Report on Form 8-K filed on July 16, 1996 and</w:t>
      </w:r>
    </w:p>
    <w:p>
      <w:pPr>
        <w:ind w:right="1999" w:firstLine="8"/>
        <w:spacing w:after="0" w:line="236"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documents filed by the Company pursuant to Section 13(a), 13(c), 14 or 15(d) of the Exchange Act after July 19, 1996 and prior to the date of this Prospectus.</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All documents filed by the Company pursuant to Section 13(a), 13(c), 14 or 15(d) of the Exchange Act after the date of this Prospectus and before the termination of the offering of the Common Stock offered hereby shall be deemed to be a part hereof from the date of filing such documents. Any statement contained herein or in a document incorporated or deemed to be incorporated by reference herein shall be deemed to be modified or superseded for purposes of this Prospectus to the extent that a statement contained herein or in any other subsequently filed document which also is or is deemed to be incorporated by reference herein modifies or supersedes such statement. Any such statement as so modified or superseded shall not be deemed, except as so modified or superseded, to constitute a part of this Prospectus.</w:t>
      </w:r>
    </w:p>
    <w:p>
      <w:pPr>
        <w:spacing w:after="0" w:line="216"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The Company will provide without charge to each person to whom this Prospectus is delivered, on the request of any such person, a copy of any or all of the above documents incorporated herein by reference (other than exhibits to such documents, unless such exhibits are specifically incorporated by reference into the documents that this Prospectus incorporates). Requests should be directed to Joseph E. McDonough, Vice President-Finance of Analog Devices, Inc., One Technology Way, Norwood, MA 02062-9106; telephone number (617) 329-4700.</w:t>
      </w:r>
    </w:p>
    <w:p>
      <w:pPr>
        <w:spacing w:after="0" w:line="1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ind w:left="3580"/>
        <w:spacing w:after="0" w:line="238" w:lineRule="auto"/>
        <w:rPr>
          <w:sz w:val="20"/>
          <w:szCs w:val="20"/>
          <w:color w:val="auto"/>
        </w:rPr>
      </w:pPr>
      <w:r>
        <w:rPr>
          <w:rFonts w:ascii="Courier New" w:cs="Courier New" w:eastAsia="Courier New" w:hAnsi="Courier New"/>
          <w:sz w:val="18"/>
          <w:szCs w:val="18"/>
          <w:color w:val="auto"/>
        </w:rPr>
        <w:t>RISK FACTORS</w:t>
      </w:r>
    </w:p>
    <w:p>
      <w:pPr>
        <w:spacing w:after="0" w:line="207" w:lineRule="exact"/>
        <w:rPr>
          <w:sz w:val="20"/>
          <w:szCs w:val="20"/>
          <w:color w:val="auto"/>
        </w:rPr>
      </w:pPr>
    </w:p>
    <w:p>
      <w:pPr>
        <w:ind w:right="2319" w:firstLine="948"/>
        <w:spacing w:after="0" w:line="237" w:lineRule="auto"/>
        <w:rPr>
          <w:sz w:val="20"/>
          <w:szCs w:val="20"/>
          <w:color w:val="auto"/>
        </w:rPr>
      </w:pPr>
      <w:r>
        <w:rPr>
          <w:rFonts w:ascii="Courier New" w:cs="Courier New" w:eastAsia="Courier New" w:hAnsi="Courier New"/>
          <w:sz w:val="18"/>
          <w:szCs w:val="18"/>
          <w:color w:val="auto"/>
        </w:rPr>
        <w:t>The shares of Common Stock offered hereby involve a high degree of risk, including the risks described below. Prospective investors should carefully consider the following risk factors in addition to the other information contained in, or incorporated by reference in, this Prospectus before purchasing the shares of Common Stock offered hereby.</w:t>
      </w:r>
    </w:p>
    <w:p>
      <w:pPr>
        <w:spacing w:after="0" w:line="209"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POTENTIAL FLUCTUATIONS IN OPERATING RESULTS. The Company's operating results are affected by a wide variety of factors, including the timing of new product announcements or introductions by the Company and its competitors, competitive pricing pressures, fluctuations in manufacturing yields, adequate availability of wafers and manufacturing capacity, changes in product mix and economic conditions in the United States and international markets. In addition, the semiconductor market has historically been cyclical and subject to significant economic downturns at various times. As a result of these and other factors, there can be no assurance that the Company will not experience material fluctuations in future operating results on a quarterly or annual basis.</w:t>
      </w:r>
    </w:p>
    <w:p>
      <w:pPr>
        <w:spacing w:after="0" w:line="189"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DEPENDENCE ON NEW PRODUCTS AND NEW MARKETS. The Company's success depends in part on its continued ability to develop and market new products. There can be no assurance that the Company will be able to develop and introduce new products in a timely manner or that such products, if developed, will achieve market acceptance. In addition, the Company's growth is dependent on its continued ability to penetrate new markets such as the communications, computer and automotive segments of the electronics market, where the Company has limited experience and competition is intense. There can be no assurance that the markets being served by the Company will continue to grow, that the Company's existing and new products will meet the requirements of such markets, that the Company's products will achieve customer acceptance in such markets, that competitors will not force prices to an unacceptably low level or take market share from the Company or that the Company can achieve or maintain profits in these markets. In addition, some of the customers in these markets are less well established which could subject the Company to increased credit risk.</w:t>
      </w:r>
    </w:p>
    <w:p>
      <w:pPr>
        <w:spacing w:after="0" w:line="38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COMPETITION. The semiconductor industry is intensely competitive. Certain of the Company's competitors have greater technical, marketing, manufacturing and financial resources than the Company. The Company's competitors also include emerging companies attempting to sell products to specialized markets such as those served by the Company. Competitors of the Company have, in some cases, developed and marketed products having similar design and functionality as the Company's products. There can be no assurance that the Company will be able to compete successfully in the future against existing or new competitors or that the Company's operating results will not be adversely affected by increased price competition.</w:t>
      </w:r>
    </w:p>
    <w:p>
      <w:pPr>
        <w:spacing w:after="0" w:line="20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MANUFACTURING CAPACITY. While the Company is planning in</w:t>
      </w:r>
    </w:p>
    <w:p>
      <w:pPr>
        <w:spacing w:after="0" w:line="238" w:lineRule="auto"/>
        <w:rPr>
          <w:sz w:val="20"/>
          <w:szCs w:val="20"/>
          <w:color w:val="auto"/>
        </w:rPr>
      </w:pPr>
      <w:r>
        <w:rPr>
          <w:rFonts w:ascii="Courier New" w:cs="Courier New" w:eastAsia="Courier New" w:hAnsi="Courier New"/>
          <w:sz w:val="18"/>
          <w:szCs w:val="18"/>
          <w:color w:val="auto"/>
        </w:rPr>
        <w:t>fiscal 1996 to increase substantially its manufacturing capacity through</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4"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both expansion of its production facilities and increased access to third-party foundries, there can be no assurance that the Company will complete the expansion of its production facilities or secure increased access to third party foundries in a timely manner or that the Company will not encounter unanticipated production problems at either its own facilities or at third-party foundries. The Company relies, and plans to continue to rely, on third-party wafer fabricators to supply most of its wafers that can be manufactured using industry-standard digital processes, and such reliance involves several risks, including the absence of adequate guaranteed capacity and reduced control over delivery schedules, manufacturing yields and costs. In addition, the Company's capacity additions will result in a significant increase in operating expenses and, if revenue levels do not increase to offset these additional expense levels, the Company's future operating results could be adversely affected.</w:t>
      </w:r>
    </w:p>
    <w:p>
      <w:pPr>
        <w:spacing w:after="0" w:line="389"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Company believes that other semiconductors manufacturers are also expanding or planning to expand their production capacity over the next several years, and there can be no assurance that the expansion by the Company and its competitors will not lead to over capacity in the Company's target markets, which could lead to price erosion that would adversely affect the Company's operating results.</w:t>
      </w:r>
    </w:p>
    <w:p>
      <w:pPr>
        <w:spacing w:after="0" w:line="210"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MANUFACTURING RISKS. The fabrication of integrated circuits involves highly complex and precise processes that are continuously being modified in an effort to improve yields and product performance. Minute impurities or other difficulties in the manufacturing process can lower yields. As the Company continues to increase its manufacturing output and its use of third-party foundries, there can be no assurance that the Company will not experience a decrease in manufacturing yields or other manufacturing problems. Decreased yields could adversely affect gross margin and operating results. If the Company were unable to use any manufacturing facility, as a result of a natural disaster or otherwise, the Company's operations would be materially adversely affected.</w:t>
      </w:r>
    </w:p>
    <w:p>
      <w:pPr>
        <w:spacing w:after="0" w:line="189"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PATENTS AND INTELLECTUAL PROPERTY. The semiconductor industry is characterized by frequent claims and litigation involving patent and other intellectual property rights. The Company has from time to time received, and may in the future receive, claims from third parties asserting that the Company's products or processes infringe their patents or other intellectual property rights. In the event a third party makes a valid intellectual property claim and a license is not available on commercially reasonable terms, the Company's operating results could be materially and adversely affected. Litigation may be necessary to enforce patents or other intellectual property rights of the Company or to defend the Company against claims of infringement, and such litigation can be costly and divert the attention of key personnel. See Part II, Item 1 - "Legal Proceedings," contained in the Form 10-Q for the fiscal quarter ended May 4, 1996 and Part I, Item 3 - "Legal Proceedings," contained in the Company's Annual Report on Form 10-K for the fiscal year ended October 28, 1995 for information concerning pending litigation involving the Company. An adverse resolution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6</w:t>
      </w:r>
    </w:p>
    <w:p>
      <w:pPr>
        <w:spacing w:after="0" w:line="4"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of such litigation, may, in certain cases, have a material adverse effect on the Company's consolidated financial position or on its consolidated results of operations or cash flows in the period in which the litigation is resolved.</w:t>
      </w:r>
    </w:p>
    <w:p>
      <w:pPr>
        <w:spacing w:after="0" w:line="209"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INTERNATIONAL OPERATIONS. A significant portion of the Company's revenues are derived from customers in international markets. The Company has manufacturing facilities in Ireland, the Philippines and Taiwan. The Company is therefore subject to the economic and political risks inherent in international operations, including expropriation, air transportation disruptions, currency controls and changes in currency exchange rates, tax and tariff rates and freight rates. Although the Company engages in certain hedging transactions to reduce its exposure to currency exchange rate fluctuations, there can be no assurance that the Company's competitive position will not be adversely affected by changes in the exchange rate of the U.S. dollar against other currencies.</w:t>
      </w:r>
    </w:p>
    <w:p>
      <w:pPr>
        <w:spacing w:after="0" w:line="189"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STOCK PRICE VOLATILITY. The trading price of the Company's Common Stock may be subject to wide fluctuations in response to quarter-to-quarter variations in operating results, announcements of new products by the Company or its competitors, general conditions in the semiconductor industry, changes in earnings estimates and recommendations by analysts or other events. In future quarters, if the Company's financial performance were to fall below the performance predicted by securities analysts, the Company's stock price could decline. In addition, the public stock markets have experienced extreme price and trading volume volatility that has significantly affected the market prices of securities of many high technology companies and that has often been unrelated or disproportionate to the operating performance of these companies. These factors may adversely affect the market price of the Common Stock.</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312"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7</w:t>
      </w:r>
    </w:p>
    <w:p>
      <w:pPr>
        <w:jc w:val="center"/>
        <w:ind w:right="1659"/>
        <w:spacing w:after="0" w:line="238" w:lineRule="auto"/>
        <w:rPr>
          <w:sz w:val="20"/>
          <w:szCs w:val="20"/>
          <w:color w:val="auto"/>
        </w:rPr>
      </w:pPr>
      <w:r>
        <w:rPr>
          <w:rFonts w:ascii="Courier New" w:cs="Courier New" w:eastAsia="Courier New" w:hAnsi="Courier New"/>
          <w:sz w:val="18"/>
          <w:szCs w:val="18"/>
          <w:color w:val="auto"/>
        </w:rPr>
        <w:t>THE COMPANY</w:t>
      </w:r>
    </w:p>
    <w:p>
      <w:pPr>
        <w:spacing w:after="0" w:line="207" w:lineRule="exact"/>
        <w:rPr>
          <w:sz w:val="20"/>
          <w:szCs w:val="20"/>
          <w:color w:val="auto"/>
        </w:rPr>
      </w:pPr>
    </w:p>
    <w:p>
      <w:pPr>
        <w:ind w:right="1999" w:firstLine="948"/>
        <w:spacing w:after="0" w:line="271" w:lineRule="auto"/>
        <w:rPr>
          <w:sz w:val="20"/>
          <w:szCs w:val="20"/>
          <w:color w:val="auto"/>
        </w:rPr>
      </w:pPr>
      <w:r>
        <w:rPr>
          <w:rFonts w:ascii="Courier New" w:cs="Courier New" w:eastAsia="Courier New" w:hAnsi="Courier New"/>
          <w:sz w:val="16"/>
          <w:szCs w:val="16"/>
          <w:color w:val="auto"/>
        </w:rPr>
        <w:t>The Company designs, manufactures and markets a broad line of high-performance linear, mixed-signal and digital integrated circuits ("ICs") that address a wide range of real-world signal processing applications. The Company's principal products include general-purpose, standard-function linear and mixed-signal ICs ("SLICs"), special-purpose linear and mixed- signal ICs ("SPLICs") and digital signal processing ICs ("DSP ICs"). The Company also manufactures and markets devices using assembled product technology.</w:t>
      </w:r>
    </w:p>
    <w:p>
      <w:pPr>
        <w:spacing w:after="0" w:line="188" w:lineRule="exact"/>
        <w:rPr>
          <w:sz w:val="20"/>
          <w:szCs w:val="20"/>
          <w:color w:val="auto"/>
        </w:rPr>
      </w:pPr>
    </w:p>
    <w:p>
      <w:pPr>
        <w:ind w:right="1879" w:firstLine="948"/>
        <w:spacing w:after="0" w:line="271" w:lineRule="auto"/>
        <w:rPr>
          <w:sz w:val="20"/>
          <w:szCs w:val="20"/>
          <w:color w:val="auto"/>
        </w:rPr>
      </w:pPr>
      <w:r>
        <w:rPr>
          <w:rFonts w:ascii="Courier New" w:cs="Courier New" w:eastAsia="Courier New" w:hAnsi="Courier New"/>
          <w:sz w:val="16"/>
          <w:szCs w:val="16"/>
          <w:color w:val="auto"/>
        </w:rPr>
        <w:t>Analog believes it is one of the world's largest suppliers of SLIC products. The Company's SLIC products are primarily high-performance, single-function devices. The majority of the Company's SLIC revenue is attributable to data converters (analog-to-digital and digital-to-analog) and amplifiers. Other SLIC products offered by the Company include analog signal-processing devices (such as analog multipliers), voltage references and comparators. SLICs are sold to a very large customer base for a wide variety of applications, including applications in the medical, engineering and scientific instruments market, factory automation market and military/ aerospace market.</w:t>
      </w:r>
    </w:p>
    <w:p>
      <w:pPr>
        <w:spacing w:after="0" w:line="184"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Over the past five years, Analog has sought to balance its traditionally stable SLIC business with the growth opportunities available for SPLICs and DSP ICs, particularly in the communications and computer markets. Analog's SPLIC and DSP IC products feature high levels of functional integration on a single chip and are designed to address customers' needs to incorporate increasingly greater levels of real-world signal processing capability in their products. The Company's SPLIC and DSP ICs include products used in wireless communication applications, such as digital mobile phones and base stations, and computer applications, such as audio enhancement in multimedia PCs.</w:t>
      </w:r>
    </w:p>
    <w:p>
      <w:pPr>
        <w:spacing w:after="0" w:line="184"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The Company is a Massachusetts corporation with its principal headquarters located at One Technology Way, Norwood, Massachusetts 02062- 9106; and its telephone number is (617) 329-4700.</w:t>
      </w:r>
    </w:p>
    <w:p>
      <w:pPr>
        <w:spacing w:after="0" w:line="20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The Company will not receive any proceeds from the sale of Common Stock by the Selling Stockholders.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312"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8</w:t>
      </w:r>
    </w:p>
    <w:p>
      <w:pPr>
        <w:ind w:left="2960"/>
        <w:spacing w:after="0" w:line="238" w:lineRule="auto"/>
        <w:rPr>
          <w:sz w:val="20"/>
          <w:szCs w:val="20"/>
          <w:color w:val="auto"/>
        </w:rPr>
      </w:pPr>
      <w:r>
        <w:rPr>
          <w:rFonts w:ascii="Courier New" w:cs="Courier New" w:eastAsia="Courier New" w:hAnsi="Courier New"/>
          <w:sz w:val="18"/>
          <w:szCs w:val="18"/>
          <w:color w:val="auto"/>
        </w:rPr>
        <w:t>THE SELLING STOCKHOLDERS</w:t>
      </w:r>
    </w:p>
    <w:p>
      <w:pPr>
        <w:spacing w:after="0" w:line="207" w:lineRule="exact"/>
        <w:rPr>
          <w:sz w:val="20"/>
          <w:szCs w:val="20"/>
          <w:color w:val="auto"/>
        </w:rPr>
      </w:pPr>
    </w:p>
    <w:p>
      <w:pPr>
        <w:ind w:right="2099" w:firstLine="948"/>
        <w:spacing w:after="0" w:line="236" w:lineRule="auto"/>
        <w:rPr>
          <w:sz w:val="20"/>
          <w:szCs w:val="20"/>
          <w:color w:val="auto"/>
        </w:rPr>
      </w:pPr>
      <w:r>
        <w:rPr>
          <w:rFonts w:ascii="Courier New" w:cs="Courier New" w:eastAsia="Courier New" w:hAnsi="Courier New"/>
          <w:sz w:val="18"/>
          <w:szCs w:val="18"/>
          <w:color w:val="auto"/>
        </w:rPr>
        <w:t>The shares of Common Stock covered by this Prospectus were issued to the Selling Stockholders in a private placement made in connection with the acquisition of Mosaic by the Company on July 1, 1996.</w:t>
      </w:r>
    </w:p>
    <w:p>
      <w:pPr>
        <w:spacing w:after="0" w:line="209"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following table sets forth the name and the number of shares of Common Stock beneficially owned by the Selling Stockholders as of July 14, 1996 and the number of the shares to be offered by the Selling Stockholders pursuant to this Prospectus.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3160" w:type="dxa"/>
            <w:vAlign w:val="bottom"/>
          </w:tcPr>
          <w:p>
            <w:pPr>
              <w:spacing w:after="0"/>
              <w:rPr>
                <w:sz w:val="17"/>
                <w:szCs w:val="17"/>
                <w:color w:val="auto"/>
              </w:rPr>
            </w:pPr>
          </w:p>
        </w:tc>
        <w:tc>
          <w:tcPr>
            <w:tcW w:w="3020" w:type="dxa"/>
            <w:vAlign w:val="bottom"/>
          </w:tcPr>
          <w:p>
            <w:pPr>
              <w:ind w:left="320"/>
              <w:spacing w:after="0"/>
              <w:rPr>
                <w:sz w:val="20"/>
                <w:szCs w:val="20"/>
                <w:color w:val="auto"/>
              </w:rPr>
            </w:pPr>
            <w:r>
              <w:rPr>
                <w:rFonts w:ascii="Courier New" w:cs="Courier New" w:eastAsia="Courier New" w:hAnsi="Courier New"/>
                <w:sz w:val="18"/>
                <w:szCs w:val="18"/>
                <w:color w:val="auto"/>
              </w:rPr>
              <w:t>TOTAL NUMBER OF</w:t>
            </w:r>
          </w:p>
        </w:tc>
        <w:tc>
          <w:tcPr>
            <w:tcW w:w="1840" w:type="dxa"/>
            <w:vAlign w:val="bottom"/>
          </w:tcPr>
          <w:p>
            <w:pPr>
              <w:ind w:left="360"/>
              <w:spacing w:after="0"/>
              <w:rPr>
                <w:sz w:val="20"/>
                <w:szCs w:val="20"/>
                <w:color w:val="auto"/>
              </w:rPr>
            </w:pPr>
            <w:r>
              <w:rPr>
                <w:rFonts w:ascii="Courier New" w:cs="Courier New" w:eastAsia="Courier New" w:hAnsi="Courier New"/>
                <w:sz w:val="18"/>
                <w:szCs w:val="18"/>
                <w:color w:val="auto"/>
              </w:rPr>
              <w:t>SHARES OF</w:t>
            </w:r>
          </w:p>
        </w:tc>
      </w:tr>
      <w:tr>
        <w:trPr>
          <w:trHeight w:val="203"/>
        </w:trPr>
        <w:tc>
          <w:tcPr>
            <w:tcW w:w="3160" w:type="dxa"/>
            <w:vAlign w:val="bottom"/>
          </w:tcPr>
          <w:p>
            <w:pPr>
              <w:spacing w:after="0"/>
              <w:rPr>
                <w:sz w:val="17"/>
                <w:szCs w:val="17"/>
                <w:color w:val="auto"/>
              </w:rPr>
            </w:pPr>
          </w:p>
        </w:tc>
        <w:tc>
          <w:tcPr>
            <w:tcW w:w="3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SHARES OF COMMON STOCK</w:t>
            </w:r>
          </w:p>
        </w:tc>
        <w:tc>
          <w:tcPr>
            <w:tcW w:w="18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COMMON STOCK</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OF SELLING STOCKHOLDER</w:t>
            </w:r>
          </w:p>
        </w:tc>
        <w:tc>
          <w:tcPr>
            <w:tcW w:w="3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18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6"/>
              </w:rPr>
              <w:t>OFFERED HEREBY</w:t>
            </w:r>
          </w:p>
        </w:tc>
      </w:tr>
      <w:tr>
        <w:trPr>
          <w:trHeight w:val="608"/>
        </w:trPr>
        <w:tc>
          <w:tcPr>
            <w:tcW w:w="3160" w:type="dxa"/>
            <w:vAlign w:val="bottom"/>
          </w:tcPr>
          <w:p>
            <w:pPr>
              <w:spacing w:after="0"/>
              <w:rPr>
                <w:sz w:val="20"/>
                <w:szCs w:val="20"/>
                <w:color w:val="auto"/>
              </w:rPr>
            </w:pPr>
            <w:r>
              <w:rPr>
                <w:rFonts w:ascii="Courier New" w:cs="Courier New" w:eastAsia="Courier New" w:hAnsi="Courier New"/>
                <w:sz w:val="18"/>
                <w:szCs w:val="18"/>
                <w:color w:val="auto"/>
              </w:rPr>
              <w:t>Simon Atkinson(1)</w:t>
            </w:r>
          </w:p>
        </w:tc>
        <w:tc>
          <w:tcPr>
            <w:tcW w:w="3020" w:type="dxa"/>
            <w:vAlign w:val="bottom"/>
          </w:tcPr>
          <w:p>
            <w:pPr>
              <w:jc w:val="right"/>
              <w:ind w:right="1552"/>
              <w:spacing w:after="0"/>
              <w:rPr>
                <w:sz w:val="20"/>
                <w:szCs w:val="20"/>
                <w:color w:val="auto"/>
              </w:rPr>
            </w:pPr>
            <w:r>
              <w:rPr>
                <w:rFonts w:ascii="Courier New" w:cs="Courier New" w:eastAsia="Courier New" w:hAnsi="Courier New"/>
                <w:sz w:val="18"/>
                <w:szCs w:val="18"/>
                <w:color w:val="auto"/>
              </w:rPr>
              <w:t>19,094</w:t>
            </w:r>
          </w:p>
        </w:tc>
        <w:tc>
          <w:tcPr>
            <w:tcW w:w="18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19,094</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Jonathan Richard Strange(2)</w:t>
            </w:r>
          </w:p>
        </w:tc>
        <w:tc>
          <w:tcPr>
            <w:tcW w:w="3020" w:type="dxa"/>
            <w:vAlign w:val="bottom"/>
          </w:tcPr>
          <w:p>
            <w:pPr>
              <w:jc w:val="right"/>
              <w:ind w:right="1552"/>
              <w:spacing w:after="0" w:line="203" w:lineRule="exact"/>
              <w:rPr>
                <w:sz w:val="20"/>
                <w:szCs w:val="20"/>
                <w:color w:val="auto"/>
              </w:rPr>
            </w:pPr>
            <w:r>
              <w:rPr>
                <w:rFonts w:ascii="Courier New" w:cs="Courier New" w:eastAsia="Courier New" w:hAnsi="Courier New"/>
                <w:sz w:val="18"/>
                <w:szCs w:val="18"/>
                <w:color w:val="auto"/>
              </w:rPr>
              <w:t>19,094</w:t>
            </w: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19,094</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Jane Atkinson(3)</w:t>
            </w:r>
          </w:p>
        </w:tc>
        <w:tc>
          <w:tcPr>
            <w:tcW w:w="3020" w:type="dxa"/>
            <w:vAlign w:val="bottom"/>
          </w:tcPr>
          <w:p>
            <w:pPr>
              <w:jc w:val="right"/>
              <w:ind w:right="1552"/>
              <w:spacing w:after="0" w:line="203" w:lineRule="exact"/>
              <w:rPr>
                <w:sz w:val="20"/>
                <w:szCs w:val="20"/>
                <w:color w:val="auto"/>
              </w:rPr>
            </w:pPr>
            <w:r>
              <w:rPr>
                <w:rFonts w:ascii="Courier New" w:cs="Courier New" w:eastAsia="Courier New" w:hAnsi="Courier New"/>
                <w:sz w:val="18"/>
                <w:szCs w:val="18"/>
                <w:color w:val="auto"/>
              </w:rPr>
              <w:t>13,953</w:t>
            </w: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13,953</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Kate Elizabeth Baldwin(4)</w:t>
            </w:r>
          </w:p>
        </w:tc>
        <w:tc>
          <w:tcPr>
            <w:tcW w:w="3020" w:type="dxa"/>
            <w:vAlign w:val="bottom"/>
          </w:tcPr>
          <w:p>
            <w:pPr>
              <w:jc w:val="right"/>
              <w:ind w:right="1552"/>
              <w:spacing w:after="0" w:line="203" w:lineRule="exact"/>
              <w:rPr>
                <w:sz w:val="20"/>
                <w:szCs w:val="20"/>
                <w:color w:val="auto"/>
              </w:rPr>
            </w:pPr>
            <w:r>
              <w:rPr>
                <w:rFonts w:ascii="Courier New" w:cs="Courier New" w:eastAsia="Courier New" w:hAnsi="Courier New"/>
                <w:sz w:val="18"/>
                <w:szCs w:val="18"/>
                <w:color w:val="auto"/>
              </w:rPr>
              <w:t>13,953</w:t>
            </w: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13,953</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Svein Olav Davidsen(5)</w:t>
            </w:r>
          </w:p>
        </w:tc>
        <w:tc>
          <w:tcPr>
            <w:tcW w:w="3020" w:type="dxa"/>
            <w:vAlign w:val="bottom"/>
          </w:tcPr>
          <w:p>
            <w:pPr>
              <w:jc w:val="right"/>
              <w:ind w:right="1552"/>
              <w:spacing w:after="0" w:line="203" w:lineRule="exact"/>
              <w:rPr>
                <w:sz w:val="20"/>
                <w:szCs w:val="20"/>
                <w:color w:val="auto"/>
              </w:rPr>
            </w:pPr>
            <w:r>
              <w:rPr>
                <w:rFonts w:ascii="Courier New" w:cs="Courier New" w:eastAsia="Courier New" w:hAnsi="Courier New"/>
                <w:sz w:val="18"/>
                <w:szCs w:val="18"/>
                <w:color w:val="auto"/>
              </w:rPr>
              <w:t>3,672</w:t>
            </w: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3,672</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Timothy Doyen(6)</w:t>
            </w:r>
          </w:p>
        </w:tc>
        <w:tc>
          <w:tcPr>
            <w:tcW w:w="3020" w:type="dxa"/>
            <w:vAlign w:val="bottom"/>
          </w:tcPr>
          <w:p>
            <w:pPr>
              <w:jc w:val="right"/>
              <w:ind w:right="1552"/>
              <w:spacing w:after="0" w:line="203" w:lineRule="exact"/>
              <w:rPr>
                <w:sz w:val="20"/>
                <w:szCs w:val="20"/>
                <w:color w:val="auto"/>
              </w:rPr>
            </w:pPr>
            <w:r>
              <w:rPr>
                <w:rFonts w:ascii="Courier New" w:cs="Courier New" w:eastAsia="Courier New" w:hAnsi="Courier New"/>
                <w:sz w:val="18"/>
                <w:szCs w:val="18"/>
                <w:color w:val="auto"/>
              </w:rPr>
              <w:t>4,994</w:t>
            </w: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4,994</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Christopher Schiller(7)</w:t>
            </w:r>
          </w:p>
        </w:tc>
        <w:tc>
          <w:tcPr>
            <w:tcW w:w="3020" w:type="dxa"/>
            <w:vAlign w:val="bottom"/>
          </w:tcPr>
          <w:p>
            <w:pPr>
              <w:jc w:val="right"/>
              <w:ind w:right="1552"/>
              <w:spacing w:after="0" w:line="203" w:lineRule="exact"/>
              <w:rPr>
                <w:sz w:val="20"/>
                <w:szCs w:val="20"/>
                <w:color w:val="auto"/>
              </w:rPr>
            </w:pPr>
            <w:r>
              <w:rPr>
                <w:rFonts w:ascii="Courier New" w:cs="Courier New" w:eastAsia="Courier New" w:hAnsi="Courier New"/>
                <w:sz w:val="18"/>
                <w:szCs w:val="18"/>
                <w:color w:val="auto"/>
              </w:rPr>
              <w:t>1,028</w:t>
            </w: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1,028</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Christopher Saint(8)</w:t>
            </w:r>
          </w:p>
        </w:tc>
        <w:tc>
          <w:tcPr>
            <w:tcW w:w="3020" w:type="dxa"/>
            <w:vAlign w:val="bottom"/>
          </w:tcPr>
          <w:p>
            <w:pPr>
              <w:jc w:val="right"/>
              <w:ind w:right="1552"/>
              <w:spacing w:after="0" w:line="203" w:lineRule="exact"/>
              <w:rPr>
                <w:sz w:val="20"/>
                <w:szCs w:val="20"/>
                <w:color w:val="auto"/>
              </w:rPr>
            </w:pPr>
            <w:r>
              <w:rPr>
                <w:rFonts w:ascii="Courier New" w:cs="Courier New" w:eastAsia="Courier New" w:hAnsi="Courier New"/>
                <w:sz w:val="18"/>
                <w:szCs w:val="18"/>
                <w:color w:val="auto"/>
              </w:rPr>
              <w:t>808</w:t>
            </w: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808</w:t>
            </w:r>
          </w:p>
        </w:tc>
      </w:tr>
    </w:tbl>
    <w:p>
      <w:pPr>
        <w:spacing w:after="0" w:line="200" w:lineRule="exact"/>
        <w:rPr>
          <w:sz w:val="20"/>
          <w:szCs w:val="20"/>
          <w:color w:val="auto"/>
        </w:rPr>
      </w:pPr>
    </w:p>
    <w:p>
      <w:pPr>
        <w:spacing w:after="0" w:line="20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960" w:right="1999" w:hanging="531"/>
        <w:spacing w:after="0" w:line="268" w:lineRule="auto"/>
        <w:tabs>
          <w:tab w:leader="none" w:pos="9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Atkinson served as a managing director of Mosaic and is currently an employee of Mosaic, a wholly-owned subsidiary of the Company.</w:t>
      </w:r>
    </w:p>
    <w:p>
      <w:pPr>
        <w:jc w:val="both"/>
        <w:ind w:left="960" w:right="1879" w:hanging="531"/>
        <w:spacing w:after="0" w:line="268" w:lineRule="auto"/>
        <w:tabs>
          <w:tab w:leader="none" w:pos="9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Strange served as a managing director of Mosaic and is currently a managing director of Mosaic, a wholly-owned subsidiary of the Company.</w:t>
      </w:r>
    </w:p>
    <w:p>
      <w:pPr>
        <w:ind w:left="960" w:right="2519" w:hanging="531"/>
        <w:spacing w:after="0" w:line="268" w:lineRule="auto"/>
        <w:tabs>
          <w:tab w:leader="none" w:pos="9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Ms. Atkinson served as an employee of Mosaic and is currently an employee of Mosaic, a wholly-owned subsidiary of the Company.</w:t>
      </w:r>
    </w:p>
    <w:p>
      <w:pPr>
        <w:ind w:left="960" w:hanging="531"/>
        <w:spacing w:after="0" w:line="238" w:lineRule="auto"/>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Ms. Baldwin served as Mosaic Company Secretary.</w:t>
      </w:r>
    </w:p>
    <w:p>
      <w:pPr>
        <w:ind w:left="960" w:hanging="531"/>
        <w:spacing w:after="0" w:line="238" w:lineRule="auto"/>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Davidsen served as a managing director of Mosaic.</w:t>
      </w:r>
    </w:p>
    <w:p>
      <w:pPr>
        <w:spacing w:after="0" w:line="4" w:lineRule="exact"/>
        <w:rPr>
          <w:rFonts w:ascii="Courier New" w:cs="Courier New" w:eastAsia="Courier New" w:hAnsi="Courier New"/>
          <w:sz w:val="18"/>
          <w:szCs w:val="18"/>
          <w:color w:val="auto"/>
        </w:rPr>
      </w:pPr>
    </w:p>
    <w:p>
      <w:pPr>
        <w:ind w:left="960" w:right="2199" w:hanging="531"/>
        <w:spacing w:after="0" w:line="236" w:lineRule="auto"/>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Doyen served as an officer and director of Mosaic Microsystems, Inc. ("Mosaic, Inc."), a indirectly wholly-owned subsidiary of the Company.</w:t>
      </w:r>
    </w:p>
    <w:p>
      <w:pPr>
        <w:spacing w:after="0" w:line="6" w:lineRule="exact"/>
        <w:rPr>
          <w:rFonts w:ascii="Courier New" w:cs="Courier New" w:eastAsia="Courier New" w:hAnsi="Courier New"/>
          <w:sz w:val="18"/>
          <w:szCs w:val="18"/>
          <w:color w:val="auto"/>
        </w:rPr>
      </w:pPr>
    </w:p>
    <w:p>
      <w:pPr>
        <w:ind w:left="960" w:right="1879" w:hanging="531"/>
        <w:spacing w:after="0" w:line="236" w:lineRule="auto"/>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Schiller served as an employee of Mosaic, Inc. and is currently an employee of Mosaic, Inc., a indirectly wholly-owned subsidiary of the Company.</w:t>
      </w:r>
    </w:p>
    <w:p>
      <w:pPr>
        <w:spacing w:after="0" w:line="6" w:lineRule="exact"/>
        <w:rPr>
          <w:rFonts w:ascii="Courier New" w:cs="Courier New" w:eastAsia="Courier New" w:hAnsi="Courier New"/>
          <w:sz w:val="18"/>
          <w:szCs w:val="18"/>
          <w:color w:val="auto"/>
        </w:rPr>
      </w:pPr>
    </w:p>
    <w:p>
      <w:pPr>
        <w:ind w:left="960" w:right="1999" w:hanging="531"/>
        <w:spacing w:after="0" w:line="236" w:lineRule="auto"/>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Saint served as an employee of Mosaic, Inc. and is currently an employee of Mosaic, Inc., a indirectly wholly-owned subsidiary of the Company.</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Company cannot determine the number of shares of Common Stock which will be held by the Selling Stockholders upon the completion of the offering, as the length of time of the offering period and the determination of whether to buy or sell additional securities of the Company during the offering period are at the discretion of the Selling Stockholders.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312" w:right="1440" w:bottom="1440" w:gutter="0" w:footer="0" w:header="0"/>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9</w:t>
      </w:r>
    </w:p>
    <w:p>
      <w:pPr>
        <w:ind w:left="3160"/>
        <w:spacing w:after="0" w:line="238" w:lineRule="auto"/>
        <w:rPr>
          <w:sz w:val="20"/>
          <w:szCs w:val="20"/>
          <w:color w:val="auto"/>
        </w:rPr>
      </w:pPr>
      <w:r>
        <w:rPr>
          <w:rFonts w:ascii="Courier New" w:cs="Courier New" w:eastAsia="Courier New" w:hAnsi="Courier New"/>
          <w:sz w:val="18"/>
          <w:szCs w:val="18"/>
          <w:color w:val="auto"/>
        </w:rPr>
        <w:t>PLAN OF DISTRIBUTION</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Shares of Common Stock covered hereby may be offered and sold from time to time by the Selling Stockholders. The Selling Stockholders will act independently of the Company in making decisions with respect to the timing, manner and size of each sale. Such sales may be made on one or more exchanges or in the over-the-counter market or otherwise, at prices related to the then current market price or in negotiated transactions, including pursuant to an underwritten offering or one or more of the following methods: (a) purchases by a broker-dealer as principal and resale by such broker-dealer for its account pursuant to this Prospectus; (b) ordinary brokerage transactions and transactions in which a broker solicits purchasers; and (c) block trades in which a broker-dealer so engaged will attempt to sell the shares as agent but may position and resell a portion of the block as principal to facilitate the transaction. The Company has been advised by the Selling Stockholders that they have not made any arrangements relating to the distribution of the shares covered by this Prospectus. In effecting sales, broker-dealers engaged by the Selling Stockholders may arrange for other broker-dealers to participate. Broker-dealers will receive commissions or discounts from the Selling Stockholders in amounts to be negotiated immediately prior to the sale. The Registration Rights annexed to the Share Purchase Agreement between the Company and the Selling Stockholders dated July 1, 1996 provide that the Company will indemnify the Selling Stockholders against certain liabilities, including liabilities under the Securities Act.</w:t>
      </w:r>
    </w:p>
    <w:p>
      <w:pPr>
        <w:spacing w:after="0" w:line="211"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In offering the shares of Common Stock covered hereby, the Selling Stockholders and any broker-dealers and any other participating broker-dealers who execute sales for the Selling Stockholders may be deemed to be "underwriters" within the meaning of the Securities Act in connection with such sales, and any profits realized by the Selling Stockholders and the compensation of such broker-dealer may be deemed to be underwriting discounts and commissions. In addition, any shares covered by this Prospectus which qualify for sale pursuant to Rule 144 may be sold under Rule 144 rather than pursuant to this Prospectus. None of the shares covered by this Prospectus presently qualify for sale pursuant to Rule 144.</w:t>
      </w:r>
    </w:p>
    <w:p>
      <w:pPr>
        <w:spacing w:after="0" w:line="215"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The Company has advised the Selling Stockholders that during such time as they may be engaged in a distribution of the shares of Common Stock covered hereby they are required to comply with Rules 10b-6 and 10b-7 under the Exchange Act (as those Rules are described in more detail below) and, in connection therewith, that they may not engage in any stabilization activity in connection with the Company's securities, are required to furnish to each broker-dealer through which the shares of Common Stock covered hereby may be offered copies of this Prospectus, and may not bid for or purchase any securities of the Company or attempt to induce any person to purchase any Company securities except as permitted under the Exchange Act. The Selling Stockholders have agreed to inform the Company when the distribution of the shares of Common Stock covered hereby is completed.</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312" w:right="1440" w:bottom="1440" w:gutter="0" w:footer="0" w:header="0"/>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10</w:t>
      </w:r>
    </w:p>
    <w:p>
      <w:pPr>
        <w:spacing w:after="0" w:line="4"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Rule 10b-6 under the Exchange Act prohibits, with certain exceptions, participants in a distribution from bidding for or purchasing, for an account in which the participant has a beneficial interest, any of the securities that are the subject of the distribution. Rule 10b-7 governs bids and purchases made in order to stabilize the price of a security in connection with a distribution of the security.</w:t>
      </w:r>
    </w:p>
    <w:p>
      <w:pPr>
        <w:spacing w:after="0" w:line="210"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This offering will terminate on the earlier of (i) 24 months after the effective date of this Prospectus or (ii) the date on which the shares of Common Stock covered hereby have been sold by the Selling Stockholders.</w:t>
      </w:r>
    </w:p>
    <w:p>
      <w:pPr>
        <w:spacing w:after="0" w:line="203"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DESCRIPTION OF CAPITAL STOCK</w:t>
      </w:r>
    </w:p>
    <w:p>
      <w:pPr>
        <w:spacing w:after="0" w:line="207" w:lineRule="exact"/>
        <w:rPr>
          <w:sz w:val="20"/>
          <w:szCs w:val="20"/>
          <w:color w:val="auto"/>
        </w:rPr>
      </w:pPr>
    </w:p>
    <w:p>
      <w:pPr>
        <w:ind w:right="2199" w:firstLine="948"/>
        <w:spacing w:after="0" w:line="279" w:lineRule="auto"/>
        <w:rPr>
          <w:sz w:val="20"/>
          <w:szCs w:val="20"/>
          <w:color w:val="auto"/>
        </w:rPr>
      </w:pPr>
      <w:r>
        <w:rPr>
          <w:rFonts w:ascii="Courier New" w:cs="Courier New" w:eastAsia="Courier New" w:hAnsi="Courier New"/>
          <w:sz w:val="16"/>
          <w:szCs w:val="16"/>
          <w:color w:val="auto"/>
        </w:rPr>
        <w:t>The authorized capital stock of the Company consists of 450,000,000 shares of Common Stock, $.16 2/3 par value per share, and 500,000 shares of preferred stock, $1.00 par value per share (the "Preferred Stock").</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7"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As of July 15, 1996, there were 116,257,830 shares of Common Stock outstanding and held of record by approximately 5,499 stockholders.</w:t>
      </w:r>
    </w:p>
    <w:p>
      <w:pPr>
        <w:spacing w:after="0" w:line="208"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Holders of Common Stock are entitled to one vote for each share held on all matters submitted to a vote of stockholders, and do not have cumulative voting rights. Accordingly, holders of a majority of the shares of Common Stock entitled to vote in any election of directors may elect all of the directors standing for election. Holders of Common Stock are entitled to receive ratably such dividends, if any, as may be declared by the Board of Directors out of funds legally available therefor, subject to any preferential dividend rights of outstanding Preferred Stock. Upon the liquidation, dissolution or winding up of the Company, the holders of Common Stock are entitled to receive ratably the net assets of the Company available after the payment of all debts and other liabilities and subject to the prior rights of any outstanding Preferred Stock. Holders of the Common Stock have no preemptive, subscription, redemption or conversion rights. The outstanding shares of Common Stock are fully paid and nonassessable. The rights, preferences and privileges of holders of Common Stock are subject to, and may be adversely affected by, the rights of the holders of shares of any series of Preferred Stock which the Company may designate and issue in the future. There are no shares of Preferred Stock outstanding.</w:t>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PREFERRED STOCK</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Board of Directors of the Company is authorized, subject to certain limitations prescribed by law, without further stockholder approval to issue from time to time up to an aggregate of 500,000 shares of Preferred Stock in one or more series and to fix or alter the designations, preferences, rights and any qualifications, limitations or restrictions of the shares of each such series thereof, including the dividend rights, dividend rates,</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312" w:right="1440" w:bottom="1440" w:gutter="0" w:footer="0" w:header="0"/>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11</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conversion rights, voting rights, terms of redemption (including sinking fund provisions), redemption price or prices, liquidation preferences and the number of shares constituting any series or designation of such series. The issuance of Preferred Stock may have the effect of delaying, deferring or preventing a change of control of the Company. The Company has no present plans to issue any shares of Preferred Stock.</w:t>
      </w:r>
    </w:p>
    <w:p>
      <w:pPr>
        <w:spacing w:after="0" w:line="210"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MASSACHUSETTS LAW AND CERTAIN PROVISIONS OF THE COMPANY'S RESTATED ARTICLES OF ORGANIZATION AND BY-LAWS</w:t>
      </w:r>
    </w:p>
    <w:p>
      <w:pPr>
        <w:spacing w:after="0" w:line="208"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Because the Company has more than 200 stockholders of record, it is subject to Chapter 110F of the Massachusetts General Laws, an anti-takeover law. In general, this statute prohibits a publicly held Massachusetts corporation from engaging in a "business combination" with an "interested stockholder" for a period of three years after the date of the transaction in which the person becomes an interested stockholder, unless (i) the interested stockholder obtains the approval of the Board of Directors prior to becoming an interested stockholder, (ii) the interested stockholder acquires 90% of the outstanding voting stock of the corporation (excluding shares held by certain affiliates of the corporation) at the time it becomes an interested stockholder, or (iii) the business combination is approved by both the Board of Directors and the holders of two-thirds of the outstanding voting stock of the corporation (excluding shares held by the interested stockholder). An "interested stockholder" is a person who, together with affiliates and associates, owns (or at any time within the prior three years did own) 5% or more of the outstanding voting stock of the corporation. A "business combination" includes a merger, a stock or asset sale, and certain other transactions resulting in a financial benefit to the interested stockholders.</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Massachusetts General Laws Chapter 156B, Section 50A generally requires that publicly-held Massachusetts corporation have a classified board of directors consisting of three classes as nearly equal in size as possible, unless the corporation elects to opt out of the statute's coverage. The Company's By-Laws contain provisions which give effect to Section 50A.</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Company's By-Laws include a provision excluding the Company from the applicability of Massachusetts General Laws Chapter 110D, entitled "Regulation of Control Share Acquisitions." In general, this statute provides that any stockholder of a corporation subject to this statute who acquires 20% or more of the outstanding voting stock of a corporation may not vote such stock unless the stockholders of the corporation so authorize. The Board of Directors may amend the Company's By-Laws at any time to subject the Company to this statute prospectively.</w:t>
      </w:r>
    </w:p>
    <w:p>
      <w:pPr>
        <w:spacing w:after="0" w:line="212"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Restated Articles of Organization of the Company, as amended (the "Articles of Organization") provide that the directors and officers of the Company shall be indemnified by the Company to the fullest extent authorized by Massachusetts law, as it now exists or may in the future be amended, against all liabilities and expenses incurred in connection with service for</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312" w:right="1440" w:bottom="1440" w:gutter="0" w:footer="0" w:header="0"/>
        </w:sectPr>
      </w:pPr>
    </w:p>
    <w:bookmarkStart w:id="11" w:name="page12"/>
    <w:bookmarkEnd w:id="11"/>
    <w:p>
      <w:pPr>
        <w:ind w:left="320"/>
        <w:spacing w:after="0"/>
        <w:rPr>
          <w:sz w:val="20"/>
          <w:szCs w:val="20"/>
          <w:color w:val="auto"/>
        </w:rPr>
      </w:pPr>
      <w:r>
        <w:rPr>
          <w:rFonts w:ascii="Courier New" w:cs="Courier New" w:eastAsia="Courier New" w:hAnsi="Courier New"/>
          <w:sz w:val="18"/>
          <w:szCs w:val="18"/>
          <w:color w:val="auto"/>
        </w:rPr>
        <w:t>12</w:t>
      </w:r>
    </w:p>
    <w:p>
      <w:pPr>
        <w:spacing w:after="0" w:line="4" w:lineRule="exact"/>
        <w:rPr>
          <w:sz w:val="20"/>
          <w:szCs w:val="20"/>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or on behalf of the Company. In addition, the Articles of Organization provide that the directors of the Company will not be personally liable for monetary damages to the Company for breaches of their fiduciary duty as directors.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STOCKHOLDER RIGHTS PLAN</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Company adopted a Stockholder Rights Plan on January 28, 1988, which was amended on June 14, 1989 (the "Rights Plan"). Pursuant to the Rights Plan, each share of Common Stock has an associated right (a "Right"). Each Right entitles the registered holder to purchase from the Company one share of Common Stock at a purchase price of $26.67 (as adjusted to account for the 50% Common Stock dividend distributed by the Company on January 3, 1996) per share, subject to adjustment (the "Purchase Price").</w:t>
      </w:r>
    </w:p>
    <w:p>
      <w:pPr>
        <w:spacing w:after="0" w:line="211"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Rights will be exercisable upon the earlier of (i) ten business days following a public announcement that a person or group has acquired, or obtained the right to acquire, beneficial ownership of 20% or more of the outstanding Common Stock of the Company (an "Acquiring Person"), or (ii) ten business days following the commencement of a tender offer or exchange offer, the consummation of which would result in a person or group owning 30% or more of the outstanding Common Stock (the earlier of such dates being called the "Distribution Date"). Until a Right is exercised, the holder thereof has no rights as a stockholder of the Company. Until the Distribution Date (or earlier redemption or expiration of the Rights), Rights are transferred with and only with the Common Stock.</w:t>
      </w:r>
    </w:p>
    <w:p>
      <w:pPr>
        <w:spacing w:after="0" w:line="216"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In certain circumstances specified in the Rights Plan, including certain circumstances occurring after any person or group becomes an Acquiring Person, each holder of a Right, other than Rights beneficially owned by the Acquiring Person, will thereafter have the right to receive upon exercise that number of shares of Common Stock having a market value of two times the Purchase Price, and in the event that the Company is acquired in a business combination transaction or 50% or more of its assets are sold, each holder of a Right will thereafter have the right to receive upon exercise that number of shares of Common Stock of the acquiring company which at the time of the transaction will have a market value of two times the Purchase Price.</w:t>
      </w:r>
    </w:p>
    <w:p>
      <w:pPr>
        <w:spacing w:after="0" w:line="215"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Rights have certain anti-takeover effects, in that they would cause substantial dilution to a person or group that attempts to acquire a significant interest in the Company on terms not approved by the Board of Directors. The Board of Directors of the Company may in certain circumstances redeem the Rights in whole at a price of $.0089 per Right, as adjusted.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TRANSFER AGENT AND REGISTRAR</w:t>
      </w:r>
    </w:p>
    <w:p>
      <w:pPr>
        <w:spacing w:after="0" w:line="207"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The transfer agent and registrar for the Company's Common Stock is Boston EquiServe L.P.</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312" w:right="1440" w:bottom="1440" w:gutter="0" w:footer="0" w:header="0"/>
        </w:sectPr>
      </w:pPr>
    </w:p>
    <w:bookmarkStart w:id="12" w:name="page13"/>
    <w:bookmarkEnd w:id="12"/>
    <w:p>
      <w:pPr>
        <w:ind w:left="320"/>
        <w:spacing w:after="0"/>
        <w:rPr>
          <w:sz w:val="20"/>
          <w:szCs w:val="20"/>
          <w:color w:val="auto"/>
        </w:rPr>
      </w:pPr>
      <w:r>
        <w:rPr>
          <w:rFonts w:ascii="Courier New" w:cs="Courier New" w:eastAsia="Courier New" w:hAnsi="Courier New"/>
          <w:sz w:val="18"/>
          <w:szCs w:val="18"/>
          <w:color w:val="auto"/>
        </w:rPr>
        <w:t>13</w:t>
      </w:r>
    </w:p>
    <w:p>
      <w:pPr>
        <w:ind w:left="3580"/>
        <w:spacing w:after="0" w:line="238" w:lineRule="auto"/>
        <w:rPr>
          <w:sz w:val="20"/>
          <w:szCs w:val="20"/>
          <w:color w:val="auto"/>
        </w:rPr>
      </w:pPr>
      <w:r>
        <w:rPr>
          <w:rFonts w:ascii="Courier New" w:cs="Courier New" w:eastAsia="Courier New" w:hAnsi="Courier New"/>
          <w:sz w:val="18"/>
          <w:szCs w:val="18"/>
          <w:color w:val="auto"/>
        </w:rPr>
        <w:t>LEGAL MATTERS</w:t>
      </w:r>
    </w:p>
    <w:p>
      <w:pPr>
        <w:spacing w:after="0" w:line="207"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The validity of the shares offered hereby will be passed upon for the Company by Hale and Dorr, Boston, Massachusetts.</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consolidated financial statements of Analog Devices, Inc. appearing in Analog Devices, Inc.'s Annual Report (Form 10-K) for the year ended October 28, 1995 have been audited by Ernst &amp; Young LLP, independent auditors, as set forth in their report thereon included therein and incorporated herein by reference. Such financial statements are incorporated herein by reference in reliance upon such report given upon the authority of such firm as experts in accounting and auditing.</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312" w:right="1440" w:bottom="1440" w:gutter="0" w:footer="0" w:header="0"/>
        </w:sectPr>
      </w:pPr>
    </w:p>
    <w:bookmarkStart w:id="13" w:name="page14"/>
    <w:bookmarkEnd w:id="13"/>
    <w:p>
      <w:pPr>
        <w:ind w:left="320"/>
        <w:spacing w:after="0"/>
        <w:rPr>
          <w:sz w:val="20"/>
          <w:szCs w:val="20"/>
          <w:color w:val="auto"/>
        </w:rPr>
      </w:pPr>
      <w:r>
        <w:rPr>
          <w:rFonts w:ascii="Courier New" w:cs="Courier New" w:eastAsia="Courier New" w:hAnsi="Courier New"/>
          <w:sz w:val="18"/>
          <w:szCs w:val="18"/>
          <w:color w:val="auto"/>
        </w:rPr>
        <w:t>14</w:t>
      </w:r>
    </w:p>
    <w:p>
      <w:pPr>
        <w:spacing w:after="0" w:line="238" w:lineRule="auto"/>
        <w:rPr>
          <w:sz w:val="20"/>
          <w:szCs w:val="20"/>
          <w:color w:val="auto"/>
        </w:rPr>
      </w:pPr>
      <w:r>
        <w:rPr>
          <w:rFonts w:ascii="Courier New" w:cs="Courier New" w:eastAsia="Courier New" w:hAnsi="Courier New"/>
          <w:sz w:val="18"/>
          <w:szCs w:val="18"/>
          <w:color w:val="auto"/>
        </w:rPr>
        <w:t>No dealer, salesman or any other person has been authorized to give any</w:t>
      </w:r>
    </w:p>
    <w:tbl>
      <w:tblPr>
        <w:tblLayout w:type="fixed"/>
        <w:tblInd w:w="0" w:type="dxa"/>
        <w:tblCellMar>
          <w:top w:w="0" w:type="dxa"/>
          <w:left w:w="0" w:type="dxa"/>
          <w:bottom w:w="0" w:type="dxa"/>
          <w:right w:w="0" w:type="dxa"/>
        </w:tblCellMar>
      </w:tblPr>
      <w:tr>
        <w:trPr>
          <w:trHeight w:val="203"/>
        </w:trPr>
        <w:tc>
          <w:tcPr>
            <w:tcW w:w="4700" w:type="dxa"/>
            <w:vAlign w:val="bottom"/>
            <w:gridSpan w:val="3"/>
          </w:tcPr>
          <w:p>
            <w:pPr>
              <w:spacing w:after="0"/>
              <w:rPr>
                <w:sz w:val="20"/>
                <w:szCs w:val="20"/>
                <w:color w:val="auto"/>
              </w:rPr>
            </w:pPr>
            <w:r>
              <w:rPr>
                <w:rFonts w:ascii="Courier New" w:cs="Courier New" w:eastAsia="Courier New" w:hAnsi="Courier New"/>
                <w:sz w:val="18"/>
                <w:szCs w:val="18"/>
                <w:color w:val="auto"/>
                <w:w w:val="98"/>
              </w:rPr>
              <w:t>information or to make any representation in</w:t>
            </w:r>
          </w:p>
        </w:tc>
        <w:tc>
          <w:tcPr>
            <w:tcW w:w="16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connection with</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this</w:t>
            </w:r>
          </w:p>
        </w:tc>
        <w:tc>
          <w:tcPr>
            <w:tcW w:w="1540" w:type="dxa"/>
            <w:vAlign w:val="bottom"/>
          </w:tcPr>
          <w:p>
            <w:pPr>
              <w:ind w:left="60"/>
              <w:spacing w:after="0"/>
              <w:rPr>
                <w:sz w:val="20"/>
                <w:szCs w:val="20"/>
                <w:color w:val="auto"/>
              </w:rPr>
            </w:pPr>
            <w:r>
              <w:rPr>
                <w:rFonts w:ascii="Courier New" w:cs="Courier New" w:eastAsia="Courier New" w:hAnsi="Courier New"/>
                <w:sz w:val="18"/>
                <w:szCs w:val="18"/>
                <w:color w:val="auto"/>
                <w:w w:val="96"/>
              </w:rPr>
              <w:t>offering other</w:t>
            </w: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than those contained</w:t>
            </w:r>
          </w:p>
        </w:tc>
        <w:tc>
          <w:tcPr>
            <w:tcW w:w="2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in this Prospectus, and</w:t>
            </w:r>
          </w:p>
        </w:tc>
        <w:tc>
          <w:tcPr>
            <w:tcW w:w="16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any information</w:t>
            </w: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or representation</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not contained</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herein</w:t>
            </w:r>
          </w:p>
        </w:tc>
        <w:tc>
          <w:tcPr>
            <w:tcW w:w="2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must not be relied upon</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as</w:t>
            </w:r>
          </w:p>
        </w:tc>
        <w:tc>
          <w:tcPr>
            <w:tcW w:w="34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having been authorized by the</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Company. This</w:t>
            </w:r>
          </w:p>
        </w:tc>
        <w:tc>
          <w:tcPr>
            <w:tcW w:w="3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Prospectus does not constitute</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w:t>
            </w:r>
          </w:p>
        </w:tc>
        <w:tc>
          <w:tcPr>
            <w:tcW w:w="1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offer to sell, or</w:t>
            </w: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a solicitation</w:t>
            </w:r>
          </w:p>
        </w:tc>
      </w:tr>
    </w:tbl>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of an offer to buy, any securities other than the registered securities to which it relates or an offer to, or solicitation of, any person in any jurisdiction where such an offer or solicitation would be unlawful. Neither the delivery of this Prospectus nor any sale made hereunder shall, under any circumstance, create any implication that there has been no change in the affairs of the Company since the date hereof or that the information contained herein is correct as of any date subsequent to the date hereof.</w:t>
      </w:r>
    </w:p>
    <w:p>
      <w:pPr>
        <w:spacing w:after="0" w:line="205"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48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405"/>
        </w:trPr>
        <w:tc>
          <w:tcPr>
            <w:tcW w:w="2960" w:type="dxa"/>
            <w:vAlign w:val="bottom"/>
          </w:tcPr>
          <w:p>
            <w:pPr>
              <w:spacing w:after="0"/>
              <w:rPr>
                <w:sz w:val="24"/>
                <w:szCs w:val="24"/>
                <w:color w:val="auto"/>
              </w:rPr>
            </w:pPr>
          </w:p>
        </w:tc>
        <w:tc>
          <w:tcPr>
            <w:tcW w:w="1900" w:type="dxa"/>
            <w:vAlign w:val="bottom"/>
          </w:tcPr>
          <w:p>
            <w:pPr>
              <w:jc w:val="right"/>
              <w:ind w:right="38"/>
              <w:spacing w:after="0"/>
              <w:rPr>
                <w:sz w:val="20"/>
                <w:szCs w:val="20"/>
                <w:color w:val="auto"/>
              </w:rPr>
            </w:pPr>
            <w:r>
              <w:rPr>
                <w:rFonts w:ascii="Courier New" w:cs="Courier New" w:eastAsia="Courier New" w:hAnsi="Courier New"/>
                <w:sz w:val="18"/>
                <w:szCs w:val="18"/>
                <w:color w:val="auto"/>
                <w:w w:val="95"/>
              </w:rPr>
              <w:t>TABLE OF CONTENTS</w:t>
            </w:r>
          </w:p>
        </w:tc>
      </w:tr>
      <w:tr>
        <w:trPr>
          <w:trHeight w:val="405"/>
        </w:trPr>
        <w:tc>
          <w:tcPr>
            <w:tcW w:w="48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405"/>
        </w:trPr>
        <w:tc>
          <w:tcPr>
            <w:tcW w:w="2960" w:type="dxa"/>
            <w:vAlign w:val="bottom"/>
          </w:tcPr>
          <w:p>
            <w:pPr>
              <w:spacing w:after="0"/>
              <w:rPr>
                <w:sz w:val="24"/>
                <w:szCs w:val="24"/>
                <w:color w:val="auto"/>
              </w:rPr>
            </w:pPr>
          </w:p>
        </w:tc>
        <w:tc>
          <w:tcPr>
            <w:tcW w:w="1900" w:type="dxa"/>
            <w:vAlign w:val="bottom"/>
          </w:tcPr>
          <w:p>
            <w:pPr>
              <w:jc w:val="right"/>
              <w:ind w:right="558"/>
              <w:spacing w:after="0"/>
              <w:rPr>
                <w:sz w:val="20"/>
                <w:szCs w:val="20"/>
                <w:color w:val="auto"/>
              </w:rPr>
            </w:pPr>
            <w:r>
              <w:rPr>
                <w:rFonts w:ascii="Courier New" w:cs="Courier New" w:eastAsia="Courier New" w:hAnsi="Courier New"/>
                <w:sz w:val="18"/>
                <w:szCs w:val="18"/>
                <w:color w:val="auto"/>
              </w:rPr>
              <w:t>Page</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w w:val="82"/>
              </w:rPr>
              <w:t>Available Information............</w:t>
            </w:r>
          </w:p>
        </w:tc>
        <w:tc>
          <w:tcPr>
            <w:tcW w:w="1900" w:type="dxa"/>
            <w:vAlign w:val="bottom"/>
          </w:tcPr>
          <w:p>
            <w:pPr>
              <w:jc w:val="right"/>
              <w:ind w:right="558"/>
              <w:spacing w:after="0"/>
              <w:rPr>
                <w:sz w:val="20"/>
                <w:szCs w:val="20"/>
                <w:color w:val="auto"/>
              </w:rPr>
            </w:pPr>
            <w:r>
              <w:rPr>
                <w:rFonts w:ascii="Courier New" w:cs="Courier New" w:eastAsia="Courier New" w:hAnsi="Courier New"/>
                <w:sz w:val="18"/>
                <w:szCs w:val="18"/>
                <w:color w:val="auto"/>
              </w:rPr>
              <w:t>2</w:t>
            </w:r>
          </w:p>
        </w:tc>
      </w:tr>
      <w:tr>
        <w:trPr>
          <w:trHeight w:val="203"/>
        </w:trPr>
        <w:tc>
          <w:tcPr>
            <w:tcW w:w="4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Incorporation of Certain Documents by</w:t>
            </w:r>
          </w:p>
        </w:tc>
      </w:tr>
      <w:tr>
        <w:trPr>
          <w:trHeight w:val="405"/>
        </w:trPr>
        <w:tc>
          <w:tcPr>
            <w:tcW w:w="2960" w:type="dxa"/>
            <w:vAlign w:val="bottom"/>
          </w:tcPr>
          <w:p>
            <w:pPr>
              <w:ind w:left="220"/>
              <w:spacing w:after="0"/>
              <w:rPr>
                <w:sz w:val="20"/>
                <w:szCs w:val="20"/>
                <w:color w:val="auto"/>
              </w:rPr>
            </w:pPr>
            <w:r>
              <w:rPr>
                <w:rFonts w:ascii="Courier New" w:cs="Courier New" w:eastAsia="Courier New" w:hAnsi="Courier New"/>
                <w:sz w:val="18"/>
                <w:szCs w:val="18"/>
                <w:color w:val="auto"/>
                <w:w w:val="81"/>
              </w:rPr>
              <w:t>Reference......................</w:t>
            </w:r>
          </w:p>
        </w:tc>
        <w:tc>
          <w:tcPr>
            <w:tcW w:w="1900" w:type="dxa"/>
            <w:vAlign w:val="bottom"/>
          </w:tcPr>
          <w:p>
            <w:pPr>
              <w:jc w:val="right"/>
              <w:ind w:right="558"/>
              <w:spacing w:after="0"/>
              <w:rPr>
                <w:sz w:val="20"/>
                <w:szCs w:val="20"/>
                <w:color w:val="auto"/>
              </w:rPr>
            </w:pPr>
            <w:r>
              <w:rPr>
                <w:rFonts w:ascii="Courier New" w:cs="Courier New" w:eastAsia="Courier New" w:hAnsi="Courier New"/>
                <w:sz w:val="18"/>
                <w:szCs w:val="18"/>
                <w:color w:val="auto"/>
              </w:rPr>
              <w:t>2</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w w:val="82"/>
              </w:rPr>
              <w:t>Risk Factors.....................</w:t>
            </w:r>
          </w:p>
        </w:tc>
        <w:tc>
          <w:tcPr>
            <w:tcW w:w="1900" w:type="dxa"/>
            <w:vAlign w:val="bottom"/>
          </w:tcPr>
          <w:p>
            <w:pPr>
              <w:jc w:val="right"/>
              <w:ind w:right="558"/>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w w:val="82"/>
              </w:rPr>
              <w:t>The Company......................</w:t>
            </w:r>
          </w:p>
        </w:tc>
        <w:tc>
          <w:tcPr>
            <w:tcW w:w="1900" w:type="dxa"/>
            <w:vAlign w:val="bottom"/>
          </w:tcPr>
          <w:p>
            <w:pPr>
              <w:jc w:val="right"/>
              <w:ind w:right="558"/>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w w:val="82"/>
              </w:rPr>
              <w:t>Use of Proceeds..................</w:t>
            </w:r>
          </w:p>
        </w:tc>
        <w:tc>
          <w:tcPr>
            <w:tcW w:w="1900" w:type="dxa"/>
            <w:vAlign w:val="bottom"/>
          </w:tcPr>
          <w:p>
            <w:pPr>
              <w:jc w:val="right"/>
              <w:ind w:right="558"/>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w w:val="82"/>
              </w:rPr>
              <w:t>The Selling Stockholders.........</w:t>
            </w:r>
          </w:p>
        </w:tc>
        <w:tc>
          <w:tcPr>
            <w:tcW w:w="1900" w:type="dxa"/>
            <w:vAlign w:val="bottom"/>
          </w:tcPr>
          <w:p>
            <w:pPr>
              <w:jc w:val="right"/>
              <w:ind w:right="558"/>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w w:val="82"/>
              </w:rPr>
              <w:t>Plan of Distribution.............</w:t>
            </w:r>
          </w:p>
        </w:tc>
        <w:tc>
          <w:tcPr>
            <w:tcW w:w="1900" w:type="dxa"/>
            <w:vAlign w:val="bottom"/>
          </w:tcPr>
          <w:p>
            <w:pPr>
              <w:jc w:val="right"/>
              <w:ind w:right="558"/>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Description of Capital Stock</w:t>
            </w:r>
          </w:p>
        </w:tc>
        <w:tc>
          <w:tcPr>
            <w:tcW w:w="1900" w:type="dxa"/>
            <w:vAlign w:val="bottom"/>
          </w:tcPr>
          <w:p>
            <w:pPr>
              <w:jc w:val="right"/>
              <w:ind w:right="558"/>
              <w:spacing w:after="0" w:line="203" w:lineRule="exact"/>
              <w:rPr>
                <w:sz w:val="20"/>
                <w:szCs w:val="20"/>
                <w:color w:val="auto"/>
              </w:rPr>
            </w:pPr>
            <w:r>
              <w:rPr>
                <w:rFonts w:ascii="Courier New" w:cs="Courier New" w:eastAsia="Courier New" w:hAnsi="Courier New"/>
                <w:sz w:val="18"/>
                <w:szCs w:val="18"/>
                <w:color w:val="auto"/>
                <w:w w:val="92"/>
              </w:rPr>
              <w:t>.....10</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w w:val="82"/>
              </w:rPr>
              <w:t>Legal Matters....................</w:t>
            </w:r>
          </w:p>
        </w:tc>
        <w:tc>
          <w:tcPr>
            <w:tcW w:w="1900" w:type="dxa"/>
            <w:vAlign w:val="bottom"/>
          </w:tcPr>
          <w:p>
            <w:pPr>
              <w:jc w:val="right"/>
              <w:ind w:right="558"/>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w w:val="82"/>
              </w:rPr>
              <w:t>Experts..........................</w:t>
            </w:r>
          </w:p>
        </w:tc>
        <w:tc>
          <w:tcPr>
            <w:tcW w:w="1900" w:type="dxa"/>
            <w:vAlign w:val="bottom"/>
          </w:tcPr>
          <w:p>
            <w:pPr>
              <w:jc w:val="right"/>
              <w:ind w:right="558"/>
              <w:spacing w:after="0" w:line="203" w:lineRule="exact"/>
              <w:rPr>
                <w:sz w:val="20"/>
                <w:szCs w:val="20"/>
                <w:color w:val="auto"/>
              </w:rPr>
            </w:pPr>
            <w:r>
              <w:rPr>
                <w:rFonts w:ascii="Courier New" w:cs="Courier New" w:eastAsia="Courier New" w:hAnsi="Courier New"/>
                <w:sz w:val="18"/>
                <w:szCs w:val="18"/>
                <w:color w:val="auto"/>
              </w:rPr>
              <w:t>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76,596 Shares</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[ANALOG LOGO]</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PROSPECTUS</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August 7, 1996</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-14-</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3"/>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2019-12-20T05:30:01Z</dcterms:created>
  <dcterms:modified xsi:type="dcterms:W3CDTF">2019-12-20T05:30:01Z</dcterms:modified>
</cp:coreProperties>
</file>