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As filed with the Securities and Exchange Commission on January 9, 2020</w:t>
      </w:r>
    </w:p>
    <w:p>
      <w:pPr>
        <w:spacing w:after="0" w:line="50" w:lineRule="exact"/>
        <w:rPr>
          <w:sz w:val="24"/>
          <w:szCs w:val="24"/>
          <w:color w:val="auto"/>
        </w:rPr>
      </w:pPr>
    </w:p>
    <w:p>
      <w:pPr>
        <w:ind w:left="9140"/>
        <w:spacing w:after="0"/>
        <w:rPr>
          <w:sz w:val="20"/>
          <w:szCs w:val="20"/>
          <w:color w:val="auto"/>
        </w:rPr>
      </w:pPr>
      <w:r>
        <w:rPr>
          <w:rFonts w:ascii="Arial" w:cs="Arial" w:eastAsia="Arial" w:hAnsi="Arial"/>
          <w:sz w:val="16"/>
          <w:szCs w:val="16"/>
          <w:b w:val="1"/>
          <w:bCs w:val="1"/>
          <w:color w:val="auto"/>
        </w:rPr>
        <w:t>Registration No. 333-_____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92075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135255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1"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141605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3"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FORM S-3</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159385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0"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ANALOG DEVICES, INC.</w:t>
      </w:r>
    </w:p>
    <w:p>
      <w:pPr>
        <w:spacing w:after="0" w:line="40"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154940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p>
      <w:pPr>
        <w:spacing w:after="0" w:line="200" w:lineRule="exact"/>
        <w:rPr>
          <w:sz w:val="24"/>
          <w:szCs w:val="24"/>
          <w:color w:val="auto"/>
        </w:rPr>
      </w:pPr>
    </w:p>
    <w:p>
      <w:pPr>
        <w:spacing w:after="0" w:line="327" w:lineRule="exact"/>
        <w:rPr>
          <w:sz w:val="24"/>
          <w:szCs w:val="24"/>
          <w:color w:val="auto"/>
        </w:rPr>
      </w:pPr>
    </w:p>
    <w:p>
      <w:pPr>
        <w:ind w:left="2480"/>
        <w:spacing w:after="0"/>
        <w:rPr>
          <w:sz w:val="20"/>
          <w:szCs w:val="20"/>
          <w:color w:val="auto"/>
        </w:rPr>
      </w:pPr>
      <w:r>
        <w:rPr>
          <w:rFonts w:ascii="Arial" w:cs="Arial" w:eastAsia="Arial" w:hAnsi="Arial"/>
          <w:sz w:val="13"/>
          <w:szCs w:val="13"/>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04-2348234</w:t>
      </w:r>
    </w:p>
    <w:p>
      <w:pPr>
        <w:spacing w:after="0" w:line="49" w:lineRule="exact"/>
        <w:rPr>
          <w:sz w:val="24"/>
          <w:szCs w:val="24"/>
          <w:color w:val="auto"/>
        </w:rPr>
      </w:pPr>
    </w:p>
    <w:p>
      <w:pPr>
        <w:sectPr>
          <w:pgSz w:w="11900" w:h="16838" w:orient="portrait"/>
          <w:cols w:equalWidth="0" w:num="2">
            <w:col w:w="7440" w:space="720"/>
            <w:col w:w="3060"/>
          </w:cols>
          <w:pgMar w:left="240" w:top="230" w:right="439" w:bottom="1440" w:gutter="0" w:footer="0" w:header="0"/>
          <w:type w:val="continuous"/>
        </w:sectPr>
      </w:pPr>
    </w:p>
    <w:p>
      <w:pPr>
        <w:ind w:left="106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149225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580" w:space="720"/>
            <w:col w:w="3920"/>
          </w:cols>
          <w:pgMar w:left="240" w:top="230" w:right="439" w:bottom="1440" w:gutter="0" w:footer="0" w:header="0"/>
          <w:type w:val="continuous"/>
        </w:sectPr>
      </w:pPr>
    </w:p>
    <w:p>
      <w:pPr>
        <w:spacing w:after="0" w:line="142"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One Technology Way</w:t>
      </w:r>
    </w:p>
    <w:p>
      <w:pPr>
        <w:spacing w:after="0" w:line="26"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Norwood, Massachusetts 02062-9106</w:t>
      </w:r>
    </w:p>
    <w:p>
      <w:pPr>
        <w:spacing w:after="0" w:line="19"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Telephone: 781-329-4700</w:t>
      </w:r>
    </w:p>
    <w:p>
      <w:pPr>
        <w:spacing w:after="0" w:line="18"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142240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12"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Larry Weiss</w:t>
      </w:r>
    </w:p>
    <w:p>
      <w:pPr>
        <w:spacing w:after="0" w:line="26"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Senior Vice President, General Counsel and Secretary</w:t>
      </w:r>
    </w:p>
    <w:p>
      <w:pPr>
        <w:spacing w:after="0" w:line="19"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One Technology Way</w:t>
      </w:r>
    </w:p>
    <w:p>
      <w:pPr>
        <w:spacing w:after="0" w:line="19"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Norwood, Massachusetts 02062-9106</w:t>
      </w:r>
    </w:p>
    <w:p>
      <w:pPr>
        <w:spacing w:after="0" w:line="19"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Telephone: 781-329-4700</w:t>
      </w:r>
    </w:p>
    <w:p>
      <w:pPr>
        <w:spacing w:after="0" w:line="18"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150495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9"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i w:val="1"/>
          <w:iCs w:val="1"/>
          <w:color w:val="auto"/>
        </w:rPr>
        <w:t>Copy to:</w:t>
      </w:r>
    </w:p>
    <w:p>
      <w:pPr>
        <w:spacing w:after="0" w:line="22"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Mark G. Borden, Esq.</w:t>
      </w:r>
    </w:p>
    <w:p>
      <w:pPr>
        <w:spacing w:after="0" w:line="19"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Jason L. Kropp, Esq.</w:t>
      </w:r>
    </w:p>
    <w:p>
      <w:pPr>
        <w:spacing w:after="0" w:line="19"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Wilmer Cutler Pickering Hale and Dorr LLP</w:t>
      </w:r>
    </w:p>
    <w:p>
      <w:pPr>
        <w:spacing w:after="0" w:line="19"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60 State Street</w:t>
      </w:r>
    </w:p>
    <w:p>
      <w:pPr>
        <w:spacing w:after="0" w:line="19"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Boston, Massachusetts 02109</w:t>
      </w:r>
    </w:p>
    <w:p>
      <w:pPr>
        <w:spacing w:after="0" w:line="19"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617-526-6000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161290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33" w:lineRule="exact"/>
        <w:rPr>
          <w:sz w:val="24"/>
          <w:szCs w:val="24"/>
          <w:color w:val="auto"/>
        </w:rPr>
      </w:pPr>
    </w:p>
    <w:p>
      <w:pPr>
        <w:ind w:left="64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From time to time after the effective date hereof.</w:t>
      </w:r>
    </w:p>
    <w:p>
      <w:pPr>
        <w:spacing w:after="0" w:line="45" w:lineRule="exact"/>
        <w:rPr>
          <w:sz w:val="24"/>
          <w:szCs w:val="24"/>
          <w:color w:val="auto"/>
        </w:rPr>
      </w:pPr>
    </w:p>
    <w:p>
      <w:pPr>
        <w:ind w:left="640"/>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09" w:lineRule="exact"/>
        <w:rPr>
          <w:sz w:val="24"/>
          <w:szCs w:val="24"/>
          <w:color w:val="auto"/>
        </w:rPr>
      </w:pPr>
    </w:p>
    <w:p>
      <w:pPr>
        <w:ind w:left="200" w:right="300" w:firstLine="441"/>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32" w:lineRule="exact"/>
        <w:rPr>
          <w:sz w:val="24"/>
          <w:szCs w:val="24"/>
          <w:color w:val="auto"/>
        </w:rPr>
      </w:pPr>
    </w:p>
    <w:p>
      <w:pPr>
        <w:ind w:left="200" w:right="580" w:firstLine="441"/>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left="200" w:right="120" w:firstLine="44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6" w:lineRule="exact"/>
        <w:rPr>
          <w:sz w:val="24"/>
          <w:szCs w:val="24"/>
          <w:color w:val="auto"/>
        </w:rPr>
      </w:pPr>
    </w:p>
    <w:p>
      <w:pPr>
        <w:ind w:left="200" w:right="20" w:firstLine="441"/>
        <w:spacing w:after="0" w:line="180"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32" w:lineRule="exact"/>
        <w:rPr>
          <w:sz w:val="24"/>
          <w:szCs w:val="24"/>
          <w:color w:val="auto"/>
        </w:rPr>
      </w:pPr>
    </w:p>
    <w:p>
      <w:pPr>
        <w:ind w:left="200" w:right="160" w:firstLine="441"/>
        <w:spacing w:after="0" w:line="180"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32" w:lineRule="exact"/>
        <w:rPr>
          <w:sz w:val="24"/>
          <w:szCs w:val="24"/>
          <w:color w:val="auto"/>
        </w:rPr>
      </w:pPr>
    </w:p>
    <w:p>
      <w:pPr>
        <w:ind w:left="200" w:right="80" w:firstLine="441"/>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200" w:type="dxa"/>
        <w:tblCellMar>
          <w:top w:w="0" w:type="dxa"/>
          <w:left w:w="0" w:type="dxa"/>
          <w:bottom w:w="0" w:type="dxa"/>
          <w:right w:w="0" w:type="dxa"/>
        </w:tblCellMar>
      </w:tblPr>
      <w:tr>
        <w:trPr>
          <w:trHeight w:val="226"/>
        </w:trPr>
        <w:tc>
          <w:tcPr>
            <w:tcW w:w="16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240"/>
              <w:spacing w:after="0"/>
              <w:rPr>
                <w:sz w:val="20"/>
                <w:szCs w:val="20"/>
                <w:color w:val="auto"/>
              </w:rPr>
            </w:pPr>
            <w:r>
              <w:rPr>
                <w:rFonts w:ascii="Arial" w:cs="Arial" w:eastAsia="Arial" w:hAnsi="Arial"/>
                <w:sz w:val="14"/>
                <w:szCs w:val="14"/>
                <w:color w:val="auto"/>
              </w:rPr>
              <w:t>Accelerated filer</w:t>
            </w:r>
          </w:p>
        </w:tc>
        <w:tc>
          <w:tcPr>
            <w:tcW w:w="5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600" w:type="dxa"/>
            <w:vAlign w:val="bottom"/>
          </w:tcPr>
          <w:p>
            <w:pPr>
              <w:spacing w:after="0"/>
              <w:rPr>
                <w:sz w:val="20"/>
                <w:szCs w:val="20"/>
                <w:color w:val="auto"/>
              </w:rPr>
            </w:pPr>
            <w:r>
              <w:rPr>
                <w:rFonts w:ascii="Arial" w:cs="Arial" w:eastAsia="Arial" w:hAnsi="Arial"/>
                <w:sz w:val="14"/>
                <w:szCs w:val="14"/>
                <w:color w:val="auto"/>
              </w:rPr>
              <w:t>Non-accelerated filer</w:t>
            </w:r>
          </w:p>
        </w:tc>
        <w:tc>
          <w:tcPr>
            <w:tcW w:w="36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240"/>
              <w:spacing w:after="0"/>
              <w:rPr>
                <w:sz w:val="20"/>
                <w:szCs w:val="20"/>
                <w:color w:val="auto"/>
              </w:rPr>
            </w:pPr>
            <w:r>
              <w:rPr>
                <w:rFonts w:ascii="Arial" w:cs="Arial" w:eastAsia="Arial" w:hAnsi="Arial"/>
                <w:sz w:val="14"/>
                <w:szCs w:val="14"/>
                <w:color w:val="auto"/>
              </w:rPr>
              <w:t>Smaller reporting company</w:t>
            </w:r>
          </w:p>
        </w:tc>
        <w:tc>
          <w:tcPr>
            <w:tcW w:w="5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6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5180" w:type="dxa"/>
            <w:vAlign w:val="bottom"/>
          </w:tcPr>
          <w:p>
            <w:pPr>
              <w:ind w:left="3240"/>
              <w:spacing w:after="0"/>
              <w:rPr>
                <w:sz w:val="20"/>
                <w:szCs w:val="20"/>
                <w:color w:val="auto"/>
              </w:rPr>
            </w:pPr>
            <w:r>
              <w:rPr>
                <w:rFonts w:ascii="Arial" w:cs="Arial" w:eastAsia="Arial" w:hAnsi="Arial"/>
                <w:sz w:val="14"/>
                <w:szCs w:val="14"/>
                <w:color w:val="auto"/>
              </w:rPr>
              <w:t>Emerging growth company</w:t>
            </w:r>
          </w:p>
        </w:tc>
        <w:tc>
          <w:tcPr>
            <w:tcW w:w="5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72" w:lineRule="exact"/>
        <w:rPr>
          <w:sz w:val="24"/>
          <w:szCs w:val="24"/>
          <w:color w:val="auto"/>
        </w:rPr>
      </w:pPr>
    </w:p>
    <w:p>
      <w:pPr>
        <w:ind w:left="200" w:right="580" w:firstLine="44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74930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118110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CALCULATION OF REGISTRATION FEE</w:t>
      </w:r>
    </w:p>
    <w:p>
      <w:pPr>
        <w:spacing w:after="0" w:line="251" w:lineRule="exact"/>
        <w:rPr>
          <w:sz w:val="20"/>
          <w:szCs w:val="20"/>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540" w:type="dxa"/>
            <w:vAlign w:val="bottom"/>
            <w:tcBorders>
              <w:top w:val="single" w:sz="8" w:color="auto"/>
              <w:bottom w:val="single" w:sz="8" w:color="auto"/>
            </w:tcBorders>
          </w:tcPr>
          <w:p>
            <w:pPr>
              <w:spacing w:after="0"/>
              <w:rPr>
                <w:sz w:val="3"/>
                <w:szCs w:val="3"/>
                <w:color w:val="auto"/>
              </w:rPr>
            </w:pPr>
          </w:p>
        </w:tc>
        <w:tc>
          <w:tcPr>
            <w:tcW w:w="190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54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vMerge w:val="restart"/>
          </w:tcPr>
          <w:p>
            <w:pPr>
              <w:jc w:val="center"/>
              <w:ind w:left="4"/>
              <w:spacing w:after="0"/>
              <w:rPr>
                <w:sz w:val="20"/>
                <w:szCs w:val="20"/>
                <w:color w:val="auto"/>
              </w:rPr>
            </w:pPr>
            <w:r>
              <w:rPr>
                <w:rFonts w:ascii="Arial" w:cs="Arial" w:eastAsia="Arial" w:hAnsi="Arial"/>
                <w:sz w:val="14"/>
                <w:szCs w:val="14"/>
                <w:b w:val="1"/>
                <w:bCs w:val="1"/>
                <w:color w:val="auto"/>
                <w:w w:val="94"/>
              </w:rPr>
              <w:t>Amount</w:t>
            </w:r>
          </w:p>
        </w:tc>
        <w:tc>
          <w:tcPr>
            <w:tcW w:w="186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3"/>
              </w:rPr>
              <w:t>Proposed</w:t>
            </w:r>
          </w:p>
        </w:tc>
        <w:tc>
          <w:tcPr>
            <w:tcW w:w="186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3"/>
              </w:rPr>
              <w:t>Proposed</w:t>
            </w: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Title of each class of</w:t>
            </w:r>
          </w:p>
        </w:tc>
        <w:tc>
          <w:tcPr>
            <w:tcW w:w="1900" w:type="dxa"/>
            <w:vAlign w:val="bottom"/>
            <w:tcBorders>
              <w:right w:val="single" w:sz="8" w:color="auto"/>
            </w:tcBorders>
            <w:vMerge w:val="continue"/>
          </w:tcPr>
          <w:p>
            <w:pPr>
              <w:spacing w:after="0"/>
              <w:rPr>
                <w:sz w:val="12"/>
                <w:szCs w:val="12"/>
                <w:color w:val="auto"/>
              </w:rPr>
            </w:pP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vMerge w:val="restart"/>
          </w:tcPr>
          <w:p>
            <w:pPr>
              <w:jc w:val="center"/>
              <w:ind w:left="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89"/>
              </w:rPr>
              <w:t>to be</w:t>
            </w: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9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1"/>
              </w:rPr>
              <w:t>Registered(1)</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Per Unit(2)</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Price(2)</w:t>
            </w:r>
          </w:p>
        </w:tc>
        <w:tc>
          <w:tcPr>
            <w:tcW w:w="18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5"/>
              </w:rPr>
              <w:t>Common Stock, $0.16 2/3 par value per share</w:t>
            </w:r>
          </w:p>
        </w:tc>
        <w:tc>
          <w:tcPr>
            <w:tcW w:w="1900" w:type="dxa"/>
            <w:vAlign w:val="bottom"/>
            <w:tcBorders>
              <w:bottom w:val="single" w:sz="8" w:color="auto"/>
              <w:right w:val="single" w:sz="8" w:color="auto"/>
            </w:tcBorders>
          </w:tcPr>
          <w:p>
            <w:pPr>
              <w:jc w:val="right"/>
              <w:ind w:right="544"/>
              <w:spacing w:after="0"/>
              <w:rPr>
                <w:sz w:val="20"/>
                <w:szCs w:val="20"/>
                <w:color w:val="auto"/>
              </w:rPr>
            </w:pPr>
            <w:r>
              <w:rPr>
                <w:rFonts w:ascii="Arial" w:cs="Arial" w:eastAsia="Arial" w:hAnsi="Arial"/>
                <w:sz w:val="18"/>
                <w:szCs w:val="18"/>
                <w:color w:val="auto"/>
              </w:rPr>
              <w:t>335,654</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$116.47</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$39,093,621.38</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$5,074.35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640" w:right="140" w:hanging="436"/>
        <w:spacing w:after="0" w:line="255"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shares of common stock will be offered for resale by the selling stockholder. Pursuant to Rule 416 under the Securities Act, this Registration Statement also relates to an indeterminate number of additional shares of common stock to be issued as a result of stock splits, stock dividends or similar transactions.</w:t>
      </w:r>
    </w:p>
    <w:p>
      <w:pPr>
        <w:spacing w:after="0" w:line="1" w:lineRule="exact"/>
        <w:rPr>
          <w:rFonts w:ascii="Arial" w:cs="Arial" w:eastAsia="Arial" w:hAnsi="Arial"/>
          <w:sz w:val="18"/>
          <w:szCs w:val="18"/>
          <w:color w:val="auto"/>
        </w:rPr>
      </w:pPr>
    </w:p>
    <w:p>
      <w:pPr>
        <w:ind w:left="640" w:right="20" w:hanging="436"/>
        <w:spacing w:after="0" w:line="261"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calculating the registration fee pursuant to Rule 457(c) under the Securities Act, based on average of high and low price per share of the common stock as reported on the Nasdaq Global Select Market on January 6, 2020.</w:t>
      </w:r>
    </w:p>
    <w:p>
      <w:pPr>
        <w:sectPr>
          <w:pgSz w:w="11900" w:h="16838" w:orient="portrait"/>
          <w:cols w:equalWidth="0" w:num="1">
            <w:col w:w="11240"/>
          </w:cols>
          <w:pgMar w:left="240" w:top="459"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29"/>
          <w:szCs w:val="29"/>
          <w:b w:val="1"/>
          <w:bCs w:val="1"/>
          <w:color w:val="auto"/>
        </w:rPr>
        <w:t>ANALOG DEVICES, INC.</w:t>
      </w:r>
    </w:p>
    <w:p>
      <w:pPr>
        <w:spacing w:after="0" w:line="231"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335,654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238760</wp:posOffset>
            </wp:positionV>
            <wp:extent cx="1466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both"/>
        <w:ind w:left="200" w:right="300"/>
        <w:spacing w:after="0" w:line="264" w:lineRule="auto"/>
        <w:rPr>
          <w:sz w:val="20"/>
          <w:szCs w:val="20"/>
          <w:color w:val="auto"/>
        </w:rPr>
      </w:pPr>
      <w:r>
        <w:rPr>
          <w:rFonts w:ascii="Arial" w:cs="Arial" w:eastAsia="Arial" w:hAnsi="Arial"/>
          <w:sz w:val="18"/>
          <w:szCs w:val="18"/>
          <w:color w:val="auto"/>
        </w:rPr>
        <w:t>We are registering our common stock for resale by the selling stockholder identified in this prospectus. We are not selling any shares of our common stock under this prospectus, and we will not receive any of the proceeds from the sale of shares by the selling stockholder. See “Selling Stockholder” and “Plan of Distribution.”</w:t>
      </w:r>
    </w:p>
    <w:p>
      <w:pPr>
        <w:spacing w:after="0" w:line="181"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The selling stockholder identified in this prospectus, or its pledgees, assignees, donees, transferees or other successors-in-interest, may offer the shares from time to time through public or private transactions at prevailing market prices, at prices related to prevailing market prices or at privately negotiated prices.</w:t>
      </w:r>
    </w:p>
    <w:p>
      <w:pPr>
        <w:spacing w:after="0" w:line="181" w:lineRule="exact"/>
        <w:rPr>
          <w:sz w:val="20"/>
          <w:szCs w:val="20"/>
          <w:color w:val="auto"/>
        </w:rPr>
      </w:pPr>
    </w:p>
    <w:p>
      <w:pPr>
        <w:ind w:left="200" w:right="260"/>
        <w:spacing w:after="0" w:line="342" w:lineRule="auto"/>
        <w:rPr>
          <w:sz w:val="20"/>
          <w:szCs w:val="20"/>
          <w:color w:val="auto"/>
        </w:rPr>
      </w:pPr>
      <w:r>
        <w:rPr>
          <w:rFonts w:ascii="Arial" w:cs="Arial" w:eastAsia="Arial" w:hAnsi="Arial"/>
          <w:sz w:val="16"/>
          <w:szCs w:val="16"/>
          <w:color w:val="auto"/>
        </w:rPr>
        <w:t>Our common stock is traded on the Nasdaq Global Select Market under the symbol “ADI.” On January 8, 2020, the closing sale price of the common stock on Nasdaq Global Select Market was $120.66 per share. You are urged to obtain current market quotations for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173355</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200"/>
        <w:spacing w:after="0" w:line="301" w:lineRule="auto"/>
        <w:rPr>
          <w:sz w:val="20"/>
          <w:szCs w:val="20"/>
          <w:color w:val="auto"/>
        </w:rPr>
      </w:pPr>
      <w:r>
        <w:rPr>
          <w:rFonts w:ascii="Arial" w:cs="Arial" w:eastAsia="Arial" w:hAnsi="Arial"/>
          <w:sz w:val="19"/>
          <w:szCs w:val="19"/>
          <w:b w:val="1"/>
          <w:bCs w:val="1"/>
          <w:color w:val="auto"/>
        </w:rPr>
        <w:t>Investing in our common stock involves a high degree of risk. See “Risk Factors” on page 5, any accompanying prospectus supplement and in the documents incorporated by reference in this prospectus for a discussion of the factors you should carefully consider before deciding to purchase shares of our common stock.</w:t>
      </w:r>
    </w:p>
    <w:p>
      <w:pPr>
        <w:spacing w:after="0" w:line="132" w:lineRule="exact"/>
        <w:rPr>
          <w:sz w:val="20"/>
          <w:szCs w:val="20"/>
          <w:color w:val="auto"/>
        </w:rPr>
      </w:pPr>
    </w:p>
    <w:p>
      <w:pPr>
        <w:ind w:left="200" w:right="580"/>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185420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date of this prospectus is January 9, 2020.</w:t>
      </w:r>
    </w:p>
    <w:p>
      <w:pPr>
        <w:sectPr>
          <w:pgSz w:w="11900" w:h="16838" w:orient="portrait"/>
          <w:cols w:equalWidth="0" w:num="1">
            <w:col w:w="11220"/>
          </w:cols>
          <w:pgMar w:left="240" w:top="459"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840" w:type="dxa"/>
            <w:vAlign w:val="bottom"/>
            <w:gridSpan w:val="1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34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0" w:type="dxa"/>
            <w:vAlign w:val="bottom"/>
            <w:gridSpan w:val="2"/>
          </w:tcPr>
          <w:p>
            <w:pPr>
              <w:ind w:left="52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4"/>
                <w:szCs w:val="24"/>
                <w:color w:val="auto"/>
              </w:rPr>
            </w:pPr>
          </w:p>
        </w:tc>
      </w:tr>
      <w:tr>
        <w:trPr>
          <w:trHeight w:val="473"/>
        </w:trPr>
        <w:tc>
          <w:tcPr>
            <w:tcW w:w="200" w:type="dxa"/>
            <w:vAlign w:val="bottom"/>
          </w:tcPr>
          <w:p>
            <w:pPr>
              <w:spacing w:after="0"/>
              <w:rPr>
                <w:sz w:val="24"/>
                <w:szCs w:val="24"/>
                <w:color w:val="auto"/>
              </w:rPr>
            </w:pPr>
          </w:p>
        </w:tc>
        <w:tc>
          <w:tcPr>
            <w:tcW w:w="2360" w:type="dxa"/>
            <w:vAlign w:val="bottom"/>
            <w:tcBorders>
              <w:bottom w:val="single" w:sz="8" w:color="0000EE"/>
            </w:tcBorders>
            <w:gridSpan w:val="9"/>
          </w:tcPr>
          <w:p>
            <w:pPr>
              <w:spacing w:after="0"/>
              <w:rPr>
                <w:rFonts w:ascii="Arial" w:cs="Arial" w:eastAsia="Arial" w:hAnsi="Arial"/>
                <w:sz w:val="18"/>
                <w:szCs w:val="18"/>
                <w:b w:val="1"/>
                <w:bCs w:val="1"/>
                <w:color w:val="0000EE"/>
                <w:w w:val="97"/>
              </w:rPr>
            </w:pPr>
            <w:hyperlink w:anchor="page5">
              <w:r>
                <w:rPr>
                  <w:rFonts w:ascii="Arial" w:cs="Arial" w:eastAsia="Arial" w:hAnsi="Arial"/>
                  <w:sz w:val="18"/>
                  <w:szCs w:val="18"/>
                  <w:b w:val="1"/>
                  <w:bCs w:val="1"/>
                  <w:color w:val="0000EE"/>
                  <w:w w:val="97"/>
                </w:rPr>
                <w:t>ABOUT THIS PROSPECTUS</w:t>
              </w:r>
            </w:hyperlink>
          </w:p>
        </w:tc>
        <w:tc>
          <w:tcPr>
            <w:tcW w:w="6280" w:type="dxa"/>
            <w:vAlign w:val="bottom"/>
            <w:gridSpan w:val="4"/>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50"/>
        </w:trPr>
        <w:tc>
          <w:tcPr>
            <w:tcW w:w="200" w:type="dxa"/>
            <w:vAlign w:val="bottom"/>
          </w:tcPr>
          <w:p>
            <w:pPr>
              <w:spacing w:after="0"/>
              <w:rPr>
                <w:sz w:val="21"/>
                <w:szCs w:val="21"/>
                <w:color w:val="auto"/>
              </w:rPr>
            </w:pPr>
          </w:p>
        </w:tc>
        <w:tc>
          <w:tcPr>
            <w:tcW w:w="3120" w:type="dxa"/>
            <w:vAlign w:val="bottom"/>
            <w:tcBorders>
              <w:bottom w:val="single" w:sz="8" w:color="0000EE"/>
            </w:tcBorders>
            <w:gridSpan w:val="10"/>
          </w:tcPr>
          <w:p>
            <w:pPr>
              <w:spacing w:after="0"/>
              <w:rPr>
                <w:rFonts w:ascii="Arial" w:cs="Arial" w:eastAsia="Arial" w:hAnsi="Arial"/>
                <w:sz w:val="18"/>
                <w:szCs w:val="18"/>
                <w:b w:val="1"/>
                <w:bCs w:val="1"/>
                <w:color w:val="0000EE"/>
                <w:w w:val="99"/>
              </w:rPr>
            </w:pPr>
            <w:hyperlink w:anchor="page6">
              <w:r>
                <w:rPr>
                  <w:rFonts w:ascii="Arial" w:cs="Arial" w:eastAsia="Arial" w:hAnsi="Arial"/>
                  <w:sz w:val="18"/>
                  <w:szCs w:val="18"/>
                  <w:b w:val="1"/>
                  <w:bCs w:val="1"/>
                  <w:color w:val="0000EE"/>
                  <w:w w:val="99"/>
                </w:rPr>
                <w:t>FORWARD-LOOKING STATEMENTS</w:t>
              </w:r>
            </w:hyperlink>
          </w:p>
        </w:tc>
        <w:tc>
          <w:tcPr>
            <w:tcW w:w="5520" w:type="dxa"/>
            <w:vAlign w:val="bottom"/>
            <w:gridSpan w:val="3"/>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50"/>
        </w:trPr>
        <w:tc>
          <w:tcPr>
            <w:tcW w:w="200" w:type="dxa"/>
            <w:vAlign w:val="bottom"/>
          </w:tcPr>
          <w:p>
            <w:pPr>
              <w:spacing w:after="0"/>
              <w:rPr>
                <w:sz w:val="21"/>
                <w:szCs w:val="21"/>
                <w:color w:val="auto"/>
              </w:rPr>
            </w:pPr>
          </w:p>
        </w:tc>
        <w:tc>
          <w:tcPr>
            <w:tcW w:w="2200" w:type="dxa"/>
            <w:vAlign w:val="bottom"/>
            <w:tcBorders>
              <w:bottom w:val="single" w:sz="8" w:color="0000EE"/>
            </w:tcBorders>
            <w:gridSpan w:val="7"/>
          </w:tcPr>
          <w:p>
            <w:pPr>
              <w:spacing w:after="0"/>
              <w:rPr>
                <w:rFonts w:ascii="Arial" w:cs="Arial" w:eastAsia="Arial" w:hAnsi="Arial"/>
                <w:sz w:val="18"/>
                <w:szCs w:val="18"/>
                <w:b w:val="1"/>
                <w:bCs w:val="1"/>
                <w:color w:val="0000EE"/>
                <w:w w:val="98"/>
              </w:rPr>
            </w:pPr>
            <w:hyperlink w:anchor="page7">
              <w:r>
                <w:rPr>
                  <w:rFonts w:ascii="Arial" w:cs="Arial" w:eastAsia="Arial" w:hAnsi="Arial"/>
                  <w:sz w:val="18"/>
                  <w:szCs w:val="18"/>
                  <w:b w:val="1"/>
                  <w:bCs w:val="1"/>
                  <w:color w:val="0000EE"/>
                  <w:w w:val="98"/>
                </w:rPr>
                <w:t>PROSPECTUS SUMMARY</w:t>
              </w:r>
            </w:hyperlink>
          </w:p>
        </w:tc>
        <w:tc>
          <w:tcPr>
            <w:tcW w:w="6440" w:type="dxa"/>
            <w:vAlign w:val="bottom"/>
            <w:gridSpan w:val="6"/>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50"/>
        </w:trPr>
        <w:tc>
          <w:tcPr>
            <w:tcW w:w="200" w:type="dxa"/>
            <w:vAlign w:val="bottom"/>
          </w:tcPr>
          <w:p>
            <w:pPr>
              <w:spacing w:after="0"/>
              <w:rPr>
                <w:sz w:val="21"/>
                <w:szCs w:val="21"/>
                <w:color w:val="auto"/>
              </w:rPr>
            </w:pPr>
          </w:p>
        </w:tc>
        <w:tc>
          <w:tcPr>
            <w:tcW w:w="1340" w:type="dxa"/>
            <w:vAlign w:val="bottom"/>
            <w:tcBorders>
              <w:bottom w:val="single" w:sz="8" w:color="0000EE"/>
            </w:tcBorders>
            <w:gridSpan w:val="3"/>
          </w:tcPr>
          <w:p>
            <w:pPr>
              <w:spacing w:after="0"/>
              <w:rPr>
                <w:rFonts w:ascii="Arial" w:cs="Arial" w:eastAsia="Arial" w:hAnsi="Arial"/>
                <w:sz w:val="18"/>
                <w:szCs w:val="18"/>
                <w:b w:val="1"/>
                <w:bCs w:val="1"/>
                <w:color w:val="0000EE"/>
                <w:w w:val="97"/>
              </w:rPr>
            </w:pPr>
            <w:hyperlink w:anchor="page9">
              <w:r>
                <w:rPr>
                  <w:rFonts w:ascii="Arial" w:cs="Arial" w:eastAsia="Arial" w:hAnsi="Arial"/>
                  <w:sz w:val="18"/>
                  <w:szCs w:val="18"/>
                  <w:b w:val="1"/>
                  <w:bCs w:val="1"/>
                  <w:color w:val="0000EE"/>
                  <w:w w:val="97"/>
                </w:rPr>
                <w:t>RISK FACTORS</w:t>
              </w:r>
            </w:hyperlink>
          </w:p>
        </w:tc>
        <w:tc>
          <w:tcPr>
            <w:tcW w:w="7300" w:type="dxa"/>
            <w:vAlign w:val="bottom"/>
            <w:gridSpan w:val="10"/>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50"/>
        </w:trPr>
        <w:tc>
          <w:tcPr>
            <w:tcW w:w="200" w:type="dxa"/>
            <w:vAlign w:val="bottom"/>
          </w:tcPr>
          <w:p>
            <w:pPr>
              <w:spacing w:after="0"/>
              <w:rPr>
                <w:sz w:val="21"/>
                <w:szCs w:val="21"/>
                <w:color w:val="auto"/>
              </w:rPr>
            </w:pPr>
          </w:p>
        </w:tc>
        <w:tc>
          <w:tcPr>
            <w:tcW w:w="1680" w:type="dxa"/>
            <w:vAlign w:val="bottom"/>
            <w:tcBorders>
              <w:bottom w:val="single" w:sz="8" w:color="0000EE"/>
            </w:tcBorders>
            <w:gridSpan w:val="5"/>
          </w:tcPr>
          <w:p>
            <w:pPr>
              <w:spacing w:after="0"/>
              <w:rPr>
                <w:rFonts w:ascii="Arial" w:cs="Arial" w:eastAsia="Arial" w:hAnsi="Arial"/>
                <w:sz w:val="18"/>
                <w:szCs w:val="18"/>
                <w:b w:val="1"/>
                <w:bCs w:val="1"/>
                <w:color w:val="0000EE"/>
                <w:w w:val="95"/>
              </w:rPr>
            </w:pPr>
            <w:hyperlink w:anchor="page10">
              <w:r>
                <w:rPr>
                  <w:rFonts w:ascii="Arial" w:cs="Arial" w:eastAsia="Arial" w:hAnsi="Arial"/>
                  <w:sz w:val="18"/>
                  <w:szCs w:val="18"/>
                  <w:b w:val="1"/>
                  <w:bCs w:val="1"/>
                  <w:color w:val="0000EE"/>
                  <w:w w:val="95"/>
                </w:rPr>
                <w:t>USE OF PROCEEDS</w:t>
              </w:r>
            </w:hyperlink>
          </w:p>
        </w:tc>
        <w:tc>
          <w:tcPr>
            <w:tcW w:w="6960" w:type="dxa"/>
            <w:vAlign w:val="bottom"/>
            <w:gridSpan w:val="8"/>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50"/>
        </w:trPr>
        <w:tc>
          <w:tcPr>
            <w:tcW w:w="200" w:type="dxa"/>
            <w:vAlign w:val="bottom"/>
          </w:tcPr>
          <w:p>
            <w:pPr>
              <w:spacing w:after="0"/>
              <w:rPr>
                <w:sz w:val="21"/>
                <w:szCs w:val="21"/>
                <w:color w:val="auto"/>
              </w:rPr>
            </w:pPr>
          </w:p>
        </w:tc>
        <w:tc>
          <w:tcPr>
            <w:tcW w:w="226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SELLING STOCKHOLDER</w:t>
              </w:r>
            </w:hyperlink>
          </w:p>
        </w:tc>
        <w:tc>
          <w:tcPr>
            <w:tcW w:w="6380" w:type="dxa"/>
            <w:vAlign w:val="bottom"/>
            <w:gridSpan w:val="5"/>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50"/>
        </w:trPr>
        <w:tc>
          <w:tcPr>
            <w:tcW w:w="200" w:type="dxa"/>
            <w:vAlign w:val="bottom"/>
          </w:tcPr>
          <w:p>
            <w:pPr>
              <w:spacing w:after="0"/>
              <w:rPr>
                <w:sz w:val="21"/>
                <w:szCs w:val="21"/>
                <w:color w:val="auto"/>
              </w:rPr>
            </w:pPr>
          </w:p>
        </w:tc>
        <w:tc>
          <w:tcPr>
            <w:tcW w:w="8640" w:type="dxa"/>
            <w:vAlign w:val="bottom"/>
            <w:gridSpan w:val="13"/>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PLAN OF DISTRIBUTION</w:t>
              </w:r>
            </w:hyperlink>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50"/>
        </w:trPr>
        <w:tc>
          <w:tcPr>
            <w:tcW w:w="200" w:type="dxa"/>
            <w:vAlign w:val="bottom"/>
          </w:tcPr>
          <w:p>
            <w:pPr>
              <w:spacing w:after="0"/>
              <w:rPr>
                <w:sz w:val="21"/>
                <w:szCs w:val="21"/>
                <w:color w:val="auto"/>
              </w:rPr>
            </w:pPr>
          </w:p>
        </w:tc>
        <w:tc>
          <w:tcPr>
            <w:tcW w:w="156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LEGAL MATTERS</w:t>
              </w:r>
            </w:hyperlink>
          </w:p>
        </w:tc>
        <w:tc>
          <w:tcPr>
            <w:tcW w:w="600" w:type="dxa"/>
            <w:vAlign w:val="bottom"/>
            <w:tcBorders>
              <w:top w:val="single" w:sz="8" w:color="0000EE"/>
            </w:tcBorders>
            <w:gridSpan w:val="2"/>
          </w:tcPr>
          <w:p>
            <w:pPr>
              <w:spacing w:after="0"/>
              <w:rPr>
                <w:sz w:val="21"/>
                <w:szCs w:val="21"/>
                <w:color w:val="auto"/>
              </w:rPr>
            </w:pPr>
          </w:p>
        </w:tc>
        <w:tc>
          <w:tcPr>
            <w:tcW w:w="6480" w:type="dxa"/>
            <w:vAlign w:val="bottom"/>
            <w:gridSpan w:val="7"/>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50"/>
        </w:trPr>
        <w:tc>
          <w:tcPr>
            <w:tcW w:w="200" w:type="dxa"/>
            <w:vAlign w:val="bottom"/>
          </w:tcPr>
          <w:p>
            <w:pPr>
              <w:spacing w:after="0"/>
              <w:rPr>
                <w:sz w:val="21"/>
                <w:szCs w:val="21"/>
                <w:color w:val="auto"/>
              </w:rPr>
            </w:pPr>
          </w:p>
        </w:tc>
        <w:tc>
          <w:tcPr>
            <w:tcW w:w="8640" w:type="dxa"/>
            <w:vAlign w:val="bottom"/>
            <w:gridSpan w:val="13"/>
          </w:tcPr>
          <w:p>
            <w:pP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EXPERTS</w:t>
              </w:r>
            </w:hyperlink>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0"/>
        </w:trPr>
        <w:tc>
          <w:tcPr>
            <w:tcW w:w="2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20" w:type="dxa"/>
            <w:vAlign w:val="bottom"/>
            <w:gridSpan w:val="1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4040" w:type="dxa"/>
            <w:vAlign w:val="bottom"/>
            <w:tcBorders>
              <w:bottom w:val="single" w:sz="8" w:color="0000EE"/>
            </w:tcBorders>
            <w:gridSpan w:val="11"/>
          </w:tcPr>
          <w:p>
            <w:pP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WHERE YOU CAN FIND MORE INFORMATION</w:t>
              </w:r>
            </w:hyperlink>
          </w:p>
        </w:tc>
        <w:tc>
          <w:tcPr>
            <w:tcW w:w="4600" w:type="dxa"/>
            <w:vAlign w:val="bottom"/>
            <w:gridSpan w:val="2"/>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50"/>
        </w:trPr>
        <w:tc>
          <w:tcPr>
            <w:tcW w:w="200" w:type="dxa"/>
            <w:vAlign w:val="bottom"/>
          </w:tcPr>
          <w:p>
            <w:pPr>
              <w:spacing w:after="0"/>
              <w:rPr>
                <w:sz w:val="21"/>
                <w:szCs w:val="21"/>
                <w:color w:val="auto"/>
              </w:rPr>
            </w:pPr>
          </w:p>
        </w:tc>
        <w:tc>
          <w:tcPr>
            <w:tcW w:w="538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INCORPORATION OF CERTAIN DOCUMENTS BY REFERENCE</w:t>
              </w:r>
            </w:hyperlink>
          </w:p>
        </w:tc>
        <w:tc>
          <w:tcPr>
            <w:tcW w:w="326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bl>
    <w:p>
      <w:pPr>
        <w:jc w:val="right"/>
        <w:spacing w:after="0"/>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(“SEC”) using a “shelf” registration process. Under this shelf registration process, the selling stockholder may, from time to time, sell or otherwise dispose shares of our common stock.</w:t>
      </w:r>
    </w:p>
    <w:p>
      <w:pPr>
        <w:spacing w:after="0" w:line="124"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This prospectus provides you with a general description of the securities the selling stockholder may offer. Depending on the manner in which the selling stockholder sells securities under this shelf registration statement, we may provide one or more prospectus supplements that will contain specific information about the terms of that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10 of this prospectus.</w:t>
      </w:r>
    </w:p>
    <w:p>
      <w:pPr>
        <w:spacing w:after="0" w:line="173"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any accompanying prospectus supplement or in any related free writing prospectus filed by us with the SEC. Neither we nor the selling stockholder has authorized anyone to provide you with different information.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Unless the context otherwise indicates, references in this prospectus to “the Company,” “we,” “our,” “ours” and “us” refer to Analog Devices, Inc.</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its consolidated subsidiaries.</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This prospectus and the information incorporated by reference in this prospectus contain “forward-looking statements” regarding future events and our future results that are subject to the safe harbor created under the Private Securities Litigation Reform Act of 1995 and other safe harbors under the Securities Act of 1933, as amended (the “Securities Act”), and the Securities Exchange Act of 1934, as amended (the “Exchange Act”).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our anticipated growth and trends in our businesses; our future liquidity, capital needs and capital expenditures; our future market position and expected competitive changes in the marketplace for our products; our ability to pay dividends or repurchase stock; our ability to service our outstanding debt; our expected tax rate; expected cost savings; the effect of new accounting pronouncements; our ability to successfully integrate acquired businesses and technologies; and other characterizations of future events or circumstances are forward-looking statements. You are cautioned that these forward-looking statements are only predictions and are subject to risks, uncertainties and assumptions that are difficult to predict. You should pay particular attention to the important risk factors and cautionary statements referenced in the section of any accompanying prospectus supplement entitled “Risk Factors.” You should also carefully review the risk factors and cautionary statements described in the other documents we file from time to time with the SEC, specifically our most recent Annual Report on Form 10-K, our Quarterly Reports on Form 10-Q and our Current Reports on Form 8-K. Actual results may differ materially and adversely from those expressed in any forward-looking statements. We undertake no obligation to revise or update any forward-looking statements, including to reflect events or circumstances occurring after the date of the filing of this prospectus, except to the extent required by law.</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759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2145" cy="57759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firstLine="426"/>
        <w:spacing w:after="0" w:line="264" w:lineRule="auto"/>
        <w:rPr>
          <w:sz w:val="20"/>
          <w:szCs w:val="20"/>
          <w:color w:val="auto"/>
        </w:rPr>
      </w:pPr>
      <w:r>
        <w:rPr>
          <w:rFonts w:ascii="Arial" w:cs="Arial" w:eastAsia="Arial" w:hAnsi="Arial"/>
          <w:sz w:val="18"/>
          <w:szCs w:val="18"/>
          <w:color w:val="auto"/>
        </w:rPr>
        <w:t>This summary highlights important features of this offering and the information included or incorporated by reference in this prospectus. This summary does not contain all of the information that you should consider before investing in our common stock. You should read the entire prospectus carefully, especially the risks of investing in our common stock discussed under “Risk Factors.”</w:t>
      </w:r>
    </w:p>
    <w:p>
      <w:pPr>
        <w:spacing w:after="0" w:line="39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ANALOG DEVICES, INC.</w:t>
      </w:r>
    </w:p>
    <w:p>
      <w:pPr>
        <w:spacing w:after="0" w:line="229" w:lineRule="exact"/>
        <w:rPr>
          <w:sz w:val="20"/>
          <w:szCs w:val="20"/>
          <w:color w:val="auto"/>
        </w:rPr>
      </w:pPr>
    </w:p>
    <w:p>
      <w:pPr>
        <w:ind w:left="380" w:right="200" w:firstLine="426"/>
        <w:spacing w:after="0" w:line="276" w:lineRule="auto"/>
        <w:rPr>
          <w:sz w:val="20"/>
          <w:szCs w:val="20"/>
          <w:color w:val="auto"/>
        </w:rPr>
      </w:pPr>
      <w:r>
        <w:rPr>
          <w:rFonts w:ascii="Arial" w:cs="Arial" w:eastAsia="Arial" w:hAnsi="Arial"/>
          <w:sz w:val="17"/>
          <w:szCs w:val="17"/>
          <w:color w:val="auto"/>
        </w:rPr>
        <w:t>Analog Devices, Inc. is a leading global high-performance analog technology company. Since our inception in 1965, we have focused on solving our customers’ toughest signal processing engineering challenges and playing a fundamental role in efficiently converting, conditioning, and processing real-world phenomena such as temperature, pressure, sound, light, speed, and motion into electrical signals to be used in a wide array of electronic applications. We produce innovative products and technologies that accurately and securely sense, measure, connect, interpret and power, allowing our customers to intelligently bridge the physical and digital domains.</w:t>
      </w:r>
    </w:p>
    <w:p>
      <w:pPr>
        <w:spacing w:after="0" w:line="173" w:lineRule="exact"/>
        <w:rPr>
          <w:sz w:val="20"/>
          <w:szCs w:val="20"/>
          <w:color w:val="auto"/>
        </w:rPr>
      </w:pPr>
    </w:p>
    <w:p>
      <w:pPr>
        <w:ind w:left="380" w:firstLine="426"/>
        <w:spacing w:after="0" w:line="293" w:lineRule="auto"/>
        <w:rPr>
          <w:sz w:val="20"/>
          <w:szCs w:val="20"/>
          <w:color w:val="auto"/>
        </w:rPr>
      </w:pPr>
      <w:r>
        <w:rPr>
          <w:rFonts w:ascii="Arial" w:cs="Arial" w:eastAsia="Arial" w:hAnsi="Arial"/>
          <w:sz w:val="16"/>
          <w:szCs w:val="16"/>
          <w:color w:val="auto"/>
        </w:rPr>
        <w:t>We design, manufacture, and market a broad portfolio of solutions, including integrated circuits (“ICs”), algorithms, software, and subsystems that leverage high-performance analog, mixed-signal, and digital signal processing technologies. Our fusion of cutting-edge sensors, data converters, amplifiers and linear products, radio frequency ICs, power management products, and other signal processing products with deep industry expertise allows us to create robust technology platforms that meet a broad spectrum of customer and market needs. As new generations of applications evolve—such as autonomous vehicles, 5G networks, intelligent factories, and smart healthcare devices—the demand for Analog Devices’ high-performance analog signal processing and digital signal processing products and technologies is increasing.</w:t>
      </w:r>
    </w:p>
    <w:p>
      <w:pPr>
        <w:spacing w:after="0" w:line="165" w:lineRule="exact"/>
        <w:rPr>
          <w:sz w:val="20"/>
          <w:szCs w:val="20"/>
          <w:color w:val="auto"/>
        </w:rPr>
      </w:pPr>
    </w:p>
    <w:p>
      <w:pPr>
        <w:ind w:left="380" w:right="100" w:firstLine="426"/>
        <w:spacing w:after="0" w:line="264" w:lineRule="auto"/>
        <w:rPr>
          <w:sz w:val="20"/>
          <w:szCs w:val="20"/>
          <w:color w:val="auto"/>
        </w:rPr>
      </w:pPr>
      <w:r>
        <w:rPr>
          <w:rFonts w:ascii="Arial" w:cs="Arial" w:eastAsia="Arial" w:hAnsi="Arial"/>
          <w:sz w:val="18"/>
          <w:szCs w:val="18"/>
          <w:color w:val="auto"/>
        </w:rPr>
        <w:t>We focus on key strategic markets such as industrial, automotive, consumer, and communications where our signal processing technology is often a critical differentiator in our customers’ products. Used by more than 125,000 end customers worldwide, our products are used in many different types of electronic applications including:</w:t>
      </w:r>
    </w:p>
    <w:p>
      <w:pPr>
        <w:spacing w:after="0" w:line="208"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  Factory and process automation systems</w:t>
            </w:r>
          </w:p>
        </w:tc>
        <w:tc>
          <w:tcPr>
            <w:tcW w:w="760" w:type="dxa"/>
            <w:vAlign w:val="bottom"/>
          </w:tcPr>
          <w:p>
            <w:pPr>
              <w:ind w:left="600"/>
              <w:spacing w:after="0"/>
              <w:rPr>
                <w:sz w:val="20"/>
                <w:szCs w:val="20"/>
                <w:color w:val="auto"/>
              </w:rPr>
            </w:pPr>
            <w:r>
              <w:rPr>
                <w:rFonts w:ascii="Arial" w:cs="Arial" w:eastAsia="Arial" w:hAnsi="Arial"/>
                <w:sz w:val="18"/>
                <w:szCs w:val="18"/>
                <w:color w:val="auto"/>
              </w:rPr>
              <w:t>•</w:t>
            </w:r>
          </w:p>
        </w:tc>
        <w:tc>
          <w:tcPr>
            <w:tcW w:w="2780" w:type="dxa"/>
            <w:vAlign w:val="bottom"/>
          </w:tcPr>
          <w:p>
            <w:pPr>
              <w:ind w:left="100"/>
              <w:spacing w:after="0"/>
              <w:rPr>
                <w:sz w:val="20"/>
                <w:szCs w:val="20"/>
                <w:color w:val="auto"/>
              </w:rPr>
            </w:pPr>
            <w:r>
              <w:rPr>
                <w:rFonts w:ascii="Arial" w:cs="Arial" w:eastAsia="Arial" w:hAnsi="Arial"/>
                <w:sz w:val="18"/>
                <w:szCs w:val="18"/>
                <w:color w:val="auto"/>
              </w:rPr>
              <w:t>Medical imaging equipment</w:t>
            </w:r>
          </w:p>
        </w:tc>
      </w:tr>
      <w:tr>
        <w:trPr>
          <w:trHeight w:val="338"/>
        </w:trPr>
        <w:tc>
          <w:tcPr>
            <w:tcW w:w="5040" w:type="dxa"/>
            <w:vAlign w:val="bottom"/>
          </w:tcPr>
          <w:p>
            <w:pPr>
              <w:spacing w:after="0"/>
              <w:rPr>
                <w:sz w:val="20"/>
                <w:szCs w:val="20"/>
                <w:color w:val="auto"/>
              </w:rPr>
            </w:pPr>
            <w:r>
              <w:rPr>
                <w:rFonts w:ascii="Arial" w:cs="Arial" w:eastAsia="Arial" w:hAnsi="Arial"/>
                <w:sz w:val="18"/>
                <w:szCs w:val="18"/>
                <w:color w:val="auto"/>
              </w:rPr>
              <w:t>•  Instrumentation, test and measurement systems</w:t>
            </w:r>
          </w:p>
        </w:tc>
        <w:tc>
          <w:tcPr>
            <w:tcW w:w="3540" w:type="dxa"/>
            <w:vAlign w:val="bottom"/>
            <w:gridSpan w:val="2"/>
          </w:tcPr>
          <w:p>
            <w:pPr>
              <w:ind w:left="600"/>
              <w:spacing w:after="0"/>
              <w:rPr>
                <w:sz w:val="20"/>
                <w:szCs w:val="20"/>
                <w:color w:val="auto"/>
              </w:rPr>
            </w:pPr>
            <w:r>
              <w:rPr>
                <w:rFonts w:ascii="Arial" w:cs="Arial" w:eastAsia="Arial" w:hAnsi="Arial"/>
                <w:sz w:val="18"/>
                <w:szCs w:val="18"/>
                <w:color w:val="auto"/>
              </w:rPr>
              <w:t>•  Vital signs monitoring devices</w:t>
            </w:r>
          </w:p>
        </w:tc>
      </w:tr>
      <w:tr>
        <w:trPr>
          <w:trHeight w:val="338"/>
        </w:trPr>
        <w:tc>
          <w:tcPr>
            <w:tcW w:w="5040" w:type="dxa"/>
            <w:vAlign w:val="bottom"/>
          </w:tcPr>
          <w:p>
            <w:pPr>
              <w:spacing w:after="0"/>
              <w:rPr>
                <w:sz w:val="20"/>
                <w:szCs w:val="20"/>
                <w:color w:val="auto"/>
              </w:rPr>
            </w:pPr>
            <w:r>
              <w:rPr>
                <w:rFonts w:ascii="Arial" w:cs="Arial" w:eastAsia="Arial" w:hAnsi="Arial"/>
                <w:sz w:val="18"/>
                <w:szCs w:val="18"/>
                <w:color w:val="auto"/>
              </w:rPr>
              <w:t>•  Aerospace and defense electronics</w:t>
            </w:r>
          </w:p>
        </w:tc>
        <w:tc>
          <w:tcPr>
            <w:tcW w:w="760" w:type="dxa"/>
            <w:vAlign w:val="bottom"/>
          </w:tcPr>
          <w:p>
            <w:pPr>
              <w:ind w:left="600"/>
              <w:spacing w:after="0"/>
              <w:rPr>
                <w:sz w:val="20"/>
                <w:szCs w:val="20"/>
                <w:color w:val="auto"/>
              </w:rPr>
            </w:pPr>
            <w:r>
              <w:rPr>
                <w:rFonts w:ascii="Arial" w:cs="Arial" w:eastAsia="Arial" w:hAnsi="Arial"/>
                <w:sz w:val="18"/>
                <w:szCs w:val="18"/>
                <w:color w:val="auto"/>
              </w:rPr>
              <w:t>•</w:t>
            </w:r>
          </w:p>
        </w:tc>
        <w:tc>
          <w:tcPr>
            <w:tcW w:w="2780" w:type="dxa"/>
            <w:vAlign w:val="bottom"/>
          </w:tcPr>
          <w:p>
            <w:pPr>
              <w:ind w:left="100"/>
              <w:spacing w:after="0"/>
              <w:rPr>
                <w:sz w:val="20"/>
                <w:szCs w:val="20"/>
                <w:color w:val="auto"/>
              </w:rPr>
            </w:pPr>
            <w:r>
              <w:rPr>
                <w:rFonts w:ascii="Arial" w:cs="Arial" w:eastAsia="Arial" w:hAnsi="Arial"/>
                <w:sz w:val="18"/>
                <w:szCs w:val="18"/>
                <w:color w:val="auto"/>
                <w:w w:val="99"/>
              </w:rPr>
              <w:t>Wireless infrastructure equipment</w:t>
            </w:r>
          </w:p>
        </w:tc>
      </w:tr>
      <w:tr>
        <w:trPr>
          <w:trHeight w:val="338"/>
        </w:trPr>
        <w:tc>
          <w:tcPr>
            <w:tcW w:w="5040" w:type="dxa"/>
            <w:vAlign w:val="bottom"/>
          </w:tcPr>
          <w:p>
            <w:pPr>
              <w:spacing w:after="0"/>
              <w:rPr>
                <w:sz w:val="20"/>
                <w:szCs w:val="20"/>
                <w:color w:val="auto"/>
              </w:rPr>
            </w:pPr>
            <w:r>
              <w:rPr>
                <w:rFonts w:ascii="Arial" w:cs="Arial" w:eastAsia="Arial" w:hAnsi="Arial"/>
                <w:sz w:val="18"/>
                <w:szCs w:val="18"/>
                <w:color w:val="auto"/>
              </w:rPr>
              <w:t>•  Semi-autonomous and autonomous vehicle safety systems</w:t>
            </w:r>
          </w:p>
        </w:tc>
        <w:tc>
          <w:tcPr>
            <w:tcW w:w="3540" w:type="dxa"/>
            <w:vAlign w:val="bottom"/>
            <w:gridSpan w:val="2"/>
          </w:tcPr>
          <w:p>
            <w:pPr>
              <w:ind w:left="600"/>
              <w:spacing w:after="0"/>
              <w:rPr>
                <w:sz w:val="20"/>
                <w:szCs w:val="20"/>
                <w:color w:val="auto"/>
              </w:rPr>
            </w:pPr>
            <w:r>
              <w:rPr>
                <w:rFonts w:ascii="Arial" w:cs="Arial" w:eastAsia="Arial" w:hAnsi="Arial"/>
                <w:sz w:val="18"/>
                <w:szCs w:val="18"/>
                <w:color w:val="auto"/>
              </w:rPr>
              <w:t>•  Networking and optical equipment</w:t>
            </w:r>
          </w:p>
        </w:tc>
      </w:tr>
      <w:tr>
        <w:trPr>
          <w:trHeight w:val="338"/>
        </w:trPr>
        <w:tc>
          <w:tcPr>
            <w:tcW w:w="5040" w:type="dxa"/>
            <w:vAlign w:val="bottom"/>
          </w:tcPr>
          <w:p>
            <w:pPr>
              <w:spacing w:after="0"/>
              <w:rPr>
                <w:sz w:val="20"/>
                <w:szCs w:val="20"/>
                <w:color w:val="auto"/>
              </w:rPr>
            </w:pPr>
            <w:r>
              <w:rPr>
                <w:rFonts w:ascii="Arial" w:cs="Arial" w:eastAsia="Arial" w:hAnsi="Arial"/>
                <w:sz w:val="18"/>
                <w:szCs w:val="18"/>
                <w:color w:val="auto"/>
              </w:rPr>
              <w:t>•  Automotive infotainment systems</w:t>
            </w:r>
          </w:p>
        </w:tc>
        <w:tc>
          <w:tcPr>
            <w:tcW w:w="760" w:type="dxa"/>
            <w:vAlign w:val="bottom"/>
          </w:tcPr>
          <w:p>
            <w:pPr>
              <w:ind w:left="600"/>
              <w:spacing w:after="0"/>
              <w:rPr>
                <w:sz w:val="20"/>
                <w:szCs w:val="20"/>
                <w:color w:val="auto"/>
              </w:rPr>
            </w:pPr>
            <w:r>
              <w:rPr>
                <w:rFonts w:ascii="Arial" w:cs="Arial" w:eastAsia="Arial" w:hAnsi="Arial"/>
                <w:sz w:val="18"/>
                <w:szCs w:val="18"/>
                <w:color w:val="auto"/>
              </w:rPr>
              <w:t>•</w:t>
            </w:r>
          </w:p>
        </w:tc>
        <w:tc>
          <w:tcPr>
            <w:tcW w:w="2780" w:type="dxa"/>
            <w:vAlign w:val="bottom"/>
          </w:tcPr>
          <w:p>
            <w:pPr>
              <w:ind w:left="100"/>
              <w:spacing w:after="0"/>
              <w:rPr>
                <w:sz w:val="20"/>
                <w:szCs w:val="20"/>
                <w:color w:val="auto"/>
              </w:rPr>
            </w:pPr>
            <w:r>
              <w:rPr>
                <w:rFonts w:ascii="Arial" w:cs="Arial" w:eastAsia="Arial" w:hAnsi="Arial"/>
                <w:sz w:val="18"/>
                <w:szCs w:val="18"/>
                <w:color w:val="auto"/>
              </w:rPr>
              <w:t>Portable consumer devices</w:t>
            </w:r>
          </w:p>
        </w:tc>
      </w:tr>
      <w:tr>
        <w:trPr>
          <w:trHeight w:val="338"/>
        </w:trPr>
        <w:tc>
          <w:tcPr>
            <w:tcW w:w="5040" w:type="dxa"/>
            <w:vAlign w:val="bottom"/>
          </w:tcPr>
          <w:p>
            <w:pPr>
              <w:spacing w:after="0"/>
              <w:rPr>
                <w:sz w:val="20"/>
                <w:szCs w:val="20"/>
                <w:color w:val="auto"/>
              </w:rPr>
            </w:pPr>
            <w:r>
              <w:rPr>
                <w:rFonts w:ascii="Arial" w:cs="Arial" w:eastAsia="Arial" w:hAnsi="Arial"/>
                <w:sz w:val="18"/>
                <w:szCs w:val="18"/>
                <w:color w:val="auto"/>
              </w:rPr>
              <w:t>•  Powertrains for gas and electric vehicles</w:t>
            </w:r>
          </w:p>
        </w:tc>
        <w:tc>
          <w:tcPr>
            <w:tcW w:w="3540" w:type="dxa"/>
            <w:vAlign w:val="bottom"/>
            <w:gridSpan w:val="2"/>
          </w:tcPr>
          <w:p>
            <w:pPr>
              <w:ind w:left="600"/>
              <w:spacing w:after="0"/>
              <w:rPr>
                <w:sz w:val="20"/>
                <w:szCs w:val="20"/>
                <w:color w:val="auto"/>
              </w:rPr>
            </w:pPr>
            <w:r>
              <w:rPr>
                <w:rFonts w:ascii="Arial" w:cs="Arial" w:eastAsia="Arial" w:hAnsi="Arial"/>
                <w:sz w:val="18"/>
                <w:szCs w:val="18"/>
                <w:color w:val="auto"/>
                <w:w w:val="93"/>
              </w:rPr>
              <w:t>•  Professional audio and video devices</w:t>
            </w:r>
          </w:p>
        </w:tc>
      </w:tr>
    </w:tbl>
    <w:p>
      <w:pPr>
        <w:spacing w:after="0" w:line="215" w:lineRule="exact"/>
        <w:rPr>
          <w:sz w:val="20"/>
          <w:szCs w:val="20"/>
          <w:color w:val="auto"/>
        </w:rPr>
      </w:pPr>
    </w:p>
    <w:p>
      <w:pPr>
        <w:ind w:left="380" w:right="100" w:firstLine="426"/>
        <w:spacing w:after="0" w:line="259" w:lineRule="auto"/>
        <w:rPr>
          <w:sz w:val="20"/>
          <w:szCs w:val="20"/>
          <w:color w:val="auto"/>
        </w:rPr>
      </w:pPr>
      <w:r>
        <w:rPr>
          <w:rFonts w:ascii="Arial" w:cs="Arial" w:eastAsia="Arial" w:hAnsi="Arial"/>
          <w:sz w:val="18"/>
          <w:szCs w:val="18"/>
          <w:color w:val="auto"/>
        </w:rPr>
        <w:t>We were incorporated in Massachusetts in 1965. Our principal executive offices are located at One Technology Way, Norwood, Massachusetts 02062, and our telephone number is (781) 329-4700. In addition, we have manufacturing facilities in the United States, Ireland and Southeast Asia. Our common stock is listed on The Nasdaq Global Select Market under the symbol ADI and is included in the Standard &amp; Poor’s 500 Index.</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24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4180" w:type="dxa"/>
            <w:vAlign w:val="bottom"/>
            <w:tcBorders>
              <w:top w:val="single" w:sz="8" w:color="auto"/>
              <w:left w:val="single" w:sz="8" w:color="auto"/>
            </w:tcBorders>
          </w:tcPr>
          <w:p>
            <w:pPr>
              <w:spacing w:after="0"/>
              <w:rPr>
                <w:sz w:val="24"/>
                <w:szCs w:val="24"/>
                <w:color w:val="auto"/>
              </w:rPr>
            </w:pPr>
          </w:p>
        </w:tc>
        <w:tc>
          <w:tcPr>
            <w:tcW w:w="686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8"/>
                <w:szCs w:val="18"/>
                <w:b w:val="1"/>
                <w:bCs w:val="1"/>
                <w:color w:val="auto"/>
              </w:rPr>
              <w:t>THE OFFERING</w:t>
            </w:r>
          </w:p>
        </w:tc>
      </w:tr>
      <w:tr>
        <w:trPr>
          <w:trHeight w:val="459"/>
        </w:trPr>
        <w:tc>
          <w:tcPr>
            <w:tcW w:w="41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Common Stock offered by selling stockholder</w:t>
            </w:r>
          </w:p>
        </w:tc>
        <w:tc>
          <w:tcPr>
            <w:tcW w:w="68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335,654 shares</w:t>
            </w:r>
          </w:p>
        </w:tc>
      </w:tr>
      <w:tr>
        <w:trPr>
          <w:trHeight w:val="418"/>
        </w:trPr>
        <w:tc>
          <w:tcPr>
            <w:tcW w:w="41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68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97"/>
              </w:rPr>
              <w:t>Analog Devices, Inc. will not receive any proceeds from the sale of</w:t>
            </w:r>
          </w:p>
        </w:tc>
      </w:tr>
      <w:tr>
        <w:trPr>
          <w:trHeight w:val="230"/>
        </w:trPr>
        <w:tc>
          <w:tcPr>
            <w:tcW w:w="418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shares in this offering.</w:t>
            </w:r>
          </w:p>
        </w:tc>
      </w:tr>
      <w:tr>
        <w:trPr>
          <w:trHeight w:val="418"/>
        </w:trPr>
        <w:tc>
          <w:tcPr>
            <w:tcW w:w="41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68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You should read the “Risk Factors” section of this</w:t>
            </w:r>
          </w:p>
        </w:tc>
      </w:tr>
      <w:tr>
        <w:trPr>
          <w:trHeight w:val="216"/>
        </w:trPr>
        <w:tc>
          <w:tcPr>
            <w:tcW w:w="418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99"/>
              </w:rPr>
              <w:t>prospectus for a discussion of factors to consider carefully before</w:t>
            </w:r>
          </w:p>
        </w:tc>
      </w:tr>
      <w:tr>
        <w:trPr>
          <w:trHeight w:val="230"/>
        </w:trPr>
        <w:tc>
          <w:tcPr>
            <w:tcW w:w="418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deciding to purchase shares of our common stock.</w:t>
            </w:r>
          </w:p>
        </w:tc>
      </w:tr>
      <w:tr>
        <w:trPr>
          <w:trHeight w:val="446"/>
        </w:trPr>
        <w:tc>
          <w:tcPr>
            <w:tcW w:w="41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Nasdaq Global Select Market symbol</w:t>
            </w:r>
          </w:p>
        </w:tc>
        <w:tc>
          <w:tcPr>
            <w:tcW w:w="68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ADI</w:t>
            </w:r>
          </w:p>
        </w:tc>
      </w:tr>
      <w:tr>
        <w:trPr>
          <w:trHeight w:val="240"/>
        </w:trPr>
        <w:tc>
          <w:tcPr>
            <w:tcW w:w="4180" w:type="dxa"/>
            <w:vAlign w:val="bottom"/>
            <w:tcBorders>
              <w:left w:val="single" w:sz="8" w:color="auto"/>
              <w:bottom w:val="single" w:sz="8" w:color="auto"/>
            </w:tcBorders>
          </w:tcPr>
          <w:p>
            <w:pPr>
              <w:spacing w:after="0"/>
              <w:rPr>
                <w:sz w:val="20"/>
                <w:szCs w:val="20"/>
                <w:color w:val="auto"/>
              </w:rPr>
            </w:pPr>
          </w:p>
        </w:tc>
        <w:tc>
          <w:tcPr>
            <w:tcW w:w="6860" w:type="dxa"/>
            <w:vAlign w:val="bottom"/>
            <w:tcBorders>
              <w:bottom w:val="single" w:sz="8" w:color="auto"/>
              <w:right w:val="single" w:sz="8" w:color="auto"/>
            </w:tcBorders>
          </w:tcPr>
          <w:p>
            <w:pPr>
              <w:spacing w:after="0"/>
              <w:rPr>
                <w:sz w:val="20"/>
                <w:szCs w:val="20"/>
                <w:color w:val="auto"/>
              </w:rPr>
            </w:pPr>
          </w:p>
        </w:tc>
      </w:tr>
      <w:tr>
        <w:trPr>
          <w:trHeight w:val="604"/>
        </w:trPr>
        <w:tc>
          <w:tcPr>
            <w:tcW w:w="4180" w:type="dxa"/>
            <w:vAlign w:val="bottom"/>
          </w:tcPr>
          <w:p>
            <w:pPr>
              <w:spacing w:after="0"/>
              <w:rPr>
                <w:sz w:val="24"/>
                <w:szCs w:val="24"/>
                <w:color w:val="auto"/>
              </w:rPr>
            </w:pPr>
          </w:p>
        </w:tc>
        <w:tc>
          <w:tcPr>
            <w:tcW w:w="6860" w:type="dxa"/>
            <w:vAlign w:val="bottom"/>
          </w:tcPr>
          <w:p>
            <w:pPr>
              <w:ind w:left="128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Investing in our common stock involves a high degree of risk. You should consider carefully the risks and uncertainties described under the section captioned “Risk Factors” contained in our most recent Annual Report on Form 10-K and other filings we make with the SEC from time to time, which are incorporated by reference herein in their entirety, together with other information in this prospectus, the information and documents incorporated by reference in this prospectus, and in any prospectus supplement. If any of these risks actually occur, our business, financial condition, results of operations or cash flow could suffer materially.</w:t>
      </w:r>
    </w:p>
    <w:p>
      <w:pPr>
        <w:spacing w:after="0" w:line="12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240" w:top="459" w:right="5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will not receive any proceeds from the sale of shares by the selling stockholder.</w:t>
      </w:r>
    </w:p>
    <w:p>
      <w:pPr>
        <w:spacing w:after="0" w:line="225"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selling stockholder will pay any underwriting discounts and commissions and expenses incurred by the selling stockholder for brokerage, accounting, tax or legal services or any other expenses incurred by the selling stockholder in disposing of the shares. We will bear all other costs, fees and expenses incurred in effecting the registration of the shares covered by this prospectus, including, without limitation, all registration and filing fees, Nasdaq Global Select Market listing fees and fees and expenses of our counsel and our accountants.</w:t>
      </w:r>
    </w:p>
    <w:p>
      <w:pPr>
        <w:spacing w:after="0" w:line="10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240" w:top="459" w:right="5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SELLING STOCKHOLDER</w:t>
      </w:r>
    </w:p>
    <w:p>
      <w:pPr>
        <w:spacing w:after="0" w:line="229"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established Analog Devices Foundation (the “selling stockholder”) in December 2019 as a nonprofit non-stock corporation, of which Analog Devices, Inc. is the sole member, for the purposes of making charitable contributions for charitable, scientific or educational purposes. The selling stockholder is a related charitable organization that operates separately from us.</w:t>
      </w:r>
    </w:p>
    <w:p>
      <w:pPr>
        <w:spacing w:after="0" w:line="181"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The following table sets forth information regarding the selling stockholder and the shares that may be offered and sold from time to time by it pursuant to this prospectus. On December 23, 2019, we contributed 335,654 shares of our common stock to the selling stockholder, which are the shares that may be offered and sold pursuant to this prospectus. In connection with the contribution, we agreed to register the shares of common stock offered under this prospectus under the Securities Act. The directors of the selling stockholder are Prashanth Mahendra-Rajah, Margaret K. Seif and Daniel Leibholz, each of whom is an employee and officer of Analog Devices, Inc. The officers of the selling stockholder are Stephanie Sidelko, Michael Sondel, Christina Dervin and Eric French, each of whom is an employee and/or officer of Analog Devices, Inc. Other than the foregoing, based on representations made to us by the selling stockholder, to our knowledge, the selling stockholder has not had, nor within the past three years has had, any position, office or other material relationship with us or any of our affiliates.</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4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1"/>
              </w:rPr>
              <w:t>Shares of Common Stock</w:t>
            </w: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Shares</w:t>
            </w:r>
          </w:p>
        </w:tc>
        <w:tc>
          <w:tcPr>
            <w:tcW w:w="520" w:type="dxa"/>
            <w:vAlign w:val="bottom"/>
          </w:tcPr>
          <w:p>
            <w:pPr>
              <w:spacing w:after="0"/>
              <w:rPr>
                <w:sz w:val="14"/>
                <w:szCs w:val="14"/>
                <w:color w:val="auto"/>
              </w:rPr>
            </w:pPr>
          </w:p>
        </w:tc>
        <w:tc>
          <w:tcPr>
            <w:tcW w:w="21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Shares of Common Stock</w:t>
            </w:r>
          </w:p>
        </w:tc>
        <w:tc>
          <w:tcPr>
            <w:tcW w:w="0" w:type="dxa"/>
            <w:vAlign w:val="bottom"/>
          </w:tcPr>
          <w:p>
            <w:pPr>
              <w:spacing w:after="0"/>
              <w:rPr>
                <w:sz w:val="1"/>
                <w:szCs w:val="1"/>
                <w:color w:val="auto"/>
              </w:rPr>
            </w:pPr>
          </w:p>
        </w:tc>
      </w:tr>
      <w:tr>
        <w:trPr>
          <w:trHeight w:val="149"/>
        </w:trPr>
        <w:tc>
          <w:tcPr>
            <w:tcW w:w="4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Selling Stockholder</w:t>
            </w:r>
          </w:p>
        </w:tc>
        <w:tc>
          <w:tcPr>
            <w:tcW w:w="246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Beneficially Owned Prior</w:t>
            </w:r>
          </w:p>
        </w:tc>
        <w:tc>
          <w:tcPr>
            <w:tcW w:w="2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of Common Stock</w:t>
            </w:r>
          </w:p>
        </w:tc>
        <w:tc>
          <w:tcPr>
            <w:tcW w:w="520" w:type="dxa"/>
            <w:vAlign w:val="bottom"/>
          </w:tcPr>
          <w:p>
            <w:pPr>
              <w:spacing w:after="0"/>
              <w:rPr>
                <w:sz w:val="12"/>
                <w:szCs w:val="12"/>
                <w:color w:val="auto"/>
              </w:rPr>
            </w:pPr>
          </w:p>
        </w:tc>
        <w:tc>
          <w:tcPr>
            <w:tcW w:w="214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to be Beneficially Owned</w:t>
            </w:r>
          </w:p>
        </w:tc>
        <w:tc>
          <w:tcPr>
            <w:tcW w:w="0" w:type="dxa"/>
            <w:vAlign w:val="bottom"/>
          </w:tcPr>
          <w:p>
            <w:pPr>
              <w:spacing w:after="0"/>
              <w:rPr>
                <w:sz w:val="1"/>
                <w:szCs w:val="1"/>
                <w:color w:val="auto"/>
              </w:rPr>
            </w:pPr>
          </w:p>
        </w:tc>
      </w:tr>
      <w:tr>
        <w:trPr>
          <w:trHeight w:val="165"/>
        </w:trPr>
        <w:tc>
          <w:tcPr>
            <w:tcW w:w="4540" w:type="dxa"/>
            <w:vAlign w:val="bottom"/>
            <w:gridSpan w:val="3"/>
            <w:vMerge w:val="continue"/>
          </w:tcPr>
          <w:p>
            <w:pPr>
              <w:spacing w:after="0"/>
              <w:rPr>
                <w:sz w:val="14"/>
                <w:szCs w:val="14"/>
                <w:color w:val="auto"/>
              </w:rPr>
            </w:pPr>
          </w:p>
        </w:tc>
        <w:tc>
          <w:tcPr>
            <w:tcW w:w="2460" w:type="dxa"/>
            <w:vAlign w:val="bottom"/>
            <w:gridSpan w:val="4"/>
          </w:tcPr>
          <w:p>
            <w:pPr>
              <w:jc w:val="center"/>
              <w:ind w:right="420"/>
              <w:spacing w:after="0" w:line="158" w:lineRule="exact"/>
              <w:rPr>
                <w:sz w:val="20"/>
                <w:szCs w:val="20"/>
                <w:color w:val="auto"/>
              </w:rPr>
            </w:pPr>
            <w:r>
              <w:rPr>
                <w:rFonts w:ascii="Arial" w:cs="Arial" w:eastAsia="Arial" w:hAnsi="Arial"/>
                <w:sz w:val="14"/>
                <w:szCs w:val="14"/>
                <w:b w:val="1"/>
                <w:bCs w:val="1"/>
                <w:color w:val="auto"/>
                <w:w w:val="95"/>
              </w:rPr>
              <w:t>to Offering (1)</w:t>
            </w:r>
          </w:p>
        </w:tc>
        <w:tc>
          <w:tcPr>
            <w:tcW w:w="240" w:type="dxa"/>
            <w:vAlign w:val="bottom"/>
          </w:tcPr>
          <w:p>
            <w:pPr>
              <w:spacing w:after="0"/>
              <w:rPr>
                <w:sz w:val="14"/>
                <w:szCs w:val="14"/>
                <w:color w:val="auto"/>
              </w:rPr>
            </w:pPr>
          </w:p>
        </w:tc>
        <w:tc>
          <w:tcPr>
            <w:tcW w:w="1140" w:type="dxa"/>
            <w:vAlign w:val="bottom"/>
          </w:tcPr>
          <w:p>
            <w:pPr>
              <w:jc w:val="right"/>
              <w:ind w:right="68"/>
              <w:spacing w:after="0" w:line="158" w:lineRule="exact"/>
              <w:rPr>
                <w:sz w:val="20"/>
                <w:szCs w:val="20"/>
                <w:color w:val="auto"/>
              </w:rPr>
            </w:pPr>
            <w:r>
              <w:rPr>
                <w:rFonts w:ascii="Arial" w:cs="Arial" w:eastAsia="Arial" w:hAnsi="Arial"/>
                <w:sz w:val="14"/>
                <w:szCs w:val="14"/>
                <w:b w:val="1"/>
                <w:bCs w:val="1"/>
                <w:color w:val="auto"/>
              </w:rPr>
              <w:t>Being Offered</w:t>
            </w:r>
          </w:p>
        </w:tc>
        <w:tc>
          <w:tcPr>
            <w:tcW w:w="520" w:type="dxa"/>
            <w:vAlign w:val="bottom"/>
          </w:tcPr>
          <w:p>
            <w:pPr>
              <w:spacing w:after="0"/>
              <w:rPr>
                <w:sz w:val="14"/>
                <w:szCs w:val="14"/>
                <w:color w:val="auto"/>
              </w:rPr>
            </w:pPr>
          </w:p>
        </w:tc>
        <w:tc>
          <w:tcPr>
            <w:tcW w:w="2140" w:type="dxa"/>
            <w:vAlign w:val="bottom"/>
            <w:gridSpan w:val="4"/>
          </w:tcPr>
          <w:p>
            <w:pPr>
              <w:jc w:val="center"/>
              <w:ind w:right="240"/>
              <w:spacing w:after="0" w:line="158" w:lineRule="exact"/>
              <w:rPr>
                <w:sz w:val="20"/>
                <w:szCs w:val="20"/>
                <w:color w:val="auto"/>
              </w:rPr>
            </w:pPr>
            <w:r>
              <w:rPr>
                <w:rFonts w:ascii="Arial" w:cs="Arial" w:eastAsia="Arial" w:hAnsi="Arial"/>
                <w:sz w:val="14"/>
                <w:szCs w:val="14"/>
                <w:b w:val="1"/>
                <w:bCs w:val="1"/>
                <w:color w:val="auto"/>
                <w:w w:val="98"/>
              </w:rPr>
              <w:t>After Offering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2780" w:type="dxa"/>
            <w:vAlign w:val="bottom"/>
          </w:tcPr>
          <w:p>
            <w:pPr>
              <w:spacing w:after="0"/>
              <w:rPr>
                <w:sz w:val="12"/>
                <w:szCs w:val="12"/>
                <w:color w:val="auto"/>
              </w:rPr>
            </w:pPr>
          </w:p>
        </w:tc>
        <w:tc>
          <w:tcPr>
            <w:tcW w:w="640" w:type="dxa"/>
            <w:vAlign w:val="bottom"/>
            <w:tcBorders>
              <w:top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rPr>
              <w:t>Number</w:t>
            </w:r>
          </w:p>
        </w:tc>
        <w:tc>
          <w:tcPr>
            <w:tcW w:w="5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b w:val="1"/>
                <w:bCs w:val="1"/>
                <w:color w:val="auto"/>
                <w:w w:val="91"/>
              </w:rPr>
              <w:t>Percentage (3)</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0"/>
              </w:rPr>
              <w:t>Number</w:t>
            </w:r>
          </w:p>
        </w:tc>
        <w:tc>
          <w:tcPr>
            <w:tcW w:w="1400" w:type="dxa"/>
            <w:vAlign w:val="bottom"/>
            <w:tcBorders>
              <w:top w:val="single" w:sz="8" w:color="auto"/>
            </w:tcBorders>
            <w:gridSpan w:val="2"/>
          </w:tcPr>
          <w:p>
            <w:pPr>
              <w:ind w:left="520"/>
              <w:spacing w:after="0" w:line="149" w:lineRule="exact"/>
              <w:rPr>
                <w:sz w:val="20"/>
                <w:szCs w:val="20"/>
                <w:color w:val="auto"/>
              </w:rPr>
            </w:pPr>
            <w:r>
              <w:rPr>
                <w:rFonts w:ascii="Arial" w:cs="Arial" w:eastAsia="Arial" w:hAnsi="Arial"/>
                <w:sz w:val="14"/>
                <w:szCs w:val="14"/>
                <w:b w:val="1"/>
                <w:bCs w:val="1"/>
                <w:color w:val="auto"/>
                <w:w w:val="89"/>
              </w:rPr>
              <w:t>Percentage (3)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Analog Devices Foundation (2)</w:t>
            </w:r>
          </w:p>
        </w:tc>
        <w:tc>
          <w:tcPr>
            <w:tcW w:w="64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335,654</w:t>
            </w:r>
          </w:p>
        </w:tc>
        <w:tc>
          <w:tcPr>
            <w:tcW w:w="5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gridSpan w:val="2"/>
            <w:vMerge w:val="continue"/>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335,654</w:t>
            </w:r>
          </w:p>
        </w:tc>
        <w:tc>
          <w:tcPr>
            <w:tcW w:w="52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0.09%</w:t>
            </w:r>
          </w:p>
        </w:tc>
        <w:tc>
          <w:tcPr>
            <w:tcW w:w="138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740" w:right="40" w:hanging="536"/>
        <w:spacing w:after="0" w:line="259"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selling stockholder might not sell any or all of the shares offered by this prospectus. Because the selling stockholder may offer all or some of the shares pursuant to this offering, we cannot estimate the number of the shares that will be held by the selling stockholder after completion of the offering. However, for purposes of this table, we have assumed that, after completion of the offering, none of the shares covered by this prospectus will be held by the selling stockholder.</w:t>
      </w:r>
    </w:p>
    <w:p>
      <w:pPr>
        <w:spacing w:after="0" w:line="92" w:lineRule="exact"/>
        <w:rPr>
          <w:rFonts w:ascii="Arial" w:cs="Arial" w:eastAsia="Arial" w:hAnsi="Arial"/>
          <w:sz w:val="18"/>
          <w:szCs w:val="18"/>
          <w:color w:val="auto"/>
        </w:rPr>
      </w:pPr>
    </w:p>
    <w:p>
      <w:pPr>
        <w:ind w:left="740" w:right="20" w:hanging="536"/>
        <w:spacing w:after="0" w:line="259"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board of directors of the selling stockholder, comprised of Prashanth Mahendra-Rajah, Margaret K. Seif and Daniel Leibholz, has voting and investment power over the shares. No director may act individually to vote or sell shares held by the selling stockholder; therefore, no individual director is deemed to beneficially own any shares held by the selling stockholder solely by virtue of the fact that he or she is a director of the selling stockholder.</w:t>
      </w:r>
    </w:p>
    <w:p>
      <w:pPr>
        <w:spacing w:after="0" w:line="92" w:lineRule="exact"/>
        <w:rPr>
          <w:rFonts w:ascii="Arial" w:cs="Arial" w:eastAsia="Arial" w:hAnsi="Arial"/>
          <w:sz w:val="18"/>
          <w:szCs w:val="18"/>
          <w:color w:val="auto"/>
        </w:rPr>
      </w:pPr>
    </w:p>
    <w:p>
      <w:pPr>
        <w:ind w:left="740" w:hanging="536"/>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369,010,543 shares of our common stock outstanding on January 3, 2020.</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The shares covered by this prospectus may be offered and sold from time to time by the selling stockholder. The term “selling stockholder” includes donees, pledgees, assignees, transferees or other successors-in-interest selling shares received after the date of this prospectus from the selling stockholder as a gift, pledge, partnership distribution or other non-sale related transfer. The selling stockholder will act independently of us in making decisions with respect to the timing, manner and size of each sale. Such sales may be made on one or more exchanges in any market or trading facility on which the shares are traded, or in the over-the-counter market or otherwise, at fixed prices, at prices and under terms then prevailing or at prices related to the then current market price or in negotiated transactions. The selling stockholder may sell its shares by one or more of, or a combination of, the following methods:</w:t>
      </w:r>
    </w:p>
    <w:p>
      <w:pPr>
        <w:spacing w:after="0" w:line="95" w:lineRule="exact"/>
        <w:rPr>
          <w:sz w:val="20"/>
          <w:szCs w:val="20"/>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shares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one or more underwritten offerings on a firm commitment or best efforts basis;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over-the-counter distributions in accordance with the rules of the Nasdaq Global Select Market;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options transactions;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directly to one or more purchasers, including affiliates;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combination of any such methods of disposition;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any shares that qualify for sale pursuant to Rule 144 may be sold under Rule 144 rather than pursuant to this prospectus.</w:t>
      </w:r>
    </w:p>
    <w:p>
      <w:pPr>
        <w:spacing w:after="0" w:line="225" w:lineRule="exact"/>
        <w:rPr>
          <w:sz w:val="20"/>
          <w:szCs w:val="20"/>
          <w:color w:val="auto"/>
        </w:rPr>
      </w:pPr>
    </w:p>
    <w:p>
      <w:pPr>
        <w:ind w:left="200" w:right="120" w:firstLine="441"/>
        <w:spacing w:after="0" w:line="270" w:lineRule="auto"/>
        <w:rPr>
          <w:sz w:val="20"/>
          <w:szCs w:val="20"/>
          <w:color w:val="auto"/>
        </w:rPr>
      </w:pPr>
      <w:r>
        <w:rPr>
          <w:rFonts w:ascii="Arial" w:cs="Arial" w:eastAsia="Arial" w:hAnsi="Arial"/>
          <w:sz w:val="17"/>
          <w:szCs w:val="17"/>
          <w:color w:val="auto"/>
        </w:rPr>
        <w:t>To the extent required, this prospectus may be amended or supplemented from time to time to describe a specific plan of distribution. In connection with distributions of the shares or otherwise, the selling stockholder may enter into hedging transactions with broker-dealers or other financial institutions. In connection with such transactions, broker-dealers or other financial institutions may engage in short sales of the common stock in the course of hedging the positions they assume with the selling stockholder. The selling stockholder may also sell the common stock short and redeliver the shares to close out such short positions. The selling stockholder may also enter into option or other transactions with broker-dealers or other financial institutions which require the delivery to such broker-dealer or other financial institution of shares offered by this prospectus, which shares such broker-dealer or other financial institution may resell pursuant to this prospectus (as supplemented or amended to reflect such transaction). The selling stockholder may also pledge or grant a security interest in shares to a broker-dealer, other financial institution or other person, and, upon a default such pledgee or secured parties may effect sales of the pledged shares pursuant to this prospectus (as supplemented or amended to reflect such transaction).</w:t>
      </w:r>
    </w:p>
    <w:p>
      <w:pPr>
        <w:spacing w:after="0" w:line="178"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In effecting sales, broker-dealers or agents engaged by the selling stockholder may arrange for other broker-dealers to participate. Broker-dealers or agents may receive commissions, discounts or concessions from the selling stockholder in amounts to be negotiated immediately prior to the sale.</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In offering the shares covered by this prospectus, the selling stockholder and any broker-dealers who execute sales for the selling stockholder may be deemed to be “underwriters” within the meaning of the Securities Act in connection with such sales. Any profits realized by the selling stockholder and the compensation of any broker-dealer may be deemed to be underwriting discounts and commissions.</w:t>
      </w:r>
    </w:p>
    <w:p>
      <w:pPr>
        <w:spacing w:after="0" w:line="166"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In order to comply with the securities laws of certain states, if applicable, the shares must be sold in such jurisdictions only through registered or licensed brokers or dealers. In addition, in certain states the shares may not be sold unless they have been registered or qualified for sale in the applicable state or an exemption from the registration or qualification requirement is available and is complied with.</w:t>
      </w:r>
    </w:p>
    <w:p>
      <w:pPr>
        <w:spacing w:after="0" w:line="166" w:lineRule="exact"/>
        <w:rPr>
          <w:sz w:val="20"/>
          <w:szCs w:val="20"/>
          <w:color w:val="auto"/>
        </w:rPr>
      </w:pPr>
    </w:p>
    <w:p>
      <w:pPr>
        <w:jc w:val="both"/>
        <w:ind w:left="200" w:right="80" w:firstLine="441"/>
        <w:spacing w:after="0" w:line="302" w:lineRule="auto"/>
        <w:rPr>
          <w:sz w:val="20"/>
          <w:szCs w:val="20"/>
          <w:color w:val="auto"/>
        </w:rPr>
      </w:pPr>
      <w:r>
        <w:rPr>
          <w:rFonts w:ascii="Arial" w:cs="Arial" w:eastAsia="Arial" w:hAnsi="Arial"/>
          <w:sz w:val="16"/>
          <w:szCs w:val="16"/>
          <w:color w:val="auto"/>
        </w:rPr>
        <w:t>We have advised the selling stockholder that the anti-manipulation rules of Regulation M under the Exchange Act may apply to sales of shares in the market and to the activities of the selling stockholder and their affiliates. In addition, we will make copies of this prospectus available to the selling stockholder for the purpose of satisfying the prospectus delivery requirements of the Securities Act</w:t>
      </w:r>
      <w:r>
        <w:rPr>
          <w:rFonts w:ascii="Arial" w:cs="Arial" w:eastAsia="Arial" w:hAnsi="Arial"/>
          <w:sz w:val="16"/>
          <w:szCs w:val="16"/>
          <w:i w:val="1"/>
          <w:iCs w:val="1"/>
          <w:color w:val="auto"/>
        </w:rPr>
        <w:t>.</w:t>
      </w:r>
      <w:r>
        <w:rPr>
          <w:rFonts w:ascii="Arial" w:cs="Arial" w:eastAsia="Arial" w:hAnsi="Arial"/>
          <w:sz w:val="16"/>
          <w:szCs w:val="16"/>
          <w:color w:val="auto"/>
        </w:rPr>
        <w:t xml:space="preserve"> The selling stockholder may indemnify any broker-dealer that participates in transactions involving the sale of the shares against certain liabilities, including liabilities arising under the Securities Act.</w:t>
      </w:r>
    </w:p>
    <w:p>
      <w:pPr>
        <w:spacing w:after="0" w:line="154"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At the time a particular offer of shares is made, if required, a prospectus supplement will be distributed that will set forth the number of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validity of the shares offered by this prospectus has been passed upon by Wilmer Cutler Pickering Hale and Dorr LLP.</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consolidated financial statements of Analog Devices, Inc. appearing in Analog Devices, Inc.’s Annual Report (Form 10-K) for the year ended November 2, 2019 (including the schedule appearing therein), and the effectiveness of Analog Devices, Inc.’s internal control over financial reporting as of November 2, 2019,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http://www.analog.com. The information contained on, or that can be accessed through, our website is not a part of this prospectus and is not incorporated by reference. We have included our website address in this prospectus solely as an inactive textual reference.</w:t>
      </w:r>
    </w:p>
    <w:p>
      <w:pPr>
        <w:spacing w:after="0" w:line="17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40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SEC requires us to “incorporate” into this prospectus information that we file with the SEC in other documents. This means that we can disclose important information to you by referring to other documents that contain that information. The information incorporated by reference is considered to be part of this prospectus. Information contained in this prospectus and information that we file with the SEC in the future and incorporate by reference in this prospectus automatically updates and supersedes previously filed information. We incorporate by reference the documents listed below and any future filings we make with the SEC under Sections 13(a), 13(c), 14 or 15(d) of the Exchange Act after the date of this prospectus and prior to the sale of all the shares covered by this prospectus.</w:t>
      </w:r>
    </w:p>
    <w:p>
      <w:pPr>
        <w:spacing w:after="0" w:line="99" w:lineRule="exact"/>
        <w:rPr>
          <w:sz w:val="20"/>
          <w:szCs w:val="20"/>
          <w:color w:val="auto"/>
        </w:rPr>
      </w:pPr>
    </w:p>
    <w:p>
      <w:pPr>
        <w:ind w:left="1620" w:hanging="430"/>
        <w:spacing w:after="0"/>
        <w:tabs>
          <w:tab w:leader="none" w:pos="1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Our Annual Report on </w:t>
      </w:r>
      <w:hyperlink r:id="rId37">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year ended November 2, 2019, filed with the SEC on November 26, 2019;</w:t>
      </w:r>
    </w:p>
    <w:p>
      <w:pPr>
        <w:spacing w:after="0" w:line="142" w:lineRule="exact"/>
        <w:rPr>
          <w:rFonts w:ascii="Arial" w:cs="Arial" w:eastAsia="Arial" w:hAnsi="Arial"/>
          <w:sz w:val="17"/>
          <w:szCs w:val="17"/>
          <w:color w:val="auto"/>
        </w:rPr>
      </w:pPr>
    </w:p>
    <w:p>
      <w:pPr>
        <w:ind w:left="1620" w:right="140" w:hanging="430"/>
        <w:spacing w:after="0" w:line="277"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Our </w:t>
      </w:r>
      <w:hyperlink r:id="rId38">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on Schedule 14A, as filed with the SEC on January 25, 2019 (excluding those portions that are not incorporated by reference into our Annual Report on Form 10-K for the year ended November 3, 2018);</w:t>
      </w:r>
    </w:p>
    <w:p>
      <w:pPr>
        <w:spacing w:after="0" w:line="75" w:lineRule="exact"/>
        <w:rPr>
          <w:rFonts w:ascii="Arial" w:cs="Arial" w:eastAsia="Arial" w:hAnsi="Arial"/>
          <w:sz w:val="18"/>
          <w:szCs w:val="18"/>
          <w:color w:val="auto"/>
        </w:rPr>
      </w:pPr>
    </w:p>
    <w:p>
      <w:pPr>
        <w:ind w:left="1620" w:hanging="430"/>
        <w:spacing w:after="0" w:line="277" w:lineRule="auto"/>
        <w:tabs>
          <w:tab w:leader="none" w:pos="1620" w:val="left"/>
        </w:tabs>
        <w:numPr>
          <w:ilvl w:val="0"/>
          <w:numId w:val="4"/>
        </w:numPr>
        <w:rPr>
          <w:rFonts w:ascii="Arial" w:cs="Arial" w:eastAsia="Arial" w:hAnsi="Arial"/>
          <w:sz w:val="18"/>
          <w:szCs w:val="18"/>
          <w:color w:val="0000EE"/>
        </w:rPr>
      </w:pPr>
      <w:hyperlink r:id="rId39">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November 26, 2019</w:t>
        </w:r>
        <w:r>
          <w:rPr>
            <w:rFonts w:ascii="Arial" w:cs="Arial" w:eastAsia="Arial" w:hAnsi="Arial"/>
            <w:sz w:val="18"/>
            <w:szCs w:val="18"/>
            <w:color w:val="auto"/>
          </w:rPr>
          <w:t xml:space="preserve"> (Item 5.02 only), </w:t>
        </w:r>
        <w:r>
          <w:rPr>
            <w:rFonts w:ascii="Arial" w:cs="Arial" w:eastAsia="Arial" w:hAnsi="Arial"/>
            <w:sz w:val="18"/>
            <w:szCs w:val="18"/>
            <w:u w:val="single" w:color="auto"/>
            <w:color w:val="0000EE"/>
          </w:rPr>
          <w:t>December 5, 2019</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December 13,</w:t>
        </w:r>
      </w:hyperlink>
      <w:r>
        <w:rPr>
          <w:rFonts w:ascii="Arial" w:cs="Arial" w:eastAsia="Arial" w:hAnsi="Arial"/>
          <w:sz w:val="18"/>
          <w:szCs w:val="18"/>
          <w:color w:val="auto"/>
        </w:rPr>
        <w:t xml:space="preserve"> </w:t>
      </w:r>
      <w:hyperlink r:id="rId39">
        <w:r>
          <w:rPr>
            <w:rFonts w:ascii="Arial" w:cs="Arial" w:eastAsia="Arial" w:hAnsi="Arial"/>
            <w:sz w:val="18"/>
            <w:szCs w:val="18"/>
            <w:u w:val="single" w:color="auto"/>
            <w:color w:val="0000EE"/>
          </w:rPr>
          <w:t>2019</w:t>
        </w:r>
        <w:r>
          <w:rPr>
            <w:rFonts w:ascii="Arial" w:cs="Arial" w:eastAsia="Arial" w:hAnsi="Arial"/>
            <w:sz w:val="18"/>
            <w:szCs w:val="18"/>
            <w:color w:val="000000"/>
          </w:rPr>
          <w:t>;</w:t>
        </w:r>
      </w:hyperlink>
    </w:p>
    <w:p>
      <w:pPr>
        <w:spacing w:after="0" w:line="103"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430"/>
        <w:spacing w:after="0" w:line="279" w:lineRule="auto"/>
        <w:tabs>
          <w:tab w:leader="none" w:pos="1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the unaudited condensed consolidated balance sheet of Linear Technology Corporation as of January 1, 2017, the unaudited condensed consolidated statements of operations, comprehensive income and cash flows for the six-month periods ended January 1, 2017 and January 3, 2016 and the related notes to such unaudited condensed consolidated financial statement, filed as </w:t>
      </w:r>
      <w:hyperlink r:id="rId41">
        <w:r>
          <w:rPr>
            <w:rFonts w:ascii="Arial" w:cs="Arial" w:eastAsia="Arial" w:hAnsi="Arial"/>
            <w:sz w:val="17"/>
            <w:szCs w:val="17"/>
            <w:u w:val="single" w:color="auto"/>
            <w:color w:val="0000EE"/>
          </w:rPr>
          <w:t>Exhibit 99.2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to Amendment No. 1 to our Current Report on </w:t>
      </w:r>
      <w:hyperlink r:id="rId42">
        <w:r>
          <w:rPr>
            <w:rFonts w:ascii="Arial" w:cs="Arial" w:eastAsia="Arial" w:hAnsi="Arial"/>
            <w:sz w:val="17"/>
            <w:szCs w:val="17"/>
            <w:u w:val="single" w:color="auto"/>
            <w:color w:val="0000EE"/>
          </w:rPr>
          <w:t>Form 8-K</w:t>
        </w:r>
      </w:hyperlink>
      <w:r>
        <w:rPr>
          <w:rFonts w:ascii="Arial" w:cs="Arial" w:eastAsia="Arial" w:hAnsi="Arial"/>
          <w:sz w:val="17"/>
          <w:szCs w:val="17"/>
          <w:color w:val="auto"/>
        </w:rPr>
        <w:t>, filed with the SEC on May 23, 2017; and</w:t>
      </w:r>
    </w:p>
    <w:p>
      <w:pPr>
        <w:spacing w:after="0" w:line="76" w:lineRule="exact"/>
        <w:rPr>
          <w:rFonts w:ascii="Arial" w:cs="Arial" w:eastAsia="Arial" w:hAnsi="Arial"/>
          <w:sz w:val="17"/>
          <w:szCs w:val="17"/>
          <w:color w:val="auto"/>
        </w:rPr>
      </w:pPr>
    </w:p>
    <w:p>
      <w:pPr>
        <w:ind w:left="1620" w:right="300" w:hanging="430"/>
        <w:spacing w:after="0" w:line="277"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Form 8-A dated </w:t>
      </w:r>
      <w:hyperlink r:id="rId43">
        <w:r>
          <w:rPr>
            <w:rFonts w:ascii="Arial" w:cs="Arial" w:eastAsia="Arial" w:hAnsi="Arial"/>
            <w:sz w:val="18"/>
            <w:szCs w:val="18"/>
            <w:u w:val="single" w:color="auto"/>
            <w:color w:val="0000EE"/>
          </w:rPr>
          <w:t>March 21, 2012</w:t>
        </w:r>
      </w:hyperlink>
      <w:r>
        <w:rPr>
          <w:rFonts w:ascii="Arial" w:cs="Arial" w:eastAsia="Arial" w:hAnsi="Arial"/>
          <w:sz w:val="18"/>
          <w:szCs w:val="18"/>
          <w:color w:val="auto"/>
        </w:rPr>
        <w:t xml:space="preserve">, as updated by Exhibit 4.6 to our Annual Report on Form 10-K for the fiscal year ended </w:t>
      </w:r>
      <w:hyperlink r:id="rId44">
        <w:r>
          <w:rPr>
            <w:rFonts w:ascii="Arial" w:cs="Arial" w:eastAsia="Arial" w:hAnsi="Arial"/>
            <w:sz w:val="18"/>
            <w:szCs w:val="18"/>
            <w:u w:val="single" w:color="auto"/>
            <w:color w:val="0000EE"/>
          </w:rPr>
          <w:t>November 2, 2019</w:t>
        </w:r>
      </w:hyperlink>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200" w:right="40" w:firstLine="441"/>
        <w:spacing w:after="0" w:line="259" w:lineRule="auto"/>
        <w:rPr>
          <w:sz w:val="20"/>
          <w:szCs w:val="20"/>
          <w:color w:val="auto"/>
        </w:rPr>
      </w:pPr>
      <w:r>
        <w:rPr>
          <w:rFonts w:ascii="Arial" w:cs="Arial" w:eastAsia="Arial" w:hAnsi="Arial"/>
          <w:sz w:val="18"/>
          <w:szCs w:val="18"/>
          <w:color w:val="auto"/>
        </w:rPr>
        <w:t>A statement contained in a document incorporated by reference into this prospectus shall be deemed to be modified or superceded for purposes of this prospectus to the extent that a statement contained in this prospectus, any prospectus supplement or in any other subsequently filed document which is also incorporated in this prospectus modifies or replaces such statement. Any statements so modified or superceded shall not be deemed, except as so modified or superceded, to constitute a part of this prospectus.</w:t>
      </w:r>
    </w:p>
    <w:p>
      <w:pPr>
        <w:spacing w:after="0" w:line="187" w:lineRule="exact"/>
        <w:rPr>
          <w:rFonts w:ascii="Arial" w:cs="Arial" w:eastAsia="Arial" w:hAnsi="Arial"/>
          <w:sz w:val="18"/>
          <w:szCs w:val="18"/>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You may request a copy of these documents, which will be provided to you at no cost, by writing or telephoning us using the following contact information:</w:t>
      </w:r>
    </w:p>
    <w:p>
      <w:pPr>
        <w:spacing w:after="0" w:line="62"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color w:val="auto"/>
        </w:rPr>
        <w:t>Analog Devices, Inc.</w:t>
      </w:r>
    </w:p>
    <w:p>
      <w:pPr>
        <w:spacing w:after="0" w:line="23"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color w:val="auto"/>
        </w:rPr>
        <w:t>One Technology Way</w:t>
      </w:r>
    </w:p>
    <w:p>
      <w:pPr>
        <w:spacing w:after="0" w:line="9"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color w:val="auto"/>
        </w:rPr>
        <w:t>Norwood, MA 02062</w:t>
      </w:r>
    </w:p>
    <w:p>
      <w:pPr>
        <w:spacing w:after="0" w:line="9"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color w:val="auto"/>
        </w:rPr>
        <w:t>Telephone: (781) 461-3282</w:t>
      </w:r>
    </w:p>
    <w:p>
      <w:pPr>
        <w:spacing w:after="0" w:line="9"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color w:val="auto"/>
        </w:rPr>
        <w:t>Attention: Investor Relations</w:t>
      </w:r>
    </w:p>
    <w:p>
      <w:pPr>
        <w:spacing w:after="0" w:line="143"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jc w:val="both"/>
        <w:ind w:left="200" w:right="280" w:firstLine="441"/>
        <w:spacing w:after="0" w:line="312" w:lineRule="auto"/>
        <w:rPr>
          <w:sz w:val="20"/>
          <w:szCs w:val="20"/>
          <w:color w:val="auto"/>
        </w:rPr>
      </w:pPr>
      <w:r>
        <w:rPr>
          <w:rFonts w:ascii="Arial" w:cs="Arial" w:eastAsia="Arial" w:hAnsi="Arial"/>
          <w:sz w:val="16"/>
          <w:szCs w:val="16"/>
          <w:color w:val="auto"/>
        </w:rPr>
        <w:t>The following table sets forth the various expenses to be incurred in connection with the sale and distribution of the securities being registered hereby, all of which will be borne by Analog Devices, Inc. (except any underwriting discounts and commissions and expenses incurred by the selling stockholder for brokerage, accounting, tax or legal services or any other expenses incurred by the selling stockholder in disposing of the shares).</w:t>
      </w:r>
    </w:p>
    <w:p>
      <w:pPr>
        <w:sectPr>
          <w:pgSz w:w="11900" w:h="16838" w:orient="portrait"/>
          <w:cols w:equalWidth="0" w:num="1">
            <w:col w:w="11220"/>
          </w:cols>
          <w:pgMar w:left="240" w:top="459" w:right="439" w:bottom="1440" w:gutter="0" w:footer="0" w:header="0"/>
        </w:sectPr>
      </w:pPr>
    </w:p>
    <w:p>
      <w:pPr>
        <w:spacing w:after="0" w:line="17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-121920</wp:posOffset>
            </wp:positionV>
            <wp:extent cx="587438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5874385" cy="137160"/>
                    </a:xfrm>
                    <a:prstGeom prst="rect">
                      <a:avLst/>
                    </a:prstGeom>
                    <a:noFill/>
                  </pic:spPr>
                </pic:pic>
              </a:graphicData>
            </a:graphic>
          </wp:anchor>
        </w:drawing>
      </w:r>
    </w:p>
    <w:p>
      <w:pPr>
        <w:spacing w:after="0" w:line="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-116205</wp:posOffset>
            </wp:positionV>
            <wp:extent cx="587438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5874385" cy="137160"/>
                    </a:xfrm>
                    <a:prstGeom prst="rect">
                      <a:avLst/>
                    </a:prstGeom>
                    <a:noFill/>
                  </pic:spPr>
                </pic:pic>
              </a:graphicData>
            </a:graphic>
          </wp:anchor>
        </w:drawing>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Miscellaneous expenses</w:t>
      </w:r>
    </w:p>
    <w:p>
      <w:pPr>
        <w:spacing w:after="0" w:line="2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Total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-121920</wp:posOffset>
            </wp:positionV>
            <wp:extent cx="587438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587438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$5,074.35</w:t>
      </w:r>
    </w:p>
    <w:p>
      <w:pPr>
        <w:spacing w:after="0" w:line="35" w:lineRule="exact"/>
        <w:rPr>
          <w:sz w:val="20"/>
          <w:szCs w:val="20"/>
          <w:color w:val="auto"/>
        </w:rPr>
      </w:pPr>
    </w:p>
    <w:p>
      <w:pPr>
        <w:ind w:left="580" w:hanging="57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(1)</w:t>
      </w:r>
    </w:p>
    <w:p>
      <w:pPr>
        <w:spacing w:after="0" w:line="9" w:lineRule="exact"/>
        <w:rPr>
          <w:sz w:val="20"/>
          <w:szCs w:val="20"/>
          <w:color w:val="auto"/>
        </w:rPr>
      </w:pPr>
    </w:p>
    <w:p>
      <w:pPr>
        <w:ind w:left="580" w:hanging="57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(1)</w:t>
      </w:r>
    </w:p>
    <w:p>
      <w:pPr>
        <w:spacing w:after="0" w:line="9" w:lineRule="exact"/>
        <w:rPr>
          <w:rFonts w:ascii="Arial" w:cs="Arial" w:eastAsia="Arial" w:hAnsi="Arial"/>
          <w:sz w:val="18"/>
          <w:szCs w:val="18"/>
          <w:color w:val="auto"/>
        </w:rPr>
      </w:pPr>
    </w:p>
    <w:p>
      <w:pPr>
        <w:ind w:left="580" w:hanging="57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(1)</w:t>
      </w:r>
    </w:p>
    <w:p>
      <w:pPr>
        <w:spacing w:after="0" w:line="21" w:lineRule="exact"/>
        <w:rPr>
          <w:rFonts w:ascii="Arial" w:cs="Arial" w:eastAsia="Arial" w:hAnsi="Arial"/>
          <w:sz w:val="18"/>
          <w:szCs w:val="18"/>
          <w:color w:val="auto"/>
        </w:rPr>
      </w:pPr>
    </w:p>
    <w:p>
      <w:pPr>
        <w:ind w:left="580" w:hanging="57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-139065</wp:posOffset>
            </wp:positionV>
            <wp:extent cx="4629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14605</wp:posOffset>
            </wp:positionV>
            <wp:extent cx="4629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31750</wp:posOffset>
            </wp:positionV>
            <wp:extent cx="4629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80" w:space="720"/>
            <w:col w:w="1720"/>
          </w:cols>
          <w:pgMar w:left="240" w:top="459" w:right="439" w:bottom="1440" w:gutter="0" w:footer="0" w:header="0"/>
          <w:type w:val="continuous"/>
        </w:sectPr>
      </w:pPr>
    </w:p>
    <w:p>
      <w:pPr>
        <w:spacing w:after="0" w:line="79" w:lineRule="exact"/>
        <w:rPr>
          <w:sz w:val="20"/>
          <w:szCs w:val="20"/>
          <w:color w:val="auto"/>
        </w:rPr>
      </w:pPr>
    </w:p>
    <w:p>
      <w:pPr>
        <w:ind w:left="200" w:right="60" w:firstLine="4"/>
        <w:spacing w:after="0" w:line="277"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than the SEC registration fee, these fees and expenses will be calculated based on the number and manner of offerings and accordingly are not estimated at this time.</w:t>
      </w:r>
    </w:p>
    <w:p>
      <w:pPr>
        <w:spacing w:after="0" w:line="315"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Article 6A of the Company’s Restated Articles of Organization, as amended (the “Restated Articles”) provides that the Company shall indemnify each person who is, or was, a director or officer of the Company or who is or was a director or employee of the Company and is serving or has served as a director of another organization at the request of the Company or in any capacity with respect to an employee benefit plan of the Company, against all liabilities and expenses, including judgments, fines, penalties, amounts paid or to be paid in settlement, and reasonable attorneys’ fees, imposed upon or incurred by any such person in connection with, or arising out of, the defense or disposition of any action, suit or other proceedings, whether civil or criminal, to which such individual may be made a defendant or with which such individual may become involved or threatened, directly or indirectly, by reason of having been an officer or director of the Company or as a result of his having served with respect to any such employee benefit plan. Article 6A further provides that the Company shall provide no indemnification with respect to any matter as to which any director or officer shall be finally adjudicated in such action, suit or proceeding not to have acted in good faith in the reasonable belief that his action was in the best interests of the Company or, if the matter relates to an employee benefit plan, the participants or beneficiaries of such employee benefit plan. The right to indemnification conferred by Article 6A includes the right to be paid by the Company for liabilities and expenses incurred in connection with settlement or compromise of any such action pursuant to a consent decree or otherwise, unless a determination is made by the board of directors that such settlement or compromise is not in the best interests of the Company or, if the matter relates to an employee benefit plan, the participants or beneficiaries of such employee benefit plan.</w:t>
      </w:r>
    </w:p>
    <w:p>
      <w:pPr>
        <w:spacing w:after="0" w:line="185"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Article 6A of the Restated Articles includes the right to payment by the Company of expenses, including reasonable attorney’s fees, incurred in defending a civil or criminal action, suit or proceeding in advance of its final disposition, subject to receipt of an undertaking by the individual person to repay such payment if it is ultimately determined that such person is not entitled to indemnification under the Restated Articles. However, no advance may be made if the board of directors reasonably and promptly determines, by a majority vote of a quorum consisting of disinterested directors (or, if such quorum is not obtainable, by a majority of the disinterested directors of the Company or if two disinterested directors are not then in office, by independent legal counsel in a written opinion), based on facts known to the board of directors or such independent legal counsel at such time, that such person did not act in good faith in the reasonable belief that his action was in the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20"/>
          </w:cols>
          <w:pgMar w:left="240" w:top="459" w:right="4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best interest of the Company or the participants or beneficiaries of such employee benefit plan, as the case may be.</w:t>
      </w:r>
    </w:p>
    <w:p>
      <w:pPr>
        <w:spacing w:after="0" w:line="225"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Under Article 6A of the Restated Articles, if an individual is entitled under any provision of Article 6 of the Restated Articles to indemnification by the Company for some or a portion of the liabilities or expenses imposed upon or incurred by such individual in the investigation, defense, appeal or settlement of any action, suit or proceeding but not, however, for the total amount thereof, the Company shall nevertheless indemnify such individual for the portion of such liabilities or expenses to which such individual is entitled. The Company’s obligation to provide indemnification under the Restated Articles shall be offset to the extent of any other source of indemnification or any otherwise applicable insurance coverage under a policy maintained by the Company or any other person.</w:t>
      </w:r>
    </w:p>
    <w:p>
      <w:pPr>
        <w:spacing w:after="0" w:line="193"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Under Article 6D of the Restated Articles, to the fullest extent permitted by the Massachusetts Business Corporation Act, as may be amended from time to time, no director shall be personally liable to the Company or its stockholders for monetary damages for breach of his fiduciary duty as a director, notwithstanding any provision of law imposing such liability.</w:t>
      </w:r>
    </w:p>
    <w:p>
      <w:pPr>
        <w:spacing w:after="0" w:line="18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The Company has also entered into indemnification agreements with its directors and executive officers, each of which creates a direct contractual obligation of the Company to indemnify the individual under certain circumstances. Each agreement generally provides that the Company will indemnify the director or officer to the fullest extent permitted under Massachusetts law for claims arising in such individual’s capacity as a director or officer of the Company or in connection with his or her service at the request of the Company for another entity. Each agreement, among other things, establishes certain remedies for claims and contains deadlines and procedures to be followed in connection with a request for indemnification and/or advancement of expenses, including in the event of a change in control of the Company.</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the Company has directors and officers liability insurance for the benefit of its directors and officers.</w:t>
      </w:r>
    </w:p>
    <w:p>
      <w:pPr>
        <w:spacing w:after="0" w:line="37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16.</w:t>
            </w:r>
          </w:p>
        </w:tc>
        <w:tc>
          <w:tcPr>
            <w:tcW w:w="10180" w:type="dxa"/>
            <w:vAlign w:val="bottom"/>
            <w:gridSpan w:val="14"/>
          </w:tcPr>
          <w:p>
            <w:pPr>
              <w:ind w:left="240"/>
              <w:spacing w:after="0"/>
              <w:rPr>
                <w:sz w:val="20"/>
                <w:szCs w:val="20"/>
                <w:color w:val="auto"/>
              </w:rPr>
            </w:pPr>
            <w:r>
              <w:rPr>
                <w:rFonts w:ascii="Arial" w:cs="Arial" w:eastAsia="Arial" w:hAnsi="Arial"/>
                <w:sz w:val="18"/>
                <w:szCs w:val="18"/>
                <w:b w:val="1"/>
                <w:bCs w:val="1"/>
                <w:color w:val="auto"/>
              </w:rPr>
              <w:t>Exhibits</w:t>
            </w:r>
          </w:p>
        </w:tc>
      </w:tr>
      <w:tr>
        <w:trPr>
          <w:trHeight w:val="373"/>
        </w:trPr>
        <w:tc>
          <w:tcPr>
            <w:tcW w:w="86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7"/>
        </w:trPr>
        <w:tc>
          <w:tcPr>
            <w:tcW w:w="860" w:type="dxa"/>
            <w:vAlign w:val="bottom"/>
            <w:gridSpan w:val="2"/>
          </w:tcPr>
          <w:p>
            <w:pPr>
              <w:spacing w:after="0"/>
              <w:rPr>
                <w:sz w:val="20"/>
                <w:szCs w:val="20"/>
                <w:color w:val="auto"/>
              </w:rPr>
            </w:pPr>
            <w:r>
              <w:rPr>
                <w:rFonts w:ascii="Arial" w:cs="Arial" w:eastAsia="Arial" w:hAnsi="Arial"/>
                <w:sz w:val="14"/>
                <w:szCs w:val="14"/>
                <w:color w:val="auto"/>
              </w:rPr>
              <w:t>NUMBER</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5600" w:type="dxa"/>
            <w:vAlign w:val="bottom"/>
            <w:gridSpan w:val="10"/>
          </w:tcPr>
          <w:p>
            <w:pPr>
              <w:ind w:left="300"/>
              <w:spacing w:after="0"/>
              <w:rPr>
                <w:sz w:val="20"/>
                <w:szCs w:val="20"/>
                <w:color w:val="auto"/>
              </w:rPr>
            </w:pPr>
            <w:r>
              <w:rPr>
                <w:rFonts w:ascii="Arial" w:cs="Arial" w:eastAsia="Arial" w:hAnsi="Arial"/>
                <w:sz w:val="14"/>
                <w:szCs w:val="14"/>
                <w:color w:val="auto"/>
              </w:rPr>
              <w:t>DESCRIPTION</w:t>
            </w:r>
          </w:p>
        </w:tc>
      </w:tr>
      <w:tr>
        <w:trPr>
          <w:trHeight w:val="163"/>
        </w:trPr>
        <w:tc>
          <w:tcPr>
            <w:tcW w:w="640" w:type="dxa"/>
            <w:vAlign w:val="bottom"/>
            <w:tcBorders>
              <w:top w:val="single" w:sz="8" w:color="auto"/>
            </w:tcBorders>
          </w:tcPr>
          <w:p>
            <w:pPr>
              <w:spacing w:after="0" w:line="163"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40" w:type="dxa"/>
            <w:vAlign w:val="bottom"/>
            <w:tcBorders>
              <w:top w:val="single" w:sz="8" w:color="auto"/>
            </w:tcBorders>
            <w:gridSpan w:val="12"/>
          </w:tcPr>
          <w:p>
            <w:pPr>
              <w:spacing w:after="0" w:line="163" w:lineRule="exact"/>
              <w:rPr>
                <w:rFonts w:ascii="Arial" w:cs="Arial" w:eastAsia="Arial" w:hAnsi="Arial"/>
                <w:sz w:val="18"/>
                <w:szCs w:val="18"/>
                <w:color w:val="0000EE"/>
                <w:w w:val="94"/>
              </w:rPr>
            </w:pPr>
            <w:hyperlink r:id="rId53">
              <w:r>
                <w:rPr>
                  <w:rFonts w:ascii="Arial" w:cs="Arial" w:eastAsia="Arial" w:hAnsi="Arial"/>
                  <w:sz w:val="18"/>
                  <w:szCs w:val="18"/>
                  <w:color w:val="0000EE"/>
                  <w:w w:val="94"/>
                </w:rPr>
                <w:t>Restated Articles of Organization of the Company, as amended, filed as Exhibit 3.1 to the Company’s Quarterly Report on Form</w:t>
              </w:r>
            </w:hyperlink>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60" w:type="dxa"/>
            <w:vAlign w:val="bottom"/>
            <w:gridSpan w:val="13"/>
          </w:tcPr>
          <w:p>
            <w:pPr>
              <w:spacing w:after="0" w:line="196" w:lineRule="exact"/>
              <w:rPr>
                <w:rFonts w:ascii="Arial" w:cs="Arial" w:eastAsia="Arial" w:hAnsi="Arial"/>
                <w:sz w:val="18"/>
                <w:szCs w:val="18"/>
                <w:color w:val="0000EE"/>
                <w:w w:val="92"/>
              </w:rPr>
            </w:pPr>
            <w:hyperlink r:id="rId53">
              <w:r>
                <w:rPr>
                  <w:rFonts w:ascii="Arial" w:cs="Arial" w:eastAsia="Arial" w:hAnsi="Arial"/>
                  <w:sz w:val="18"/>
                  <w:szCs w:val="18"/>
                  <w:color w:val="0000EE"/>
                  <w:w w:val="92"/>
                </w:rPr>
                <w:t>10-Q for the fiscal quarter ended May 3, 2008 (File No. 001-07819) as filed with the SEC on May 20, 2008 and incorporated herein</w:t>
              </w:r>
            </w:hyperlink>
          </w:p>
        </w:tc>
      </w:tr>
      <w:tr>
        <w:trPr>
          <w:trHeight w:val="196"/>
        </w:trPr>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by reference.</w:t>
              </w:r>
            </w:hyperlink>
          </w:p>
        </w:tc>
        <w:tc>
          <w:tcPr>
            <w:tcW w:w="120" w:type="dxa"/>
            <w:vAlign w:val="bottom"/>
            <w:gridSpan w:val="2"/>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20" w:type="dxa"/>
            <w:vAlign w:val="bottom"/>
            <w:tcBorders>
              <w:bottom w:val="single" w:sz="8" w:color="0000EE"/>
            </w:tcBorders>
            <w:gridSpan w:val="12"/>
          </w:tcPr>
          <w:p>
            <w:pPr>
              <w:spacing w:after="0"/>
              <w:rPr>
                <w:rFonts w:ascii="Arial" w:cs="Arial" w:eastAsia="Arial" w:hAnsi="Arial"/>
                <w:sz w:val="18"/>
                <w:szCs w:val="18"/>
                <w:color w:val="0000EE"/>
                <w:w w:val="91"/>
              </w:rPr>
            </w:pPr>
            <w:hyperlink r:id="rId54">
              <w:r>
                <w:rPr>
                  <w:rFonts w:ascii="Arial" w:cs="Arial" w:eastAsia="Arial" w:hAnsi="Arial"/>
                  <w:sz w:val="18"/>
                  <w:szCs w:val="18"/>
                  <w:color w:val="0000EE"/>
                  <w:w w:val="91"/>
                </w:rPr>
                <w:t>Amendment to Restated Articles of Organization of the Company, filed as Exhibit 3.1 to the Company’s Current Report on Form 8-K</w:t>
              </w:r>
            </w:hyperlink>
          </w:p>
        </w:tc>
        <w:tc>
          <w:tcPr>
            <w:tcW w:w="4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60" w:type="dxa"/>
            <w:vAlign w:val="bottom"/>
            <w:gridSpan w:val="13"/>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(File No. 001-07819) as filed with the SEC on December 8, 2008 and incorporated herein by reference.</w:t>
              </w:r>
            </w:hyperlink>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60" w:type="dxa"/>
            <w:vAlign w:val="bottom"/>
            <w:gridSpan w:val="3"/>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60" w:type="dxa"/>
            <w:vAlign w:val="bottom"/>
            <w:gridSpan w:val="13"/>
          </w:tcPr>
          <w:p>
            <w:pPr>
              <w:spacing w:after="0"/>
              <w:rPr>
                <w:rFonts w:ascii="Arial" w:cs="Arial" w:eastAsia="Arial" w:hAnsi="Arial"/>
                <w:sz w:val="18"/>
                <w:szCs w:val="18"/>
                <w:color w:val="0000EE"/>
                <w:w w:val="99"/>
              </w:rPr>
            </w:pPr>
            <w:hyperlink r:id="rId55">
              <w:r>
                <w:rPr>
                  <w:rFonts w:ascii="Arial" w:cs="Arial" w:eastAsia="Arial" w:hAnsi="Arial"/>
                  <w:sz w:val="18"/>
                  <w:szCs w:val="18"/>
                  <w:color w:val="0000EE"/>
                  <w:w w:val="99"/>
                </w:rPr>
                <w:t>Amended and Restated By-Laws of the Company, filed as Exhibit 3.1 to the Company’s Current Report on Form 8-K (File</w:t>
              </w:r>
            </w:hyperlink>
          </w:p>
        </w:tc>
      </w:tr>
      <w:tr>
        <w:trPr>
          <w:trHeight w:val="196"/>
        </w:trPr>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No. 1-7819) as filed with the SEC on December 17, 2018 and incorporated herein by reference</w:t>
              </w:r>
              <w:r>
                <w:rPr>
                  <w:rFonts w:ascii="Arial" w:cs="Arial" w:eastAsia="Arial" w:hAnsi="Arial"/>
                  <w:sz w:val="18"/>
                  <w:szCs w:val="18"/>
                  <w:color w:val="000000"/>
                </w:rPr>
                <w:t>.</w:t>
              </w:r>
            </w:hyperlink>
          </w:p>
        </w:tc>
        <w:tc>
          <w:tcPr>
            <w:tcW w:w="820" w:type="dxa"/>
            <w:vAlign w:val="bottom"/>
            <w:gridSpan w:val="4"/>
          </w:tcPr>
          <w:p>
            <w:pPr>
              <w:spacing w:after="0"/>
              <w:rPr>
                <w:sz w:val="17"/>
                <w:szCs w:val="17"/>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40" w:type="dxa"/>
            <w:vAlign w:val="bottom"/>
            <w:tcBorders>
              <w:top w:val="single" w:sz="8" w:color="0000EE"/>
            </w:tcBorders>
            <w:gridSpan w:val="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Opinion of Wilmer Cutler Pickering Hale and Dorr LLP.</w:t>
              </w:r>
            </w:hyperlink>
          </w:p>
        </w:tc>
        <w:tc>
          <w:tcPr>
            <w:tcW w:w="2820" w:type="dxa"/>
            <w:vAlign w:val="bottom"/>
            <w:gridSpan w:val="6"/>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60" w:type="dxa"/>
            <w:vAlign w:val="bottom"/>
            <w:gridSpan w:val="3"/>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60" w:type="dxa"/>
            <w:vAlign w:val="bottom"/>
            <w:gridSpan w:val="1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Consent of Ernst &amp; Young LLP, Independent Registered Public Accounting Firm.</w:t>
              </w:r>
            </w:hyperlink>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60" w:type="dxa"/>
            <w:vAlign w:val="bottom"/>
            <w:gridSpan w:val="1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Consent of Wilmer Cutler Pickering Hale and Dorr LLP (included in Exhibit 5.1).</w:t>
              </w:r>
            </w:hyperlink>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9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9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Power of Attorney (included in the signature pages to the Registration Statement).</w:t>
              </w:r>
            </w:hyperlink>
          </w:p>
        </w:tc>
        <w:tc>
          <w:tcPr>
            <w:tcW w:w="3740" w:type="dxa"/>
            <w:vAlign w:val="bottom"/>
            <w:gridSpan w:val="7"/>
          </w:tcPr>
          <w:p>
            <w:pPr>
              <w:spacing w:after="0"/>
              <w:rPr>
                <w:sz w:val="24"/>
                <w:szCs w:val="24"/>
                <w:color w:val="auto"/>
              </w:rPr>
            </w:pPr>
          </w:p>
        </w:tc>
      </w:tr>
      <w:tr>
        <w:trPr>
          <w:trHeight w:val="385"/>
        </w:trPr>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720" w:type="dxa"/>
            <w:vAlign w:val="bottom"/>
            <w:gridSpan w:val="11"/>
          </w:tcPr>
          <w:p>
            <w:pPr>
              <w:ind w:left="3060"/>
              <w:spacing w:after="0"/>
              <w:rPr>
                <w:sz w:val="20"/>
                <w:szCs w:val="20"/>
                <w:color w:val="auto"/>
              </w:rPr>
            </w:pPr>
            <w:r>
              <w:rPr>
                <w:rFonts w:ascii="Arial" w:cs="Arial" w:eastAsia="Arial" w:hAnsi="Arial"/>
                <w:sz w:val="18"/>
                <w:szCs w:val="18"/>
                <w:color w:val="auto"/>
              </w:rPr>
              <w:t>II-2</w:t>
            </w:r>
          </w:p>
        </w:tc>
      </w:tr>
    </w:tbl>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1040" w:hanging="396"/>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940" w:hanging="343"/>
        <w:spacing w:after="0"/>
        <w:tabs>
          <w:tab w:leader="none" w:pos="1940" w:val="left"/>
        </w:tabs>
        <w:numPr>
          <w:ilvl w:val="1"/>
          <w:numId w:val="9"/>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 of 1933, as amended (the “Securities Act”);</w:t>
      </w:r>
    </w:p>
    <w:p>
      <w:pPr>
        <w:spacing w:after="0" w:line="128" w:lineRule="exact"/>
        <w:rPr>
          <w:rFonts w:ascii="Arial" w:cs="Arial" w:eastAsia="Arial" w:hAnsi="Arial"/>
          <w:sz w:val="17"/>
          <w:szCs w:val="17"/>
          <w:color w:val="auto"/>
        </w:rPr>
      </w:pPr>
    </w:p>
    <w:p>
      <w:pPr>
        <w:ind w:left="1200" w:firstLine="397"/>
        <w:spacing w:after="0" w:line="272" w:lineRule="auto"/>
        <w:tabs>
          <w:tab w:leader="none" w:pos="1998" w:val="left"/>
        </w:tabs>
        <w:numPr>
          <w:ilvl w:val="1"/>
          <w:numId w:val="9"/>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69" w:lineRule="exact"/>
        <w:rPr>
          <w:rFonts w:ascii="Arial" w:cs="Arial" w:eastAsia="Arial" w:hAnsi="Arial"/>
          <w:sz w:val="17"/>
          <w:szCs w:val="17"/>
          <w:color w:val="auto"/>
        </w:rPr>
      </w:pPr>
    </w:p>
    <w:p>
      <w:pPr>
        <w:ind w:left="1200" w:right="540" w:firstLine="397"/>
        <w:spacing w:after="0" w:line="277" w:lineRule="auto"/>
        <w:tabs>
          <w:tab w:leader="none" w:pos="2048"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ind w:left="200" w:right="300"/>
        <w:spacing w:after="0" w:line="279"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(a)(1)(i), (a)(1)(ii) and (a)(1)(iii) above do not apply if the information required to be included in a post-effective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by those paragraphs is contained in reports filed with or furnished to the Commission by the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w:t>
      </w:r>
    </w:p>
    <w:p>
      <w:pPr>
        <w:spacing w:after="0" w:line="171" w:lineRule="exact"/>
        <w:rPr>
          <w:sz w:val="20"/>
          <w:szCs w:val="20"/>
          <w:color w:val="auto"/>
        </w:rPr>
      </w:pPr>
    </w:p>
    <w:p>
      <w:pPr>
        <w:ind w:left="200" w:right="160" w:firstLine="444"/>
        <w:spacing w:after="0" w:line="264" w:lineRule="auto"/>
        <w:tabs>
          <w:tab w:leader="none" w:pos="10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That, for the purposes of determining any liability under the Securities Act, each post-effective amendment shall be deemed to be a new registration statement relating to the securities offered therein, and the offering of such securities at the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left="200" w:right="460" w:firstLine="444"/>
        <w:spacing w:after="0" w:line="277" w:lineRule="auto"/>
        <w:tabs>
          <w:tab w:leader="none" w:pos="10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1040" w:hanging="396"/>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17" w:lineRule="exact"/>
        <w:rPr>
          <w:rFonts w:ascii="Arial" w:cs="Arial" w:eastAsia="Arial" w:hAnsi="Arial"/>
          <w:sz w:val="18"/>
          <w:szCs w:val="18"/>
          <w:color w:val="auto"/>
        </w:rPr>
      </w:pPr>
    </w:p>
    <w:p>
      <w:pPr>
        <w:ind w:left="1200" w:right="80" w:firstLine="397"/>
        <w:spacing w:after="0" w:line="277" w:lineRule="auto"/>
        <w:tabs>
          <w:tab w:leader="none" w:pos="1996" w:val="left"/>
        </w:tabs>
        <w:numPr>
          <w:ilvl w:val="1"/>
          <w:numId w:val="1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this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1200" w:right="20" w:firstLine="397"/>
        <w:spacing w:after="0" w:line="271" w:lineRule="auto"/>
        <w:tabs>
          <w:tab w:leader="none" w:pos="2046" w:val="left"/>
        </w:tabs>
        <w:numPr>
          <w:ilvl w:val="1"/>
          <w:numId w:val="10"/>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this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statement made in a</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80"/>
          </w:cols>
          <w:pgMar w:left="24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0" w:right="180"/>
        <w:spacing w:after="0" w:line="302" w:lineRule="auto"/>
        <w:rPr>
          <w:sz w:val="20"/>
          <w:szCs w:val="20"/>
          <w:color w:val="auto"/>
        </w:rPr>
      </w:pPr>
      <w:r>
        <w:rPr>
          <w:rFonts w:ascii="Arial" w:cs="Arial" w:eastAsia="Arial" w:hAnsi="Arial"/>
          <w:sz w:val="16"/>
          <w:szCs w:val="16"/>
          <w:color w:val="auto"/>
        </w:rPr>
        <w:t>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54"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 xml:space="preserve">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54"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left="200" w:right="380" w:firstLine="441"/>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Town of Norwood, Commonwealth of Massachusetts, on January 9, 2020.</w:t>
      </w:r>
    </w:p>
    <w:p>
      <w:pPr>
        <w:spacing w:after="0" w:line="189"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ANALOG DEVICES, INC.</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Vincent Roche</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5984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SIGNATURES AND POWER OF ATTORNEY</w:t>
      </w:r>
    </w:p>
    <w:p>
      <w:pPr>
        <w:spacing w:after="0" w:line="225"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the undersigned officers and directors of Analog Devices, Inc., hereby severally constitute and appoint Vincent Roche, Prashanth Mahendra-Rajah and Larry Weiss, and each of them singly, our true and lawful attorneys with full power to any of them, and to each of them singly, to sign for us and in our names in the capacities indicated below the Registration Statement on Form S-3 filed herewith and any and all pre-effective and post-effective amendments to said Registration Statement and generally to do all such things in our name and behalf in our capacities as officers and directors to enable Analog Devices,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7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6"/>
              </w:rPr>
              <w:t>Signature</w:t>
            </w:r>
          </w:p>
        </w:tc>
        <w:tc>
          <w:tcPr>
            <w:tcW w:w="16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8"/>
              </w:rPr>
              <w:t>Title</w:t>
            </w:r>
          </w:p>
        </w:tc>
        <w:tc>
          <w:tcPr>
            <w:tcW w:w="2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r>
        <w:trPr>
          <w:trHeight w:val="318"/>
        </w:trPr>
        <w:tc>
          <w:tcPr>
            <w:tcW w:w="2220" w:type="dxa"/>
            <w:vAlign w:val="bottom"/>
            <w:gridSpan w:val="3"/>
          </w:tcPr>
          <w:p>
            <w:pPr>
              <w:spacing w:after="0"/>
              <w:rPr>
                <w:sz w:val="20"/>
                <w:szCs w:val="20"/>
                <w:color w:val="auto"/>
              </w:rPr>
            </w:pPr>
            <w:r>
              <w:rPr>
                <w:rFonts w:ascii="Arial" w:cs="Arial" w:eastAsia="Arial" w:hAnsi="Arial"/>
                <w:sz w:val="18"/>
                <w:szCs w:val="18"/>
                <w:color w:val="auto"/>
              </w:rPr>
              <w:t>/s/ Ray Stata</w:t>
            </w:r>
          </w:p>
        </w:tc>
        <w:tc>
          <w:tcPr>
            <w:tcW w:w="1680" w:type="dxa"/>
            <w:vAlign w:val="bottom"/>
          </w:tcPr>
          <w:p>
            <w:pPr>
              <w:spacing w:after="0"/>
              <w:rPr>
                <w:sz w:val="24"/>
                <w:szCs w:val="24"/>
                <w:color w:val="auto"/>
              </w:rPr>
            </w:pPr>
          </w:p>
        </w:tc>
        <w:tc>
          <w:tcPr>
            <w:tcW w:w="4720" w:type="dxa"/>
            <w:vAlign w:val="bottom"/>
            <w:gridSpan w:val="3"/>
            <w:vMerge w:val="restart"/>
          </w:tcPr>
          <w:p>
            <w:pPr>
              <w:ind w:left="100"/>
              <w:spacing w:after="0"/>
              <w:rPr>
                <w:sz w:val="20"/>
                <w:szCs w:val="20"/>
                <w:color w:val="auto"/>
              </w:rPr>
            </w:pPr>
            <w:r>
              <w:rPr>
                <w:rFonts w:ascii="Arial" w:cs="Arial" w:eastAsia="Arial" w:hAnsi="Arial"/>
                <w:sz w:val="18"/>
                <w:szCs w:val="18"/>
                <w:color w:val="auto"/>
              </w:rPr>
              <w:t>Chairman of the Board</w:t>
            </w:r>
          </w:p>
        </w:tc>
        <w:tc>
          <w:tcPr>
            <w:tcW w:w="1540" w:type="dxa"/>
            <w:vAlign w:val="bottom"/>
            <w:gridSpan w:val="2"/>
            <w:vMerge w:val="restart"/>
          </w:tcPr>
          <w:p>
            <w:pPr>
              <w:jc w:val="right"/>
              <w:spacing w:after="0"/>
              <w:rPr>
                <w:sz w:val="20"/>
                <w:szCs w:val="20"/>
                <w:color w:val="auto"/>
              </w:rPr>
            </w:pPr>
            <w:r>
              <w:rPr>
                <w:rFonts w:ascii="Arial" w:cs="Arial" w:eastAsia="Arial" w:hAnsi="Arial"/>
                <w:sz w:val="18"/>
                <w:szCs w:val="18"/>
                <w:color w:val="auto"/>
              </w:rPr>
              <w:t>January 9, 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4720" w:type="dxa"/>
            <w:vAlign w:val="bottom"/>
            <w:gridSpan w:val="3"/>
            <w:vMerge w:val="continue"/>
          </w:tcPr>
          <w:p>
            <w:pPr>
              <w:spacing w:after="0" w:line="20" w:lineRule="exact"/>
              <w:rPr>
                <w:sz w:val="1"/>
                <w:szCs w:val="1"/>
                <w:color w:val="auto"/>
              </w:rPr>
            </w:pPr>
          </w:p>
        </w:tc>
        <w:tc>
          <w:tcPr>
            <w:tcW w:w="15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20" w:type="dxa"/>
            <w:vAlign w:val="bottom"/>
            <w:gridSpan w:val="3"/>
            <w:vMerge w:val="restart"/>
          </w:tcPr>
          <w:p>
            <w:pPr>
              <w:spacing w:after="0"/>
              <w:rPr>
                <w:sz w:val="20"/>
                <w:szCs w:val="20"/>
                <w:color w:val="auto"/>
              </w:rPr>
            </w:pPr>
            <w:r>
              <w:rPr>
                <w:rFonts w:ascii="Arial" w:cs="Arial" w:eastAsia="Arial" w:hAnsi="Arial"/>
                <w:sz w:val="18"/>
                <w:szCs w:val="18"/>
                <w:color w:val="auto"/>
              </w:rPr>
              <w:t>Ray Stata</w:t>
            </w:r>
          </w:p>
        </w:tc>
        <w:tc>
          <w:tcPr>
            <w:tcW w:w="1680" w:type="dxa"/>
            <w:vAlign w:val="bottom"/>
          </w:tcPr>
          <w:p>
            <w:pPr>
              <w:spacing w:after="0"/>
              <w:rPr>
                <w:sz w:val="8"/>
                <w:szCs w:val="8"/>
                <w:color w:val="auto"/>
              </w:rPr>
            </w:pPr>
          </w:p>
        </w:tc>
        <w:tc>
          <w:tcPr>
            <w:tcW w:w="4720" w:type="dxa"/>
            <w:vAlign w:val="bottom"/>
            <w:gridSpan w:val="3"/>
            <w:vMerge w:val="continue"/>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22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2220" w:type="dxa"/>
            <w:vAlign w:val="bottom"/>
            <w:gridSpan w:val="3"/>
          </w:tcPr>
          <w:p>
            <w:pPr>
              <w:spacing w:after="0"/>
              <w:rPr>
                <w:sz w:val="20"/>
                <w:szCs w:val="20"/>
                <w:color w:val="auto"/>
              </w:rPr>
            </w:pPr>
            <w:r>
              <w:rPr>
                <w:rFonts w:ascii="Arial" w:cs="Arial" w:eastAsia="Arial" w:hAnsi="Arial"/>
                <w:sz w:val="18"/>
                <w:szCs w:val="18"/>
                <w:color w:val="auto"/>
              </w:rPr>
              <w:t>/s/ Vincent Roche</w:t>
            </w:r>
          </w:p>
        </w:tc>
        <w:tc>
          <w:tcPr>
            <w:tcW w:w="1680" w:type="dxa"/>
            <w:vAlign w:val="bottom"/>
          </w:tcPr>
          <w:p>
            <w:pPr>
              <w:spacing w:after="0"/>
              <w:rPr>
                <w:sz w:val="24"/>
                <w:szCs w:val="24"/>
                <w:color w:val="auto"/>
              </w:rPr>
            </w:pPr>
          </w:p>
        </w:tc>
        <w:tc>
          <w:tcPr>
            <w:tcW w:w="4720" w:type="dxa"/>
            <w:vAlign w:val="bottom"/>
            <w:gridSpan w:val="3"/>
          </w:tcPr>
          <w:p>
            <w:pPr>
              <w:ind w:left="100"/>
              <w:spacing w:after="0"/>
              <w:rPr>
                <w:sz w:val="20"/>
                <w:szCs w:val="20"/>
                <w:color w:val="auto"/>
              </w:rPr>
            </w:pPr>
            <w:r>
              <w:rPr>
                <w:rFonts w:ascii="Arial" w:cs="Arial" w:eastAsia="Arial" w:hAnsi="Arial"/>
                <w:sz w:val="18"/>
                <w:szCs w:val="18"/>
                <w:color w:val="auto"/>
              </w:rPr>
              <w:t>President, Chief Executive Officer and Director (Principal</w:t>
            </w:r>
          </w:p>
        </w:tc>
        <w:tc>
          <w:tcPr>
            <w:tcW w:w="1540" w:type="dxa"/>
            <w:vAlign w:val="bottom"/>
            <w:gridSpan w:val="2"/>
            <w:vMerge w:val="restart"/>
          </w:tcPr>
          <w:p>
            <w:pPr>
              <w:jc w:val="right"/>
              <w:spacing w:after="0"/>
              <w:rPr>
                <w:sz w:val="20"/>
                <w:szCs w:val="20"/>
                <w:color w:val="auto"/>
              </w:rPr>
            </w:pPr>
            <w:r>
              <w:rPr>
                <w:rFonts w:ascii="Arial" w:cs="Arial" w:eastAsia="Arial" w:hAnsi="Arial"/>
                <w:sz w:val="18"/>
                <w:szCs w:val="18"/>
                <w:color w:val="auto"/>
              </w:rPr>
              <w:t>January 9, 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20" w:type="dxa"/>
            <w:vAlign w:val="bottom"/>
            <w:gridSpan w:val="3"/>
            <w:vMerge w:val="restart"/>
          </w:tcPr>
          <w:p>
            <w:pPr>
              <w:spacing w:after="0"/>
              <w:rPr>
                <w:sz w:val="20"/>
                <w:szCs w:val="20"/>
                <w:color w:val="auto"/>
              </w:rPr>
            </w:pPr>
            <w:r>
              <w:rPr>
                <w:rFonts w:ascii="Arial" w:cs="Arial" w:eastAsia="Arial" w:hAnsi="Arial"/>
                <w:sz w:val="18"/>
                <w:szCs w:val="18"/>
                <w:color w:val="auto"/>
              </w:rPr>
              <w:t>Vincent Roche</w:t>
            </w:r>
          </w:p>
        </w:tc>
        <w:tc>
          <w:tcPr>
            <w:tcW w:w="1680" w:type="dxa"/>
            <w:vAlign w:val="bottom"/>
          </w:tcPr>
          <w:p>
            <w:pPr>
              <w:spacing w:after="0"/>
              <w:rPr>
                <w:sz w:val="8"/>
                <w:szCs w:val="8"/>
                <w:color w:val="auto"/>
              </w:rPr>
            </w:pPr>
          </w:p>
        </w:tc>
        <w:tc>
          <w:tcPr>
            <w:tcW w:w="4720" w:type="dxa"/>
            <w:vAlign w:val="bottom"/>
            <w:gridSpan w:val="3"/>
            <w:vMerge w:val="restart"/>
          </w:tcPr>
          <w:p>
            <w:pPr>
              <w:ind w:left="100"/>
              <w:spacing w:after="0"/>
              <w:rPr>
                <w:sz w:val="20"/>
                <w:szCs w:val="20"/>
                <w:color w:val="auto"/>
              </w:rPr>
            </w:pPr>
            <w:r>
              <w:rPr>
                <w:rFonts w:ascii="Arial" w:cs="Arial" w:eastAsia="Arial" w:hAnsi="Arial"/>
                <w:sz w:val="18"/>
                <w:szCs w:val="18"/>
                <w:color w:val="auto"/>
              </w:rPr>
              <w:t>Executive Officer)</w:t>
            </w:r>
          </w:p>
        </w:tc>
        <w:tc>
          <w:tcPr>
            <w:tcW w:w="15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22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4720" w:type="dxa"/>
            <w:vAlign w:val="bottom"/>
            <w:gridSpan w:val="3"/>
            <w:vMerge w:val="continue"/>
          </w:tcPr>
          <w:p>
            <w:pPr>
              <w:spacing w:after="0"/>
              <w:rPr>
                <w:sz w:val="10"/>
                <w:szCs w:val="10"/>
                <w:color w:val="auto"/>
              </w:rPr>
            </w:pPr>
          </w:p>
        </w:tc>
        <w:tc>
          <w:tcPr>
            <w:tcW w:w="1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2220" w:type="dxa"/>
            <w:vAlign w:val="bottom"/>
            <w:gridSpan w:val="3"/>
          </w:tcPr>
          <w:p>
            <w:pPr>
              <w:spacing w:after="0"/>
              <w:rPr>
                <w:sz w:val="20"/>
                <w:szCs w:val="20"/>
                <w:color w:val="auto"/>
              </w:rPr>
            </w:pPr>
            <w:r>
              <w:rPr>
                <w:rFonts w:ascii="Arial" w:cs="Arial" w:eastAsia="Arial" w:hAnsi="Arial"/>
                <w:sz w:val="18"/>
                <w:szCs w:val="18"/>
                <w:color w:val="auto"/>
                <w:w w:val="89"/>
              </w:rPr>
              <w:t>/s/ Prashanth Mahendra-Rajah</w:t>
            </w:r>
          </w:p>
        </w:tc>
        <w:tc>
          <w:tcPr>
            <w:tcW w:w="1680" w:type="dxa"/>
            <w:vAlign w:val="bottom"/>
          </w:tcPr>
          <w:p>
            <w:pPr>
              <w:spacing w:after="0"/>
              <w:rPr>
                <w:sz w:val="24"/>
                <w:szCs w:val="24"/>
                <w:color w:val="auto"/>
              </w:rPr>
            </w:pPr>
          </w:p>
        </w:tc>
        <w:tc>
          <w:tcPr>
            <w:tcW w:w="4720" w:type="dxa"/>
            <w:vAlign w:val="bottom"/>
            <w:gridSpan w:val="3"/>
          </w:tcPr>
          <w:p>
            <w:pPr>
              <w:ind w:left="100"/>
              <w:spacing w:after="0"/>
              <w:rPr>
                <w:sz w:val="20"/>
                <w:szCs w:val="20"/>
                <w:color w:val="auto"/>
              </w:rPr>
            </w:pPr>
            <w:r>
              <w:rPr>
                <w:rFonts w:ascii="Arial" w:cs="Arial" w:eastAsia="Arial" w:hAnsi="Arial"/>
                <w:sz w:val="18"/>
                <w:szCs w:val="18"/>
                <w:color w:val="auto"/>
                <w:w w:val="99"/>
              </w:rPr>
              <w:t>Senior Vice President, Finance and Chief Financial Officer</w:t>
            </w:r>
          </w:p>
        </w:tc>
        <w:tc>
          <w:tcPr>
            <w:tcW w:w="1540" w:type="dxa"/>
            <w:vAlign w:val="bottom"/>
            <w:gridSpan w:val="2"/>
            <w:vMerge w:val="restart"/>
          </w:tcPr>
          <w:p>
            <w:pPr>
              <w:jc w:val="right"/>
              <w:spacing w:after="0"/>
              <w:rPr>
                <w:sz w:val="20"/>
                <w:szCs w:val="20"/>
                <w:color w:val="auto"/>
              </w:rPr>
            </w:pPr>
            <w:r>
              <w:rPr>
                <w:rFonts w:ascii="Arial" w:cs="Arial" w:eastAsia="Arial" w:hAnsi="Arial"/>
                <w:sz w:val="18"/>
                <w:szCs w:val="18"/>
                <w:color w:val="auto"/>
              </w:rPr>
              <w:t>January 9, 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20" w:type="dxa"/>
            <w:vAlign w:val="bottom"/>
            <w:gridSpan w:val="3"/>
            <w:vMerge w:val="restart"/>
          </w:tcPr>
          <w:p>
            <w:pPr>
              <w:spacing w:after="0"/>
              <w:rPr>
                <w:sz w:val="20"/>
                <w:szCs w:val="20"/>
                <w:color w:val="auto"/>
              </w:rPr>
            </w:pPr>
            <w:r>
              <w:rPr>
                <w:rFonts w:ascii="Arial" w:cs="Arial" w:eastAsia="Arial" w:hAnsi="Arial"/>
                <w:sz w:val="18"/>
                <w:szCs w:val="18"/>
                <w:color w:val="auto"/>
                <w:w w:val="99"/>
              </w:rPr>
              <w:t>Prashanth Mahendra-Rajah</w:t>
            </w:r>
          </w:p>
        </w:tc>
        <w:tc>
          <w:tcPr>
            <w:tcW w:w="1680" w:type="dxa"/>
            <w:vAlign w:val="bottom"/>
          </w:tcPr>
          <w:p>
            <w:pPr>
              <w:spacing w:after="0"/>
              <w:rPr>
                <w:sz w:val="8"/>
                <w:szCs w:val="8"/>
                <w:color w:val="auto"/>
              </w:rPr>
            </w:pPr>
          </w:p>
        </w:tc>
        <w:tc>
          <w:tcPr>
            <w:tcW w:w="4720" w:type="dxa"/>
            <w:vAlign w:val="bottom"/>
            <w:gridSpan w:val="3"/>
            <w:vMerge w:val="restart"/>
          </w:tcPr>
          <w:p>
            <w:pPr>
              <w:ind w:left="100"/>
              <w:spacing w:after="0"/>
              <w:rPr>
                <w:sz w:val="20"/>
                <w:szCs w:val="20"/>
                <w:color w:val="auto"/>
              </w:rPr>
            </w:pPr>
            <w:r>
              <w:rPr>
                <w:rFonts w:ascii="Arial" w:cs="Arial" w:eastAsia="Arial" w:hAnsi="Arial"/>
                <w:sz w:val="18"/>
                <w:szCs w:val="18"/>
                <w:color w:val="auto"/>
              </w:rPr>
              <w:t>(Principal Financial Officer)</w:t>
            </w:r>
          </w:p>
        </w:tc>
        <w:tc>
          <w:tcPr>
            <w:tcW w:w="15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22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4720" w:type="dxa"/>
            <w:vAlign w:val="bottom"/>
            <w:gridSpan w:val="3"/>
            <w:vMerge w:val="continue"/>
          </w:tcPr>
          <w:p>
            <w:pPr>
              <w:spacing w:after="0"/>
              <w:rPr>
                <w:sz w:val="10"/>
                <w:szCs w:val="10"/>
                <w:color w:val="auto"/>
              </w:rPr>
            </w:pPr>
          </w:p>
        </w:tc>
        <w:tc>
          <w:tcPr>
            <w:tcW w:w="1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2220" w:type="dxa"/>
            <w:vAlign w:val="bottom"/>
            <w:gridSpan w:val="3"/>
          </w:tcPr>
          <w:p>
            <w:pPr>
              <w:spacing w:after="0"/>
              <w:rPr>
                <w:sz w:val="20"/>
                <w:szCs w:val="20"/>
                <w:color w:val="auto"/>
              </w:rPr>
            </w:pPr>
            <w:r>
              <w:rPr>
                <w:rFonts w:ascii="Arial" w:cs="Arial" w:eastAsia="Arial" w:hAnsi="Arial"/>
                <w:sz w:val="18"/>
                <w:szCs w:val="18"/>
                <w:color w:val="auto"/>
              </w:rPr>
              <w:t>/s/ Michael Sondel</w:t>
            </w:r>
          </w:p>
        </w:tc>
        <w:tc>
          <w:tcPr>
            <w:tcW w:w="1680" w:type="dxa"/>
            <w:vAlign w:val="bottom"/>
          </w:tcPr>
          <w:p>
            <w:pPr>
              <w:spacing w:after="0"/>
              <w:rPr>
                <w:sz w:val="24"/>
                <w:szCs w:val="24"/>
                <w:color w:val="auto"/>
              </w:rPr>
            </w:pPr>
          </w:p>
        </w:tc>
        <w:tc>
          <w:tcPr>
            <w:tcW w:w="4720" w:type="dxa"/>
            <w:vAlign w:val="bottom"/>
            <w:gridSpan w:val="3"/>
            <w:vMerge w:val="restart"/>
          </w:tcPr>
          <w:p>
            <w:pPr>
              <w:ind w:left="100"/>
              <w:spacing w:after="0"/>
              <w:rPr>
                <w:sz w:val="20"/>
                <w:szCs w:val="20"/>
                <w:color w:val="auto"/>
              </w:rPr>
            </w:pPr>
            <w:r>
              <w:rPr>
                <w:rFonts w:ascii="Arial" w:cs="Arial" w:eastAsia="Arial" w:hAnsi="Arial"/>
                <w:sz w:val="18"/>
                <w:szCs w:val="18"/>
                <w:color w:val="auto"/>
              </w:rPr>
              <w:t>Chief Accounting Officer (Principal Accounting Officer)</w:t>
            </w:r>
          </w:p>
        </w:tc>
        <w:tc>
          <w:tcPr>
            <w:tcW w:w="1540" w:type="dxa"/>
            <w:vAlign w:val="bottom"/>
            <w:gridSpan w:val="2"/>
            <w:vMerge w:val="restart"/>
          </w:tcPr>
          <w:p>
            <w:pPr>
              <w:jc w:val="right"/>
              <w:spacing w:after="0"/>
              <w:rPr>
                <w:sz w:val="20"/>
                <w:szCs w:val="20"/>
                <w:color w:val="auto"/>
              </w:rPr>
            </w:pPr>
            <w:r>
              <w:rPr>
                <w:rFonts w:ascii="Arial" w:cs="Arial" w:eastAsia="Arial" w:hAnsi="Arial"/>
                <w:sz w:val="18"/>
                <w:szCs w:val="18"/>
                <w:color w:val="auto"/>
              </w:rPr>
              <w:t>January 9, 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4720" w:type="dxa"/>
            <w:vAlign w:val="bottom"/>
            <w:gridSpan w:val="3"/>
            <w:vMerge w:val="continue"/>
          </w:tcPr>
          <w:p>
            <w:pPr>
              <w:spacing w:after="0" w:line="20" w:lineRule="exact"/>
              <w:rPr>
                <w:sz w:val="1"/>
                <w:szCs w:val="1"/>
                <w:color w:val="auto"/>
              </w:rPr>
            </w:pPr>
          </w:p>
        </w:tc>
        <w:tc>
          <w:tcPr>
            <w:tcW w:w="15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20" w:type="dxa"/>
            <w:vAlign w:val="bottom"/>
            <w:gridSpan w:val="3"/>
            <w:vMerge w:val="restart"/>
          </w:tcPr>
          <w:p>
            <w:pPr>
              <w:spacing w:after="0"/>
              <w:rPr>
                <w:sz w:val="20"/>
                <w:szCs w:val="20"/>
                <w:color w:val="auto"/>
              </w:rPr>
            </w:pPr>
            <w:r>
              <w:rPr>
                <w:rFonts w:ascii="Arial" w:cs="Arial" w:eastAsia="Arial" w:hAnsi="Arial"/>
                <w:sz w:val="18"/>
                <w:szCs w:val="18"/>
                <w:color w:val="auto"/>
              </w:rPr>
              <w:t>Michael Sondel</w:t>
            </w:r>
          </w:p>
        </w:tc>
        <w:tc>
          <w:tcPr>
            <w:tcW w:w="1680" w:type="dxa"/>
            <w:vAlign w:val="bottom"/>
          </w:tcPr>
          <w:p>
            <w:pPr>
              <w:spacing w:after="0"/>
              <w:rPr>
                <w:sz w:val="8"/>
                <w:szCs w:val="8"/>
                <w:color w:val="auto"/>
              </w:rPr>
            </w:pPr>
          </w:p>
        </w:tc>
        <w:tc>
          <w:tcPr>
            <w:tcW w:w="4720" w:type="dxa"/>
            <w:vAlign w:val="bottom"/>
            <w:gridSpan w:val="3"/>
            <w:vMerge w:val="continue"/>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22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2220" w:type="dxa"/>
            <w:vAlign w:val="bottom"/>
            <w:gridSpan w:val="3"/>
          </w:tcPr>
          <w:p>
            <w:pPr>
              <w:spacing w:after="0"/>
              <w:rPr>
                <w:sz w:val="20"/>
                <w:szCs w:val="20"/>
                <w:color w:val="auto"/>
              </w:rPr>
            </w:pPr>
            <w:r>
              <w:rPr>
                <w:rFonts w:ascii="Arial" w:cs="Arial" w:eastAsia="Arial" w:hAnsi="Arial"/>
                <w:sz w:val="18"/>
                <w:szCs w:val="18"/>
                <w:color w:val="auto"/>
              </w:rPr>
              <w:t>/s/ James A. Champy</w:t>
            </w:r>
          </w:p>
        </w:tc>
        <w:tc>
          <w:tcPr>
            <w:tcW w:w="1680" w:type="dxa"/>
            <w:vAlign w:val="bottom"/>
          </w:tcPr>
          <w:p>
            <w:pPr>
              <w:spacing w:after="0"/>
              <w:rPr>
                <w:sz w:val="24"/>
                <w:szCs w:val="24"/>
                <w:color w:val="auto"/>
              </w:rPr>
            </w:pPr>
          </w:p>
        </w:tc>
        <w:tc>
          <w:tcPr>
            <w:tcW w:w="4720" w:type="dxa"/>
            <w:vAlign w:val="bottom"/>
            <w:gridSpan w:val="3"/>
            <w:vMerge w:val="restart"/>
          </w:tcPr>
          <w:p>
            <w:pPr>
              <w:ind w:left="100"/>
              <w:spacing w:after="0"/>
              <w:rPr>
                <w:sz w:val="20"/>
                <w:szCs w:val="20"/>
                <w:color w:val="auto"/>
              </w:rPr>
            </w:pPr>
            <w:r>
              <w:rPr>
                <w:rFonts w:ascii="Arial" w:cs="Arial" w:eastAsia="Arial" w:hAnsi="Arial"/>
                <w:sz w:val="18"/>
                <w:szCs w:val="18"/>
                <w:color w:val="auto"/>
              </w:rPr>
              <w:t>Director</w:t>
            </w:r>
          </w:p>
        </w:tc>
        <w:tc>
          <w:tcPr>
            <w:tcW w:w="1540" w:type="dxa"/>
            <w:vAlign w:val="bottom"/>
            <w:gridSpan w:val="2"/>
            <w:vMerge w:val="restart"/>
          </w:tcPr>
          <w:p>
            <w:pPr>
              <w:jc w:val="right"/>
              <w:spacing w:after="0"/>
              <w:rPr>
                <w:sz w:val="20"/>
                <w:szCs w:val="20"/>
                <w:color w:val="auto"/>
              </w:rPr>
            </w:pPr>
            <w:r>
              <w:rPr>
                <w:rFonts w:ascii="Arial" w:cs="Arial" w:eastAsia="Arial" w:hAnsi="Arial"/>
                <w:sz w:val="18"/>
                <w:szCs w:val="18"/>
                <w:color w:val="auto"/>
              </w:rPr>
              <w:t>January 9, 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4720" w:type="dxa"/>
            <w:vAlign w:val="bottom"/>
            <w:gridSpan w:val="3"/>
            <w:vMerge w:val="continue"/>
          </w:tcPr>
          <w:p>
            <w:pPr>
              <w:spacing w:after="0" w:line="20" w:lineRule="exact"/>
              <w:rPr>
                <w:sz w:val="1"/>
                <w:szCs w:val="1"/>
                <w:color w:val="auto"/>
              </w:rPr>
            </w:pPr>
          </w:p>
        </w:tc>
        <w:tc>
          <w:tcPr>
            <w:tcW w:w="15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20" w:type="dxa"/>
            <w:vAlign w:val="bottom"/>
            <w:gridSpan w:val="3"/>
            <w:vMerge w:val="restart"/>
          </w:tcPr>
          <w:p>
            <w:pPr>
              <w:spacing w:after="0"/>
              <w:rPr>
                <w:sz w:val="20"/>
                <w:szCs w:val="20"/>
                <w:color w:val="auto"/>
              </w:rPr>
            </w:pPr>
            <w:r>
              <w:rPr>
                <w:rFonts w:ascii="Arial" w:cs="Arial" w:eastAsia="Arial" w:hAnsi="Arial"/>
                <w:sz w:val="18"/>
                <w:szCs w:val="18"/>
                <w:color w:val="auto"/>
              </w:rPr>
              <w:t>James A. Champy</w:t>
            </w:r>
          </w:p>
        </w:tc>
        <w:tc>
          <w:tcPr>
            <w:tcW w:w="1680" w:type="dxa"/>
            <w:vAlign w:val="bottom"/>
          </w:tcPr>
          <w:p>
            <w:pPr>
              <w:spacing w:after="0"/>
              <w:rPr>
                <w:sz w:val="8"/>
                <w:szCs w:val="8"/>
                <w:color w:val="auto"/>
              </w:rPr>
            </w:pPr>
          </w:p>
        </w:tc>
        <w:tc>
          <w:tcPr>
            <w:tcW w:w="4720" w:type="dxa"/>
            <w:vAlign w:val="bottom"/>
            <w:gridSpan w:val="3"/>
            <w:vMerge w:val="continue"/>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22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2220" w:type="dxa"/>
            <w:vAlign w:val="bottom"/>
            <w:gridSpan w:val="3"/>
          </w:tcPr>
          <w:p>
            <w:pPr>
              <w:spacing w:after="0"/>
              <w:rPr>
                <w:sz w:val="20"/>
                <w:szCs w:val="20"/>
                <w:color w:val="auto"/>
              </w:rPr>
            </w:pPr>
            <w:r>
              <w:rPr>
                <w:rFonts w:ascii="Arial" w:cs="Arial" w:eastAsia="Arial" w:hAnsi="Arial"/>
                <w:sz w:val="18"/>
                <w:szCs w:val="18"/>
                <w:color w:val="auto"/>
                <w:w w:val="93"/>
              </w:rPr>
              <w:t>/s/ Anantha P. Chandrakasan</w:t>
            </w:r>
          </w:p>
        </w:tc>
        <w:tc>
          <w:tcPr>
            <w:tcW w:w="1680" w:type="dxa"/>
            <w:vAlign w:val="bottom"/>
          </w:tcPr>
          <w:p>
            <w:pPr>
              <w:spacing w:after="0"/>
              <w:rPr>
                <w:sz w:val="24"/>
                <w:szCs w:val="24"/>
                <w:color w:val="auto"/>
              </w:rPr>
            </w:pPr>
          </w:p>
        </w:tc>
        <w:tc>
          <w:tcPr>
            <w:tcW w:w="4720" w:type="dxa"/>
            <w:vAlign w:val="bottom"/>
            <w:gridSpan w:val="3"/>
            <w:vMerge w:val="restart"/>
          </w:tcPr>
          <w:p>
            <w:pPr>
              <w:ind w:left="100"/>
              <w:spacing w:after="0"/>
              <w:rPr>
                <w:sz w:val="20"/>
                <w:szCs w:val="20"/>
                <w:color w:val="auto"/>
              </w:rPr>
            </w:pPr>
            <w:r>
              <w:rPr>
                <w:rFonts w:ascii="Arial" w:cs="Arial" w:eastAsia="Arial" w:hAnsi="Arial"/>
                <w:sz w:val="18"/>
                <w:szCs w:val="18"/>
                <w:color w:val="auto"/>
              </w:rPr>
              <w:t>Director</w:t>
            </w:r>
          </w:p>
        </w:tc>
        <w:tc>
          <w:tcPr>
            <w:tcW w:w="1540" w:type="dxa"/>
            <w:vAlign w:val="bottom"/>
            <w:gridSpan w:val="2"/>
            <w:vMerge w:val="restart"/>
          </w:tcPr>
          <w:p>
            <w:pPr>
              <w:jc w:val="right"/>
              <w:spacing w:after="0"/>
              <w:rPr>
                <w:sz w:val="20"/>
                <w:szCs w:val="20"/>
                <w:color w:val="auto"/>
              </w:rPr>
            </w:pPr>
            <w:r>
              <w:rPr>
                <w:rFonts w:ascii="Arial" w:cs="Arial" w:eastAsia="Arial" w:hAnsi="Arial"/>
                <w:sz w:val="18"/>
                <w:szCs w:val="18"/>
                <w:color w:val="auto"/>
              </w:rPr>
              <w:t>January 9, 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4720" w:type="dxa"/>
            <w:vAlign w:val="bottom"/>
            <w:gridSpan w:val="3"/>
            <w:vMerge w:val="continue"/>
          </w:tcPr>
          <w:p>
            <w:pPr>
              <w:spacing w:after="0" w:line="20" w:lineRule="exact"/>
              <w:rPr>
                <w:sz w:val="1"/>
                <w:szCs w:val="1"/>
                <w:color w:val="auto"/>
              </w:rPr>
            </w:pPr>
          </w:p>
        </w:tc>
        <w:tc>
          <w:tcPr>
            <w:tcW w:w="15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20" w:type="dxa"/>
            <w:vAlign w:val="bottom"/>
            <w:gridSpan w:val="3"/>
            <w:vMerge w:val="restart"/>
          </w:tcPr>
          <w:p>
            <w:pPr>
              <w:spacing w:after="0"/>
              <w:rPr>
                <w:sz w:val="20"/>
                <w:szCs w:val="20"/>
                <w:color w:val="auto"/>
              </w:rPr>
            </w:pPr>
            <w:r>
              <w:rPr>
                <w:rFonts w:ascii="Arial" w:cs="Arial" w:eastAsia="Arial" w:hAnsi="Arial"/>
                <w:sz w:val="18"/>
                <w:szCs w:val="18"/>
                <w:color w:val="auto"/>
              </w:rPr>
              <w:t>Anantha P. Chandrakasan</w:t>
            </w:r>
          </w:p>
        </w:tc>
        <w:tc>
          <w:tcPr>
            <w:tcW w:w="1680" w:type="dxa"/>
            <w:vAlign w:val="bottom"/>
          </w:tcPr>
          <w:p>
            <w:pPr>
              <w:spacing w:after="0"/>
              <w:rPr>
                <w:sz w:val="8"/>
                <w:szCs w:val="8"/>
                <w:color w:val="auto"/>
              </w:rPr>
            </w:pPr>
          </w:p>
        </w:tc>
        <w:tc>
          <w:tcPr>
            <w:tcW w:w="4720" w:type="dxa"/>
            <w:vAlign w:val="bottom"/>
            <w:gridSpan w:val="3"/>
            <w:vMerge w:val="continue"/>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22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2220" w:type="dxa"/>
            <w:vAlign w:val="bottom"/>
            <w:gridSpan w:val="3"/>
          </w:tcPr>
          <w:p>
            <w:pPr>
              <w:spacing w:after="0"/>
              <w:rPr>
                <w:sz w:val="20"/>
                <w:szCs w:val="20"/>
                <w:color w:val="auto"/>
              </w:rPr>
            </w:pPr>
            <w:r>
              <w:rPr>
                <w:rFonts w:ascii="Arial" w:cs="Arial" w:eastAsia="Arial" w:hAnsi="Arial"/>
                <w:sz w:val="18"/>
                <w:szCs w:val="18"/>
                <w:color w:val="auto"/>
              </w:rPr>
              <w:t>/s/ Bruce R. Evans</w:t>
            </w:r>
          </w:p>
        </w:tc>
        <w:tc>
          <w:tcPr>
            <w:tcW w:w="1680" w:type="dxa"/>
            <w:vAlign w:val="bottom"/>
          </w:tcPr>
          <w:p>
            <w:pPr>
              <w:spacing w:after="0"/>
              <w:rPr>
                <w:sz w:val="24"/>
                <w:szCs w:val="24"/>
                <w:color w:val="auto"/>
              </w:rPr>
            </w:pPr>
          </w:p>
        </w:tc>
        <w:tc>
          <w:tcPr>
            <w:tcW w:w="4720" w:type="dxa"/>
            <w:vAlign w:val="bottom"/>
            <w:gridSpan w:val="3"/>
            <w:vMerge w:val="restart"/>
          </w:tcPr>
          <w:p>
            <w:pPr>
              <w:ind w:left="100"/>
              <w:spacing w:after="0"/>
              <w:rPr>
                <w:sz w:val="20"/>
                <w:szCs w:val="20"/>
                <w:color w:val="auto"/>
              </w:rPr>
            </w:pPr>
            <w:r>
              <w:rPr>
                <w:rFonts w:ascii="Arial" w:cs="Arial" w:eastAsia="Arial" w:hAnsi="Arial"/>
                <w:sz w:val="18"/>
                <w:szCs w:val="18"/>
                <w:color w:val="auto"/>
              </w:rPr>
              <w:t>Director</w:t>
            </w:r>
          </w:p>
        </w:tc>
        <w:tc>
          <w:tcPr>
            <w:tcW w:w="1540" w:type="dxa"/>
            <w:vAlign w:val="bottom"/>
            <w:gridSpan w:val="2"/>
            <w:vMerge w:val="restart"/>
          </w:tcPr>
          <w:p>
            <w:pPr>
              <w:jc w:val="right"/>
              <w:spacing w:after="0"/>
              <w:rPr>
                <w:sz w:val="20"/>
                <w:szCs w:val="20"/>
                <w:color w:val="auto"/>
              </w:rPr>
            </w:pPr>
            <w:r>
              <w:rPr>
                <w:rFonts w:ascii="Arial" w:cs="Arial" w:eastAsia="Arial" w:hAnsi="Arial"/>
                <w:sz w:val="18"/>
                <w:szCs w:val="18"/>
                <w:color w:val="auto"/>
              </w:rPr>
              <w:t>January 9, 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4720" w:type="dxa"/>
            <w:vAlign w:val="bottom"/>
            <w:gridSpan w:val="3"/>
            <w:vMerge w:val="continue"/>
          </w:tcPr>
          <w:p>
            <w:pPr>
              <w:spacing w:after="0" w:line="20" w:lineRule="exact"/>
              <w:rPr>
                <w:sz w:val="1"/>
                <w:szCs w:val="1"/>
                <w:color w:val="auto"/>
              </w:rPr>
            </w:pPr>
          </w:p>
        </w:tc>
        <w:tc>
          <w:tcPr>
            <w:tcW w:w="15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20" w:type="dxa"/>
            <w:vAlign w:val="bottom"/>
            <w:gridSpan w:val="3"/>
            <w:vMerge w:val="restart"/>
          </w:tcPr>
          <w:p>
            <w:pPr>
              <w:spacing w:after="0"/>
              <w:rPr>
                <w:sz w:val="20"/>
                <w:szCs w:val="20"/>
                <w:color w:val="auto"/>
              </w:rPr>
            </w:pPr>
            <w:r>
              <w:rPr>
                <w:rFonts w:ascii="Arial" w:cs="Arial" w:eastAsia="Arial" w:hAnsi="Arial"/>
                <w:sz w:val="18"/>
                <w:szCs w:val="18"/>
                <w:color w:val="auto"/>
              </w:rPr>
              <w:t>Bruce R. Evans</w:t>
            </w:r>
          </w:p>
        </w:tc>
        <w:tc>
          <w:tcPr>
            <w:tcW w:w="1680" w:type="dxa"/>
            <w:vAlign w:val="bottom"/>
          </w:tcPr>
          <w:p>
            <w:pPr>
              <w:spacing w:after="0"/>
              <w:rPr>
                <w:sz w:val="8"/>
                <w:szCs w:val="8"/>
                <w:color w:val="auto"/>
              </w:rPr>
            </w:pPr>
          </w:p>
        </w:tc>
        <w:tc>
          <w:tcPr>
            <w:tcW w:w="4720" w:type="dxa"/>
            <w:vAlign w:val="bottom"/>
            <w:gridSpan w:val="3"/>
            <w:vMerge w:val="continue"/>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22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2220" w:type="dxa"/>
            <w:vAlign w:val="bottom"/>
            <w:gridSpan w:val="3"/>
          </w:tcPr>
          <w:p>
            <w:pPr>
              <w:spacing w:after="0"/>
              <w:rPr>
                <w:sz w:val="20"/>
                <w:szCs w:val="20"/>
                <w:color w:val="auto"/>
              </w:rPr>
            </w:pPr>
            <w:r>
              <w:rPr>
                <w:rFonts w:ascii="Arial" w:cs="Arial" w:eastAsia="Arial" w:hAnsi="Arial"/>
                <w:sz w:val="18"/>
                <w:szCs w:val="18"/>
                <w:color w:val="auto"/>
              </w:rPr>
              <w:t>/s/ Edward H. Frank</w:t>
            </w:r>
          </w:p>
        </w:tc>
        <w:tc>
          <w:tcPr>
            <w:tcW w:w="1680" w:type="dxa"/>
            <w:vAlign w:val="bottom"/>
          </w:tcPr>
          <w:p>
            <w:pPr>
              <w:spacing w:after="0"/>
              <w:rPr>
                <w:sz w:val="24"/>
                <w:szCs w:val="24"/>
                <w:color w:val="auto"/>
              </w:rPr>
            </w:pPr>
          </w:p>
        </w:tc>
        <w:tc>
          <w:tcPr>
            <w:tcW w:w="4720" w:type="dxa"/>
            <w:vAlign w:val="bottom"/>
            <w:gridSpan w:val="3"/>
            <w:vMerge w:val="restart"/>
          </w:tcPr>
          <w:p>
            <w:pPr>
              <w:ind w:left="100"/>
              <w:spacing w:after="0"/>
              <w:rPr>
                <w:sz w:val="20"/>
                <w:szCs w:val="20"/>
                <w:color w:val="auto"/>
              </w:rPr>
            </w:pPr>
            <w:r>
              <w:rPr>
                <w:rFonts w:ascii="Arial" w:cs="Arial" w:eastAsia="Arial" w:hAnsi="Arial"/>
                <w:sz w:val="18"/>
                <w:szCs w:val="18"/>
                <w:color w:val="auto"/>
              </w:rPr>
              <w:t>Director</w:t>
            </w:r>
          </w:p>
        </w:tc>
        <w:tc>
          <w:tcPr>
            <w:tcW w:w="1540" w:type="dxa"/>
            <w:vAlign w:val="bottom"/>
            <w:gridSpan w:val="2"/>
            <w:vMerge w:val="restart"/>
          </w:tcPr>
          <w:p>
            <w:pPr>
              <w:jc w:val="right"/>
              <w:spacing w:after="0"/>
              <w:rPr>
                <w:sz w:val="20"/>
                <w:szCs w:val="20"/>
                <w:color w:val="auto"/>
              </w:rPr>
            </w:pPr>
            <w:r>
              <w:rPr>
                <w:rFonts w:ascii="Arial" w:cs="Arial" w:eastAsia="Arial" w:hAnsi="Arial"/>
                <w:sz w:val="18"/>
                <w:szCs w:val="18"/>
                <w:color w:val="auto"/>
              </w:rPr>
              <w:t>January 9, 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4720" w:type="dxa"/>
            <w:vAlign w:val="bottom"/>
            <w:gridSpan w:val="3"/>
            <w:vMerge w:val="continue"/>
          </w:tcPr>
          <w:p>
            <w:pPr>
              <w:spacing w:after="0" w:line="20" w:lineRule="exact"/>
              <w:rPr>
                <w:sz w:val="1"/>
                <w:szCs w:val="1"/>
                <w:color w:val="auto"/>
              </w:rPr>
            </w:pPr>
          </w:p>
        </w:tc>
        <w:tc>
          <w:tcPr>
            <w:tcW w:w="15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20" w:type="dxa"/>
            <w:vAlign w:val="bottom"/>
            <w:gridSpan w:val="3"/>
            <w:vMerge w:val="restart"/>
          </w:tcPr>
          <w:p>
            <w:pPr>
              <w:spacing w:after="0"/>
              <w:rPr>
                <w:sz w:val="20"/>
                <w:szCs w:val="20"/>
                <w:color w:val="auto"/>
              </w:rPr>
            </w:pPr>
            <w:r>
              <w:rPr>
                <w:rFonts w:ascii="Arial" w:cs="Arial" w:eastAsia="Arial" w:hAnsi="Arial"/>
                <w:sz w:val="18"/>
                <w:szCs w:val="18"/>
                <w:color w:val="auto"/>
              </w:rPr>
              <w:t>Edward H. Frank</w:t>
            </w:r>
          </w:p>
        </w:tc>
        <w:tc>
          <w:tcPr>
            <w:tcW w:w="1680" w:type="dxa"/>
            <w:vAlign w:val="bottom"/>
          </w:tcPr>
          <w:p>
            <w:pPr>
              <w:spacing w:after="0"/>
              <w:rPr>
                <w:sz w:val="8"/>
                <w:szCs w:val="8"/>
                <w:color w:val="auto"/>
              </w:rPr>
            </w:pPr>
          </w:p>
        </w:tc>
        <w:tc>
          <w:tcPr>
            <w:tcW w:w="4720" w:type="dxa"/>
            <w:vAlign w:val="bottom"/>
            <w:gridSpan w:val="3"/>
            <w:vMerge w:val="continue"/>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22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720" w:type="dxa"/>
            <w:vAlign w:val="bottom"/>
            <w:gridSpan w:val="3"/>
          </w:tcPr>
          <w:p>
            <w:pPr>
              <w:ind w:left="1480"/>
              <w:spacing w:after="0"/>
              <w:rPr>
                <w:sz w:val="20"/>
                <w:szCs w:val="20"/>
                <w:color w:val="auto"/>
              </w:rPr>
            </w:pPr>
            <w:r>
              <w:rPr>
                <w:rFonts w:ascii="Arial" w:cs="Arial" w:eastAsia="Arial" w:hAnsi="Arial"/>
                <w:sz w:val="18"/>
                <w:szCs w:val="18"/>
                <w:color w:val="auto"/>
              </w:rPr>
              <w:t>II-5</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Karen M. Golz</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Karen M. Golz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24701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Mark M. Little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Mark M.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24701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Neil Novich</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Neil Novich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24701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 Kenton J. Sicchitano</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Kenton J. Sicchitano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24701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Lisa T. Su</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Lisa T. 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24701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Susie Wee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Susie Wee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24701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tabs>
          <w:tab w:leader="none" w:pos="500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January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-786130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75" w:lineRule="exact"/>
        <w:rPr>
          <w:sz w:val="20"/>
          <w:szCs w:val="20"/>
          <w:color w:val="auto"/>
        </w:rPr>
      </w:pPr>
    </w:p>
    <w:p>
      <w:pPr>
        <w:spacing w:after="0"/>
        <w:tabs>
          <w:tab w:leader="none" w:pos="500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January 9, 2020</w:t>
      </w:r>
    </w:p>
    <w:p>
      <w:pPr>
        <w:spacing w:after="0" w:line="395" w:lineRule="exact"/>
        <w:rPr>
          <w:sz w:val="20"/>
          <w:szCs w:val="20"/>
          <w:color w:val="auto"/>
        </w:rPr>
      </w:pPr>
    </w:p>
    <w:p>
      <w:pPr>
        <w:spacing w:after="0"/>
        <w:tabs>
          <w:tab w:leader="none" w:pos="500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January 9, 2020</w:t>
      </w:r>
    </w:p>
    <w:p>
      <w:pPr>
        <w:spacing w:after="0" w:line="395" w:lineRule="exact"/>
        <w:rPr>
          <w:sz w:val="20"/>
          <w:szCs w:val="20"/>
          <w:color w:val="auto"/>
        </w:rPr>
      </w:pPr>
    </w:p>
    <w:p>
      <w:pPr>
        <w:spacing w:after="0"/>
        <w:tabs>
          <w:tab w:leader="none" w:pos="500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January 9, 2020</w:t>
      </w:r>
    </w:p>
    <w:p>
      <w:pPr>
        <w:spacing w:after="0" w:line="395" w:lineRule="exact"/>
        <w:rPr>
          <w:sz w:val="20"/>
          <w:szCs w:val="20"/>
          <w:color w:val="auto"/>
        </w:rPr>
      </w:pPr>
    </w:p>
    <w:p>
      <w:pPr>
        <w:spacing w:after="0"/>
        <w:tabs>
          <w:tab w:leader="none" w:pos="500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January 9, 2020</w:t>
      </w:r>
    </w:p>
    <w:p>
      <w:pPr>
        <w:spacing w:after="0" w:line="395" w:lineRule="exact"/>
        <w:rPr>
          <w:sz w:val="20"/>
          <w:szCs w:val="20"/>
          <w:color w:val="auto"/>
        </w:rPr>
      </w:pPr>
    </w:p>
    <w:p>
      <w:pPr>
        <w:spacing w:after="0"/>
        <w:tabs>
          <w:tab w:leader="none" w:pos="500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January 9, 2020</w:t>
      </w:r>
    </w:p>
    <w:p>
      <w:pPr>
        <w:spacing w:after="0" w:line="31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II-6</w:t>
      </w:r>
    </w:p>
    <w:p>
      <w:pPr>
        <w:sectPr>
          <w:pgSz w:w="11900" w:h="16838" w:orient="portrait"/>
          <w:cols w:equalWidth="0" w:num="2">
            <w:col w:w="3480" w:space="720"/>
            <w:col w:w="6160"/>
          </w:cols>
          <w:pgMar w:left="240" w:top="459" w:right="129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5949950</wp:posOffset>
            </wp:positionH>
            <wp:positionV relativeFrom="paragraph">
              <wp:posOffset>248920</wp:posOffset>
            </wp:positionV>
            <wp:extent cx="1054735" cy="8489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05473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January 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Norwood, MA 02062</w:t>
      </w:r>
    </w:p>
    <w:p>
      <w:pPr>
        <w:spacing w:after="0" w:line="23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This opinion is furnished to you in connection with a Registration Statement on Form S-3 (the “Registration Statement”) filed with the Securities and Exchange Commission (the “Commission”) under the Securities Act of 1933, as amended (the “Securities Act”), for the registration of an aggregate of 335,654 shares of Common Stock, $0.16 2/3 par value per share (the “Shares”), of Analog Devices, Inc., a Massachusetts corporation (the “Company”). All of the Shares are being registered on behalf of a stockholder of the Company (the “Selling Stockholder”).</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are acting as counsel for the Company in connection with the registration for resale of the Shares. We have examined signed copies of the Registration Statement as filed with the Commission. We have also examined and relied upon minutes of meetings of the stockholders and the Board of Directors of the Company as provided to us by the Company, the Restated Articles of Organization and Amended and Restated By-Laws of the Company, each as restated and/or amended to date, and such other documents as we have deemed necessary for purposes of rendering the opinions hereinafter set forth.</w:t>
      </w:r>
    </w:p>
    <w:p>
      <w:pPr>
        <w:spacing w:after="0" w:line="188"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In our examination of the foregoing documents, we have assumed the genuineness of all signatures, the legal capacity of all signatories, the authenticity of all documents submitted to us as originals, the conformity to original documents of all documents submitted to us as copies, the authenticity of such original documents and the completeness and accuracy of the corporate minute books of the Company provided to us by the Company.</w:t>
      </w:r>
    </w:p>
    <w:p>
      <w:pPr>
        <w:spacing w:after="0" w:line="147"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Our opinion below, insofar as it relates to the Shares being fully paid, is based solely on an officer’s certificate of the Company confirming the Company’s receipt of the consideration called for by the applicable resolutions authorizing the issuance of such Shares.</w:t>
      </w:r>
    </w:p>
    <w:p>
      <w:pPr>
        <w:spacing w:after="0" w:line="14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assume that the appropriate action will be taken, prior to the offer and sale of the Shares, to register and qualify the Shares for sale under all applicable state securities or “blue sky” 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express no opinion herein as to the laws of any state or jurisdiction other than the state laws of the Commonwealth of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864235</wp:posOffset>
            </wp:positionH>
            <wp:positionV relativeFrom="paragraph">
              <wp:posOffset>263525</wp:posOffset>
            </wp:positionV>
            <wp:extent cx="5274310" cy="2228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5274310" cy="22288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9,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5949950</wp:posOffset>
            </wp:positionH>
            <wp:positionV relativeFrom="paragraph">
              <wp:posOffset>-87630</wp:posOffset>
            </wp:positionV>
            <wp:extent cx="105473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054735" cy="137160"/>
                    </a:xfrm>
                    <a:prstGeom prst="rect">
                      <a:avLst/>
                    </a:prstGeom>
                    <a:noFill/>
                  </pic:spPr>
                </pic:pic>
              </a:graphicData>
            </a:graphic>
          </wp:anchor>
        </w:drawing>
      </w:r>
    </w:p>
    <w:p>
      <w:pPr>
        <w:spacing w:after="0" w:line="29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Based upon and subject to the foregoing, we are of the opinion that the Shares have been duly authorized and are validly issued, fully paid and nonassessable.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It is understood that this opinion is to be used only in connection with the offer and sale of the Shares while the Registration Statement is in effect.</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hereby consent to the filing of this opinion with the Commission as an exhibit to the Registration Statement in accordance with the requirements of Item 601(b)(5) of Regulation S-K under the Securities Act and to the use of our name therein and in the related prospectus under the caption “Legal Matters.” In giving such consent, we do not hereby admit that we are in the category of persons whose consent is required under Section 7 of the Securities Act or the rules and regulations of the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WILMER CUTLER PICKERING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HALE AND DORR LLP</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By: /s/ Jason L. Kropp</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Jason L. Kropp,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ectPr>
          <w:pgSz w:w="11900" w:h="16838" w:orient="portrait"/>
          <w:cols w:equalWidth="0" w:num="1">
            <w:col w:w="10900"/>
          </w:cols>
          <w:pgMar w:left="440" w:top="274" w:right="55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consent to the reference to our firm under the caption “Experts” in this Registration Statement (Form S-3) and related Prospectus of Analog Devices, Inc. for the registration of common stock and to the incorporation by reference therein of our reports dated November 26, 2019, with respect to the consolidated financial statements and schedule of Analog Devices, Inc., and the effectiveness of internal control over financial reporting of Analog Devices, Inc., included in its Annual Report (Form 10-K) for the year ended November 2, 2019, filed with the Securities and Exchange Commission.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6, 2020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4"/>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lvl w:ilvl="1">
      <w:lvlJc w:val="left"/>
      <w:lvlText w:val="(%2)"/>
      <w:numFmt w:val="lowerRoman"/>
      <w:start w:val="1"/>
    </w:lvl>
  </w:abstractNum>
  <w:abstractNum w:abstractNumId="9">
    <w:nsid w:val="4DB127F8"/>
    <w:multiLevelType w:val="hybridMultilevel"/>
    <w:lvl w:ilvl="0">
      <w:lvlJc w:val="left"/>
      <w:lvlText w:val="(%1)"/>
      <w:numFmt w:val="decimal"/>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0"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jpeg"/><Relationship Id="rId68" Type="http://schemas.openxmlformats.org/officeDocument/2006/relationships/image" Target="media/image51.jpeg"/><Relationship Id="rId69" Type="http://schemas.openxmlformats.org/officeDocument/2006/relationships/image" Target="media/image52.png"/><Relationship Id="rId70" Type="http://schemas.openxmlformats.org/officeDocument/2006/relationships/image" Target="media/image53.jpeg"/><Relationship Id="rId71" Type="http://schemas.openxmlformats.org/officeDocument/2006/relationships/image" Target="media/image54.png"/><Relationship Id="rId37" Type="http://schemas.openxmlformats.org/officeDocument/2006/relationships/hyperlink" Target="http://www.sec.gov/Archives/edgar/data/6281/000000628119000144/adi-20191102.htm" TargetMode="External"/><Relationship Id="rId38" Type="http://schemas.openxmlformats.org/officeDocument/2006/relationships/hyperlink" Target="http://www.sec.gov/Archives/edgar/data/6281/000119312519016431/d770932ddef14a.htm" TargetMode="External"/><Relationship Id="rId39" Type="http://schemas.openxmlformats.org/officeDocument/2006/relationships/hyperlink" Target="http://www.sec.gov/Archives/edgar/data/6281/000000628119000154/adi-20191210.htm" TargetMode="External"/><Relationship Id="rId41" Type="http://schemas.openxmlformats.org/officeDocument/2006/relationships/hyperlink" Target="http://www.sec.gov/Archives/edgar/data/6281/000119312517179585/d334158dex992.htm" TargetMode="External"/><Relationship Id="rId42" Type="http://schemas.openxmlformats.org/officeDocument/2006/relationships/hyperlink" Target="http://www.sec.gov/Archives/edgar/data/6281/000119312517179585/d334158d8ka.htm" TargetMode="External"/><Relationship Id="rId43" Type="http://schemas.openxmlformats.org/officeDocument/2006/relationships/hyperlink" Target="http://www.sec.gov/Archives/edgar/data/6281/000119312512124733/d319626d8a12b.htm" TargetMode="External"/><Relationship Id="rId44" Type="http://schemas.openxmlformats.org/officeDocument/2006/relationships/hyperlink" Target="http://www.sec.gov/Archives/edgar/data/6281/000000628119000144/exhibit46descriptionof.htm" TargetMode="External"/><Relationship Id="rId53" Type="http://schemas.openxmlformats.org/officeDocument/2006/relationships/hyperlink" Target="http://www.sec.gov/Archives/edgar/data/6281/000095013508003842/b69749adexv3w1.htm" TargetMode="External"/><Relationship Id="rId54" Type="http://schemas.openxmlformats.org/officeDocument/2006/relationships/hyperlink" Target="http://www.sec.gov/Archives/edgar/data/6281/000095013508007881/b73171adexv3w1.htm" TargetMode="External"/><Relationship Id="rId55" Type="http://schemas.openxmlformats.org/officeDocument/2006/relationships/hyperlink" Target="http://www.sec.gov/Archives/edgar/data/6281/000000628118000132/exhibit31-restatedbylawsx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2020-01-09T15:19:27Z</dcterms:created>
  <dcterms:modified xsi:type="dcterms:W3CDTF">2020-01-09T15:19:27Z</dcterms:modified>
</cp:coreProperties>
</file>