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18"/>
          <w:szCs w:val="18"/>
          <w:color w:val="auto"/>
        </w:rPr>
        <w:t>February 13, 2017</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5"/>
              </w:rPr>
              <w:t>Massachusetts</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1-7819</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04-2348234</w:t>
            </w:r>
          </w:p>
        </w:tc>
      </w:tr>
      <w:tr>
        <w:trPr>
          <w:trHeight w:val="215"/>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1"/>
              </w:rPr>
              <w:t>(Commission</w:t>
            </w:r>
          </w:p>
        </w:tc>
        <w:tc>
          <w:tcPr>
            <w:tcW w:w="340" w:type="dxa"/>
            <w:vAlign w:val="bottom"/>
          </w:tcPr>
          <w:p>
            <w:pPr>
              <w:spacing w:after="0"/>
              <w:rPr>
                <w:sz w:val="18"/>
                <w:szCs w:val="18"/>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gridSpan w:val="3"/>
          </w:tcPr>
          <w:p>
            <w:pPr>
              <w:jc w:val="center"/>
              <w:ind w:right="1160"/>
              <w:spacing w:after="0"/>
              <w:rPr>
                <w:sz w:val="20"/>
                <w:szCs w:val="20"/>
                <w:color w:val="auto"/>
              </w:rPr>
            </w:pPr>
            <w:r>
              <w:rPr>
                <w:rFonts w:ascii="Arial" w:cs="Arial" w:eastAsia="Arial" w:hAnsi="Arial"/>
                <w:sz w:val="18"/>
                <w:szCs w:val="18"/>
                <w:color w:val="auto"/>
                <w:w w:val="93"/>
              </w:rPr>
              <w:t>of incorporation)</w:t>
            </w:r>
          </w:p>
        </w:tc>
        <w:tc>
          <w:tcPr>
            <w:tcW w:w="2860" w:type="dxa"/>
            <w:vAlign w:val="bottom"/>
            <w:gridSpan w:val="3"/>
          </w:tcPr>
          <w:p>
            <w:pPr>
              <w:jc w:val="center"/>
              <w:ind w:right="820"/>
              <w:spacing w:after="0"/>
              <w:rPr>
                <w:sz w:val="20"/>
                <w:szCs w:val="20"/>
                <w:color w:val="auto"/>
              </w:rPr>
            </w:pPr>
            <w:r>
              <w:rPr>
                <w:rFonts w:ascii="Arial" w:cs="Arial" w:eastAsia="Arial" w:hAnsi="Arial"/>
                <w:sz w:val="18"/>
                <w:szCs w:val="18"/>
                <w:color w:val="auto"/>
                <w:w w:val="92"/>
              </w:rPr>
              <w:t>File Number)</w:t>
            </w:r>
          </w:p>
        </w:tc>
        <w:tc>
          <w:tcPr>
            <w:tcW w:w="34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709"/>
        </w:trPr>
        <w:tc>
          <w:tcPr>
            <w:tcW w:w="470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One Technology Way, Norwood, MA</w:t>
            </w:r>
          </w:p>
        </w:tc>
        <w:tc>
          <w:tcPr>
            <w:tcW w:w="8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02062</w:t>
            </w:r>
          </w:p>
        </w:tc>
      </w:tr>
      <w:tr>
        <w:trPr>
          <w:trHeight w:val="230"/>
        </w:trPr>
        <w:tc>
          <w:tcPr>
            <w:tcW w:w="4700" w:type="dxa"/>
            <w:vAlign w:val="bottom"/>
            <w:gridSpan w:val="3"/>
          </w:tcPr>
          <w:p>
            <w:pPr>
              <w:ind w:left="1320"/>
              <w:spacing w:after="0"/>
              <w:rPr>
                <w:sz w:val="20"/>
                <w:szCs w:val="20"/>
                <w:color w:val="auto"/>
              </w:rPr>
            </w:pPr>
            <w:r>
              <w:rPr>
                <w:rFonts w:ascii="Arial" w:cs="Arial" w:eastAsia="Arial" w:hAnsi="Arial"/>
                <w:sz w:val="18"/>
                <w:szCs w:val="18"/>
                <w:color w:val="auto"/>
              </w:rPr>
              <w:t>(Address of principal executive offices)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2" w:lineRule="exact"/>
        <w:rPr>
          <w:sz w:val="24"/>
          <w:szCs w:val="24"/>
          <w:color w:val="auto"/>
        </w:rPr>
      </w:pPr>
    </w:p>
    <w:p>
      <w:pPr>
        <w:ind w:right="120"/>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3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spacing w:after="0"/>
        <w:tabs>
          <w:tab w:leader="none" w:pos="17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36" w:lineRule="exact"/>
        <w:rPr>
          <w:sz w:val="20"/>
          <w:szCs w:val="20"/>
          <w:color w:val="auto"/>
        </w:rPr>
      </w:pPr>
    </w:p>
    <w:p>
      <w:pPr>
        <w:jc w:val="both"/>
        <w:ind w:right="340" w:firstLine="810"/>
        <w:spacing w:after="0"/>
        <w:rPr>
          <w:sz w:val="20"/>
          <w:szCs w:val="20"/>
          <w:color w:val="auto"/>
        </w:rPr>
      </w:pPr>
      <w:r>
        <w:rPr>
          <w:rFonts w:ascii="Arial" w:cs="Arial" w:eastAsia="Arial" w:hAnsi="Arial"/>
          <w:sz w:val="22"/>
          <w:szCs w:val="22"/>
          <w:color w:val="auto"/>
        </w:rPr>
        <w:t>On February 15, 2017, Analog Devices, Inc. (the “Registrant”) announced its financial results for its fiscal first quarter ended January 28, 2017. The full text of the press release issued by the Registrant concerning the foregoing results is furnished herewith as Exhibit 99.1.</w:t>
      </w:r>
    </w:p>
    <w:p>
      <w:pPr>
        <w:spacing w:after="0" w:line="186" w:lineRule="exact"/>
        <w:rPr>
          <w:sz w:val="20"/>
          <w:szCs w:val="20"/>
          <w:color w:val="auto"/>
        </w:rPr>
      </w:pPr>
    </w:p>
    <w:p>
      <w:pPr>
        <w:ind w:right="60" w:firstLine="810"/>
        <w:spacing w:after="0" w:line="282" w:lineRule="auto"/>
        <w:rPr>
          <w:sz w:val="20"/>
          <w:szCs w:val="20"/>
          <w:color w:val="auto"/>
        </w:rPr>
      </w:pPr>
      <w:r>
        <w:rPr>
          <w:rFonts w:ascii="Arial" w:cs="Arial" w:eastAsia="Arial" w:hAnsi="Arial"/>
          <w:sz w:val="19"/>
          <w:szCs w:val="19"/>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16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36" w:lineRule="exact"/>
        <w:rPr>
          <w:sz w:val="20"/>
          <w:szCs w:val="20"/>
          <w:color w:val="auto"/>
        </w:rPr>
      </w:pPr>
    </w:p>
    <w:p>
      <w:pPr>
        <w:jc w:val="both"/>
        <w:ind w:right="180" w:firstLine="810"/>
        <w:spacing w:after="0" w:line="236" w:lineRule="auto"/>
        <w:rPr>
          <w:sz w:val="20"/>
          <w:szCs w:val="20"/>
          <w:color w:val="auto"/>
        </w:rPr>
      </w:pPr>
      <w:r>
        <w:rPr>
          <w:rFonts w:ascii="Arial" w:cs="Arial" w:eastAsia="Arial" w:hAnsi="Arial"/>
          <w:sz w:val="22"/>
          <w:szCs w:val="22"/>
          <w:color w:val="auto"/>
        </w:rPr>
        <w:t>On February 14, 2017, the Registrant announced that its Board of Directors declared a quarterly cash dividend of $0.45 per outstanding share of common stock, an increase from the previously paid dividend of $0.42 per outstanding share of common stock. The dividend will be paid on March 7, 2017 to all shareholders of record at the close of business on February 24, 2017. A copy of the Registrant’s press release is attached as Exhibit 99.2 to this Current Report on Form 8-K and is incorporated herein by reference.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20" w:type="dxa"/>
            <w:vAlign w:val="bottom"/>
            <w:gridSpan w:val="3"/>
          </w:tcPr>
          <w:p>
            <w:pPr>
              <w:ind w:left="3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3"/>
        </w:trPr>
        <w:tc>
          <w:tcPr>
            <w:tcW w:w="1400" w:type="dxa"/>
            <w:vAlign w:val="bottom"/>
            <w:gridSpan w:val="2"/>
          </w:tcPr>
          <w:p>
            <w:pPr>
              <w:spacing w:after="0"/>
              <w:rPr>
                <w:sz w:val="20"/>
                <w:szCs w:val="20"/>
                <w:color w:val="auto"/>
              </w:rPr>
            </w:pPr>
            <w:r>
              <w:rPr>
                <w:rFonts w:ascii="Arial" w:cs="Arial" w:eastAsia="Arial" w:hAnsi="Arial"/>
                <w:sz w:val="22"/>
                <w:szCs w:val="22"/>
                <w:color w:val="auto"/>
              </w:rPr>
              <w:t>(d) Exhibits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60" w:type="dxa"/>
            <w:vAlign w:val="bottom"/>
          </w:tcPr>
          <w:p>
            <w:pPr>
              <w:spacing w:after="0"/>
              <w:rPr>
                <w:sz w:val="24"/>
                <w:szCs w:val="24"/>
                <w:color w:val="auto"/>
              </w:rPr>
            </w:pPr>
          </w:p>
        </w:tc>
      </w:tr>
      <w:tr>
        <w:trPr>
          <w:trHeight w:val="638"/>
        </w:trPr>
        <w:tc>
          <w:tcPr>
            <w:tcW w:w="14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Press release dated February 15, 2017</w:t>
            </w:r>
          </w:p>
        </w:tc>
      </w:tr>
      <w:tr>
        <w:trPr>
          <w:trHeight w:val="243"/>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560" w:type="dxa"/>
            <w:vAlign w:val="bottom"/>
          </w:tcPr>
          <w:p>
            <w:pPr>
              <w:spacing w:after="0"/>
              <w:rPr>
                <w:sz w:val="21"/>
                <w:szCs w:val="21"/>
                <w:color w:val="auto"/>
              </w:rPr>
            </w:pPr>
          </w:p>
        </w:tc>
        <w:tc>
          <w:tcPr>
            <w:tcW w:w="10020" w:type="dxa"/>
            <w:vAlign w:val="bottom"/>
            <w:gridSpan w:val="3"/>
          </w:tcPr>
          <w:p>
            <w:pPr>
              <w:ind w:left="320"/>
              <w:spacing w:after="0"/>
              <w:rPr>
                <w:sz w:val="20"/>
                <w:szCs w:val="20"/>
                <w:color w:val="auto"/>
              </w:rPr>
            </w:pPr>
            <w:r>
              <w:rPr>
                <w:rFonts w:ascii="Arial" w:cs="Arial" w:eastAsia="Arial" w:hAnsi="Arial"/>
                <w:sz w:val="18"/>
                <w:szCs w:val="18"/>
                <w:color w:val="auto"/>
              </w:rPr>
              <w:t>Press release dated February 14, 2017</w:t>
            </w:r>
          </w:p>
        </w:tc>
      </w:tr>
      <w:tr>
        <w:trPr>
          <w:trHeight w:val="230"/>
        </w:trPr>
        <w:tc>
          <w:tcPr>
            <w:tcW w:w="84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860" w:type="dxa"/>
            <w:vAlign w:val="bottom"/>
            <w:tcBorders>
              <w:bottom w:val="single" w:sz="8" w:color="9A9A9A"/>
            </w:tcBorders>
          </w:tcPr>
          <w:p>
            <w:pPr>
              <w:spacing w:after="0"/>
              <w:rPr>
                <w:sz w:val="19"/>
                <w:szCs w:val="19"/>
                <w:color w:val="auto"/>
              </w:rPr>
            </w:pPr>
          </w:p>
        </w:tc>
      </w:tr>
      <w:tr>
        <w:trPr>
          <w:trHeight w:val="21"/>
        </w:trPr>
        <w:tc>
          <w:tcPr>
            <w:tcW w:w="84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8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jc w:val="center"/>
        <w:ind w:right="-779"/>
        <w:spacing w:after="0"/>
        <w:rPr>
          <w:sz w:val="20"/>
          <w:szCs w:val="20"/>
          <w:color w:val="auto"/>
        </w:rPr>
      </w:pPr>
      <w:r>
        <w:rPr>
          <w:rFonts w:ascii="Arial" w:cs="Arial" w:eastAsia="Arial" w:hAnsi="Arial"/>
          <w:sz w:val="22"/>
          <w:szCs w:val="22"/>
          <w:color w:val="auto"/>
        </w:rPr>
        <w:t>SIGNATURE</w:t>
      </w:r>
    </w:p>
    <w:p>
      <w:pPr>
        <w:spacing w:after="0" w:line="21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15, 2017</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60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A. Zinsner</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Finance and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18" w:right="8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3180" w:type="dxa"/>
            <w:vAlign w:val="bottom"/>
            <w:gridSpan w:val="3"/>
          </w:tcPr>
          <w:p>
            <w:pPr>
              <w:ind w:left="44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87"/>
              </w:rPr>
              <w:t>Press release dated February 15, 2017</w:t>
            </w:r>
          </w:p>
        </w:tc>
      </w:tr>
      <w:tr>
        <w:trPr>
          <w:trHeight w:val="243"/>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21"/>
                <w:szCs w:val="21"/>
                <w:color w:val="auto"/>
              </w:rPr>
            </w:pPr>
          </w:p>
        </w:tc>
        <w:tc>
          <w:tcPr>
            <w:tcW w:w="3180" w:type="dxa"/>
            <w:vAlign w:val="bottom"/>
            <w:gridSpan w:val="3"/>
          </w:tcPr>
          <w:p>
            <w:pPr>
              <w:ind w:left="440"/>
              <w:spacing w:after="0"/>
              <w:rPr>
                <w:sz w:val="20"/>
                <w:szCs w:val="20"/>
                <w:color w:val="auto"/>
              </w:rPr>
            </w:pPr>
            <w:r>
              <w:rPr>
                <w:rFonts w:ascii="Arial" w:cs="Arial" w:eastAsia="Arial" w:hAnsi="Arial"/>
                <w:sz w:val="18"/>
                <w:szCs w:val="18"/>
                <w:color w:val="auto"/>
                <w:w w:val="87"/>
              </w:rPr>
              <w:t>Press release dated February 14, 2017</w:t>
            </w:r>
          </w:p>
        </w:tc>
      </w:tr>
    </w:tbl>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Analog Devices Reports Strong Start to Fiscal Year 2017</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auto"/>
        </w:rPr>
        <w:t>Revenue and earnings per share exceed high end of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560"/>
        <w:spacing w:after="0" w:line="485" w:lineRule="auto"/>
        <w:rPr>
          <w:sz w:val="20"/>
          <w:szCs w:val="20"/>
          <w:color w:val="auto"/>
        </w:rPr>
      </w:pPr>
      <w:r>
        <w:rPr>
          <w:rFonts w:ascii="Arial" w:cs="Arial" w:eastAsia="Arial" w:hAnsi="Arial"/>
          <w:sz w:val="18"/>
          <w:szCs w:val="18"/>
          <w:b w:val="1"/>
          <w:bCs w:val="1"/>
          <w:i w:val="1"/>
          <w:iCs w:val="1"/>
          <w:color w:val="auto"/>
        </w:rPr>
        <w:t>Record first quarter revenue of $984 million drives strong year-on-year margin expansion and cash flow generation $1.4 billion in cash flow from operations and $1.2 billion in free cash flow on a trailing twelve month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-469900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-229235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80"/>
        <w:spacing w:after="0" w:line="251" w:lineRule="auto"/>
        <w:rPr>
          <w:sz w:val="20"/>
          <w:szCs w:val="20"/>
          <w:color w:val="auto"/>
        </w:rPr>
      </w:pPr>
      <w:r>
        <w:rPr>
          <w:rFonts w:ascii="Arial" w:cs="Arial" w:eastAsia="Arial" w:hAnsi="Arial"/>
          <w:sz w:val="22"/>
          <w:szCs w:val="22"/>
          <w:color w:val="auto"/>
        </w:rPr>
        <w:t>NORWOOD, Mass.--(BUSINESS WIRE)--February 15, 2017--Analog Devices, Inc. (NASDAQ: ADI), today announced financial results for its first quarter of fiscal year 2017, which ended January 28, 2017.</w:t>
      </w:r>
    </w:p>
    <w:p>
      <w:pPr>
        <w:spacing w:after="0" w:line="173" w:lineRule="exact"/>
        <w:rPr>
          <w:sz w:val="20"/>
          <w:szCs w:val="20"/>
          <w:color w:val="auto"/>
        </w:rPr>
      </w:pPr>
    </w:p>
    <w:p>
      <w:pPr>
        <w:jc w:val="both"/>
        <w:ind w:right="260"/>
        <w:spacing w:after="0" w:line="297" w:lineRule="auto"/>
        <w:rPr>
          <w:sz w:val="20"/>
          <w:szCs w:val="20"/>
          <w:color w:val="auto"/>
        </w:rPr>
      </w:pPr>
      <w:r>
        <w:rPr>
          <w:rFonts w:ascii="Arial" w:cs="Arial" w:eastAsia="Arial" w:hAnsi="Arial"/>
          <w:sz w:val="19"/>
          <w:szCs w:val="19"/>
          <w:color w:val="auto"/>
        </w:rPr>
        <w:t>“We have started 2017 with strong and broad-based momentum in our business,” said Vincent Roche, President and CEO. “Our strategy to focus on sustainable and differentiated innovation helped drive 28% year-on-year revenue growth, and our laser focus on operational execution drove strong year-on-year margin expansion and cash generation in the first quarter.”</w:t>
      </w:r>
    </w:p>
    <w:p>
      <w:pPr>
        <w:spacing w:after="0" w:line="134" w:lineRule="exact"/>
        <w:rPr>
          <w:sz w:val="20"/>
          <w:szCs w:val="20"/>
          <w:color w:val="auto"/>
        </w:rPr>
      </w:pPr>
    </w:p>
    <w:p>
      <w:pPr>
        <w:jc w:val="both"/>
        <w:ind w:right="200"/>
        <w:spacing w:after="0" w:line="297" w:lineRule="auto"/>
        <w:rPr>
          <w:sz w:val="20"/>
          <w:szCs w:val="20"/>
          <w:color w:val="auto"/>
        </w:rPr>
      </w:pPr>
      <w:r>
        <w:rPr>
          <w:rFonts w:ascii="Arial" w:cs="Arial" w:eastAsia="Arial" w:hAnsi="Arial"/>
          <w:sz w:val="19"/>
          <w:szCs w:val="19"/>
          <w:color w:val="auto"/>
        </w:rPr>
        <w:t>"In addition, we are pleased with the progress we are making to close the acquisition of Linear Technology, and expect the deal to close by the end of our second fiscal quarter. The combination with Linear Technology, we believe, will create an analog industry powerhouse, capable of creating tremendous value for our customers, employees, and shareholders.”</w:t>
      </w:r>
    </w:p>
    <w:p>
      <w:pPr>
        <w:spacing w:after="0" w:line="134"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“Looking ahead to the April quarter, we are planning for revenue to be in the range of $870 million to $950 million, with sequential aggregate strength in our Business to Business (B2B) markets of industrial, automotive, and communications infrastructure being offset by seasonal patterns in the portable consumer market. At the mid-point of this range, we expect revenue to grow 17% over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the prior year, which would represent the 4</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consecutive quarter of year-over-year revenue growth for ADI.”</w:t>
      </w:r>
    </w:p>
    <w:p>
      <w:pPr>
        <w:spacing w:after="0" w:line="76"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ADI also announced that its Board of Directors has approved a 7% increase in its quarterly cash dividend to $0.45 from $0.42 per outstanding share of common stock, representing an annual dividend per share of $1.80. The quarterly dividend that was declared by the Board of Directors will be paid on March 7, 2017 to all shareholders of record at the close of business on February 24, 2017.</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Results for the First Quarter of Fiscal Year 2017</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totaled $984 million, down 2% sequentially, and up 28%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340"/>
        <w:spacing w:after="0" w:line="251" w:lineRule="auto"/>
        <w:rPr>
          <w:sz w:val="20"/>
          <w:szCs w:val="20"/>
          <w:color w:val="auto"/>
        </w:rPr>
      </w:pPr>
      <w:r>
        <w:rPr>
          <w:rFonts w:ascii="Arial" w:cs="Arial" w:eastAsia="Arial" w:hAnsi="Arial"/>
          <w:sz w:val="22"/>
          <w:szCs w:val="22"/>
          <w:color w:val="auto"/>
        </w:rPr>
        <w:t>Revenue in ADI’s B2B markets of industrial, automotive, and communications infrastructure totaled $714 million, up 1% sequentially, and up 11%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GAAP gross margin of 65.9% of revenue; Non-GAAP gross margin of 66.1%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GAAP operating margin of 27% of revenue; Non-GAAP operating margin of 35%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GAAP diluted EPS of $0.69; Non-GAAP diluted EPS of $0.94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400"/>
        <w:spacing w:after="0" w:line="241" w:lineRule="auto"/>
        <w:rPr>
          <w:sz w:val="20"/>
          <w:szCs w:val="20"/>
          <w:color w:val="auto"/>
        </w:rPr>
      </w:pPr>
      <w:r>
        <w:rPr>
          <w:rFonts w:ascii="Arial" w:cs="Arial" w:eastAsia="Arial" w:hAnsi="Arial"/>
          <w:sz w:val="22"/>
          <w:szCs w:val="22"/>
          <w:color w:val="auto"/>
        </w:rPr>
        <w:t>Please refer to the schedules provided for a summary of revenue and earnings, selected balance sheet information, and the cash flow statement for the first quarter of fiscal year 2017, as well as the immediately prior and year-ago quarters. Additional information on revenue by end market is provided on Schedule 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Outlook for the Second Quarter of Fiscal Year 2017</w:t>
      </w:r>
    </w:p>
    <w:p>
      <w:pPr>
        <w:spacing w:after="0" w:line="14" w:lineRule="exact"/>
        <w:rPr>
          <w:sz w:val="20"/>
          <w:szCs w:val="20"/>
          <w:color w:val="auto"/>
        </w:rPr>
      </w:pPr>
    </w:p>
    <w:p>
      <w:pPr>
        <w:spacing w:after="0" w:line="277" w:lineRule="auto"/>
        <w:rPr>
          <w:sz w:val="20"/>
          <w:szCs w:val="20"/>
          <w:color w:val="auto"/>
        </w:rPr>
      </w:pPr>
      <w:r>
        <w:rPr>
          <w:rFonts w:ascii="Arial" w:cs="Arial" w:eastAsia="Arial" w:hAnsi="Arial"/>
          <w:sz w:val="19"/>
          <w:szCs w:val="19"/>
          <w:i w:val="1"/>
          <w:iCs w:val="1"/>
          <w:color w:val="auto"/>
        </w:rPr>
        <w:t>The following statements are based on current expectations, and as indicated, and further explained below, are presented on a non-GAAP basis where the Company is unable without unreasonable efforts to forecast items that will be included in reported GAAP results. These statements are forward-looking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estimated to be in the range of $870 million to $950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gross margin expected to increase to between approximately 66.5% and approximately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operating expenses expected to be down approximately 3% to up approximately 1% sequentially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interest and other expense expected to be approximately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tax rate expected to be approximately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diluted EPS estimated to be $0.74 to $0.86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With respect to the forward-looking information presented on a non-GAAP basis, the Company is unable to provide a quantitative reconciliation to GAAP because the items that would be included or excluded, other than those described below, are difficult to predict and estimate and are primarily dependent on future events, including costs relating to the consummation and planned integration of the Company’s pending acquisition of Linear Technology Corporation, which is expected to close by the end of the Company’s second fiscal 2017 quarter. Known reconciling items are:</w:t>
      </w:r>
    </w:p>
    <w:p>
      <w:pPr>
        <w:spacing w:after="0" w:line="179" w:lineRule="exact"/>
        <w:rPr>
          <w:sz w:val="20"/>
          <w:szCs w:val="20"/>
          <w:color w:val="auto"/>
        </w:rPr>
      </w:pPr>
    </w:p>
    <w:p>
      <w:pPr>
        <w:ind w:left="540" w:right="300"/>
        <w:spacing w:after="0" w:line="251" w:lineRule="auto"/>
        <w:rPr>
          <w:sz w:val="20"/>
          <w:szCs w:val="20"/>
          <w:color w:val="auto"/>
        </w:rPr>
      </w:pPr>
      <w:r>
        <w:rPr>
          <w:rFonts w:ascii="Arial" w:cs="Arial" w:eastAsia="Arial" w:hAnsi="Arial"/>
          <w:sz w:val="22"/>
          <w:szCs w:val="22"/>
          <w:color w:val="auto"/>
        </w:rPr>
        <w:t>Non-GAAP gross margin excludes $2.7 million of amortization of purchased intangible assets and depreciation of step up value on purchased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spacing w:after="0" w:line="251" w:lineRule="auto"/>
        <w:rPr>
          <w:sz w:val="20"/>
          <w:szCs w:val="20"/>
          <w:color w:val="auto"/>
        </w:rPr>
      </w:pPr>
      <w:r>
        <w:rPr>
          <w:rFonts w:ascii="Arial" w:cs="Arial" w:eastAsia="Arial" w:hAnsi="Arial"/>
          <w:sz w:val="22"/>
          <w:szCs w:val="22"/>
          <w:color w:val="auto"/>
        </w:rPr>
        <w:t>Non-GAAP operating expenses exclude $18.2 million of amortization of purchased intangible assets and depreciation of step up value on purchased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460"/>
        <w:spacing w:after="0" w:line="251" w:lineRule="auto"/>
        <w:rPr>
          <w:sz w:val="20"/>
          <w:szCs w:val="20"/>
          <w:color w:val="auto"/>
        </w:rPr>
      </w:pPr>
      <w:r>
        <w:rPr>
          <w:rFonts w:ascii="Arial" w:cs="Arial" w:eastAsia="Arial" w:hAnsi="Arial"/>
          <w:sz w:val="22"/>
          <w:szCs w:val="22"/>
          <w:color w:val="auto"/>
        </w:rPr>
        <w:t>Non-GAAP tax rate excludes $1.0 million provision for income taxes which represents the tax effects of the reconciling items noted in the two bullets above;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jc w:val="both"/>
        <w:ind w:left="540" w:right="520"/>
        <w:spacing w:after="0"/>
        <w:rPr>
          <w:sz w:val="20"/>
          <w:szCs w:val="20"/>
          <w:color w:val="auto"/>
        </w:rPr>
      </w:pPr>
      <w:r>
        <w:rPr>
          <w:rFonts w:ascii="Arial" w:cs="Arial" w:eastAsia="Arial" w:hAnsi="Arial"/>
          <w:sz w:val="22"/>
          <w:szCs w:val="22"/>
          <w:color w:val="auto"/>
        </w:rPr>
        <w:t>Non-GAAP earnings per share excludes $0.06, which represents the estimated impact of the amortization of purchased intangible assets and depreciation of step up value on purchased fixed assets, net of tax, associated with the non-GAAP adjustments noted above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Conference Call Scheduled for Today, Wednesday, February 15, 2017 at 10:00 am ET</w:t>
      </w:r>
    </w:p>
    <w:p>
      <w:pPr>
        <w:spacing w:after="0" w:line="15" w:lineRule="exact"/>
        <w:rPr>
          <w:sz w:val="20"/>
          <w:szCs w:val="20"/>
          <w:color w:val="auto"/>
        </w:rPr>
      </w:pPr>
    </w:p>
    <w:p>
      <w:pPr>
        <w:jc w:val="both"/>
        <w:ind w:right="100"/>
        <w:spacing w:after="0" w:line="234" w:lineRule="auto"/>
        <w:rPr>
          <w:sz w:val="20"/>
          <w:szCs w:val="20"/>
          <w:color w:val="auto"/>
        </w:rPr>
      </w:pPr>
      <w:r>
        <w:rPr>
          <w:rFonts w:ascii="Arial" w:cs="Arial" w:eastAsia="Arial" w:hAnsi="Arial"/>
          <w:sz w:val="22"/>
          <w:szCs w:val="22"/>
          <w:color w:val="auto"/>
        </w:rPr>
        <w:t>ADI will host a conference call to discuss first quarter fiscal 2017 results and short-term outlook today, beginning at 10:00 am ET. Investors may join via webcast, accessible at investor.analog.com, or by telephone (call 706-634-7193 ten minutes before the call begins and provide the password "ADI").</w:t>
      </w:r>
    </w:p>
    <w:p>
      <w:pPr>
        <w:spacing w:after="0" w:line="187"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A replay will be available two hours after the completion of the call. The replay may be accessed for up to two weeks by dialing 855-859-2056 (replay only) and providing the conference ID: 51678306, or by visiting investor.analog.com.</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Information</w:t>
      </w:r>
    </w:p>
    <w:p>
      <w:pPr>
        <w:spacing w:after="0" w:line="14" w:lineRule="exact"/>
        <w:rPr>
          <w:sz w:val="20"/>
          <w:szCs w:val="20"/>
          <w:color w:val="auto"/>
        </w:rPr>
      </w:pPr>
    </w:p>
    <w:p>
      <w:pPr>
        <w:jc w:val="both"/>
        <w:ind w:right="440"/>
        <w:spacing w:after="0" w:line="249" w:lineRule="auto"/>
        <w:rPr>
          <w:sz w:val="20"/>
          <w:szCs w:val="20"/>
          <w:color w:val="auto"/>
        </w:rPr>
      </w:pPr>
      <w:r>
        <w:rPr>
          <w:rFonts w:ascii="Arial" w:cs="Arial" w:eastAsia="Arial" w:hAnsi="Arial"/>
          <w:sz w:val="21"/>
          <w:szCs w:val="21"/>
          <w:color w:val="auto"/>
        </w:rPr>
        <w:t>This release includes non-GAAP financial measures that are not in accordance with, nor an alternative to, generally accepted accounting principles and may be different from non-GAAP measures used by other companies. In addition, these non-GAAP measures are not based on any comprehensive set of accounting rules or principles.</w:t>
      </w:r>
    </w:p>
    <w:p>
      <w:pPr>
        <w:spacing w:after="0" w:line="176"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i w:val="1"/>
          <w:iCs w:val="1"/>
          <w:color w:val="auto"/>
        </w:rPr>
        <w:t>Schedules E and F of this press release provides the reconciliation of the Company’s historical non-GAAP measures to their most comparable GAAP measures.</w:t>
      </w:r>
    </w:p>
    <w:p>
      <w:pPr>
        <w:spacing w:after="0" w:line="173" w:lineRule="exact"/>
        <w:rPr>
          <w:sz w:val="20"/>
          <w:szCs w:val="20"/>
          <w:color w:val="auto"/>
        </w:rPr>
      </w:pPr>
    </w:p>
    <w:p>
      <w:pPr>
        <w:ind w:right="120"/>
        <w:spacing w:after="0" w:line="245" w:lineRule="auto"/>
        <w:rPr>
          <w:sz w:val="20"/>
          <w:szCs w:val="20"/>
          <w:color w:val="auto"/>
        </w:rPr>
      </w:pPr>
      <w:r>
        <w:rPr>
          <w:rFonts w:ascii="Arial" w:cs="Arial" w:eastAsia="Arial" w:hAnsi="Arial"/>
          <w:sz w:val="21"/>
          <w:szCs w:val="21"/>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176"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b w:val="1"/>
          <w:bCs w:val="1"/>
          <w:color w:val="auto"/>
        </w:rPr>
        <w:t>The following items are excluded from our non-GAAP gross margin, non-GAAP operating expenses, non-GAAP operating income, non-GAAP operating margin, and non-GAAP diluted earnings per share:</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Acquisition-Related Expenses</w:t>
      </w:r>
      <w:r>
        <w:rPr>
          <w:rFonts w:ascii="Arial" w:cs="Arial" w:eastAsia="Arial" w:hAnsi="Arial"/>
          <w:sz w:val="19"/>
          <w:szCs w:val="19"/>
          <w:color w:val="auto"/>
        </w:rPr>
        <w:t>: Expenses incurred as a result of prior period acquisitions primarily include expenses associated with</w:t>
      </w:r>
      <w:r>
        <w:rPr>
          <w:rFonts w:ascii="Arial" w:cs="Arial" w:eastAsia="Arial" w:hAnsi="Arial"/>
          <w:sz w:val="19"/>
          <w:szCs w:val="19"/>
          <w:i w:val="1"/>
          <w:iCs w:val="1"/>
          <w:color w:val="auto"/>
        </w:rPr>
        <w:t xml:space="preserve"> </w:t>
      </w:r>
      <w:r>
        <w:rPr>
          <w:rFonts w:ascii="Arial" w:cs="Arial" w:eastAsia="Arial" w:hAnsi="Arial"/>
          <w:sz w:val="19"/>
          <w:szCs w:val="19"/>
          <w:color w:val="auto"/>
        </w:rPr>
        <w:t>the fair value adjustments to property, plant and equipment and amortization of acquisition related intangibles, which include acquired intangibles such as purchased technology and customer relationships. We excluded these costs from our non-GAAP measures because they relate to a specific transaction and are not reflective of our ongoing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7" w:name="page8"/>
    <w:bookmarkEnd w:id="7"/>
    <w:p>
      <w:pPr>
        <w:ind w:right="660"/>
        <w:spacing w:after="0" w:line="257" w:lineRule="auto"/>
        <w:rPr>
          <w:sz w:val="20"/>
          <w:szCs w:val="20"/>
          <w:color w:val="auto"/>
        </w:rPr>
      </w:pPr>
      <w:r>
        <w:rPr>
          <w:rFonts w:ascii="Arial" w:cs="Arial" w:eastAsia="Arial" w:hAnsi="Arial"/>
          <w:sz w:val="22"/>
          <w:szCs w:val="22"/>
          <w:b w:val="1"/>
          <w:bCs w:val="1"/>
          <w:color w:val="auto"/>
        </w:rPr>
        <w:t>The following items are excluded from our non-GAAP operating expenses, non-GAAP operating income, non-GAAP operating margin, and non-GAAP diluted earnings per share:</w:t>
      </w:r>
    </w:p>
    <w:p>
      <w:pPr>
        <w:spacing w:after="0" w:line="167"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i w:val="1"/>
          <w:iCs w:val="1"/>
          <w:color w:val="auto"/>
        </w:rPr>
        <w:t xml:space="preserve">Acquisition-Related Transaction Costs: </w:t>
      </w:r>
      <w:r>
        <w:rPr>
          <w:rFonts w:ascii="Arial" w:cs="Arial" w:eastAsia="Arial" w:hAnsi="Arial"/>
          <w:sz w:val="22"/>
          <w:szCs w:val="22"/>
          <w:color w:val="auto"/>
        </w:rPr>
        <w:t>Costs incurred as a result of the Hittite acquisition and the proposed Linear Technology</w:t>
      </w:r>
      <w:r>
        <w:rPr>
          <w:rFonts w:ascii="Arial" w:cs="Arial" w:eastAsia="Arial" w:hAnsi="Arial"/>
          <w:sz w:val="22"/>
          <w:szCs w:val="22"/>
          <w:i w:val="1"/>
          <w:iCs w:val="1"/>
          <w:color w:val="auto"/>
        </w:rPr>
        <w:t xml:space="preserve"> </w:t>
      </w:r>
      <w:r>
        <w:rPr>
          <w:rFonts w:ascii="Arial" w:cs="Arial" w:eastAsia="Arial" w:hAnsi="Arial"/>
          <w:sz w:val="22"/>
          <w:szCs w:val="22"/>
          <w:color w:val="auto"/>
        </w:rPr>
        <w:t>acquisition, including legal, accounting and other professional fees directly related to these acquisitions. We excluded these costs from our non-GAAP measures because they relate to specific transactions and are not reflective of our ongoing financial performance.</w:t>
      </w:r>
    </w:p>
    <w:p>
      <w:pPr>
        <w:spacing w:after="0" w:line="185"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i w:val="1"/>
          <w:iCs w:val="1"/>
          <w:color w:val="auto"/>
        </w:rPr>
        <w:t xml:space="preserve">Restructuring-Related Expenses: </w:t>
      </w:r>
      <w:r>
        <w:rPr>
          <w:rFonts w:ascii="Arial" w:cs="Arial" w:eastAsia="Arial" w:hAnsi="Arial"/>
          <w:sz w:val="22"/>
          <w:szCs w:val="22"/>
          <w:color w:val="auto"/>
        </w:rPr>
        <w:t>These expenses are incurred in connection with facility closures, consolidation of manufacturing</w:t>
      </w:r>
      <w:r>
        <w:rPr>
          <w:rFonts w:ascii="Arial" w:cs="Arial" w:eastAsia="Arial" w:hAnsi="Arial"/>
          <w:sz w:val="22"/>
          <w:szCs w:val="22"/>
          <w:i w:val="1"/>
          <w:iCs w:val="1"/>
          <w:color w:val="auto"/>
        </w:rPr>
        <w:t xml:space="preserve"> </w:t>
      </w:r>
      <w:r>
        <w:rPr>
          <w:rFonts w:ascii="Arial" w:cs="Arial" w:eastAsia="Arial" w:hAnsi="Arial"/>
          <w:sz w:val="22"/>
          <w:szCs w:val="22"/>
          <w:color w:val="auto"/>
        </w:rPr>
        <w:t>facilities, severance, and other cost reduction efforts. We excluded these expenses from our non-GAAP measures because apart from ongoing expense savings as a result of such items, these expenses and the related tax effects have no direct correlation to the operation of our business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items are excluded from our non-GAAP other expense and non-GAAP diluted earnings per share:</w:t>
      </w:r>
    </w:p>
    <w:p>
      <w:pPr>
        <w:spacing w:after="0" w:line="224" w:lineRule="exact"/>
        <w:rPr>
          <w:sz w:val="20"/>
          <w:szCs w:val="20"/>
          <w:color w:val="auto"/>
        </w:rPr>
      </w:pPr>
    </w:p>
    <w:p>
      <w:pPr>
        <w:jc w:val="both"/>
        <w:ind w:right="200"/>
        <w:spacing w:after="0" w:line="287" w:lineRule="auto"/>
        <w:rPr>
          <w:sz w:val="20"/>
          <w:szCs w:val="20"/>
          <w:color w:val="auto"/>
        </w:rPr>
      </w:pPr>
      <w:r>
        <w:rPr>
          <w:rFonts w:ascii="Arial" w:cs="Arial" w:eastAsia="Arial" w:hAnsi="Arial"/>
          <w:sz w:val="19"/>
          <w:szCs w:val="19"/>
          <w:i w:val="1"/>
          <w:iCs w:val="1"/>
          <w:color w:val="auto"/>
        </w:rPr>
        <w:t xml:space="preserve">Loss on Extinguishment of Debt: </w:t>
      </w:r>
      <w:r>
        <w:rPr>
          <w:rFonts w:ascii="Arial" w:cs="Arial" w:eastAsia="Arial" w:hAnsi="Arial"/>
          <w:sz w:val="19"/>
          <w:szCs w:val="19"/>
          <w:color w:val="auto"/>
        </w:rPr>
        <w:t>In the first quarter of fiscal 2016, the Company redeemed its outstanding 3.0% senior unsecured</w:t>
      </w:r>
      <w:r>
        <w:rPr>
          <w:rFonts w:ascii="Arial" w:cs="Arial" w:eastAsia="Arial" w:hAnsi="Arial"/>
          <w:sz w:val="19"/>
          <w:szCs w:val="19"/>
          <w:i w:val="1"/>
          <w:iCs w:val="1"/>
          <w:color w:val="auto"/>
        </w:rPr>
        <w:t xml:space="preserve"> </w:t>
      </w:r>
      <w:r>
        <w:rPr>
          <w:rFonts w:ascii="Arial" w:cs="Arial" w:eastAsia="Arial" w:hAnsi="Arial"/>
          <w:sz w:val="19"/>
          <w:szCs w:val="19"/>
          <w:color w:val="auto"/>
        </w:rPr>
        <w:t>notes due April 15, 2016. The Company recognized a net loss on debt extinguishment of approximately $3.3 million, which was comprised of a make-whole premium and the write off of unamortized debt issuance and discount costs. We excluded these costs from our non-GAAP measures because they are not reflective of our ongoing financial performance.</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21"/>
          <w:szCs w:val="21"/>
          <w:i w:val="1"/>
          <w:iCs w:val="1"/>
          <w:color w:val="auto"/>
        </w:rPr>
        <w:t xml:space="preserve">Amortization of Deferred Financing Costs: </w:t>
      </w:r>
      <w:r>
        <w:rPr>
          <w:rFonts w:ascii="Arial" w:cs="Arial" w:eastAsia="Arial" w:hAnsi="Arial"/>
          <w:sz w:val="21"/>
          <w:szCs w:val="21"/>
          <w:color w:val="auto"/>
        </w:rPr>
        <w:t>In the third quarter of fiscal 2016, in connection with the proposed Linear Technology</w:t>
      </w:r>
      <w:r>
        <w:rPr>
          <w:rFonts w:ascii="Arial" w:cs="Arial" w:eastAsia="Arial" w:hAnsi="Arial"/>
          <w:sz w:val="21"/>
          <w:szCs w:val="21"/>
          <w:i w:val="1"/>
          <w:iCs w:val="1"/>
          <w:color w:val="auto"/>
        </w:rPr>
        <w:t xml:space="preserve"> </w:t>
      </w:r>
      <w:r>
        <w:rPr>
          <w:rFonts w:ascii="Arial" w:cs="Arial" w:eastAsia="Arial" w:hAnsi="Arial"/>
          <w:sz w:val="21"/>
          <w:szCs w:val="21"/>
          <w:color w:val="auto"/>
        </w:rPr>
        <w:t>acquisition, the Company obtained bridge financing commitments and incurred financing fees which will be amortized into interest expense over the term of the bridge financing commitments. In the first quarter of fiscal 2017, the Company replaced a portion of the bridge financing commitments with $2.1 billion of senior unsecured notes. As a result, the Company accelerated $7.2 million of the unamortized bridge financing commitment fees into interest expense. We excluded these costs from our non-GAAP measures because they are not reflective of our ongoing financial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items are excluded from our non-GAAP diluted earnings per share:</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i w:val="1"/>
          <w:iCs w:val="1"/>
          <w:color w:val="auto"/>
        </w:rPr>
        <w:t xml:space="preserve">Tax-Related Items: </w:t>
      </w:r>
      <w:r>
        <w:rPr>
          <w:rFonts w:ascii="Arial" w:cs="Arial" w:eastAsia="Arial" w:hAnsi="Arial"/>
          <w:sz w:val="22"/>
          <w:szCs w:val="22"/>
          <w:color w:val="auto"/>
        </w:rPr>
        <w:t>Tax adjustments associated with the non-GAAP items discussed above. In addition, in the first quarter of 2016,</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recorded a $7.5 million tax benefit related to the reinstatement of the R&amp;D tax credit in December 2015, retroactive to January 1, 2015. We excluded these tax-related items from our non-GAAP measures because they are not associated with the tax expense on our current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8" w:name="page9"/>
    <w:bookmarkEnd w:id="8"/>
    <w:p>
      <w:pPr>
        <w:ind w:right="40"/>
        <w:spacing w:after="0" w:line="279" w:lineRule="auto"/>
        <w:rPr>
          <w:sz w:val="20"/>
          <w:szCs w:val="20"/>
          <w:color w:val="auto"/>
        </w:rPr>
      </w:pPr>
      <w:r>
        <w:rPr>
          <w:rFonts w:ascii="Arial" w:cs="Arial" w:eastAsia="Arial" w:hAnsi="Arial"/>
          <w:sz w:val="19"/>
          <w:szCs w:val="19"/>
          <w:color w:val="auto"/>
        </w:rPr>
        <w:t>Analog Devices believes that these non-GAAP measures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when excluding certain items, is not necessarily an indication of the results of operations that may be expected in the future, or that the Company will not, in fact, record such items in future periods.</w:t>
      </w:r>
    </w:p>
    <w:p>
      <w:pPr>
        <w:spacing w:after="0" w:line="151" w:lineRule="exact"/>
        <w:rPr>
          <w:sz w:val="20"/>
          <w:szCs w:val="20"/>
          <w:color w:val="auto"/>
        </w:rPr>
      </w:pPr>
    </w:p>
    <w:p>
      <w:pPr>
        <w:ind w:right="1220"/>
        <w:spacing w:after="0" w:line="341" w:lineRule="auto"/>
        <w:rPr>
          <w:sz w:val="20"/>
          <w:szCs w:val="20"/>
          <w:color w:val="auto"/>
        </w:rPr>
      </w:pPr>
      <w:r>
        <w:rPr>
          <w:rFonts w:ascii="Arial" w:cs="Arial" w:eastAsia="Arial" w:hAnsi="Arial"/>
          <w:sz w:val="22"/>
          <w:szCs w:val="22"/>
          <w:color w:val="auto"/>
        </w:rPr>
        <w:t xml:space="preserve">Investors should consider our non-GAAP financial measures in conjunction with the corresponding GAAP measures. </w:t>
      </w:r>
      <w:r>
        <w:rPr>
          <w:rFonts w:ascii="Arial" w:cs="Arial" w:eastAsia="Arial" w:hAnsi="Arial"/>
          <w:sz w:val="22"/>
          <w:szCs w:val="22"/>
          <w:b w:val="1"/>
          <w:bCs w:val="1"/>
          <w:color w:val="auto"/>
        </w:rPr>
        <w:t>About Analog Devices</w:t>
      </w:r>
    </w:p>
    <w:p>
      <w:pPr>
        <w:spacing w:after="0" w:line="1" w:lineRule="exact"/>
        <w:rPr>
          <w:sz w:val="20"/>
          <w:szCs w:val="20"/>
          <w:color w:val="auto"/>
        </w:rPr>
      </w:pPr>
    </w:p>
    <w:p>
      <w:pPr>
        <w:ind w:right="200"/>
        <w:spacing w:after="0" w:line="234" w:lineRule="auto"/>
        <w:rPr>
          <w:sz w:val="20"/>
          <w:szCs w:val="20"/>
          <w:color w:val="auto"/>
        </w:rPr>
      </w:pPr>
      <w:r>
        <w:rPr>
          <w:rFonts w:ascii="Arial" w:cs="Arial" w:eastAsia="Arial" w:hAnsi="Arial"/>
          <w:sz w:val="22"/>
          <w:szCs w:val="22"/>
          <w:color w:val="auto"/>
        </w:rPr>
        <w:t xml:space="preserve">Analog Devices designs and manufactures semiconductor products and solutions. We enable our customers to interpret the world around us by intelligently bridging the physical and digital with unmatched technologies that sense, measure and connect. Visit </w:t>
      </w:r>
      <w:r>
        <w:rPr>
          <w:rFonts w:ascii="Arial" w:cs="Arial" w:eastAsia="Arial" w:hAnsi="Arial"/>
          <w:sz w:val="22"/>
          <w:szCs w:val="22"/>
          <w:u w:val="single" w:color="auto"/>
          <w:color w:val="auto"/>
        </w:rPr>
        <w:t>http://www.analog.com</w:t>
      </w:r>
      <w:r>
        <w:rPr>
          <w:rFonts w:ascii="Arial" w:cs="Arial" w:eastAsia="Arial" w:hAnsi="Arial"/>
          <w:sz w:val="22"/>
          <w:szCs w:val="22"/>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4" w:lineRule="exact"/>
        <w:rPr>
          <w:sz w:val="20"/>
          <w:szCs w:val="20"/>
          <w:color w:val="auto"/>
        </w:rPr>
      </w:pPr>
    </w:p>
    <w:p>
      <w:pPr>
        <w:spacing w:after="0" w:line="268" w:lineRule="auto"/>
        <w:rPr>
          <w:sz w:val="20"/>
          <w:szCs w:val="20"/>
          <w:color w:val="auto"/>
        </w:rPr>
      </w:pPr>
      <w:r>
        <w:rPr>
          <w:rFonts w:ascii="Arial" w:cs="Arial" w:eastAsia="Arial" w:hAnsi="Arial"/>
          <w:sz w:val="19"/>
          <w:szCs w:val="19"/>
          <w:i w:val="1"/>
          <w:iCs w:val="1"/>
          <w:color w:val="auto"/>
        </w:rPr>
        <w:t>This press release contains forward-looking statements, which address a variety of subjects including, for example, our statements regarding expected revenue, earnings per share, gross margin, operating expenses, interest and other expense, tax rate, and other financial results, expected operating leverage, production and inventory levels, expected market trends, and expected customer demand and order rates for our products, the proposed acquisition of Linear Technology Corporation (“Linear Technology”), the expected timing to close the transaction, expected benefits and synergies of the transaction, expected growth rates of the combined companies, Analog Devices’ expected product offerings, product development, marketing position and technical advances resulting from the transaction.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the ability to satisfy the conditions to closing of the proposed transaction with Linear Technology, on the expected timing or at all; the ability to obtain required regulatory approvals for the proposed transaction, on the expected timing or at all, including the potential for regulatory authorities to require divestitures in connection with the proposed transaction; the occurrence of any event that could give rise to the termination of the merger agreement with Linear Technology;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 Technology’s business may not be successfully integrated with Analog Devices’ following the closing; the risk that Analog Devices and Linear Technology will be unable to retain and hire key personnel; and the risk that disruption from the transaction may adversely affect Linear Technology’s or Analog Devices’ business and relationships with their customers, suppliers or employees. For additional information about factors that could cause actual results to differ materially from those described in the forward-looking statements, please refer to both Analog Devices’ and Linear Technology’s filings with the Securities and Exchange Commission (“SEC”), including the risk factors contained in each of Analog Devices’ and Linear Technology’s most recent Quarterly Reports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27202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Important Additional Information Will Be Filed With The SEC</w:t>
      </w:r>
    </w:p>
    <w:p>
      <w:pPr>
        <w:spacing w:after="0" w:line="15"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 xml:space="preserve">In connection with the proposed transaction, Analog Devices and Linear Technology have filed and will file relevant information with the SEC, including a registration statement of Analog Devices on Form S-4 (the “registration statement”) that includes a prospectus of Analog Devices and a proxy statement of Linear Technology (the “proxy statement/prospectus”). INVESTORS AND SECURITY HOLDERS OF LINEAR TECHNOLOGY ARE URGED TO CAREFULLY READ THE ENTIRE REGISTRATION STATEMENT AND PROXY STATEMENT/PROSPECTUS AND OTHER RELEVANT DOCUMENTS FILED WITH THE SEC, BECAUSE THEY CONTAIN IMPORTANT INFORMATION ABOUT ANALOG DEVICES, LINEAR TECHNOLOGY AND THE PROPOSED TRANSACTION. A definitive proxy statement/prospectus has been sent to Linear Technology’s shareholders. The registration statement, proxy statement/prospectus and other documents filed by Analog Devices with the SEC may be obtained free of charge at Analog Devices’ website at </w:t>
      </w:r>
      <w:r>
        <w:rPr>
          <w:rFonts w:ascii="Arial" w:cs="Arial" w:eastAsia="Arial" w:hAnsi="Arial"/>
          <w:sz w:val="19"/>
          <w:szCs w:val="19"/>
          <w:u w:val="single" w:color="auto"/>
          <w:color w:val="auto"/>
        </w:rPr>
        <w:t>www.analog.com</w:t>
      </w:r>
      <w:r>
        <w:rPr>
          <w:rFonts w:ascii="Arial" w:cs="Arial" w:eastAsia="Arial" w:hAnsi="Arial"/>
          <w:sz w:val="19"/>
          <w:szCs w:val="19"/>
          <w:color w:val="auto"/>
        </w:rPr>
        <w:t xml:space="preserve"> or at the SEC’s website at </w:t>
      </w:r>
      <w:r>
        <w:rPr>
          <w:rFonts w:ascii="Arial" w:cs="Arial" w:eastAsia="Arial" w:hAnsi="Arial"/>
          <w:sz w:val="19"/>
          <w:szCs w:val="19"/>
          <w:u w:val="single" w:color="auto"/>
          <w:color w:val="auto"/>
        </w:rPr>
        <w:t>www.sec.gov</w:t>
      </w:r>
      <w:r>
        <w:rPr>
          <w:rFonts w:ascii="Arial" w:cs="Arial" w:eastAsia="Arial" w:hAnsi="Arial"/>
          <w:sz w:val="19"/>
          <w:szCs w:val="19"/>
          <w:color w:val="auto"/>
        </w:rPr>
        <w:t xml:space="preserve">. These documents may also be obtained free of charge from Analog Devices by requesting them by mail at Analog Devices, Inc., One Technology Way, P.O. Box 9106, Norwood, MA 02062-9106, Attention: Investor Relations, or by telephone at (781) 461-3282. The documents filed by Linear Technology with the SEC may be obtained free of charge at Linear Technology’s website at </w:t>
      </w:r>
      <w:r>
        <w:rPr>
          <w:rFonts w:ascii="Arial" w:cs="Arial" w:eastAsia="Arial" w:hAnsi="Arial"/>
          <w:sz w:val="19"/>
          <w:szCs w:val="19"/>
          <w:u w:val="single" w:color="auto"/>
          <w:color w:val="auto"/>
        </w:rPr>
        <w:t>www.linear.com</w:t>
      </w:r>
      <w:r>
        <w:rPr>
          <w:rFonts w:ascii="Arial" w:cs="Arial" w:eastAsia="Arial" w:hAnsi="Arial"/>
          <w:sz w:val="19"/>
          <w:szCs w:val="19"/>
          <w:color w:val="auto"/>
        </w:rPr>
        <w:t xml:space="preserve"> or at the SEC’s website at </w:t>
      </w:r>
      <w:r>
        <w:rPr>
          <w:rFonts w:ascii="Arial" w:cs="Arial" w:eastAsia="Arial" w:hAnsi="Arial"/>
          <w:sz w:val="19"/>
          <w:szCs w:val="19"/>
          <w:u w:val="single" w:color="auto"/>
          <w:color w:val="auto"/>
        </w:rPr>
        <w:t>www.sec.gov</w:t>
      </w:r>
      <w:r>
        <w:rPr>
          <w:rFonts w:ascii="Arial" w:cs="Arial" w:eastAsia="Arial" w:hAnsi="Arial"/>
          <w:sz w:val="19"/>
          <w:szCs w:val="19"/>
          <w:color w:val="auto"/>
        </w:rPr>
        <w:t>. These documents may also be obtained free of charge from Linear Technology by requesting them by mail at Linear Technology Corporation, 1630 McCarthy Blvd., Milpitas, CA, 95035-7417, Attention: Investor Relations, or by telephone at (408) 432-2407.</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Non-Solicitation</w:t>
      </w:r>
    </w:p>
    <w:p>
      <w:pPr>
        <w:spacing w:after="0" w:line="14"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140" w:type="dxa"/>
            <w:vAlign w:val="bottom"/>
            <w:gridSpan w:val="4"/>
          </w:tcPr>
          <w:p>
            <w:pPr>
              <w:jc w:val="center"/>
              <w:ind w:left="488"/>
              <w:spacing w:after="0"/>
              <w:rPr>
                <w:sz w:val="20"/>
                <w:szCs w:val="20"/>
                <w:color w:val="auto"/>
              </w:rPr>
            </w:pPr>
            <w:r>
              <w:rPr>
                <w:rFonts w:ascii="Arial" w:cs="Arial" w:eastAsia="Arial" w:hAnsi="Arial"/>
                <w:sz w:val="14"/>
                <w:szCs w:val="14"/>
                <w:b w:val="1"/>
                <w:bCs w:val="1"/>
                <w:color w:val="auto"/>
                <w:w w:val="92"/>
              </w:rPr>
              <w:t>Analog Devices, First Quarter, Fiscal 2017</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Schedule A</w:t>
            </w:r>
          </w:p>
        </w:tc>
        <w:tc>
          <w:tcPr>
            <w:tcW w:w="94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900" w:type="dxa"/>
            <w:vAlign w:val="bottom"/>
            <w:gridSpan w:val="5"/>
          </w:tcPr>
          <w:p>
            <w:pPr>
              <w:jc w:val="center"/>
              <w:ind w:right="128"/>
              <w:spacing w:after="0"/>
              <w:rPr>
                <w:sz w:val="20"/>
                <w:szCs w:val="20"/>
                <w:color w:val="auto"/>
              </w:rPr>
            </w:pPr>
            <w:r>
              <w:rPr>
                <w:rFonts w:ascii="Arial" w:cs="Arial" w:eastAsia="Arial" w:hAnsi="Arial"/>
                <w:sz w:val="14"/>
                <w:szCs w:val="14"/>
                <w:b w:val="1"/>
                <w:bCs w:val="1"/>
                <w:color w:val="auto"/>
                <w:w w:val="93"/>
              </w:rPr>
              <w:t>Revenue and Earnings Summary (Unaudited)</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140" w:type="dxa"/>
            <w:vAlign w:val="bottom"/>
            <w:gridSpan w:val="4"/>
          </w:tcPr>
          <w:p>
            <w:pPr>
              <w:jc w:val="center"/>
              <w:ind w:left="488"/>
              <w:spacing w:after="0"/>
              <w:rPr>
                <w:sz w:val="20"/>
                <w:szCs w:val="20"/>
                <w:color w:val="auto"/>
              </w:rPr>
            </w:pPr>
            <w:r>
              <w:rPr>
                <w:rFonts w:ascii="Arial" w:cs="Arial" w:eastAsia="Arial" w:hAnsi="Arial"/>
                <w:sz w:val="14"/>
                <w:szCs w:val="14"/>
                <w:b w:val="1"/>
                <w:bCs w:val="1"/>
                <w:color w:val="auto"/>
                <w:w w:val="91"/>
              </w:rPr>
              <w:t>(In thousands, except per-share amounts)</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center"/>
              <w:ind w:right="208"/>
              <w:spacing w:after="0" w:line="160" w:lineRule="exact"/>
              <w:rPr>
                <w:sz w:val="20"/>
                <w:szCs w:val="20"/>
                <w:color w:val="auto"/>
              </w:rPr>
            </w:pPr>
            <w:r>
              <w:rPr>
                <w:rFonts w:ascii="Arial" w:cs="Arial" w:eastAsia="Arial" w:hAnsi="Arial"/>
                <w:sz w:val="14"/>
                <w:szCs w:val="14"/>
                <w:b w:val="1"/>
                <w:bCs w:val="1"/>
                <w:color w:val="auto"/>
                <w:w w:val="94"/>
              </w:rPr>
              <w:t>1Q 17</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center"/>
              <w:ind w:right="88"/>
              <w:spacing w:after="0" w:line="160" w:lineRule="exact"/>
              <w:rPr>
                <w:sz w:val="20"/>
                <w:szCs w:val="20"/>
                <w:color w:val="auto"/>
              </w:rPr>
            </w:pPr>
            <w:r>
              <w:rPr>
                <w:rFonts w:ascii="Arial" w:cs="Arial" w:eastAsia="Arial" w:hAnsi="Arial"/>
                <w:sz w:val="14"/>
                <w:szCs w:val="14"/>
                <w:b w:val="1"/>
                <w:bCs w:val="1"/>
                <w:color w:val="auto"/>
                <w:w w:val="99"/>
              </w:rPr>
              <w:t>4Q 16</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center"/>
              <w:ind w:right="88"/>
              <w:spacing w:after="0" w:line="160" w:lineRule="exact"/>
              <w:rPr>
                <w:sz w:val="20"/>
                <w:szCs w:val="20"/>
                <w:color w:val="auto"/>
              </w:rPr>
            </w:pPr>
            <w:r>
              <w:rPr>
                <w:rFonts w:ascii="Arial" w:cs="Arial" w:eastAsia="Arial" w:hAnsi="Arial"/>
                <w:sz w:val="14"/>
                <w:szCs w:val="14"/>
                <w:b w:val="1"/>
                <w:bCs w:val="1"/>
                <w:color w:val="auto"/>
                <w:w w:val="99"/>
              </w:rPr>
              <w:t>1Q 16</w:t>
            </w:r>
          </w:p>
        </w:tc>
        <w:tc>
          <w:tcPr>
            <w:tcW w:w="1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w w:val="89"/>
              </w:rPr>
              <w:t>Jan. 28,</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Oct. 29,</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Jan. 30,</w:t>
            </w:r>
          </w:p>
        </w:tc>
        <w:tc>
          <w:tcPr>
            <w:tcW w:w="140" w:type="dxa"/>
            <w:vAlign w:val="bottom"/>
          </w:tcPr>
          <w:p>
            <w:pPr>
              <w:spacing w:after="0"/>
              <w:rPr>
                <w:sz w:val="12"/>
                <w:szCs w:val="12"/>
                <w:color w:val="auto"/>
              </w:rPr>
            </w:pPr>
          </w:p>
        </w:tc>
      </w:tr>
      <w:tr>
        <w:trPr>
          <w:trHeight w:val="185"/>
        </w:trPr>
        <w:tc>
          <w:tcPr>
            <w:tcW w:w="20" w:type="dxa"/>
            <w:vAlign w:val="bottom"/>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Revenue</w:t>
            </w:r>
          </w:p>
        </w:tc>
        <w:tc>
          <w:tcPr>
            <w:tcW w:w="31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984,449</w:t>
            </w:r>
          </w:p>
        </w:tc>
        <w:tc>
          <w:tcPr>
            <w:tcW w:w="360" w:type="dxa"/>
            <w:vAlign w:val="bottom"/>
          </w:tcPr>
          <w:p>
            <w:pPr>
              <w:spacing w:after="0"/>
              <w:rPr>
                <w:sz w:val="14"/>
                <w:szCs w:val="14"/>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1,003,623</w:t>
            </w:r>
          </w:p>
        </w:tc>
        <w:tc>
          <w:tcPr>
            <w:tcW w:w="38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769,429</w:t>
            </w:r>
          </w:p>
        </w:tc>
        <w:tc>
          <w:tcPr>
            <w:tcW w:w="1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Year-to-year change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28</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w w:val="96"/>
              </w:rPr>
              <w:t>%</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Quarter-to-quarter change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5"/>
                <w:szCs w:val="15"/>
                <w:color w:val="auto"/>
              </w:rPr>
            </w:pPr>
          </w:p>
        </w:tc>
      </w:tr>
      <w:tr>
        <w:trPr>
          <w:trHeight w:val="181"/>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Cost of sales (1)</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335,945</w:t>
            </w: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336,936</w:t>
            </w: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292,136</w:t>
            </w:r>
          </w:p>
        </w:tc>
        <w:tc>
          <w:tcPr>
            <w:tcW w:w="140" w:type="dxa"/>
            <w:vAlign w:val="bottom"/>
            <w:tcBorders>
              <w:bottom w:val="single" w:sz="8" w:color="auto"/>
            </w:tcBorders>
          </w:tcPr>
          <w:p>
            <w:pPr>
              <w:spacing w:after="0"/>
              <w:rPr>
                <w:sz w:val="15"/>
                <w:szCs w:val="15"/>
                <w:color w:val="auto"/>
              </w:rPr>
            </w:pPr>
          </w:p>
        </w:tc>
      </w:tr>
      <w:tr>
        <w:trPr>
          <w:trHeight w:val="164"/>
        </w:trPr>
        <w:tc>
          <w:tcPr>
            <w:tcW w:w="3860" w:type="dxa"/>
            <w:vAlign w:val="bottom"/>
            <w:gridSpan w:val="2"/>
          </w:tcPr>
          <w:p>
            <w:pPr>
              <w:spacing w:after="0"/>
              <w:rPr>
                <w:sz w:val="20"/>
                <w:szCs w:val="20"/>
                <w:color w:val="auto"/>
              </w:rPr>
            </w:pPr>
            <w:r>
              <w:rPr>
                <w:rFonts w:ascii="Arial" w:cs="Arial" w:eastAsia="Arial" w:hAnsi="Arial"/>
                <w:sz w:val="14"/>
                <w:szCs w:val="14"/>
                <w:color w:val="auto"/>
              </w:rPr>
              <w:t>Gross margin</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648,504</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666,687</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477,293</w:t>
            </w:r>
          </w:p>
        </w:tc>
        <w:tc>
          <w:tcPr>
            <w:tcW w:w="140" w:type="dxa"/>
            <w:vAlign w:val="bottom"/>
          </w:tcPr>
          <w:p>
            <w:pPr>
              <w:spacing w:after="0"/>
              <w:rPr>
                <w:sz w:val="14"/>
                <w:szCs w:val="14"/>
                <w:color w:val="auto"/>
              </w:rPr>
            </w:pP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color w:val="auto"/>
              </w:rPr>
              <w:t>Gross margin percentage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65.9</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w w:val="96"/>
              </w:rPr>
              <w:t>%</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66.4</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62.0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Year-to-year change (basis points)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390</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(320)</w:t>
            </w: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Quarter-to-quarter change (basis points)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(360)</w:t>
            </w:r>
          </w:p>
        </w:tc>
        <w:tc>
          <w:tcPr>
            <w:tcW w:w="14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Operating expenses:</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R&amp;D (1)</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183,954</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172,926</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157,428</w:t>
            </w:r>
          </w:p>
        </w:tc>
        <w:tc>
          <w:tcPr>
            <w:tcW w:w="1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Selling, marketing and G&amp;A (1)</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130,659</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118,881</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107,462</w:t>
            </w:r>
          </w:p>
        </w:tc>
        <w:tc>
          <w:tcPr>
            <w:tcW w:w="1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Amortization of intangibles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18,160</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17,899</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17,358</w:t>
            </w: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Special charges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49,463</w:t>
            </w: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382,236</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309,706</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282,248</w:t>
            </w:r>
          </w:p>
        </w:tc>
        <w:tc>
          <w:tcPr>
            <w:tcW w:w="140" w:type="dxa"/>
            <w:vAlign w:val="bottom"/>
          </w:tcPr>
          <w:p>
            <w:pPr>
              <w:spacing w:after="0"/>
              <w:rPr>
                <w:sz w:val="14"/>
                <w:szCs w:val="14"/>
                <w:color w:val="auto"/>
              </w:rPr>
            </w:pP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color w:val="auto"/>
              </w:rPr>
              <w:t>Total operating expenses percentage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38.8</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w w:val="96"/>
              </w:rPr>
              <w:t>%</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30.9</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36.7</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Year-to-year change (basis points)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210</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(2,360)</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(160)</w:t>
            </w: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Quarter-to-quarter change (basis points)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790</w:t>
            </w: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(1,780)</w:t>
            </w:r>
          </w:p>
        </w:tc>
        <w:tc>
          <w:tcPr>
            <w:tcW w:w="14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Operating income</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266,268</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356,981</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195,045</w:t>
            </w:r>
          </w:p>
        </w:tc>
        <w:tc>
          <w:tcPr>
            <w:tcW w:w="140" w:type="dxa"/>
            <w:vAlign w:val="bottom"/>
          </w:tcPr>
          <w:p>
            <w:pPr>
              <w:spacing w:after="0"/>
              <w:rPr>
                <w:sz w:val="14"/>
                <w:szCs w:val="14"/>
                <w:color w:val="auto"/>
              </w:rPr>
            </w:pP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color w:val="auto"/>
              </w:rPr>
              <w:t>Operating income percentage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27.0</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w w:val="96"/>
              </w:rPr>
              <w:t>%</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35.6</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25.3</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76"/>
        </w:trPr>
        <w:tc>
          <w:tcPr>
            <w:tcW w:w="20" w:type="dxa"/>
            <w:vAlign w:val="bottom"/>
          </w:tcPr>
          <w:p>
            <w:pPr>
              <w:spacing w:after="0"/>
              <w:rPr>
                <w:sz w:val="15"/>
                <w:szCs w:val="15"/>
                <w:color w:val="auto"/>
              </w:rPr>
            </w:pPr>
          </w:p>
        </w:tc>
        <w:tc>
          <w:tcPr>
            <w:tcW w:w="3840" w:type="dxa"/>
            <w:vAlign w:val="bottom"/>
          </w:tcPr>
          <w:p>
            <w:pPr>
              <w:ind w:left="200"/>
              <w:spacing w:after="0"/>
              <w:rPr>
                <w:sz w:val="20"/>
                <w:szCs w:val="20"/>
                <w:color w:val="auto"/>
              </w:rPr>
            </w:pPr>
            <w:r>
              <w:rPr>
                <w:rFonts w:ascii="Arial" w:cs="Arial" w:eastAsia="Arial" w:hAnsi="Arial"/>
                <w:sz w:val="14"/>
                <w:szCs w:val="14"/>
                <w:color w:val="auto"/>
              </w:rPr>
              <w:t>Year-to-year change (basis points)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170</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2,450</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(160)</w:t>
            </w: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Quarter-to-quarter change (basis points)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(860)</w:t>
            </w: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1,420</w:t>
            </w:r>
          </w:p>
        </w:tc>
        <w:tc>
          <w:tcPr>
            <w:tcW w:w="140" w:type="dxa"/>
            <w:vAlign w:val="bottom"/>
            <w:tcBorders>
              <w:bottom w:val="single" w:sz="8" w:color="auto"/>
            </w:tcBorders>
          </w:tcPr>
          <w:p>
            <w:pPr>
              <w:spacing w:after="0"/>
              <w:rPr>
                <w:sz w:val="15"/>
                <w:szCs w:val="15"/>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expense</w:t>
            </w:r>
          </w:p>
        </w:tc>
        <w:tc>
          <w:tcPr>
            <w:tcW w:w="1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32,959</w:t>
            </w: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33,547</w:t>
            </w: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12,868</w:t>
            </w:r>
          </w:p>
        </w:tc>
        <w:tc>
          <w:tcPr>
            <w:tcW w:w="140" w:type="dxa"/>
            <w:vAlign w:val="bottom"/>
            <w:tcBorders>
              <w:bottom w:val="single" w:sz="8" w:color="auto"/>
            </w:tcBorders>
          </w:tcPr>
          <w:p>
            <w:pPr>
              <w:spacing w:after="0"/>
              <w:rPr>
                <w:sz w:val="14"/>
                <w:szCs w:val="14"/>
                <w:color w:val="auto"/>
              </w:rPr>
            </w:pPr>
          </w:p>
        </w:tc>
      </w:tr>
      <w:tr>
        <w:trPr>
          <w:trHeight w:val="164"/>
        </w:trPr>
        <w:tc>
          <w:tcPr>
            <w:tcW w:w="3860" w:type="dxa"/>
            <w:vAlign w:val="bottom"/>
            <w:gridSpan w:val="2"/>
          </w:tcPr>
          <w:p>
            <w:pPr>
              <w:spacing w:after="0"/>
              <w:rPr>
                <w:sz w:val="20"/>
                <w:szCs w:val="20"/>
                <w:color w:val="auto"/>
              </w:rPr>
            </w:pPr>
            <w:r>
              <w:rPr>
                <w:rFonts w:ascii="Arial" w:cs="Arial" w:eastAsia="Arial" w:hAnsi="Arial"/>
                <w:sz w:val="14"/>
                <w:szCs w:val="14"/>
                <w:color w:val="auto"/>
              </w:rPr>
              <w:t>Income before income tax</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233,309</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323,434</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182,177</w:t>
            </w:r>
          </w:p>
        </w:tc>
        <w:tc>
          <w:tcPr>
            <w:tcW w:w="140" w:type="dxa"/>
            <w:vAlign w:val="bottom"/>
          </w:tcPr>
          <w:p>
            <w:pPr>
              <w:spacing w:after="0"/>
              <w:rPr>
                <w:sz w:val="14"/>
                <w:szCs w:val="14"/>
                <w:color w:val="auto"/>
              </w:rPr>
            </w:pP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16,180</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27,277</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17,673</w:t>
            </w:r>
          </w:p>
        </w:tc>
        <w:tc>
          <w:tcPr>
            <w:tcW w:w="140" w:type="dxa"/>
            <w:vAlign w:val="bottom"/>
          </w:tcPr>
          <w:p>
            <w:pPr>
              <w:spacing w:after="0"/>
              <w:rPr>
                <w:sz w:val="15"/>
                <w:szCs w:val="15"/>
                <w:color w:val="auto"/>
              </w:rPr>
            </w:pPr>
          </w:p>
        </w:tc>
      </w:tr>
      <w:tr>
        <w:trPr>
          <w:trHeight w:val="181"/>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Tax rate percentage</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6.9</w:t>
            </w: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6"/>
              </w:rPr>
              <w:t>%</w:t>
            </w: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169"/>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Net income</w:t>
            </w:r>
          </w:p>
        </w:tc>
        <w:tc>
          <w:tcPr>
            <w:tcW w:w="31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217,129</w:t>
            </w: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296,157</w:t>
            </w: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164,504</w:t>
            </w:r>
          </w:p>
        </w:tc>
        <w:tc>
          <w:tcPr>
            <w:tcW w:w="140" w:type="dxa"/>
            <w:vAlign w:val="bottom"/>
            <w:tcBorders>
              <w:bottom w:val="single" w:sz="8" w:color="auto"/>
            </w:tcBorders>
          </w:tcPr>
          <w:p>
            <w:pPr>
              <w:spacing w:after="0"/>
              <w:rPr>
                <w:sz w:val="14"/>
                <w:szCs w:val="14"/>
                <w:color w:val="auto"/>
              </w:rPr>
            </w:pPr>
          </w:p>
        </w:tc>
      </w:tr>
      <w:tr>
        <w:trPr>
          <w:trHeight w:val="339"/>
        </w:trPr>
        <w:tc>
          <w:tcPr>
            <w:tcW w:w="3860" w:type="dxa"/>
            <w:vAlign w:val="bottom"/>
            <w:gridSpan w:val="2"/>
          </w:tcPr>
          <w:p>
            <w:pPr>
              <w:spacing w:after="0"/>
              <w:rPr>
                <w:sz w:val="20"/>
                <w:szCs w:val="20"/>
                <w:color w:val="auto"/>
              </w:rPr>
            </w:pPr>
            <w:r>
              <w:rPr>
                <w:rFonts w:ascii="Arial" w:cs="Arial" w:eastAsia="Arial" w:hAnsi="Arial"/>
                <w:sz w:val="14"/>
                <w:szCs w:val="14"/>
                <w:color w:val="auto"/>
              </w:rPr>
              <w:t>Shares used for EPS - basic</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308,786</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307,854</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311,166</w:t>
            </w:r>
          </w:p>
        </w:tc>
        <w:tc>
          <w:tcPr>
            <w:tcW w:w="140" w:type="dxa"/>
            <w:vAlign w:val="bottom"/>
          </w:tcPr>
          <w:p>
            <w:pPr>
              <w:spacing w:after="0"/>
              <w:rPr>
                <w:sz w:val="24"/>
                <w:szCs w:val="24"/>
                <w:color w:val="auto"/>
              </w:rPr>
            </w:pP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Shares used for EPS - diluted</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313,076</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311,633</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314,793</w:t>
            </w:r>
          </w:p>
        </w:tc>
        <w:tc>
          <w:tcPr>
            <w:tcW w:w="140" w:type="dxa"/>
            <w:vAlign w:val="bottom"/>
          </w:tcPr>
          <w:p>
            <w:pPr>
              <w:spacing w:after="0"/>
              <w:rPr>
                <w:sz w:val="15"/>
                <w:szCs w:val="15"/>
                <w:color w:val="auto"/>
              </w:rPr>
            </w:pPr>
          </w:p>
        </w:tc>
      </w:tr>
      <w:tr>
        <w:trPr>
          <w:trHeight w:val="344"/>
        </w:trPr>
        <w:tc>
          <w:tcPr>
            <w:tcW w:w="3860" w:type="dxa"/>
            <w:vAlign w:val="bottom"/>
            <w:gridSpan w:val="2"/>
          </w:tcPr>
          <w:p>
            <w:pPr>
              <w:spacing w:after="0"/>
              <w:rPr>
                <w:sz w:val="20"/>
                <w:szCs w:val="20"/>
                <w:color w:val="auto"/>
              </w:rPr>
            </w:pPr>
            <w:r>
              <w:rPr>
                <w:rFonts w:ascii="Arial" w:cs="Arial" w:eastAsia="Arial" w:hAnsi="Arial"/>
                <w:sz w:val="14"/>
                <w:szCs w:val="14"/>
                <w:color w:val="auto"/>
              </w:rPr>
              <w:t>Earnings per share - basic</w:t>
            </w:r>
          </w:p>
        </w:tc>
        <w:tc>
          <w:tcPr>
            <w:tcW w:w="31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0.70</w:t>
            </w:r>
          </w:p>
        </w:tc>
        <w:tc>
          <w:tcPr>
            <w:tcW w:w="360" w:type="dxa"/>
            <w:vAlign w:val="bottom"/>
          </w:tcPr>
          <w:p>
            <w:pPr>
              <w:spacing w:after="0"/>
              <w:rPr>
                <w:sz w:val="24"/>
                <w:szCs w:val="24"/>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0.96</w:t>
            </w:r>
          </w:p>
        </w:tc>
        <w:tc>
          <w:tcPr>
            <w:tcW w:w="380" w:type="dxa"/>
            <w:vAlign w:val="bottom"/>
          </w:tcPr>
          <w:p>
            <w:pPr>
              <w:spacing w:after="0"/>
              <w:rPr>
                <w:sz w:val="24"/>
                <w:szCs w:val="2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0.53</w:t>
            </w:r>
          </w:p>
        </w:tc>
        <w:tc>
          <w:tcPr>
            <w:tcW w:w="140" w:type="dxa"/>
            <w:vAlign w:val="bottom"/>
          </w:tcPr>
          <w:p>
            <w:pPr>
              <w:spacing w:after="0"/>
              <w:rPr>
                <w:sz w:val="24"/>
                <w:szCs w:val="24"/>
                <w:color w:val="auto"/>
              </w:rPr>
            </w:pP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Earnings per share - diluted</w:t>
            </w:r>
          </w:p>
        </w:tc>
        <w:tc>
          <w:tcPr>
            <w:tcW w:w="31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0.69</w:t>
            </w:r>
          </w:p>
        </w:tc>
        <w:tc>
          <w:tcPr>
            <w:tcW w:w="360" w:type="dxa"/>
            <w:vAlign w:val="bottom"/>
          </w:tcPr>
          <w:p>
            <w:pPr>
              <w:spacing w:after="0"/>
              <w:rPr>
                <w:sz w:val="15"/>
                <w:szCs w:val="15"/>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0.95</w:t>
            </w:r>
          </w:p>
        </w:tc>
        <w:tc>
          <w:tcPr>
            <w:tcW w:w="38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0.52</w:t>
            </w:r>
          </w:p>
        </w:tc>
        <w:tc>
          <w:tcPr>
            <w:tcW w:w="140" w:type="dxa"/>
            <w:vAlign w:val="bottom"/>
          </w:tcPr>
          <w:p>
            <w:pPr>
              <w:spacing w:after="0"/>
              <w:rPr>
                <w:sz w:val="15"/>
                <w:szCs w:val="15"/>
                <w:color w:val="auto"/>
              </w:rPr>
            </w:pPr>
          </w:p>
        </w:tc>
      </w:tr>
      <w:tr>
        <w:trPr>
          <w:trHeight w:val="350"/>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Dividends paid per share</w:t>
            </w:r>
          </w:p>
        </w:tc>
        <w:tc>
          <w:tcPr>
            <w:tcW w:w="31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0.42</w:t>
            </w: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0.40</w:t>
            </w:r>
          </w:p>
        </w:tc>
        <w:tc>
          <w:tcPr>
            <w:tcW w:w="140" w:type="dxa"/>
            <w:vAlign w:val="bottom"/>
            <w:tcBorders>
              <w:bottom w:val="single" w:sz="8" w:color="auto"/>
            </w:tcBorders>
          </w:tcPr>
          <w:p>
            <w:pPr>
              <w:spacing w:after="0"/>
              <w:rPr>
                <w:sz w:val="24"/>
                <w:szCs w:val="24"/>
                <w:color w:val="auto"/>
              </w:rPr>
            </w:pPr>
          </w:p>
        </w:tc>
      </w:tr>
      <w:tr>
        <w:trPr>
          <w:trHeight w:val="339"/>
        </w:trPr>
        <w:tc>
          <w:tcPr>
            <w:tcW w:w="386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Cost of sales</w:t>
            </w:r>
          </w:p>
        </w:tc>
        <w:tc>
          <w:tcPr>
            <w:tcW w:w="31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1,944</w:t>
            </w:r>
          </w:p>
        </w:tc>
        <w:tc>
          <w:tcPr>
            <w:tcW w:w="360" w:type="dxa"/>
            <w:vAlign w:val="bottom"/>
          </w:tcPr>
          <w:p>
            <w:pPr>
              <w:spacing w:after="0"/>
              <w:rPr>
                <w:sz w:val="15"/>
                <w:szCs w:val="15"/>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1,886</w:t>
            </w:r>
          </w:p>
        </w:tc>
        <w:tc>
          <w:tcPr>
            <w:tcW w:w="38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2,092</w:t>
            </w:r>
          </w:p>
        </w:tc>
        <w:tc>
          <w:tcPr>
            <w:tcW w:w="1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R&amp;D</w:t>
            </w:r>
          </w:p>
        </w:tc>
        <w:tc>
          <w:tcPr>
            <w:tcW w:w="31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7,021</w:t>
            </w:r>
          </w:p>
        </w:tc>
        <w:tc>
          <w:tcPr>
            <w:tcW w:w="360" w:type="dxa"/>
            <w:vAlign w:val="bottom"/>
          </w:tcPr>
          <w:p>
            <w:pPr>
              <w:spacing w:after="0"/>
              <w:rPr>
                <w:sz w:val="15"/>
                <w:szCs w:val="15"/>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7,007</w:t>
            </w:r>
          </w:p>
        </w:tc>
        <w:tc>
          <w:tcPr>
            <w:tcW w:w="38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6,704</w:t>
            </w:r>
          </w:p>
        </w:tc>
        <w:tc>
          <w:tcPr>
            <w:tcW w:w="14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Selling, marketing and G&amp;A</w:t>
            </w:r>
          </w:p>
        </w:tc>
        <w:tc>
          <w:tcPr>
            <w:tcW w:w="31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7,564</w:t>
            </w:r>
          </w:p>
        </w:tc>
        <w:tc>
          <w:tcPr>
            <w:tcW w:w="360" w:type="dxa"/>
            <w:vAlign w:val="bottom"/>
          </w:tcPr>
          <w:p>
            <w:pPr>
              <w:spacing w:after="0"/>
              <w:rPr>
                <w:sz w:val="15"/>
                <w:szCs w:val="15"/>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6,341</w:t>
            </w:r>
          </w:p>
        </w:tc>
        <w:tc>
          <w:tcPr>
            <w:tcW w:w="38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6,813</w:t>
            </w:r>
          </w:p>
        </w:tc>
        <w:tc>
          <w:tcPr>
            <w:tcW w:w="14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42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2"/>
              </w:rPr>
              <w:t>Analog Devices, First Quarter, Fiscal 2017</w:t>
            </w:r>
          </w:p>
        </w:tc>
        <w:tc>
          <w:tcPr>
            <w:tcW w:w="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Schedule B</w:t>
            </w: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42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3"/>
              </w:rPr>
              <w:t>Selected Balance Sheet Information (Unaudited)</w:t>
            </w:r>
          </w:p>
        </w:tc>
        <w:tc>
          <w:tcPr>
            <w:tcW w:w="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20" w:type="dxa"/>
            <w:vAlign w:val="bottom"/>
            <w:gridSpan w:val="3"/>
          </w:tcPr>
          <w:p>
            <w:pPr>
              <w:jc w:val="center"/>
              <w:ind w:left="1248"/>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jc w:val="center"/>
              <w:ind w:right="488"/>
              <w:spacing w:after="0"/>
              <w:rPr>
                <w:sz w:val="20"/>
                <w:szCs w:val="20"/>
                <w:color w:val="auto"/>
              </w:rPr>
            </w:pPr>
            <w:r>
              <w:rPr>
                <w:rFonts w:ascii="Arial" w:cs="Arial" w:eastAsia="Arial" w:hAnsi="Arial"/>
                <w:sz w:val="14"/>
                <w:szCs w:val="14"/>
                <w:b w:val="1"/>
                <w:bCs w:val="1"/>
                <w:color w:val="auto"/>
                <w:w w:val="94"/>
              </w:rPr>
              <w:t>1Q 17</w:t>
            </w:r>
          </w:p>
        </w:tc>
        <w:tc>
          <w:tcPr>
            <w:tcW w:w="560" w:type="dxa"/>
            <w:vAlign w:val="bottom"/>
          </w:tcPr>
          <w:p>
            <w:pPr>
              <w:spacing w:after="0"/>
              <w:rPr>
                <w:sz w:val="24"/>
                <w:szCs w:val="24"/>
                <w:color w:val="auto"/>
              </w:rPr>
            </w:pPr>
          </w:p>
        </w:tc>
        <w:tc>
          <w:tcPr>
            <w:tcW w:w="1320" w:type="dxa"/>
            <w:vAlign w:val="bottom"/>
          </w:tcPr>
          <w:p>
            <w:pPr>
              <w:jc w:val="center"/>
              <w:ind w:right="448"/>
              <w:spacing w:after="0"/>
              <w:rPr>
                <w:sz w:val="20"/>
                <w:szCs w:val="20"/>
                <w:color w:val="auto"/>
              </w:rPr>
            </w:pPr>
            <w:r>
              <w:rPr>
                <w:rFonts w:ascii="Arial" w:cs="Arial" w:eastAsia="Arial" w:hAnsi="Arial"/>
                <w:sz w:val="14"/>
                <w:szCs w:val="14"/>
                <w:b w:val="1"/>
                <w:bCs w:val="1"/>
                <w:color w:val="auto"/>
                <w:w w:val="94"/>
              </w:rPr>
              <w:t>4Q 16</w:t>
            </w:r>
          </w:p>
        </w:tc>
        <w:tc>
          <w:tcPr>
            <w:tcW w:w="52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1Q 16</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tcPr>
          <w:p>
            <w:pPr>
              <w:jc w:val="right"/>
              <w:ind w:right="668"/>
              <w:spacing w:after="0" w:line="149" w:lineRule="exact"/>
              <w:rPr>
                <w:sz w:val="20"/>
                <w:szCs w:val="20"/>
                <w:color w:val="auto"/>
              </w:rPr>
            </w:pPr>
            <w:r>
              <w:rPr>
                <w:rFonts w:ascii="Arial" w:cs="Arial" w:eastAsia="Arial" w:hAnsi="Arial"/>
                <w:sz w:val="14"/>
                <w:szCs w:val="14"/>
                <w:b w:val="1"/>
                <w:bCs w:val="1"/>
                <w:color w:val="auto"/>
              </w:rPr>
              <w:t>Jan. 28,</w:t>
            </w:r>
          </w:p>
        </w:tc>
        <w:tc>
          <w:tcPr>
            <w:tcW w:w="560" w:type="dxa"/>
            <w:vAlign w:val="bottom"/>
          </w:tcPr>
          <w:p>
            <w:pPr>
              <w:spacing w:after="0"/>
              <w:rPr>
                <w:sz w:val="12"/>
                <w:szCs w:val="12"/>
                <w:color w:val="auto"/>
              </w:rPr>
            </w:pPr>
          </w:p>
        </w:tc>
        <w:tc>
          <w:tcPr>
            <w:tcW w:w="1320" w:type="dxa"/>
            <w:vAlign w:val="bottom"/>
          </w:tcPr>
          <w:p>
            <w:pPr>
              <w:jc w:val="right"/>
              <w:ind w:right="608"/>
              <w:spacing w:after="0" w:line="149" w:lineRule="exact"/>
              <w:rPr>
                <w:sz w:val="20"/>
                <w:szCs w:val="20"/>
                <w:color w:val="auto"/>
              </w:rPr>
            </w:pPr>
            <w:r>
              <w:rPr>
                <w:rFonts w:ascii="Arial" w:cs="Arial" w:eastAsia="Arial" w:hAnsi="Arial"/>
                <w:sz w:val="14"/>
                <w:szCs w:val="14"/>
                <w:b w:val="1"/>
                <w:bCs w:val="1"/>
                <w:color w:val="auto"/>
              </w:rPr>
              <w:t>Oct. 29,</w:t>
            </w:r>
          </w:p>
        </w:tc>
        <w:tc>
          <w:tcPr>
            <w:tcW w:w="52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Jan. 30,</w:t>
            </w:r>
          </w:p>
        </w:tc>
      </w:tr>
      <w:tr>
        <w:trPr>
          <w:trHeight w:val="185"/>
        </w:trPr>
        <w:tc>
          <w:tcPr>
            <w:tcW w:w="20" w:type="dxa"/>
            <w:vAlign w:val="bottom"/>
          </w:tcPr>
          <w:p>
            <w:pPr>
              <w:spacing w:after="0"/>
              <w:rPr>
                <w:sz w:val="16"/>
                <w:szCs w:val="16"/>
                <w:color w:val="auto"/>
              </w:rPr>
            </w:pPr>
          </w:p>
        </w:tc>
        <w:tc>
          <w:tcPr>
            <w:tcW w:w="35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Cash &amp; short-term investments</w:t>
            </w:r>
          </w:p>
        </w:tc>
        <w:tc>
          <w:tcPr>
            <w:tcW w:w="30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6,317,066</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4,055,793</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3,789,468</w:t>
            </w:r>
          </w:p>
        </w:tc>
        <w:tc>
          <w:tcPr>
            <w:tcW w:w="20" w:type="dxa"/>
            <w:vAlign w:val="bottom"/>
          </w:tcPr>
          <w:p>
            <w:pPr>
              <w:spacing w:after="0"/>
              <w:rPr>
                <w:sz w:val="14"/>
                <w:szCs w:val="14"/>
                <w:color w:val="auto"/>
              </w:rPr>
            </w:pP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472,511</w:t>
            </w:r>
          </w:p>
        </w:tc>
        <w:tc>
          <w:tcPr>
            <w:tcW w:w="56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477,609</w:t>
            </w:r>
          </w:p>
        </w:tc>
        <w:tc>
          <w:tcPr>
            <w:tcW w:w="5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375,087</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Inventories (1)</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365,586</w:t>
            </w:r>
          </w:p>
        </w:tc>
        <w:tc>
          <w:tcPr>
            <w:tcW w:w="56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376,555</w:t>
            </w:r>
          </w:p>
        </w:tc>
        <w:tc>
          <w:tcPr>
            <w:tcW w:w="5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404,852</w:t>
            </w:r>
          </w:p>
        </w:tc>
      </w:tr>
      <w:tr>
        <w:trPr>
          <w:trHeight w:val="181"/>
        </w:trPr>
        <w:tc>
          <w:tcPr>
            <w:tcW w:w="354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78,570</w:t>
            </w:r>
          </w:p>
        </w:tc>
        <w:tc>
          <w:tcPr>
            <w:tcW w:w="56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64,906</w:t>
            </w:r>
          </w:p>
        </w:tc>
        <w:tc>
          <w:tcPr>
            <w:tcW w:w="5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74,727</w:t>
            </w:r>
          </w:p>
        </w:tc>
      </w:tr>
      <w:tr>
        <w:trPr>
          <w:trHeight w:val="164"/>
        </w:trPr>
        <w:tc>
          <w:tcPr>
            <w:tcW w:w="20" w:type="dxa"/>
            <w:vAlign w:val="bottom"/>
          </w:tcPr>
          <w:p>
            <w:pPr>
              <w:spacing w:after="0"/>
              <w:rPr>
                <w:sz w:val="14"/>
                <w:szCs w:val="14"/>
                <w:color w:val="auto"/>
              </w:rPr>
            </w:pPr>
          </w:p>
        </w:tc>
        <w:tc>
          <w:tcPr>
            <w:tcW w:w="35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Total current assets</w:t>
            </w:r>
          </w:p>
        </w:tc>
        <w:tc>
          <w:tcPr>
            <w:tcW w:w="18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7,233,733</w:t>
            </w:r>
          </w:p>
        </w:tc>
        <w:tc>
          <w:tcPr>
            <w:tcW w:w="5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4,974,863</w:t>
            </w:r>
          </w:p>
        </w:tc>
        <w:tc>
          <w:tcPr>
            <w:tcW w:w="5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4,644,134</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PP&amp;E, net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628,924</w:t>
            </w:r>
          </w:p>
        </w:tc>
        <w:tc>
          <w:tcPr>
            <w:tcW w:w="56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636,116</w:t>
            </w:r>
          </w:p>
        </w:tc>
        <w:tc>
          <w:tcPr>
            <w:tcW w:w="5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633,362</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48,690</w:t>
            </w:r>
          </w:p>
        </w:tc>
        <w:tc>
          <w:tcPr>
            <w:tcW w:w="56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48,089</w:t>
            </w:r>
          </w:p>
        </w:tc>
        <w:tc>
          <w:tcPr>
            <w:tcW w:w="5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46,321</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1,677,399</w:t>
            </w:r>
          </w:p>
        </w:tc>
        <w:tc>
          <w:tcPr>
            <w:tcW w:w="56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1,679,116</w:t>
            </w:r>
          </w:p>
        </w:tc>
        <w:tc>
          <w:tcPr>
            <w:tcW w:w="5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1,631,233</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Intangible assets, net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529,516</w:t>
            </w:r>
          </w:p>
        </w:tc>
        <w:tc>
          <w:tcPr>
            <w:tcW w:w="56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549,368</w:t>
            </w:r>
          </w:p>
        </w:tc>
        <w:tc>
          <w:tcPr>
            <w:tcW w:w="5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564,839</w:t>
            </w:r>
          </w:p>
        </w:tc>
      </w:tr>
      <w:tr>
        <w:trPr>
          <w:trHeight w:val="181"/>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w:t>
            </w:r>
          </w:p>
        </w:tc>
        <w:tc>
          <w:tcPr>
            <w:tcW w:w="1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85,109</w:t>
            </w: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82,726</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78,192</w:t>
            </w:r>
          </w:p>
        </w:tc>
      </w:tr>
      <w:tr>
        <w:trPr>
          <w:trHeight w:val="169"/>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assets</w:t>
            </w:r>
          </w:p>
        </w:tc>
        <w:tc>
          <w:tcPr>
            <w:tcW w:w="30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10,203,371</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7,970,278</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7,598,081</w:t>
            </w:r>
          </w:p>
        </w:tc>
      </w:tr>
      <w:tr>
        <w:trPr>
          <w:trHeight w:val="339"/>
        </w:trPr>
        <w:tc>
          <w:tcPr>
            <w:tcW w:w="3540" w:type="dxa"/>
            <w:vAlign w:val="bottom"/>
            <w:gridSpan w:val="2"/>
          </w:tcPr>
          <w:p>
            <w:pPr>
              <w:spacing w:after="0"/>
              <w:rPr>
                <w:sz w:val="20"/>
                <w:szCs w:val="20"/>
                <w:color w:val="auto"/>
              </w:rPr>
            </w:pPr>
            <w:r>
              <w:rPr>
                <w:rFonts w:ascii="Arial" w:cs="Arial" w:eastAsia="Arial" w:hAnsi="Arial"/>
                <w:sz w:val="14"/>
                <w:szCs w:val="14"/>
                <w:color w:val="auto"/>
              </w:rPr>
              <w:t>Deferred income on shipments to distributors, net</w:t>
            </w:r>
          </w:p>
        </w:tc>
        <w:tc>
          <w:tcPr>
            <w:tcW w:w="30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356,666</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351,538</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298,272</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454,960</w:t>
            </w:r>
          </w:p>
        </w:tc>
        <w:tc>
          <w:tcPr>
            <w:tcW w:w="56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431,396</w:t>
            </w:r>
          </w:p>
        </w:tc>
        <w:tc>
          <w:tcPr>
            <w:tcW w:w="5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295,833</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3,805,400</w:t>
            </w:r>
          </w:p>
        </w:tc>
        <w:tc>
          <w:tcPr>
            <w:tcW w:w="56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1,732,177</w:t>
            </w:r>
          </w:p>
        </w:tc>
        <w:tc>
          <w:tcPr>
            <w:tcW w:w="5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1,730,948</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279,914</w:t>
            </w:r>
          </w:p>
        </w:tc>
        <w:tc>
          <w:tcPr>
            <w:tcW w:w="560" w:type="dxa"/>
            <w:vAlign w:val="bottom"/>
          </w:tcPr>
          <w:p>
            <w:pPr>
              <w:spacing w:after="0"/>
              <w:rPr>
                <w:sz w:val="15"/>
                <w:szCs w:val="15"/>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289,549</w:t>
            </w:r>
          </w:p>
        </w:tc>
        <w:tc>
          <w:tcPr>
            <w:tcW w:w="5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278,166</w:t>
            </w:r>
          </w:p>
        </w:tc>
      </w:tr>
      <w:tr>
        <w:trPr>
          <w:trHeight w:val="181"/>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Shareholders' equity</w:t>
            </w:r>
          </w:p>
        </w:tc>
        <w:tc>
          <w:tcPr>
            <w:tcW w:w="1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5,306,431</w:t>
            </w: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5,165,618</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4,994,862</w:t>
            </w:r>
          </w:p>
        </w:tc>
      </w:tr>
      <w:tr>
        <w:trPr>
          <w:trHeight w:val="169"/>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liabilities &amp; equity</w:t>
            </w:r>
          </w:p>
        </w:tc>
        <w:tc>
          <w:tcPr>
            <w:tcW w:w="30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10,203,371</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7,970,278</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7,598,081</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(1) Includes $2,553, $2,486, and $2,853 related to stock-based compensation in 1Q17, 4Q16, and 1Q16,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20" w:type="dxa"/>
            <w:vAlign w:val="bottom"/>
            <w:gridSpan w:val="5"/>
          </w:tcPr>
          <w:p>
            <w:pPr>
              <w:jc w:val="center"/>
              <w:ind w:right="48"/>
              <w:spacing w:after="0"/>
              <w:rPr>
                <w:sz w:val="20"/>
                <w:szCs w:val="20"/>
                <w:color w:val="auto"/>
              </w:rPr>
            </w:pPr>
            <w:r>
              <w:rPr>
                <w:rFonts w:ascii="Arial" w:cs="Arial" w:eastAsia="Arial" w:hAnsi="Arial"/>
                <w:sz w:val="14"/>
                <w:szCs w:val="14"/>
                <w:b w:val="1"/>
                <w:bCs w:val="1"/>
                <w:color w:val="auto"/>
                <w:w w:val="92"/>
              </w:rPr>
              <w:t>Analog Devices, First Quarter, Fiscal 2017</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Schedule C</w:t>
            </w:r>
          </w:p>
        </w:tc>
        <w:tc>
          <w:tcPr>
            <w:tcW w:w="76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960" w:type="dxa"/>
            <w:vAlign w:val="bottom"/>
            <w:gridSpan w:val="4"/>
          </w:tcPr>
          <w:p>
            <w:pPr>
              <w:jc w:val="center"/>
              <w:ind w:left="668"/>
              <w:spacing w:after="0"/>
              <w:rPr>
                <w:sz w:val="20"/>
                <w:szCs w:val="20"/>
                <w:color w:val="auto"/>
              </w:rPr>
            </w:pPr>
            <w:r>
              <w:rPr>
                <w:rFonts w:ascii="Arial" w:cs="Arial" w:eastAsia="Arial" w:hAnsi="Arial"/>
                <w:sz w:val="14"/>
                <w:szCs w:val="14"/>
                <w:b w:val="1"/>
                <w:bCs w:val="1"/>
                <w:color w:val="auto"/>
                <w:w w:val="94"/>
              </w:rPr>
              <w:t>Cash Flow Statement (Unaudited)</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960" w:type="dxa"/>
            <w:vAlign w:val="bottom"/>
            <w:gridSpan w:val="4"/>
          </w:tcPr>
          <w:p>
            <w:pPr>
              <w:jc w:val="center"/>
              <w:ind w:left="668"/>
              <w:spacing w:after="0"/>
              <w:rPr>
                <w:sz w:val="20"/>
                <w:szCs w:val="20"/>
                <w:color w:val="auto"/>
              </w:rPr>
            </w:pPr>
            <w:r>
              <w:rPr>
                <w:rFonts w:ascii="Arial" w:cs="Arial" w:eastAsia="Arial" w:hAnsi="Arial"/>
                <w:sz w:val="14"/>
                <w:szCs w:val="14"/>
                <w:b w:val="1"/>
                <w:bCs w:val="1"/>
                <w:color w:val="auto"/>
                <w:w w:val="93"/>
              </w:rPr>
              <w:t>(In thousands)</w:t>
            </w: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jc w:val="center"/>
              <w:ind w:right="208"/>
              <w:spacing w:after="0" w:line="160" w:lineRule="exact"/>
              <w:rPr>
                <w:sz w:val="20"/>
                <w:szCs w:val="20"/>
                <w:color w:val="auto"/>
              </w:rPr>
            </w:pPr>
            <w:r>
              <w:rPr>
                <w:rFonts w:ascii="Arial" w:cs="Arial" w:eastAsia="Arial" w:hAnsi="Arial"/>
                <w:sz w:val="14"/>
                <w:szCs w:val="14"/>
                <w:b w:val="1"/>
                <w:bCs w:val="1"/>
                <w:color w:val="auto"/>
                <w:w w:val="99"/>
              </w:rPr>
              <w:t>1Q 17</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94"/>
              </w:rPr>
              <w:t>4Q 16</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center"/>
              <w:ind w:right="88"/>
              <w:spacing w:after="0" w:line="160" w:lineRule="exact"/>
              <w:rPr>
                <w:sz w:val="20"/>
                <w:szCs w:val="20"/>
                <w:color w:val="auto"/>
              </w:rPr>
            </w:pPr>
            <w:r>
              <w:rPr>
                <w:rFonts w:ascii="Arial" w:cs="Arial" w:eastAsia="Arial" w:hAnsi="Arial"/>
                <w:sz w:val="14"/>
                <w:szCs w:val="14"/>
                <w:b w:val="1"/>
                <w:bCs w:val="1"/>
                <w:color w:val="auto"/>
                <w:w w:val="94"/>
              </w:rPr>
              <w:t>1Q 16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w w:val="97"/>
              </w:rPr>
              <w:t>Jan. 28,</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Oct. 29,</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Jan. 30,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5"/>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4"/>
        </w:trPr>
        <w:tc>
          <w:tcPr>
            <w:tcW w:w="386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29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217,129</w:t>
            </w:r>
          </w:p>
        </w:tc>
        <w:tc>
          <w:tcPr>
            <w:tcW w:w="360" w:type="dxa"/>
            <w:vAlign w:val="bottom"/>
          </w:tcPr>
          <w:p>
            <w:pPr>
              <w:spacing w:after="0"/>
              <w:rPr>
                <w:sz w:val="15"/>
                <w:szCs w:val="15"/>
                <w:color w:val="auto"/>
              </w:rPr>
            </w:pPr>
          </w:p>
        </w:tc>
        <w:tc>
          <w:tcPr>
            <w:tcW w:w="460" w:type="dxa"/>
            <w:vAlign w:val="bottom"/>
          </w:tcPr>
          <w:p>
            <w:pPr>
              <w:ind w:left="2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296,157</w:t>
            </w:r>
          </w:p>
        </w:tc>
        <w:tc>
          <w:tcPr>
            <w:tcW w:w="36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164,504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Adjustments to reconcile net income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320"/>
              <w:spacing w:after="0"/>
              <w:rPr>
                <w:sz w:val="20"/>
                <w:szCs w:val="20"/>
                <w:color w:val="auto"/>
              </w:rPr>
            </w:pPr>
            <w:r>
              <w:rPr>
                <w:rFonts w:ascii="Arial" w:cs="Arial" w:eastAsia="Arial" w:hAnsi="Arial"/>
                <w:sz w:val="14"/>
                <w:szCs w:val="14"/>
                <w:color w:val="auto"/>
              </w:rPr>
              <w:t>to net cash provided by operations: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34,379</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34,116</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33,209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Amortization of intangibles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19,947</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19,547</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18,347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16,529</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15,234</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15,609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Loss on extinguishment of debt</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3,290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Other non-cash activity</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13,071</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22,199</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Excess tax benefit - stock options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(8,102)</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(3,273)</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(7,055)</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(12,941)</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28,594</w:t>
            </w: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115,945</w:t>
            </w: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(7,295)</w:t>
            </w: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adjustments</w:t>
            </w:r>
          </w:p>
        </w:tc>
        <w:tc>
          <w:tcPr>
            <w:tcW w:w="1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97,363</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190,827</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55,201</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operating activities</w:t>
            </w:r>
          </w:p>
        </w:tc>
        <w:tc>
          <w:tcPr>
            <w:tcW w:w="1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314,492</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486,984</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219,705</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Percent of revenue</w:t>
            </w:r>
          </w:p>
        </w:tc>
        <w:tc>
          <w:tcPr>
            <w:tcW w:w="1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6"/>
              </w:rPr>
              <w:t>%</w:t>
            </w: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48.5</w:t>
            </w: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6"/>
              </w:rPr>
              <w:t>%</w:t>
            </w: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339"/>
        </w:trPr>
        <w:tc>
          <w:tcPr>
            <w:tcW w:w="386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Purchases of short-term available-for-sale investments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(326,908)</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(1,841,330)</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(1,632,014)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Maturities of short-term available-for-sale investments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1,844,380</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1,364,419</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1,409,538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Sales of short-term available-for-sale investments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287,601</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42,645</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47,950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Additions to property, plant and equipment</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(28,337)</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(41,224)</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(23,128)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Payments for acquisitions, net of cash acquired</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(1,036)</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(80,967)</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Change in other assets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(5,946)</w:t>
            </w: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(6,711)</w:t>
            </w: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used for investing activities</w:t>
            </w:r>
          </w:p>
        </w:tc>
        <w:tc>
          <w:tcPr>
            <w:tcW w:w="1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1,769,754</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(556,929)</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(204,365)</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39"/>
        </w:trPr>
        <w:tc>
          <w:tcPr>
            <w:tcW w:w="386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Payments of senior unsecured notes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(378,156)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Proceeds from (payments of) derivative instruments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3,904</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(33,430)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Proceeds from debt</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2,072,306</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1,235,331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Payments for deferred financing fees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(5,625)</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(4,375)</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Dividend payments to shareholders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(129,683)</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(129,643)</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(124,658)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(3,106)</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(1,412)</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(131,977)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Proceeds from employee stock plans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34,432</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22,154</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6,229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Excess tax benefit - stock options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8,102</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3,273</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120"/>
              <w:spacing w:after="0"/>
              <w:rPr>
                <w:sz w:val="20"/>
                <w:szCs w:val="20"/>
                <w:color w:val="auto"/>
              </w:rPr>
            </w:pPr>
            <w:r>
              <w:rPr>
                <w:rFonts w:ascii="Arial" w:cs="Arial" w:eastAsia="Arial" w:hAnsi="Arial"/>
                <w:sz w:val="14"/>
                <w:szCs w:val="14"/>
                <w:color w:val="auto"/>
              </w:rPr>
              <w:t>Contingent consideration payment</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(1,409)</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Change in other financing activities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2,221</w:t>
            </w: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(2,544)</w:t>
            </w: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(used for) financing activities</w:t>
            </w:r>
          </w:p>
        </w:tc>
        <w:tc>
          <w:tcPr>
            <w:tcW w:w="1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1,982,551</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(111,367)</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571,781</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Effect of exchange rate changes on cash</w:t>
            </w:r>
          </w:p>
        </w:tc>
        <w:tc>
          <w:tcPr>
            <w:tcW w:w="1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39"/>
        </w:trPr>
        <w:tc>
          <w:tcPr>
            <w:tcW w:w="3860" w:type="dxa"/>
            <w:vAlign w:val="bottom"/>
            <w:gridSpan w:val="2"/>
          </w:tcPr>
          <w:p>
            <w:pPr>
              <w:spacing w:after="0"/>
              <w:rPr>
                <w:sz w:val="20"/>
                <w:szCs w:val="20"/>
                <w:color w:val="auto"/>
              </w:rPr>
            </w:pPr>
            <w:r>
              <w:rPr>
                <w:rFonts w:ascii="Arial" w:cs="Arial" w:eastAsia="Arial" w:hAnsi="Arial"/>
                <w:sz w:val="14"/>
                <w:szCs w:val="14"/>
                <w:color w:val="auto"/>
              </w:rPr>
              <w:t>Net increase (decrease) in cash and cash equivalents</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4,066,131</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(182,538)</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586,089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921,132</w:t>
            </w: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1,103,670</w:t>
            </w: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884,353</w:t>
            </w: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2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4,987,263</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921,132</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1,470,442</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20" w:type="dxa"/>
            <w:vAlign w:val="bottom"/>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Analog Devices, First Quarter, Fiscal 2017</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Revenue Trends by End Market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183" w:lineRule="exact"/>
        <w:rPr>
          <w:sz w:val="20"/>
          <w:szCs w:val="20"/>
          <w:color w:val="auto"/>
        </w:rPr>
      </w:pPr>
    </w:p>
    <w:p>
      <w:pPr>
        <w:ind w:right="220"/>
        <w:spacing w:after="0" w:line="234" w:lineRule="auto"/>
        <w:rPr>
          <w:sz w:val="20"/>
          <w:szCs w:val="20"/>
          <w:color w:val="auto"/>
        </w:rPr>
      </w:pPr>
      <w:r>
        <w:rPr>
          <w:rFonts w:ascii="Arial" w:cs="Arial" w:eastAsia="Arial" w:hAnsi="Arial"/>
          <w:sz w:val="14"/>
          <w:szCs w:val="14"/>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2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2"/>
          </w:tcPr>
          <w:p>
            <w:pPr>
              <w:jc w:val="center"/>
              <w:ind w:right="728"/>
              <w:spacing w:after="0" w:line="133" w:lineRule="exact"/>
              <w:rPr>
                <w:sz w:val="20"/>
                <w:szCs w:val="20"/>
                <w:color w:val="auto"/>
              </w:rPr>
            </w:pPr>
            <w:r>
              <w:rPr>
                <w:rFonts w:ascii="Arial" w:cs="Arial" w:eastAsia="Arial" w:hAnsi="Arial"/>
                <w:sz w:val="14"/>
                <w:szCs w:val="14"/>
                <w:b w:val="1"/>
                <w:bCs w:val="1"/>
                <w:color w:val="auto"/>
                <w:w w:val="93"/>
              </w:rPr>
              <w:t>Jan. 28,</w:t>
            </w:r>
          </w:p>
        </w:tc>
        <w:tc>
          <w:tcPr>
            <w:tcW w:w="1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center"/>
              <w:ind w:right="268"/>
              <w:spacing w:after="0" w:line="133" w:lineRule="exact"/>
              <w:rPr>
                <w:sz w:val="20"/>
                <w:szCs w:val="20"/>
                <w:color w:val="auto"/>
              </w:rPr>
            </w:pPr>
            <w:r>
              <w:rPr>
                <w:rFonts w:ascii="Arial" w:cs="Arial" w:eastAsia="Arial" w:hAnsi="Arial"/>
                <w:sz w:val="14"/>
                <w:szCs w:val="14"/>
                <w:b w:val="1"/>
                <w:bCs w:val="1"/>
                <w:color w:val="auto"/>
                <w:w w:val="90"/>
              </w:rPr>
              <w:t>Oct. 29,</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28"/>
              <w:spacing w:after="0" w:line="133" w:lineRule="exact"/>
              <w:rPr>
                <w:sz w:val="20"/>
                <w:szCs w:val="20"/>
                <w:color w:val="auto"/>
              </w:rPr>
            </w:pPr>
            <w:r>
              <w:rPr>
                <w:rFonts w:ascii="Arial" w:cs="Arial" w:eastAsia="Arial" w:hAnsi="Arial"/>
                <w:sz w:val="14"/>
                <w:szCs w:val="14"/>
                <w:b w:val="1"/>
                <w:bCs w:val="1"/>
                <w:color w:val="auto"/>
                <w:w w:val="93"/>
              </w:rPr>
              <w:t>Jan. 30,</w:t>
            </w:r>
          </w:p>
        </w:tc>
        <w:tc>
          <w:tcPr>
            <w:tcW w:w="20" w:type="dxa"/>
            <w:vAlign w:val="bottom"/>
          </w:tcPr>
          <w:p>
            <w:pPr>
              <w:spacing w:after="0"/>
              <w:rPr>
                <w:sz w:val="11"/>
                <w:szCs w:val="11"/>
                <w:color w:val="auto"/>
              </w:rPr>
            </w:pPr>
          </w:p>
        </w:tc>
      </w:tr>
      <w:tr>
        <w:trPr>
          <w:trHeight w:val="185"/>
        </w:trPr>
        <w:tc>
          <w:tcPr>
            <w:tcW w:w="2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848"/>
              <w:spacing w:after="0"/>
              <w:rPr>
                <w:sz w:val="20"/>
                <w:szCs w:val="20"/>
                <w:color w:val="auto"/>
              </w:rPr>
            </w:pPr>
            <w:r>
              <w:rPr>
                <w:rFonts w:ascii="Arial" w:cs="Arial" w:eastAsia="Arial" w:hAnsi="Arial"/>
                <w:sz w:val="14"/>
                <w:szCs w:val="14"/>
                <w:b w:val="1"/>
                <w:bCs w:val="1"/>
                <w:color w:val="auto"/>
              </w:rPr>
              <w:t>2017</w:t>
            </w:r>
          </w:p>
        </w:tc>
        <w:tc>
          <w:tcPr>
            <w:tcW w:w="15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6"/>
                <w:szCs w:val="16"/>
                <w:color w:val="auto"/>
              </w:rPr>
            </w:pPr>
          </w:p>
        </w:tc>
      </w:tr>
      <w:tr>
        <w:trPr>
          <w:trHeight w:val="169"/>
        </w:trPr>
        <w:tc>
          <w:tcPr>
            <w:tcW w:w="2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Revenue</w:t>
            </w:r>
          </w:p>
        </w:tc>
        <w:tc>
          <w:tcPr>
            <w:tcW w:w="7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Q/Q %</w:t>
            </w:r>
          </w:p>
        </w:tc>
        <w:tc>
          <w:tcPr>
            <w:tcW w:w="15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Y/Y %</w:t>
            </w: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2"/>
              </w:rPr>
              <w:t>Revenue</w:t>
            </w: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4"/>
                <w:szCs w:val="14"/>
                <w:color w:val="auto"/>
              </w:rPr>
            </w:pPr>
          </w:p>
        </w:tc>
      </w:tr>
      <w:tr>
        <w:trPr>
          <w:trHeight w:val="164"/>
        </w:trPr>
        <w:tc>
          <w:tcPr>
            <w:tcW w:w="2520" w:type="dxa"/>
            <w:vAlign w:val="bottom"/>
          </w:tcPr>
          <w:p>
            <w:pPr>
              <w:spacing w:after="0"/>
              <w:rPr>
                <w:sz w:val="20"/>
                <w:szCs w:val="20"/>
                <w:color w:val="auto"/>
              </w:rPr>
            </w:pPr>
            <w:r>
              <w:rPr>
                <w:rFonts w:ascii="Arial" w:cs="Arial" w:eastAsia="Arial" w:hAnsi="Arial"/>
                <w:sz w:val="14"/>
                <w:szCs w:val="14"/>
                <w:color w:val="auto"/>
              </w:rPr>
              <w:t>Industrial</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401,481</w:t>
            </w:r>
          </w:p>
        </w:tc>
        <w:tc>
          <w:tcPr>
            <w:tcW w:w="780" w:type="dxa"/>
            <w:vAlign w:val="bottom"/>
          </w:tcPr>
          <w:p>
            <w:pPr>
              <w:jc w:val="center"/>
              <w:ind w:left="248"/>
              <w:spacing w:after="0"/>
              <w:rPr>
                <w:sz w:val="20"/>
                <w:szCs w:val="20"/>
                <w:color w:val="auto"/>
              </w:rPr>
            </w:pPr>
            <w:r>
              <w:rPr>
                <w:rFonts w:ascii="Arial" w:cs="Arial" w:eastAsia="Arial" w:hAnsi="Arial"/>
                <w:sz w:val="14"/>
                <w:szCs w:val="14"/>
                <w:color w:val="auto"/>
                <w:w w:val="92"/>
              </w:rPr>
              <w:t>41%</w:t>
            </w:r>
          </w:p>
        </w:tc>
        <w:tc>
          <w:tcPr>
            <w:tcW w:w="1360" w:type="dxa"/>
            <w:vAlign w:val="bottom"/>
            <w:gridSpan w:val="2"/>
          </w:tcPr>
          <w:p>
            <w:pPr>
              <w:jc w:val="center"/>
              <w:ind w:left="668"/>
              <w:spacing w:after="0"/>
              <w:rPr>
                <w:sz w:val="20"/>
                <w:szCs w:val="20"/>
                <w:color w:val="auto"/>
              </w:rPr>
            </w:pPr>
            <w:r>
              <w:rPr>
                <w:rFonts w:ascii="Arial" w:cs="Arial" w:eastAsia="Arial" w:hAnsi="Arial"/>
                <w:sz w:val="14"/>
                <w:szCs w:val="14"/>
                <w:color w:val="auto"/>
                <w:w w:val="88"/>
              </w:rPr>
              <w:t>1%</w:t>
            </w:r>
          </w:p>
        </w:tc>
        <w:tc>
          <w:tcPr>
            <w:tcW w:w="1540" w:type="dxa"/>
            <w:vAlign w:val="bottom"/>
          </w:tcPr>
          <w:p>
            <w:pPr>
              <w:jc w:val="center"/>
              <w:ind w:left="528"/>
              <w:spacing w:after="0"/>
              <w:rPr>
                <w:sz w:val="20"/>
                <w:szCs w:val="20"/>
                <w:color w:val="auto"/>
              </w:rPr>
            </w:pPr>
            <w:r>
              <w:rPr>
                <w:rFonts w:ascii="Arial" w:cs="Arial" w:eastAsia="Arial" w:hAnsi="Arial"/>
                <w:sz w:val="14"/>
                <w:szCs w:val="14"/>
                <w:color w:val="auto"/>
                <w:w w:val="92"/>
              </w:rPr>
              <w:t>15%</w:t>
            </w:r>
          </w:p>
        </w:tc>
        <w:tc>
          <w:tcPr>
            <w:tcW w:w="420" w:type="dxa"/>
            <w:vAlign w:val="bottom"/>
          </w:tcPr>
          <w:p>
            <w:pPr>
              <w:spacing w:after="0"/>
              <w:rPr>
                <w:sz w:val="14"/>
                <w:szCs w:val="14"/>
                <w:color w:val="auto"/>
              </w:rPr>
            </w:pP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395,825</w:t>
            </w:r>
          </w:p>
        </w:tc>
        <w:tc>
          <w:tcPr>
            <w:tcW w:w="440" w:type="dxa"/>
            <w:vAlign w:val="bottom"/>
          </w:tcPr>
          <w:p>
            <w:pPr>
              <w:spacing w:after="0"/>
              <w:rPr>
                <w:sz w:val="14"/>
                <w:szCs w:val="14"/>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348,402</w:t>
            </w:r>
          </w:p>
        </w:tc>
        <w:tc>
          <w:tcPr>
            <w:tcW w:w="20" w:type="dxa"/>
            <w:vAlign w:val="bottom"/>
          </w:tcPr>
          <w:p>
            <w:pPr>
              <w:spacing w:after="0"/>
              <w:rPr>
                <w:sz w:val="14"/>
                <w:szCs w:val="14"/>
                <w:color w:val="auto"/>
              </w:rPr>
            </w:pPr>
          </w:p>
        </w:tc>
      </w:tr>
      <w:tr>
        <w:trPr>
          <w:trHeight w:val="176"/>
        </w:trPr>
        <w:tc>
          <w:tcPr>
            <w:tcW w:w="2520" w:type="dxa"/>
            <w:vAlign w:val="bottom"/>
          </w:tcPr>
          <w:p>
            <w:pPr>
              <w:spacing w:after="0"/>
              <w:rPr>
                <w:sz w:val="20"/>
                <w:szCs w:val="20"/>
                <w:color w:val="auto"/>
              </w:rPr>
            </w:pPr>
            <w:r>
              <w:rPr>
                <w:rFonts w:ascii="Arial" w:cs="Arial" w:eastAsia="Arial" w:hAnsi="Arial"/>
                <w:sz w:val="14"/>
                <w:szCs w:val="14"/>
                <w:color w:val="auto"/>
              </w:rPr>
              <w:t>Automotive</w:t>
            </w:r>
          </w:p>
        </w:tc>
        <w:tc>
          <w:tcPr>
            <w:tcW w:w="280" w:type="dxa"/>
            <w:vAlign w:val="bottom"/>
          </w:tcPr>
          <w:p>
            <w:pPr>
              <w:spacing w:after="0"/>
              <w:rPr>
                <w:sz w:val="15"/>
                <w:szCs w:val="15"/>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138,585</w:t>
            </w:r>
          </w:p>
        </w:tc>
        <w:tc>
          <w:tcPr>
            <w:tcW w:w="780" w:type="dxa"/>
            <w:vAlign w:val="bottom"/>
          </w:tcPr>
          <w:p>
            <w:pPr>
              <w:jc w:val="center"/>
              <w:ind w:left="248"/>
              <w:spacing w:after="0"/>
              <w:rPr>
                <w:sz w:val="20"/>
                <w:szCs w:val="20"/>
                <w:color w:val="auto"/>
              </w:rPr>
            </w:pPr>
            <w:r>
              <w:rPr>
                <w:rFonts w:ascii="Arial" w:cs="Arial" w:eastAsia="Arial" w:hAnsi="Arial"/>
                <w:sz w:val="14"/>
                <w:szCs w:val="14"/>
                <w:color w:val="auto"/>
                <w:w w:val="92"/>
              </w:rPr>
              <w:t>14%</w:t>
            </w:r>
          </w:p>
        </w:tc>
        <w:tc>
          <w:tcPr>
            <w:tcW w:w="1360" w:type="dxa"/>
            <w:vAlign w:val="bottom"/>
            <w:gridSpan w:val="2"/>
          </w:tcPr>
          <w:p>
            <w:pPr>
              <w:jc w:val="center"/>
              <w:ind w:left="668"/>
              <w:spacing w:after="0"/>
              <w:rPr>
                <w:sz w:val="20"/>
                <w:szCs w:val="20"/>
                <w:color w:val="auto"/>
              </w:rPr>
            </w:pPr>
            <w:r>
              <w:rPr>
                <w:rFonts w:ascii="Arial" w:cs="Arial" w:eastAsia="Arial" w:hAnsi="Arial"/>
                <w:sz w:val="14"/>
                <w:szCs w:val="14"/>
                <w:color w:val="auto"/>
              </w:rPr>
              <w:t>(2)%</w:t>
            </w:r>
          </w:p>
        </w:tc>
        <w:tc>
          <w:tcPr>
            <w:tcW w:w="1540" w:type="dxa"/>
            <w:vAlign w:val="bottom"/>
          </w:tcPr>
          <w:p>
            <w:pPr>
              <w:jc w:val="center"/>
              <w:ind w:left="528"/>
              <w:spacing w:after="0"/>
              <w:rPr>
                <w:sz w:val="20"/>
                <w:szCs w:val="20"/>
                <w:color w:val="auto"/>
              </w:rPr>
            </w:pPr>
            <w:r>
              <w:rPr>
                <w:rFonts w:ascii="Arial" w:cs="Arial" w:eastAsia="Arial" w:hAnsi="Arial"/>
                <w:sz w:val="14"/>
                <w:szCs w:val="14"/>
                <w:color w:val="auto"/>
                <w:w w:val="92"/>
              </w:rPr>
              <w:t>10%</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141,459</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126,355</w:t>
            </w:r>
          </w:p>
        </w:tc>
      </w:tr>
      <w:tr>
        <w:trPr>
          <w:trHeight w:val="176"/>
        </w:trPr>
        <w:tc>
          <w:tcPr>
            <w:tcW w:w="2520" w:type="dxa"/>
            <w:vAlign w:val="bottom"/>
          </w:tcPr>
          <w:p>
            <w:pPr>
              <w:spacing w:after="0"/>
              <w:rPr>
                <w:sz w:val="20"/>
                <w:szCs w:val="20"/>
                <w:color w:val="auto"/>
              </w:rPr>
            </w:pPr>
            <w:r>
              <w:rPr>
                <w:rFonts w:ascii="Arial" w:cs="Arial" w:eastAsia="Arial" w:hAnsi="Arial"/>
                <w:sz w:val="14"/>
                <w:szCs w:val="14"/>
                <w:color w:val="auto"/>
              </w:rPr>
              <w:t>Consumer</w:t>
            </w:r>
          </w:p>
        </w:tc>
        <w:tc>
          <w:tcPr>
            <w:tcW w:w="280" w:type="dxa"/>
            <w:vAlign w:val="bottom"/>
          </w:tcPr>
          <w:p>
            <w:pPr>
              <w:spacing w:after="0"/>
              <w:rPr>
                <w:sz w:val="15"/>
                <w:szCs w:val="15"/>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270,408</w:t>
            </w:r>
          </w:p>
        </w:tc>
        <w:tc>
          <w:tcPr>
            <w:tcW w:w="780" w:type="dxa"/>
            <w:vAlign w:val="bottom"/>
          </w:tcPr>
          <w:p>
            <w:pPr>
              <w:jc w:val="center"/>
              <w:ind w:left="248"/>
              <w:spacing w:after="0"/>
              <w:rPr>
                <w:sz w:val="20"/>
                <w:szCs w:val="20"/>
                <w:color w:val="auto"/>
              </w:rPr>
            </w:pPr>
            <w:r>
              <w:rPr>
                <w:rFonts w:ascii="Arial" w:cs="Arial" w:eastAsia="Arial" w:hAnsi="Arial"/>
                <w:sz w:val="14"/>
                <w:szCs w:val="14"/>
                <w:color w:val="auto"/>
                <w:w w:val="92"/>
              </w:rPr>
              <w:t>27%</w:t>
            </w:r>
          </w:p>
        </w:tc>
        <w:tc>
          <w:tcPr>
            <w:tcW w:w="1360" w:type="dxa"/>
            <w:vAlign w:val="bottom"/>
            <w:gridSpan w:val="2"/>
          </w:tcPr>
          <w:p>
            <w:pPr>
              <w:jc w:val="center"/>
              <w:ind w:left="668"/>
              <w:spacing w:after="0"/>
              <w:rPr>
                <w:sz w:val="20"/>
                <w:szCs w:val="20"/>
                <w:color w:val="auto"/>
              </w:rPr>
            </w:pPr>
            <w:r>
              <w:rPr>
                <w:rFonts w:ascii="Arial" w:cs="Arial" w:eastAsia="Arial" w:hAnsi="Arial"/>
                <w:sz w:val="14"/>
                <w:szCs w:val="14"/>
                <w:color w:val="auto"/>
              </w:rPr>
              <w:t>(8)%</w:t>
            </w:r>
          </w:p>
        </w:tc>
        <w:tc>
          <w:tcPr>
            <w:tcW w:w="1540" w:type="dxa"/>
            <w:vAlign w:val="bottom"/>
          </w:tcPr>
          <w:p>
            <w:pPr>
              <w:jc w:val="center"/>
              <w:ind w:left="528"/>
              <w:spacing w:after="0"/>
              <w:rPr>
                <w:sz w:val="20"/>
                <w:szCs w:val="20"/>
                <w:color w:val="auto"/>
              </w:rPr>
            </w:pPr>
            <w:r>
              <w:rPr>
                <w:rFonts w:ascii="Arial" w:cs="Arial" w:eastAsia="Arial" w:hAnsi="Arial"/>
                <w:sz w:val="14"/>
                <w:szCs w:val="14"/>
                <w:color w:val="auto"/>
                <w:w w:val="94"/>
              </w:rPr>
              <w:t>113%</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294,470</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126,838</w:t>
            </w:r>
          </w:p>
        </w:tc>
      </w:tr>
      <w:tr>
        <w:trPr>
          <w:trHeight w:val="181"/>
        </w:trPr>
        <w:tc>
          <w:tcPr>
            <w:tcW w:w="2520" w:type="dxa"/>
            <w:vAlign w:val="bottom"/>
          </w:tcPr>
          <w:p>
            <w:pPr>
              <w:spacing w:after="0"/>
              <w:rPr>
                <w:sz w:val="20"/>
                <w:szCs w:val="20"/>
                <w:color w:val="auto"/>
              </w:rPr>
            </w:pPr>
            <w:r>
              <w:rPr>
                <w:rFonts w:ascii="Arial" w:cs="Arial" w:eastAsia="Arial" w:hAnsi="Arial"/>
                <w:sz w:val="14"/>
                <w:szCs w:val="14"/>
                <w:color w:val="auto"/>
              </w:rPr>
              <w:t>Communications</w:t>
            </w:r>
          </w:p>
        </w:tc>
        <w:tc>
          <w:tcPr>
            <w:tcW w:w="280" w:type="dxa"/>
            <w:vAlign w:val="bottom"/>
          </w:tcPr>
          <w:p>
            <w:pPr>
              <w:spacing w:after="0"/>
              <w:rPr>
                <w:sz w:val="15"/>
                <w:szCs w:val="15"/>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173,975</w:t>
            </w:r>
          </w:p>
        </w:tc>
        <w:tc>
          <w:tcPr>
            <w:tcW w:w="780" w:type="dxa"/>
            <w:vAlign w:val="bottom"/>
          </w:tcPr>
          <w:p>
            <w:pPr>
              <w:jc w:val="center"/>
              <w:ind w:left="248"/>
              <w:spacing w:after="0"/>
              <w:rPr>
                <w:sz w:val="20"/>
                <w:szCs w:val="20"/>
                <w:color w:val="auto"/>
              </w:rPr>
            </w:pPr>
            <w:r>
              <w:rPr>
                <w:rFonts w:ascii="Arial" w:cs="Arial" w:eastAsia="Arial" w:hAnsi="Arial"/>
                <w:sz w:val="14"/>
                <w:szCs w:val="14"/>
                <w:color w:val="auto"/>
                <w:w w:val="92"/>
              </w:rPr>
              <w:t>18%</w:t>
            </w:r>
          </w:p>
        </w:tc>
        <w:tc>
          <w:tcPr>
            <w:tcW w:w="1360" w:type="dxa"/>
            <w:vAlign w:val="bottom"/>
            <w:gridSpan w:val="2"/>
          </w:tcPr>
          <w:p>
            <w:pPr>
              <w:jc w:val="center"/>
              <w:ind w:left="668"/>
              <w:spacing w:after="0"/>
              <w:rPr>
                <w:sz w:val="20"/>
                <w:szCs w:val="20"/>
                <w:color w:val="auto"/>
              </w:rPr>
            </w:pPr>
            <w:r>
              <w:rPr>
                <w:rFonts w:ascii="Arial" w:cs="Arial" w:eastAsia="Arial" w:hAnsi="Arial"/>
                <w:sz w:val="14"/>
                <w:szCs w:val="14"/>
                <w:color w:val="auto"/>
                <w:w w:val="88"/>
              </w:rPr>
              <w:t>1%</w:t>
            </w:r>
          </w:p>
        </w:tc>
        <w:tc>
          <w:tcPr>
            <w:tcW w:w="1540" w:type="dxa"/>
            <w:vAlign w:val="bottom"/>
          </w:tcPr>
          <w:p>
            <w:pPr>
              <w:jc w:val="center"/>
              <w:ind w:left="528"/>
              <w:spacing w:after="0"/>
              <w:rPr>
                <w:sz w:val="20"/>
                <w:szCs w:val="20"/>
                <w:color w:val="auto"/>
              </w:rPr>
            </w:pPr>
            <w:r>
              <w:rPr>
                <w:rFonts w:ascii="Arial" w:cs="Arial" w:eastAsia="Arial" w:hAnsi="Arial"/>
                <w:sz w:val="14"/>
                <w:szCs w:val="14"/>
                <w:color w:val="auto"/>
                <w:w w:val="88"/>
              </w:rPr>
              <w:t>4%</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171,929</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167,834</w:t>
            </w:r>
          </w:p>
        </w:tc>
      </w:tr>
      <w:tr>
        <w:trPr>
          <w:trHeight w:val="169"/>
        </w:trPr>
        <w:tc>
          <w:tcPr>
            <w:tcW w:w="252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984,449</w:t>
            </w:r>
          </w:p>
        </w:tc>
        <w:tc>
          <w:tcPr>
            <w:tcW w:w="78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100%</w:t>
            </w:r>
          </w:p>
        </w:tc>
        <w:tc>
          <w:tcPr>
            <w:tcW w:w="160" w:type="dxa"/>
            <w:vAlign w:val="bottom"/>
            <w:tcBorders>
              <w:top w:val="single" w:sz="8" w:color="auto"/>
              <w:bottom w:val="single" w:sz="8" w:color="auto"/>
            </w:tcBorders>
          </w:tcPr>
          <w:p>
            <w:pPr>
              <w:spacing w:after="0"/>
              <w:rPr>
                <w:sz w:val="14"/>
                <w:szCs w:val="14"/>
                <w:color w:val="auto"/>
              </w:rPr>
            </w:pPr>
          </w:p>
        </w:tc>
        <w:tc>
          <w:tcPr>
            <w:tcW w:w="1200" w:type="dxa"/>
            <w:vAlign w:val="bottom"/>
          </w:tcPr>
          <w:p>
            <w:pPr>
              <w:jc w:val="center"/>
              <w:ind w:left="508"/>
              <w:spacing w:after="0"/>
              <w:rPr>
                <w:sz w:val="20"/>
                <w:szCs w:val="20"/>
                <w:color w:val="auto"/>
              </w:rPr>
            </w:pPr>
            <w:r>
              <w:rPr>
                <w:rFonts w:ascii="Arial" w:cs="Arial" w:eastAsia="Arial" w:hAnsi="Arial"/>
                <w:sz w:val="14"/>
                <w:szCs w:val="14"/>
                <w:b w:val="1"/>
                <w:bCs w:val="1"/>
                <w:color w:val="auto"/>
              </w:rPr>
              <w:t>(2)%</w:t>
            </w:r>
          </w:p>
        </w:tc>
        <w:tc>
          <w:tcPr>
            <w:tcW w:w="1540" w:type="dxa"/>
            <w:vAlign w:val="bottom"/>
          </w:tcPr>
          <w:p>
            <w:pPr>
              <w:jc w:val="center"/>
              <w:ind w:left="528"/>
              <w:spacing w:after="0"/>
              <w:rPr>
                <w:sz w:val="20"/>
                <w:szCs w:val="20"/>
                <w:color w:val="auto"/>
              </w:rPr>
            </w:pPr>
            <w:r>
              <w:rPr>
                <w:rFonts w:ascii="Arial" w:cs="Arial" w:eastAsia="Arial" w:hAnsi="Arial"/>
                <w:sz w:val="14"/>
                <w:szCs w:val="14"/>
                <w:b w:val="1"/>
                <w:bCs w:val="1"/>
                <w:color w:val="auto"/>
              </w:rPr>
              <w:t>28%</w:t>
            </w:r>
          </w:p>
        </w:tc>
        <w:tc>
          <w:tcPr>
            <w:tcW w:w="4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1,003,683</w:t>
            </w:r>
          </w:p>
        </w:tc>
        <w:tc>
          <w:tcPr>
            <w:tcW w:w="4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769,429</w:t>
            </w:r>
          </w:p>
        </w:tc>
        <w:tc>
          <w:tcPr>
            <w:tcW w:w="20" w:type="dxa"/>
            <w:vAlign w:val="bottom"/>
          </w:tcPr>
          <w:p>
            <w:pPr>
              <w:spacing w:after="0"/>
              <w:rPr>
                <w:sz w:val="14"/>
                <w:szCs w:val="14"/>
                <w:color w:val="auto"/>
              </w:rPr>
            </w:pPr>
          </w:p>
        </w:tc>
      </w:tr>
      <w:tr>
        <w:trPr>
          <w:trHeight w:val="20"/>
        </w:trPr>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5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Analog Devices, First Quarter, Fiscal 2017</w:t>
      </w:r>
    </w:p>
    <w:p>
      <w:pPr>
        <w:spacing w:after="0" w:line="190" w:lineRule="exact"/>
        <w:rPr>
          <w:sz w:val="20"/>
          <w:szCs w:val="20"/>
          <w:color w:val="auto"/>
        </w:rPr>
      </w:pPr>
    </w:p>
    <w:p>
      <w:pPr>
        <w:ind w:left="5360"/>
        <w:spacing w:after="0"/>
        <w:rPr>
          <w:sz w:val="20"/>
          <w:szCs w:val="20"/>
          <w:color w:val="auto"/>
        </w:rPr>
      </w:pPr>
      <w:r>
        <w:rPr>
          <w:rFonts w:ascii="Arial" w:cs="Arial" w:eastAsia="Arial" w:hAnsi="Arial"/>
          <w:sz w:val="14"/>
          <w:szCs w:val="14"/>
          <w:b w:val="1"/>
          <w:bCs w:val="1"/>
          <w:u w:val="single" w:color="auto"/>
          <w:color w:val="auto"/>
        </w:rPr>
        <w:t>Schedule E</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Reconciliation from GAAP to Non-GAAP Revenue and Earnings Measures (In thousands, except per-share amounts)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See "Non-GAAP Financial Information" in this press release for a description of the items excluded from our non-GAAP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measures.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188"/>
              <w:spacing w:after="0" w:line="160" w:lineRule="exact"/>
              <w:rPr>
                <w:sz w:val="20"/>
                <w:szCs w:val="20"/>
                <w:color w:val="auto"/>
              </w:rPr>
            </w:pPr>
            <w:r>
              <w:rPr>
                <w:rFonts w:ascii="Arial" w:cs="Arial" w:eastAsia="Arial" w:hAnsi="Arial"/>
                <w:sz w:val="14"/>
                <w:szCs w:val="14"/>
                <w:b w:val="1"/>
                <w:bCs w:val="1"/>
                <w:color w:val="auto"/>
                <w:w w:val="94"/>
              </w:rPr>
              <w:t>1Q 17</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660"/>
              <w:spacing w:after="0" w:line="160" w:lineRule="exact"/>
              <w:rPr>
                <w:sz w:val="20"/>
                <w:szCs w:val="20"/>
                <w:color w:val="auto"/>
              </w:rPr>
            </w:pPr>
            <w:r>
              <w:rPr>
                <w:rFonts w:ascii="Arial" w:cs="Arial" w:eastAsia="Arial" w:hAnsi="Arial"/>
                <w:sz w:val="14"/>
                <w:szCs w:val="14"/>
                <w:b w:val="1"/>
                <w:bCs w:val="1"/>
                <w:color w:val="auto"/>
                <w:w w:val="94"/>
              </w:rPr>
              <w:t>4Q 16</w:t>
            </w:r>
          </w:p>
        </w:tc>
        <w:tc>
          <w:tcPr>
            <w:tcW w:w="300" w:type="dxa"/>
            <w:vAlign w:val="bottom"/>
          </w:tcPr>
          <w:p>
            <w:pPr>
              <w:spacing w:after="0"/>
              <w:rPr>
                <w:sz w:val="13"/>
                <w:szCs w:val="13"/>
                <w:color w:val="auto"/>
              </w:rPr>
            </w:pPr>
          </w:p>
        </w:tc>
        <w:tc>
          <w:tcPr>
            <w:tcW w:w="1120" w:type="dxa"/>
            <w:vAlign w:val="bottom"/>
          </w:tcPr>
          <w:p>
            <w:pPr>
              <w:jc w:val="center"/>
              <w:ind w:right="248"/>
              <w:spacing w:after="0" w:line="160" w:lineRule="exact"/>
              <w:rPr>
                <w:sz w:val="20"/>
                <w:szCs w:val="20"/>
                <w:color w:val="auto"/>
              </w:rPr>
            </w:pPr>
            <w:r>
              <w:rPr>
                <w:rFonts w:ascii="Arial" w:cs="Arial" w:eastAsia="Arial" w:hAnsi="Arial"/>
                <w:sz w:val="14"/>
                <w:szCs w:val="14"/>
                <w:b w:val="1"/>
                <w:bCs w:val="1"/>
                <w:color w:val="auto"/>
                <w:w w:val="94"/>
              </w:rPr>
              <w:t>1Q 16</w:t>
            </w: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b w:val="1"/>
                <w:bCs w:val="1"/>
                <w:color w:val="auto"/>
                <w:w w:val="93"/>
              </w:rPr>
              <w:t>Jan. 28,</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Oct. 29,</w:t>
            </w:r>
          </w:p>
        </w:tc>
        <w:tc>
          <w:tcPr>
            <w:tcW w:w="300" w:type="dxa"/>
            <w:vAlign w:val="bottom"/>
          </w:tcPr>
          <w:p>
            <w:pPr>
              <w:spacing w:after="0"/>
              <w:rPr>
                <w:sz w:val="15"/>
                <w:szCs w:val="15"/>
                <w:color w:val="auto"/>
              </w:rPr>
            </w:pPr>
          </w:p>
        </w:tc>
        <w:tc>
          <w:tcPr>
            <w:tcW w:w="1120" w:type="dxa"/>
            <w:vAlign w:val="bottom"/>
          </w:tcPr>
          <w:p>
            <w:pPr>
              <w:jc w:val="center"/>
              <w:ind w:right="248"/>
              <w:spacing w:after="0"/>
              <w:rPr>
                <w:sz w:val="20"/>
                <w:szCs w:val="20"/>
                <w:color w:val="auto"/>
              </w:rPr>
            </w:pPr>
            <w:r>
              <w:rPr>
                <w:rFonts w:ascii="Arial" w:cs="Arial" w:eastAsia="Arial" w:hAnsi="Arial"/>
                <w:sz w:val="14"/>
                <w:szCs w:val="14"/>
                <w:b w:val="1"/>
                <w:bCs w:val="1"/>
                <w:color w:val="auto"/>
                <w:w w:val="93"/>
              </w:rPr>
              <w:t>Jan. 30,</w:t>
            </w: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6"/>
              </w:rPr>
              <w:t>2016</w:t>
            </w: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335"/>
        </w:trPr>
        <w:tc>
          <w:tcPr>
            <w:tcW w:w="6700" w:type="dxa"/>
            <w:vAlign w:val="bottom"/>
          </w:tcPr>
          <w:p>
            <w:pPr>
              <w:spacing w:after="0"/>
              <w:rPr>
                <w:sz w:val="20"/>
                <w:szCs w:val="20"/>
                <w:color w:val="auto"/>
              </w:rPr>
            </w:pPr>
            <w:r>
              <w:rPr>
                <w:rFonts w:ascii="Arial" w:cs="Arial" w:eastAsia="Arial" w:hAnsi="Arial"/>
                <w:sz w:val="14"/>
                <w:szCs w:val="14"/>
                <w:b w:val="1"/>
                <w:bCs w:val="1"/>
                <w:color w:val="auto"/>
              </w:rPr>
              <w:t>GAAP Gross Margin</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648,504</w:t>
            </w:r>
          </w:p>
        </w:tc>
        <w:tc>
          <w:tcPr>
            <w:tcW w:w="64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666,687</w:t>
            </w:r>
          </w:p>
        </w:tc>
        <w:tc>
          <w:tcPr>
            <w:tcW w:w="360" w:type="dxa"/>
            <w:vAlign w:val="bottom"/>
          </w:tcPr>
          <w:p>
            <w:pPr>
              <w:spacing w:after="0"/>
              <w:rPr>
                <w:sz w:val="24"/>
                <w:szCs w:val="24"/>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477,293</w:t>
            </w:r>
          </w:p>
        </w:tc>
        <w:tc>
          <w:tcPr>
            <w:tcW w:w="0" w:type="dxa"/>
            <w:vAlign w:val="bottom"/>
          </w:tcPr>
          <w:p>
            <w:pPr>
              <w:spacing w:after="0"/>
              <w:rPr>
                <w:sz w:val="1"/>
                <w:szCs w:val="1"/>
                <w:color w:val="auto"/>
              </w:rPr>
            </w:pPr>
          </w:p>
        </w:tc>
      </w:tr>
      <w:tr>
        <w:trPr>
          <w:trHeight w:val="180"/>
        </w:trPr>
        <w:tc>
          <w:tcPr>
            <w:tcW w:w="670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Gross Margin Percentage</w:t>
            </w:r>
          </w:p>
        </w:tc>
        <w:tc>
          <w:tcPr>
            <w:tcW w:w="26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65.9%</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66.4%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181"/>
        </w:trPr>
        <w:tc>
          <w:tcPr>
            <w:tcW w:w="670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2,178</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2,040</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20"/>
                <w:szCs w:val="20"/>
                <w:color w:val="auto"/>
              </w:rPr>
            </w:pPr>
            <w:r>
              <w:rPr>
                <w:rFonts w:ascii="Arial" w:cs="Arial" w:eastAsia="Arial" w:hAnsi="Arial"/>
                <w:sz w:val="14"/>
                <w:szCs w:val="14"/>
                <w:b w:val="1"/>
                <w:bCs w:val="1"/>
                <w:color w:val="auto"/>
              </w:rPr>
              <w:t>Non-GAAP Gross Margin</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650,682</w:t>
            </w:r>
          </w:p>
        </w:tc>
        <w:tc>
          <w:tcPr>
            <w:tcW w:w="6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668,727</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478,738</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Gross Margin Percentage</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66.1%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66.6%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62.2%</w:t>
            </w:r>
          </w:p>
        </w:tc>
        <w:tc>
          <w:tcPr>
            <w:tcW w:w="0" w:type="dxa"/>
            <w:vAlign w:val="bottom"/>
          </w:tcPr>
          <w:p>
            <w:pPr>
              <w:spacing w:after="0"/>
              <w:rPr>
                <w:sz w:val="1"/>
                <w:szCs w:val="1"/>
                <w:color w:val="auto"/>
              </w:rPr>
            </w:pPr>
          </w:p>
        </w:tc>
      </w:tr>
      <w:tr>
        <w:trPr>
          <w:trHeight w:val="339"/>
        </w:trPr>
        <w:tc>
          <w:tcPr>
            <w:tcW w:w="6700" w:type="dxa"/>
            <w:vAlign w:val="bottom"/>
          </w:tcPr>
          <w:p>
            <w:pPr>
              <w:spacing w:after="0"/>
              <w:rPr>
                <w:sz w:val="20"/>
                <w:szCs w:val="20"/>
                <w:color w:val="auto"/>
              </w:rPr>
            </w:pPr>
            <w:r>
              <w:rPr>
                <w:rFonts w:ascii="Arial" w:cs="Arial" w:eastAsia="Arial" w:hAnsi="Arial"/>
                <w:sz w:val="14"/>
                <w:szCs w:val="14"/>
                <w:b w:val="1"/>
                <w:bCs w:val="1"/>
                <w:color w:val="auto"/>
              </w:rPr>
              <w:t>GAAP Operating Expenses</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382,236</w:t>
            </w:r>
          </w:p>
        </w:tc>
        <w:tc>
          <w:tcPr>
            <w:tcW w:w="64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309,706</w:t>
            </w:r>
          </w:p>
        </w:tc>
        <w:tc>
          <w:tcPr>
            <w:tcW w:w="360" w:type="dxa"/>
            <w:vAlign w:val="bottom"/>
          </w:tcPr>
          <w:p>
            <w:pPr>
              <w:spacing w:after="0"/>
              <w:rPr>
                <w:sz w:val="24"/>
                <w:szCs w:val="24"/>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282,248</w:t>
            </w:r>
          </w:p>
        </w:tc>
        <w:tc>
          <w:tcPr>
            <w:tcW w:w="0" w:type="dxa"/>
            <w:vAlign w:val="bottom"/>
          </w:tcPr>
          <w:p>
            <w:pPr>
              <w:spacing w:after="0"/>
              <w:rPr>
                <w:sz w:val="1"/>
                <w:szCs w:val="1"/>
                <w:color w:val="auto"/>
              </w:rPr>
            </w:pPr>
          </w:p>
        </w:tc>
      </w:tr>
      <w:tr>
        <w:trPr>
          <w:trHeight w:val="176"/>
        </w:trPr>
        <w:tc>
          <w:tcPr>
            <w:tcW w:w="670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6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38.8%</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30.9%</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36.7%</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260" w:type="dxa"/>
            <w:vAlign w:val="bottom"/>
          </w:tcPr>
          <w:p>
            <w:pPr>
              <w:spacing w:after="0"/>
              <w:rPr>
                <w:sz w:val="15"/>
                <w:szCs w:val="15"/>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(18,232)</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(17,999)</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(17,457)</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Acquisition-Related Transaction Costs</w:t>
            </w:r>
          </w:p>
        </w:tc>
        <w:tc>
          <w:tcPr>
            <w:tcW w:w="260" w:type="dxa"/>
            <w:vAlign w:val="bottom"/>
          </w:tcPr>
          <w:p>
            <w:pPr>
              <w:spacing w:after="0"/>
              <w:rPr>
                <w:sz w:val="15"/>
                <w:szCs w:val="15"/>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(8,011)</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(5,210)</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70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(49,463)</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20"/>
                <w:szCs w:val="20"/>
                <w:color w:val="auto"/>
              </w:rPr>
            </w:pPr>
            <w:r>
              <w:rPr>
                <w:rFonts w:ascii="Arial" w:cs="Arial" w:eastAsia="Arial" w:hAnsi="Arial"/>
                <w:sz w:val="14"/>
                <w:szCs w:val="14"/>
                <w:b w:val="1"/>
                <w:bCs w:val="1"/>
                <w:color w:val="auto"/>
              </w:rPr>
              <w:t>Non-GAAP Operating Expenses</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306,530</w:t>
            </w:r>
          </w:p>
        </w:tc>
        <w:tc>
          <w:tcPr>
            <w:tcW w:w="6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286,497</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264,791</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31.1%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28.5%</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34.4%</w:t>
            </w:r>
          </w:p>
        </w:tc>
        <w:tc>
          <w:tcPr>
            <w:tcW w:w="0" w:type="dxa"/>
            <w:vAlign w:val="bottom"/>
          </w:tcPr>
          <w:p>
            <w:pPr>
              <w:spacing w:after="0"/>
              <w:rPr>
                <w:sz w:val="1"/>
                <w:szCs w:val="1"/>
                <w:color w:val="auto"/>
              </w:rPr>
            </w:pPr>
          </w:p>
        </w:tc>
      </w:tr>
      <w:tr>
        <w:trPr>
          <w:trHeight w:val="339"/>
        </w:trPr>
        <w:tc>
          <w:tcPr>
            <w:tcW w:w="6700" w:type="dxa"/>
            <w:vAlign w:val="bottom"/>
          </w:tcPr>
          <w:p>
            <w:pPr>
              <w:spacing w:after="0"/>
              <w:rPr>
                <w:sz w:val="20"/>
                <w:szCs w:val="20"/>
                <w:color w:val="auto"/>
              </w:rPr>
            </w:pPr>
            <w:r>
              <w:rPr>
                <w:rFonts w:ascii="Arial" w:cs="Arial" w:eastAsia="Arial" w:hAnsi="Arial"/>
                <w:sz w:val="14"/>
                <w:szCs w:val="14"/>
                <w:b w:val="1"/>
                <w:bCs w:val="1"/>
                <w:color w:val="auto"/>
              </w:rPr>
              <w:t>GAAP Operating Income/Margin</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266,268</w:t>
            </w:r>
          </w:p>
        </w:tc>
        <w:tc>
          <w:tcPr>
            <w:tcW w:w="64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356,981</w:t>
            </w:r>
          </w:p>
        </w:tc>
        <w:tc>
          <w:tcPr>
            <w:tcW w:w="360" w:type="dxa"/>
            <w:vAlign w:val="bottom"/>
          </w:tcPr>
          <w:p>
            <w:pPr>
              <w:spacing w:after="0"/>
              <w:rPr>
                <w:sz w:val="24"/>
                <w:szCs w:val="24"/>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195,045</w:t>
            </w:r>
          </w:p>
        </w:tc>
        <w:tc>
          <w:tcPr>
            <w:tcW w:w="0" w:type="dxa"/>
            <w:vAlign w:val="bottom"/>
          </w:tcPr>
          <w:p>
            <w:pPr>
              <w:spacing w:after="0"/>
              <w:rPr>
                <w:sz w:val="1"/>
                <w:szCs w:val="1"/>
                <w:color w:val="auto"/>
              </w:rPr>
            </w:pPr>
          </w:p>
        </w:tc>
      </w:tr>
      <w:tr>
        <w:trPr>
          <w:trHeight w:val="176"/>
        </w:trPr>
        <w:tc>
          <w:tcPr>
            <w:tcW w:w="670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6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27%</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35.6%</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25.3%</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26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20,410</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20,039</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18,902</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Acquisition-Related Transaction Costs</w:t>
            </w:r>
          </w:p>
        </w:tc>
        <w:tc>
          <w:tcPr>
            <w:tcW w:w="26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8,011</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5,210</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70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49,463</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20"/>
                <w:szCs w:val="20"/>
                <w:color w:val="auto"/>
              </w:rPr>
            </w:pPr>
            <w:r>
              <w:rPr>
                <w:rFonts w:ascii="Arial" w:cs="Arial" w:eastAsia="Arial" w:hAnsi="Arial"/>
                <w:sz w:val="14"/>
                <w:szCs w:val="14"/>
                <w:b w:val="1"/>
                <w:bCs w:val="1"/>
                <w:color w:val="auto"/>
              </w:rPr>
              <w:t>Non-GAAP Operating Income/Margin</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344,152</w:t>
            </w:r>
          </w:p>
        </w:tc>
        <w:tc>
          <w:tcPr>
            <w:tcW w:w="6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382,230</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213,947</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35%</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38.1%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27.8%</w:t>
            </w:r>
          </w:p>
        </w:tc>
        <w:tc>
          <w:tcPr>
            <w:tcW w:w="0" w:type="dxa"/>
            <w:vAlign w:val="bottom"/>
          </w:tcPr>
          <w:p>
            <w:pPr>
              <w:spacing w:after="0"/>
              <w:rPr>
                <w:sz w:val="1"/>
                <w:szCs w:val="1"/>
                <w:color w:val="auto"/>
              </w:rPr>
            </w:pPr>
          </w:p>
        </w:tc>
      </w:tr>
      <w:tr>
        <w:trPr>
          <w:trHeight w:val="339"/>
        </w:trPr>
        <w:tc>
          <w:tcPr>
            <w:tcW w:w="6700" w:type="dxa"/>
            <w:vAlign w:val="bottom"/>
          </w:tcPr>
          <w:p>
            <w:pPr>
              <w:spacing w:after="0"/>
              <w:rPr>
                <w:sz w:val="20"/>
                <w:szCs w:val="20"/>
                <w:color w:val="auto"/>
              </w:rPr>
            </w:pPr>
            <w:r>
              <w:rPr>
                <w:rFonts w:ascii="Arial" w:cs="Arial" w:eastAsia="Arial" w:hAnsi="Arial"/>
                <w:sz w:val="14"/>
                <w:szCs w:val="14"/>
                <w:b w:val="1"/>
                <w:bCs w:val="1"/>
                <w:color w:val="auto"/>
              </w:rPr>
              <w:t>GAAP Other Expense (Income)</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32,959</w:t>
            </w:r>
          </w:p>
        </w:tc>
        <w:tc>
          <w:tcPr>
            <w:tcW w:w="64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33,547</w:t>
            </w:r>
          </w:p>
        </w:tc>
        <w:tc>
          <w:tcPr>
            <w:tcW w:w="360" w:type="dxa"/>
            <w:vAlign w:val="bottom"/>
          </w:tcPr>
          <w:p>
            <w:pPr>
              <w:spacing w:after="0"/>
              <w:rPr>
                <w:sz w:val="24"/>
                <w:szCs w:val="24"/>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12,868</w:t>
            </w:r>
          </w:p>
        </w:tc>
        <w:tc>
          <w:tcPr>
            <w:tcW w:w="0" w:type="dxa"/>
            <w:vAlign w:val="bottom"/>
          </w:tcPr>
          <w:p>
            <w:pPr>
              <w:spacing w:after="0"/>
              <w:rPr>
                <w:sz w:val="1"/>
                <w:szCs w:val="1"/>
                <w:color w:val="auto"/>
              </w:rPr>
            </w:pPr>
          </w:p>
        </w:tc>
      </w:tr>
      <w:tr>
        <w:trPr>
          <w:trHeight w:val="176"/>
        </w:trPr>
        <w:tc>
          <w:tcPr>
            <w:tcW w:w="670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6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3.3%</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3.3%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1.7%</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Amortization of Deferred Financing Costs</w:t>
            </w:r>
          </w:p>
        </w:tc>
        <w:tc>
          <w:tcPr>
            <w:tcW w:w="260" w:type="dxa"/>
            <w:vAlign w:val="bottom"/>
          </w:tcPr>
          <w:p>
            <w:pPr>
              <w:spacing w:after="0"/>
              <w:rPr>
                <w:sz w:val="15"/>
                <w:szCs w:val="15"/>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(7,214)</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(13,665)</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700" w:type="dxa"/>
            <w:vAlign w:val="bottom"/>
          </w:tcPr>
          <w:p>
            <w:pPr>
              <w:ind w:left="4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(3,289)</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20"/>
                <w:szCs w:val="20"/>
                <w:color w:val="auto"/>
              </w:rPr>
            </w:pPr>
            <w:r>
              <w:rPr>
                <w:rFonts w:ascii="Arial" w:cs="Arial" w:eastAsia="Arial" w:hAnsi="Arial"/>
                <w:sz w:val="14"/>
                <w:szCs w:val="14"/>
                <w:b w:val="1"/>
                <w:bCs w:val="1"/>
                <w:color w:val="auto"/>
              </w:rPr>
              <w:t>Non-GAAP Other Expense</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25,745</w:t>
            </w:r>
          </w:p>
        </w:tc>
        <w:tc>
          <w:tcPr>
            <w:tcW w:w="6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19,882</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9,579</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2.6%</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2%</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1.2%</w:t>
            </w:r>
          </w:p>
        </w:tc>
        <w:tc>
          <w:tcPr>
            <w:tcW w:w="0" w:type="dxa"/>
            <w:vAlign w:val="bottom"/>
          </w:tcPr>
          <w:p>
            <w:pPr>
              <w:spacing w:after="0"/>
              <w:rPr>
                <w:sz w:val="1"/>
                <w:szCs w:val="1"/>
                <w:color w:val="auto"/>
              </w:rPr>
            </w:pPr>
          </w:p>
        </w:tc>
      </w:tr>
      <w:tr>
        <w:trPr>
          <w:trHeight w:val="339"/>
        </w:trPr>
        <w:tc>
          <w:tcPr>
            <w:tcW w:w="6700" w:type="dxa"/>
            <w:vAlign w:val="bottom"/>
          </w:tcPr>
          <w:p>
            <w:pPr>
              <w:spacing w:after="0"/>
              <w:rPr>
                <w:sz w:val="20"/>
                <w:szCs w:val="20"/>
                <w:color w:val="auto"/>
              </w:rPr>
            </w:pPr>
            <w:r>
              <w:rPr>
                <w:rFonts w:ascii="Arial" w:cs="Arial" w:eastAsia="Arial" w:hAnsi="Arial"/>
                <w:sz w:val="14"/>
                <w:szCs w:val="14"/>
                <w:b w:val="1"/>
                <w:bCs w:val="1"/>
                <w:color w:val="auto"/>
              </w:rPr>
              <w:t>GAAP Diluted EPS</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0.69</w:t>
            </w:r>
          </w:p>
        </w:tc>
        <w:tc>
          <w:tcPr>
            <w:tcW w:w="64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0.95</w:t>
            </w:r>
          </w:p>
        </w:tc>
        <w:tc>
          <w:tcPr>
            <w:tcW w:w="360" w:type="dxa"/>
            <w:vAlign w:val="bottom"/>
          </w:tcPr>
          <w:p>
            <w:pPr>
              <w:spacing w:after="0"/>
              <w:rPr>
                <w:sz w:val="24"/>
                <w:szCs w:val="24"/>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0.52</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Acquisition-Related Expenses</w:t>
            </w:r>
          </w:p>
        </w:tc>
        <w:tc>
          <w:tcPr>
            <w:tcW w:w="26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0.07</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0.06</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Acquisition-Related Transaction Costs</w:t>
            </w:r>
          </w:p>
        </w:tc>
        <w:tc>
          <w:tcPr>
            <w:tcW w:w="26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0.03</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0.02</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6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0.16</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Amortization of Deferred Financing Costs</w:t>
            </w:r>
          </w:p>
        </w:tc>
        <w:tc>
          <w:tcPr>
            <w:tcW w:w="26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0.02</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0.04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Income Tax Effect of Above Items</w:t>
            </w:r>
          </w:p>
        </w:tc>
        <w:tc>
          <w:tcPr>
            <w:tcW w:w="260" w:type="dxa"/>
            <w:vAlign w:val="bottom"/>
          </w:tcPr>
          <w:p>
            <w:pPr>
              <w:spacing w:after="0"/>
              <w:rPr>
                <w:sz w:val="15"/>
                <w:szCs w:val="15"/>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(0.03)</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(0.02)</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00" w:type="dxa"/>
            <w:vAlign w:val="bottom"/>
          </w:tcPr>
          <w:p>
            <w:pPr>
              <w:ind w:left="4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1"/>
        </w:trPr>
        <w:tc>
          <w:tcPr>
            <w:tcW w:w="6700" w:type="dxa"/>
            <w:vAlign w:val="bottom"/>
          </w:tcPr>
          <w:p>
            <w:pPr>
              <w:ind w:left="420"/>
              <w:spacing w:after="0"/>
              <w:rPr>
                <w:sz w:val="20"/>
                <w:szCs w:val="20"/>
                <w:color w:val="auto"/>
              </w:rPr>
            </w:pPr>
            <w:r>
              <w:rPr>
                <w:rFonts w:ascii="Arial" w:cs="Arial" w:eastAsia="Arial" w:hAnsi="Arial"/>
                <w:sz w:val="14"/>
                <w:szCs w:val="14"/>
                <w:color w:val="auto"/>
              </w:rPr>
              <w:t>Impact of the Reinstatement of the R&amp;D Tax Credit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20"/>
                <w:szCs w:val="20"/>
                <w:color w:val="auto"/>
              </w:rPr>
            </w:pPr>
            <w:r>
              <w:rPr>
                <w:rFonts w:ascii="Arial" w:cs="Arial" w:eastAsia="Arial" w:hAnsi="Arial"/>
                <w:sz w:val="14"/>
                <w:szCs w:val="14"/>
                <w:b w:val="1"/>
                <w:bCs w:val="1"/>
                <w:color w:val="auto"/>
              </w:rPr>
              <w:t>Non-GAAP Diluted EPS (1)</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0.94</w:t>
            </w:r>
          </w:p>
        </w:tc>
        <w:tc>
          <w:tcPr>
            <w:tcW w:w="6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1.05</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0.56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(1) The sum of the individual per share amounts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4100" w:type="dxa"/>
            <w:vAlign w:val="bottom"/>
            <w:gridSpan w:val="5"/>
          </w:tcPr>
          <w:p>
            <w:pPr>
              <w:jc w:val="center"/>
              <w:ind w:left="1008"/>
              <w:spacing w:after="0"/>
              <w:rPr>
                <w:sz w:val="20"/>
                <w:szCs w:val="20"/>
                <w:color w:val="auto"/>
              </w:rPr>
            </w:pPr>
            <w:r>
              <w:rPr>
                <w:rFonts w:ascii="Arial" w:cs="Arial" w:eastAsia="Arial" w:hAnsi="Arial"/>
                <w:sz w:val="14"/>
                <w:szCs w:val="14"/>
                <w:b w:val="1"/>
                <w:bCs w:val="1"/>
                <w:color w:val="auto"/>
                <w:w w:val="92"/>
              </w:rPr>
              <w:t>Analog Devices, First Quarter, Fiscal 2017</w:t>
            </w: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Schedule F</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120" w:type="dxa"/>
            <w:vAlign w:val="bottom"/>
          </w:tcPr>
          <w:p>
            <w:pPr>
              <w:spacing w:after="0"/>
              <w:rPr>
                <w:sz w:val="15"/>
                <w:szCs w:val="15"/>
                <w:color w:val="auto"/>
              </w:rPr>
            </w:pPr>
          </w:p>
        </w:tc>
        <w:tc>
          <w:tcPr>
            <w:tcW w:w="4620" w:type="dxa"/>
            <w:vAlign w:val="bottom"/>
            <w:gridSpan w:val="6"/>
          </w:tcPr>
          <w:p>
            <w:pPr>
              <w:jc w:val="center"/>
              <w:ind w:left="488"/>
              <w:spacing w:after="0"/>
              <w:rPr>
                <w:sz w:val="20"/>
                <w:szCs w:val="20"/>
                <w:color w:val="auto"/>
              </w:rPr>
            </w:pPr>
            <w:r>
              <w:rPr>
                <w:rFonts w:ascii="Arial" w:cs="Arial" w:eastAsia="Arial" w:hAnsi="Arial"/>
                <w:sz w:val="14"/>
                <w:szCs w:val="14"/>
                <w:b w:val="1"/>
                <w:bCs w:val="1"/>
                <w:color w:val="auto"/>
              </w:rPr>
              <w:t>SUPPLEMENTAL CASH FLOW MEASURES (Unaudited)</w:t>
            </w: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3140" w:type="dxa"/>
            <w:vAlign w:val="bottom"/>
            <w:gridSpan w:val="4"/>
          </w:tcPr>
          <w:p>
            <w:pPr>
              <w:jc w:val="center"/>
              <w:ind w:left="1968"/>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ind w:right="168"/>
              <w:spacing w:after="0" w:line="160" w:lineRule="exact"/>
              <w:rPr>
                <w:sz w:val="20"/>
                <w:szCs w:val="20"/>
                <w:color w:val="auto"/>
              </w:rPr>
            </w:pPr>
            <w:r>
              <w:rPr>
                <w:rFonts w:ascii="Arial" w:cs="Arial" w:eastAsia="Arial" w:hAnsi="Arial"/>
                <w:sz w:val="14"/>
                <w:szCs w:val="14"/>
                <w:b w:val="1"/>
                <w:bCs w:val="1"/>
                <w:color w:val="auto"/>
                <w:w w:val="94"/>
              </w:rPr>
              <w:t>1Q 17</w:t>
            </w: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center"/>
              <w:ind w:right="128"/>
              <w:spacing w:after="0" w:line="160" w:lineRule="exact"/>
              <w:rPr>
                <w:sz w:val="20"/>
                <w:szCs w:val="20"/>
                <w:color w:val="auto"/>
              </w:rPr>
            </w:pPr>
            <w:r>
              <w:rPr>
                <w:rFonts w:ascii="Arial" w:cs="Arial" w:eastAsia="Arial" w:hAnsi="Arial"/>
                <w:sz w:val="14"/>
                <w:szCs w:val="14"/>
                <w:b w:val="1"/>
                <w:bCs w:val="1"/>
                <w:color w:val="auto"/>
                <w:w w:val="99"/>
              </w:rPr>
              <w:t>4Q 16</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center"/>
              <w:ind w:right="128"/>
              <w:spacing w:after="0" w:line="160" w:lineRule="exact"/>
              <w:rPr>
                <w:sz w:val="20"/>
                <w:szCs w:val="20"/>
                <w:color w:val="auto"/>
              </w:rPr>
            </w:pPr>
            <w:r>
              <w:rPr>
                <w:rFonts w:ascii="Arial" w:cs="Arial" w:eastAsia="Arial" w:hAnsi="Arial"/>
                <w:sz w:val="14"/>
                <w:szCs w:val="14"/>
                <w:b w:val="1"/>
                <w:bCs w:val="1"/>
                <w:color w:val="auto"/>
                <w:w w:val="99"/>
              </w:rPr>
              <w:t>1Q 16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Jan. 28,</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Oct. 29,</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Jan. 30,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1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314,492</w:t>
            </w:r>
          </w:p>
        </w:tc>
        <w:tc>
          <w:tcPr>
            <w:tcW w:w="52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486,984</w:t>
            </w:r>
          </w:p>
        </w:tc>
        <w:tc>
          <w:tcPr>
            <w:tcW w:w="440" w:type="dxa"/>
            <w:vAlign w:val="bottom"/>
          </w:tcPr>
          <w:p>
            <w:pPr>
              <w:spacing w:after="0"/>
              <w:rPr>
                <w:sz w:val="14"/>
                <w:szCs w:val="14"/>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219,705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 of Revenue</w:t>
            </w:r>
          </w:p>
        </w:tc>
        <w:tc>
          <w:tcPr>
            <w:tcW w:w="2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4"/>
                <w:szCs w:val="14"/>
                <w:color w:val="auto"/>
              </w:rPr>
              <w:t>Capital expenditures</w:t>
            </w:r>
          </w:p>
        </w:tc>
        <w:tc>
          <w:tcPr>
            <w:tcW w:w="2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(28,337)</w:t>
            </w:r>
          </w:p>
        </w:tc>
        <w:tc>
          <w:tcPr>
            <w:tcW w:w="5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(41,224)</w:t>
            </w: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(23,128)</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20"/>
                <w:szCs w:val="20"/>
                <w:color w:val="auto"/>
              </w:rPr>
            </w:pPr>
            <w:r>
              <w:rPr>
                <w:rFonts w:ascii="Arial" w:cs="Arial" w:eastAsia="Arial" w:hAnsi="Arial"/>
                <w:sz w:val="14"/>
                <w:szCs w:val="14"/>
                <w:color w:val="auto"/>
              </w:rPr>
              <w:t>Free cash flow</w:t>
            </w:r>
          </w:p>
        </w:tc>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286,155</w:t>
            </w: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445,760</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196,577</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4"/>
                <w:szCs w:val="14"/>
                <w:color w:val="auto"/>
              </w:rPr>
              <w:t>% of revenue</w:t>
            </w:r>
          </w:p>
        </w:tc>
        <w:tc>
          <w:tcPr>
            <w:tcW w:w="2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29.1</w:t>
            </w:r>
          </w:p>
        </w:tc>
        <w:tc>
          <w:tcPr>
            <w:tcW w:w="5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44.4</w:t>
            </w:r>
          </w:p>
        </w:tc>
        <w:tc>
          <w:tcPr>
            <w:tcW w:w="4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Mr. Ali Husain, 781-461-3282</w:t>
      </w:r>
    </w:p>
    <w:p>
      <w:pPr>
        <w:spacing w:after="0" w:line="231" w:lineRule="auto"/>
        <w:rPr>
          <w:sz w:val="20"/>
          <w:szCs w:val="20"/>
          <w:color w:val="auto"/>
        </w:rPr>
      </w:pPr>
      <w:r>
        <w:rPr>
          <w:rFonts w:ascii="Arial" w:cs="Arial" w:eastAsia="Arial" w:hAnsi="Arial"/>
          <w:sz w:val="22"/>
          <w:szCs w:val="22"/>
          <w:color w:val="auto"/>
        </w:rPr>
        <w:t>781-461-3491 (fax)</w:t>
      </w:r>
    </w:p>
    <w:p>
      <w:pPr>
        <w:spacing w:after="0" w:line="231" w:lineRule="auto"/>
        <w:rPr>
          <w:sz w:val="20"/>
          <w:szCs w:val="20"/>
          <w:color w:val="auto"/>
        </w:rPr>
      </w:pPr>
      <w:r>
        <w:rPr>
          <w:rFonts w:ascii="Arial" w:cs="Arial" w:eastAsia="Arial" w:hAnsi="Arial"/>
          <w:sz w:val="22"/>
          <w:szCs w:val="22"/>
          <w:color w:val="auto"/>
        </w:rPr>
        <w:t>Treasurer and Director of Investor Relations</w:t>
      </w:r>
    </w:p>
    <w:p>
      <w:pPr>
        <w:spacing w:after="0"/>
        <w:rPr>
          <w:sz w:val="20"/>
          <w:szCs w:val="20"/>
          <w:color w:val="auto"/>
        </w:rPr>
      </w:pPr>
      <w:r>
        <w:rPr>
          <w:rFonts w:ascii="Arial" w:cs="Arial" w:eastAsia="Arial" w:hAnsi="Arial"/>
          <w:sz w:val="22"/>
          <w:szCs w:val="22"/>
          <w:u w:val="single" w:color="auto"/>
          <w:color w:val="auto"/>
        </w:rPr>
        <w:t>investor.relations@analog.com</w:t>
      </w:r>
    </w:p>
    <w:p>
      <w:pPr>
        <w:sectPr>
          <w:pgSz w:w="11900" w:h="16838" w:orient="portrait"/>
          <w:cols w:equalWidth="0" w:num="1">
            <w:col w:w="11420"/>
          </w:cols>
          <w:pgMar w:left="240" w:top="306" w:right="239" w:bottom="1440" w:gutter="0" w:footer="0" w:header="0"/>
        </w:sectPr>
      </w:pPr>
    </w:p>
    <w:bookmarkStart w:id="16" w:name="page17"/>
    <w:bookmarkEnd w:id="16"/>
    <w:p>
      <w:pPr>
        <w:ind w:left="10300"/>
        <w:spacing w:after="0"/>
        <w:rPr>
          <w:sz w:val="20"/>
          <w:szCs w:val="20"/>
          <w:color w:val="auto"/>
        </w:rPr>
      </w:pPr>
      <w:r>
        <w:rPr>
          <w:rFonts w:ascii="Arial" w:cs="Arial" w:eastAsia="Arial" w:hAnsi="Arial"/>
          <w:sz w:val="19"/>
          <w:szCs w:val="19"/>
          <w:b w:val="1"/>
          <w:bCs w:val="1"/>
          <w:color w:val="auto"/>
        </w:rPr>
        <w:t>Exhibit 99.2</w:t>
      </w:r>
    </w:p>
    <w:p>
      <w:pPr>
        <w:spacing w:after="0" w:line="241"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Analog Devices Announces 7 Percent Increase in Quarterly Cash Dividend to $0.45 Per Share; Represents Annual Dividend of $1.80 Per Share</w:t>
      </w:r>
    </w:p>
    <w:p>
      <w:pPr>
        <w:spacing w:after="0" w:line="169" w:lineRule="exact"/>
        <w:rPr>
          <w:sz w:val="20"/>
          <w:szCs w:val="20"/>
          <w:color w:val="auto"/>
        </w:rPr>
      </w:pPr>
    </w:p>
    <w:p>
      <w:pPr>
        <w:ind w:right="300"/>
        <w:spacing w:after="0" w:line="279" w:lineRule="auto"/>
        <w:rPr>
          <w:sz w:val="20"/>
          <w:szCs w:val="20"/>
          <w:color w:val="auto"/>
        </w:rPr>
      </w:pPr>
      <w:r>
        <w:rPr>
          <w:rFonts w:ascii="Arial" w:cs="Arial" w:eastAsia="Arial" w:hAnsi="Arial"/>
          <w:sz w:val="19"/>
          <w:szCs w:val="19"/>
          <w:color w:val="auto"/>
        </w:rPr>
        <w:t>NORWOOD, Mass.--(BUSINESS WIRE)--February 14, 2017--Analog Devices, Inc. (NASDAQ: ADI) today announced that its Board of Directors has voted to increase its quarterly dividend to $0.45 from $0.42 per outstanding share of common stock. The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new dividend rate represents an increase of 7 percent, marking the Company’s 14</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dividend increase in the last 13 years.</w:t>
      </w:r>
    </w:p>
    <w:p>
      <w:pPr>
        <w:spacing w:after="0" w:line="88"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“ADI’s dividend program is a foundational component of our shareholder value creation strategy and highlights the stellar cash generation capabilities of our franchise,” said Vincent Roche, President and CEO. “We are proud of our 13 year history of being a dividend paying company, one of the longest records in our industry.”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Since the first dividend was paid in December 2003, the Company has returned a total of $4 billion in dividends to shareholders.</w:t>
      </w:r>
    </w:p>
    <w:p>
      <w:pPr>
        <w:spacing w:after="0" w:line="241"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increase is effective with the dividend payable on March 7, 2017 to shareholders of record as of the close of business on February 24, 2017. The payment of any future quarterly dividends, or a future increase in the quarterly dividend amount, will be at the discretion of the Board and will be dependent upon ADI's financial position, results of operations, outlook, liquidity, and other factors deemed relevant by the Board.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Analog Devices</w:t>
      </w:r>
    </w:p>
    <w:p>
      <w:pPr>
        <w:spacing w:after="0" w:line="14" w:lineRule="exact"/>
        <w:rPr>
          <w:sz w:val="20"/>
          <w:szCs w:val="20"/>
          <w:color w:val="auto"/>
        </w:rPr>
      </w:pPr>
    </w:p>
    <w:p>
      <w:pPr>
        <w:ind w:right="240"/>
        <w:spacing w:after="0" w:line="234" w:lineRule="auto"/>
        <w:rPr>
          <w:sz w:val="20"/>
          <w:szCs w:val="20"/>
          <w:color w:val="auto"/>
        </w:rPr>
      </w:pPr>
      <w:r>
        <w:rPr>
          <w:rFonts w:ascii="Arial" w:cs="Arial" w:eastAsia="Arial" w:hAnsi="Arial"/>
          <w:sz w:val="22"/>
          <w:szCs w:val="22"/>
          <w:color w:val="auto"/>
        </w:rPr>
        <w:t xml:space="preserve">Analog Devices designs and manufactures semiconductor products and solutions. We enable our customers to interpret the world around us by intelligently bridging the physical and digital with unmatched technologies that sense, measure and connect. Visit </w:t>
      </w:r>
      <w:r>
        <w:rPr>
          <w:rFonts w:ascii="Arial" w:cs="Arial" w:eastAsia="Arial" w:hAnsi="Arial"/>
          <w:sz w:val="22"/>
          <w:szCs w:val="22"/>
          <w:u w:val="single" w:color="auto"/>
          <w:color w:val="auto"/>
        </w:rPr>
        <w:t>http://www.analog.com</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Mr. Ali Husain, 781-461-3282</w:t>
      </w:r>
    </w:p>
    <w:p>
      <w:pPr>
        <w:spacing w:after="0" w:line="231" w:lineRule="auto"/>
        <w:rPr>
          <w:sz w:val="20"/>
          <w:szCs w:val="20"/>
          <w:color w:val="auto"/>
        </w:rPr>
      </w:pPr>
      <w:r>
        <w:rPr>
          <w:rFonts w:ascii="Arial" w:cs="Arial" w:eastAsia="Arial" w:hAnsi="Arial"/>
          <w:sz w:val="22"/>
          <w:szCs w:val="22"/>
          <w:color w:val="auto"/>
        </w:rPr>
        <w:t>781-461-3491 (fax)</w:t>
      </w:r>
    </w:p>
    <w:p>
      <w:pPr>
        <w:spacing w:after="0" w:line="231" w:lineRule="auto"/>
        <w:rPr>
          <w:sz w:val="20"/>
          <w:szCs w:val="20"/>
          <w:color w:val="auto"/>
        </w:rPr>
      </w:pPr>
      <w:r>
        <w:rPr>
          <w:rFonts w:ascii="Arial" w:cs="Arial" w:eastAsia="Arial" w:hAnsi="Arial"/>
          <w:sz w:val="22"/>
          <w:szCs w:val="22"/>
          <w:color w:val="auto"/>
        </w:rPr>
        <w:t>Treasurer and Director of Investor Relations</w:t>
      </w:r>
    </w:p>
    <w:p>
      <w:pPr>
        <w:spacing w:after="0"/>
        <w:rPr>
          <w:sz w:val="20"/>
          <w:szCs w:val="20"/>
          <w:color w:val="auto"/>
        </w:rPr>
      </w:pPr>
      <w:r>
        <w:rPr>
          <w:rFonts w:ascii="Arial" w:cs="Arial" w:eastAsia="Arial" w:hAnsi="Arial"/>
          <w:sz w:val="22"/>
          <w:szCs w:val="22"/>
          <w:u w:val="single" w:color="auto"/>
          <w:color w:val="auto"/>
        </w:rPr>
        <w:t>investor.relations@analog.com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2019-12-05T01:31:01Z</dcterms:created>
  <dcterms:modified xsi:type="dcterms:W3CDTF">2019-12-05T01:31:01Z</dcterms:modified>
</cp:coreProperties>
</file>