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3586686.xml.htm"/>
      <w:bookmarkStart w:id="1" w:name="kswkform4_176358668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Jain Vivek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ANALOG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ANALOG DEVICES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Global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11/17/2025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78"/>
        <w:gridCol w:w="899"/>
        <w:gridCol w:w="771"/>
        <w:gridCol w:w="597"/>
        <w:gridCol w:w="337"/>
        <w:gridCol w:w="1178"/>
        <w:gridCol w:w="423"/>
        <w:gridCol w:w="829"/>
        <w:gridCol w:w="1330"/>
        <w:gridCol w:w="958"/>
        <w:gridCol w:w="90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11/17/2025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1,162.862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229.94</w:t>
            </w:r>
            <w:r>
              <w:rPr/>
              <w:t xml:space="preserve"> </w:t>
            </w:r>
          </w:p>
        </w:tc>
        <w:tc>
          <w:tcPr>
            <w:tcW w:w="13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44,818.124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satisfy tax withholding obligations on 2,290 Restricted Stock Units that vested on November 17,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Shaw, General Counsel,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11/19/2025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5733" TargetMode="External"/><Relationship Id="rId5" Type="http://schemas.openxmlformats.org/officeDocument/2006/relationships/hyperlink" Target="http://www.sec.gov/cgi-bin/browse-edgar?action=getcompany&amp;CIK=000000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3198</Characters>
  <CharactersWithSpaces>3725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