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357505</wp:posOffset>
            </wp:positionH>
            <wp:positionV relativeFrom="page">
              <wp:posOffset>139065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(Mark One)</w:t>
      </w:r>
    </w:p>
    <w:p>
      <w:pPr>
        <w:spacing w:after="0" w:line="13" w:lineRule="exact"/>
        <w:rPr>
          <w:sz w:val="24"/>
          <w:szCs w:val="24"/>
          <w:color w:val="auto"/>
        </w:rPr>
      </w:pPr>
    </w:p>
    <w:p>
      <w:pPr>
        <w:ind w:left="4560" w:right="4400" w:hanging="4217"/>
        <w:spacing w:after="0" w:line="275" w:lineRule="auto"/>
        <w:tabs>
          <w:tab w:leader="none" w:pos="671"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October 29, 2011</w:t>
      </w:r>
    </w:p>
    <w:p>
      <w:pPr>
        <w:ind w:left="5640"/>
        <w:spacing w:after="0"/>
        <w:rPr>
          <w:rFonts w:ascii="MS PGothic" w:cs="MS PGothic" w:eastAsia="MS PGothic" w:hAnsi="MS PGothic"/>
          <w:sz w:val="12"/>
          <w:szCs w:val="12"/>
          <w:color w:val="auto"/>
        </w:rPr>
      </w:pPr>
      <w:r>
        <w:rPr>
          <w:rFonts w:ascii="Arial" w:cs="Arial" w:eastAsia="Arial" w:hAnsi="Arial"/>
          <w:sz w:val="13"/>
          <w:szCs w:val="13"/>
          <w:b w:val="1"/>
          <w:bCs w:val="1"/>
          <w:color w:val="auto"/>
        </w:rPr>
        <w:t>OR</w:t>
      </w:r>
    </w:p>
    <w:p>
      <w:pPr>
        <w:spacing w:after="0" w:line="8" w:lineRule="exact"/>
        <w:rPr>
          <w:sz w:val="24"/>
          <w:szCs w:val="24"/>
          <w:color w:val="auto"/>
        </w:rPr>
      </w:pPr>
    </w:p>
    <w:p>
      <w:pPr>
        <w:ind w:left="660" w:hanging="317"/>
        <w:spacing w:after="0"/>
        <w:tabs>
          <w:tab w:leader="none" w:pos="66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8" w:lineRule="exact"/>
        <w:rPr>
          <w:sz w:val="24"/>
          <w:szCs w:val="24"/>
          <w:color w:val="auto"/>
        </w:rPr>
      </w:pPr>
    </w:p>
    <w:tbl>
      <w:tblPr>
        <w:tblLayout w:type="fixed"/>
        <w:tblInd w:w="660" w:type="dxa"/>
        <w:tblCellMar>
          <w:top w:w="0" w:type="dxa"/>
          <w:left w:w="0" w:type="dxa"/>
          <w:bottom w:w="0" w:type="dxa"/>
          <w:right w:w="0" w:type="dxa"/>
        </w:tblCellMar>
      </w:tblPr>
      <w:tr>
        <w:trPr>
          <w:trHeight w:val="169"/>
        </w:trPr>
        <w:tc>
          <w:tcPr>
            <w:tcW w:w="6040" w:type="dxa"/>
            <w:vAlign w:val="bottom"/>
            <w:gridSpan w:val="3"/>
          </w:tcPr>
          <w:p>
            <w:pPr>
              <w:ind w:left="4000"/>
              <w:spacing w:after="0"/>
              <w:rPr>
                <w:sz w:val="20"/>
                <w:szCs w:val="20"/>
                <w:color w:val="auto"/>
              </w:rPr>
            </w:pPr>
            <w:r>
              <w:rPr>
                <w:rFonts w:ascii="Arial" w:cs="Arial" w:eastAsia="Arial" w:hAnsi="Arial"/>
                <w:sz w:val="13"/>
                <w:szCs w:val="13"/>
                <w:b w:val="1"/>
                <w:bCs w:val="1"/>
                <w:color w:val="auto"/>
              </w:rPr>
              <w:t>For the transition period from</w:t>
            </w:r>
          </w:p>
        </w:tc>
        <w:tc>
          <w:tcPr>
            <w:tcW w:w="680" w:type="dxa"/>
            <w:vAlign w:val="bottom"/>
          </w:tcPr>
          <w:p>
            <w:pPr>
              <w:spacing w:after="0"/>
              <w:rPr>
                <w:sz w:val="20"/>
                <w:szCs w:val="20"/>
                <w:color w:val="auto"/>
              </w:rPr>
            </w:pPr>
            <w:r>
              <w:rPr>
                <w:rFonts w:ascii="Arial" w:cs="Arial" w:eastAsia="Arial" w:hAnsi="Arial"/>
                <w:sz w:val="13"/>
                <w:szCs w:val="13"/>
                <w:b w:val="1"/>
                <w:bCs w:val="1"/>
                <w:color w:val="auto"/>
              </w:rPr>
              <w:t>to</w:t>
            </w:r>
          </w:p>
        </w:tc>
        <w:tc>
          <w:tcPr>
            <w:tcW w:w="2060" w:type="dxa"/>
            <w:vAlign w:val="bottom"/>
          </w:tcPr>
          <w:p>
            <w:pPr>
              <w:spacing w:after="0"/>
              <w:rPr>
                <w:sz w:val="14"/>
                <w:szCs w:val="14"/>
                <w:color w:val="auto"/>
              </w:rPr>
            </w:pPr>
          </w:p>
        </w:tc>
      </w:tr>
      <w:tr>
        <w:trPr>
          <w:trHeight w:val="155"/>
        </w:trPr>
        <w:tc>
          <w:tcPr>
            <w:tcW w:w="4260" w:type="dxa"/>
            <w:vAlign w:val="bottom"/>
          </w:tcPr>
          <w:p>
            <w:pPr>
              <w:spacing w:after="0"/>
              <w:rPr>
                <w:sz w:val="13"/>
                <w:szCs w:val="13"/>
                <w:color w:val="auto"/>
              </w:rPr>
            </w:pPr>
          </w:p>
        </w:tc>
        <w:tc>
          <w:tcPr>
            <w:tcW w:w="1780" w:type="dxa"/>
            <w:vAlign w:val="bottom"/>
            <w:gridSpan w:val="2"/>
          </w:tcPr>
          <w:p>
            <w:pPr>
              <w:jc w:val="center"/>
              <w:ind w:left="119"/>
              <w:spacing w:after="0"/>
              <w:rPr>
                <w:sz w:val="20"/>
                <w:szCs w:val="20"/>
                <w:color w:val="auto"/>
              </w:rPr>
            </w:pPr>
            <w:r>
              <w:rPr>
                <w:rFonts w:ascii="Arial" w:cs="Arial" w:eastAsia="Arial" w:hAnsi="Arial"/>
                <w:sz w:val="13"/>
                <w:szCs w:val="13"/>
                <w:b w:val="1"/>
                <w:bCs w:val="1"/>
                <w:color w:val="auto"/>
                <w:w w:val="90"/>
              </w:rPr>
              <w:t>Commission File No. 1-7819</w:t>
            </w:r>
          </w:p>
        </w:tc>
        <w:tc>
          <w:tcPr>
            <w:tcW w:w="6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382"/>
        </w:trPr>
        <w:tc>
          <w:tcPr>
            <w:tcW w:w="6720" w:type="dxa"/>
            <w:vAlign w:val="bottom"/>
            <w:gridSpan w:val="4"/>
          </w:tcPr>
          <w:p>
            <w:pPr>
              <w:jc w:val="center"/>
              <w:ind w:left="3694"/>
              <w:spacing w:after="0"/>
              <w:rPr>
                <w:sz w:val="20"/>
                <w:szCs w:val="20"/>
                <w:color w:val="auto"/>
              </w:rPr>
            </w:pPr>
            <w:r>
              <w:rPr>
                <w:rFonts w:ascii="Arial" w:cs="Arial" w:eastAsia="Arial" w:hAnsi="Arial"/>
                <w:sz w:val="31"/>
                <w:szCs w:val="31"/>
                <w:b w:val="1"/>
                <w:bCs w:val="1"/>
                <w:color w:val="auto"/>
                <w:w w:val="90"/>
              </w:rPr>
              <w:t>Analog Devices, Inc.</w:t>
            </w:r>
          </w:p>
        </w:tc>
        <w:tc>
          <w:tcPr>
            <w:tcW w:w="2060" w:type="dxa"/>
            <w:vAlign w:val="bottom"/>
          </w:tcPr>
          <w:p>
            <w:pPr>
              <w:spacing w:after="0"/>
              <w:rPr>
                <w:sz w:val="24"/>
                <w:szCs w:val="24"/>
                <w:color w:val="auto"/>
              </w:rPr>
            </w:pPr>
          </w:p>
        </w:tc>
      </w:tr>
      <w:tr>
        <w:trPr>
          <w:trHeight w:val="131"/>
        </w:trPr>
        <w:tc>
          <w:tcPr>
            <w:tcW w:w="6720" w:type="dxa"/>
            <w:vAlign w:val="bottom"/>
            <w:gridSpan w:val="4"/>
          </w:tcPr>
          <w:p>
            <w:pPr>
              <w:jc w:val="center"/>
              <w:ind w:left="3694"/>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c>
          <w:tcPr>
            <w:tcW w:w="2060" w:type="dxa"/>
            <w:vAlign w:val="bottom"/>
          </w:tcPr>
          <w:p>
            <w:pPr>
              <w:spacing w:after="0"/>
              <w:rPr>
                <w:sz w:val="11"/>
                <w:szCs w:val="11"/>
                <w:color w:val="auto"/>
              </w:rPr>
            </w:pPr>
          </w:p>
        </w:tc>
      </w:tr>
      <w:tr>
        <w:trPr>
          <w:trHeight w:val="173"/>
        </w:trPr>
        <w:tc>
          <w:tcPr>
            <w:tcW w:w="60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5"/>
              </w:rPr>
              <w:t>Massachusetts</w:t>
            </w:r>
          </w:p>
        </w:tc>
        <w:tc>
          <w:tcPr>
            <w:tcW w:w="680" w:type="dxa"/>
            <w:vAlign w:val="bottom"/>
          </w:tcPr>
          <w:p>
            <w:pPr>
              <w:spacing w:after="0"/>
              <w:rPr>
                <w:sz w:val="15"/>
                <w:szCs w:val="15"/>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04-2348234</w:t>
            </w:r>
          </w:p>
        </w:tc>
      </w:tr>
      <w:tr>
        <w:trPr>
          <w:trHeight w:val="131"/>
        </w:trPr>
        <w:tc>
          <w:tcPr>
            <w:tcW w:w="6040" w:type="dxa"/>
            <w:vAlign w:val="bottom"/>
            <w:gridSpan w:val="3"/>
          </w:tcPr>
          <w:p>
            <w:pPr>
              <w:jc w:val="center"/>
              <w:ind w:right="1260"/>
              <w:spacing w:after="0"/>
              <w:rPr>
                <w:sz w:val="20"/>
                <w:szCs w:val="20"/>
                <w:color w:val="auto"/>
              </w:rPr>
            </w:pPr>
            <w:r>
              <w:rPr>
                <w:rFonts w:ascii="Arial" w:cs="Arial" w:eastAsia="Arial" w:hAnsi="Arial"/>
                <w:sz w:val="10"/>
                <w:szCs w:val="10"/>
                <w:i w:val="1"/>
                <w:iCs w:val="1"/>
                <w:color w:val="auto"/>
                <w:w w:val="97"/>
              </w:rPr>
              <w:t>(State or other jurisdiction of</w:t>
            </w:r>
          </w:p>
        </w:tc>
        <w:tc>
          <w:tcPr>
            <w:tcW w:w="680" w:type="dxa"/>
            <w:vAlign w:val="bottom"/>
          </w:tcPr>
          <w:p>
            <w:pPr>
              <w:spacing w:after="0"/>
              <w:rPr>
                <w:sz w:val="11"/>
                <w:szCs w:val="11"/>
                <w:color w:val="auto"/>
              </w:rPr>
            </w:pPr>
          </w:p>
        </w:tc>
        <w:tc>
          <w:tcPr>
            <w:tcW w:w="2060" w:type="dxa"/>
            <w:vAlign w:val="bottom"/>
          </w:tcPr>
          <w:p>
            <w:pPr>
              <w:jc w:val="center"/>
              <w:ind w:left="100"/>
              <w:spacing w:after="0"/>
              <w:rPr>
                <w:sz w:val="20"/>
                <w:szCs w:val="20"/>
                <w:color w:val="auto"/>
              </w:rPr>
            </w:pPr>
            <w:r>
              <w:rPr>
                <w:rFonts w:ascii="Arial" w:cs="Arial" w:eastAsia="Arial" w:hAnsi="Arial"/>
                <w:sz w:val="10"/>
                <w:szCs w:val="10"/>
                <w:i w:val="1"/>
                <w:iCs w:val="1"/>
                <w:color w:val="auto"/>
                <w:w w:val="95"/>
              </w:rPr>
              <w:t>(I.R.S. Employer</w:t>
            </w:r>
          </w:p>
        </w:tc>
      </w:tr>
      <w:tr>
        <w:trPr>
          <w:trHeight w:val="157"/>
        </w:trPr>
        <w:tc>
          <w:tcPr>
            <w:tcW w:w="6040" w:type="dxa"/>
            <w:vAlign w:val="bottom"/>
            <w:gridSpan w:val="3"/>
          </w:tcPr>
          <w:p>
            <w:pPr>
              <w:jc w:val="center"/>
              <w:ind w:right="1260"/>
              <w:spacing w:after="0"/>
              <w:rPr>
                <w:sz w:val="20"/>
                <w:szCs w:val="20"/>
                <w:color w:val="auto"/>
              </w:rPr>
            </w:pPr>
            <w:r>
              <w:rPr>
                <w:rFonts w:ascii="Arial" w:cs="Arial" w:eastAsia="Arial" w:hAnsi="Arial"/>
                <w:sz w:val="10"/>
                <w:szCs w:val="10"/>
                <w:i w:val="1"/>
                <w:iCs w:val="1"/>
                <w:color w:val="auto"/>
                <w:w w:val="99"/>
              </w:rPr>
              <w:t>incorporation or organization)</w:t>
            </w:r>
          </w:p>
        </w:tc>
        <w:tc>
          <w:tcPr>
            <w:tcW w:w="680" w:type="dxa"/>
            <w:vAlign w:val="bottom"/>
          </w:tcPr>
          <w:p>
            <w:pPr>
              <w:spacing w:after="0"/>
              <w:rPr>
                <w:sz w:val="13"/>
                <w:szCs w:val="13"/>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7"/>
              </w:rPr>
              <w:t>Identification No.)</w:t>
            </w:r>
          </w:p>
        </w:tc>
      </w:tr>
      <w:tr>
        <w:trPr>
          <w:trHeight w:val="262"/>
        </w:trPr>
        <w:tc>
          <w:tcPr>
            <w:tcW w:w="60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1"/>
              </w:rPr>
              <w:t>One Technology Way, Norwood, MA</w:t>
            </w:r>
          </w:p>
        </w:tc>
        <w:tc>
          <w:tcPr>
            <w:tcW w:w="680" w:type="dxa"/>
            <w:vAlign w:val="bottom"/>
          </w:tcPr>
          <w:p>
            <w:pPr>
              <w:spacing w:after="0"/>
              <w:rPr>
                <w:sz w:val="22"/>
                <w:szCs w:val="22"/>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2"/>
              </w:rPr>
              <w:t>02062-9106</w:t>
            </w:r>
          </w:p>
        </w:tc>
      </w:tr>
      <w:tr>
        <w:trPr>
          <w:trHeight w:val="131"/>
        </w:trPr>
        <w:tc>
          <w:tcPr>
            <w:tcW w:w="6040" w:type="dxa"/>
            <w:vAlign w:val="bottom"/>
            <w:gridSpan w:val="3"/>
          </w:tcPr>
          <w:p>
            <w:pPr>
              <w:jc w:val="center"/>
              <w:ind w:right="128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68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(Zip Code)</w:t>
            </w:r>
          </w:p>
        </w:tc>
      </w:tr>
      <w:tr>
        <w:trPr>
          <w:trHeight w:val="429"/>
        </w:trPr>
        <w:tc>
          <w:tcPr>
            <w:tcW w:w="5880" w:type="dxa"/>
            <w:vAlign w:val="bottom"/>
            <w:gridSpan w:val="2"/>
          </w:tcPr>
          <w:p>
            <w:pPr>
              <w:jc w:val="center"/>
              <w:ind w:left="4194"/>
              <w:spacing w:after="0"/>
              <w:rPr>
                <w:sz w:val="20"/>
                <w:szCs w:val="20"/>
                <w:color w:val="auto"/>
              </w:rPr>
            </w:pPr>
            <w:r>
              <w:rPr>
                <w:rFonts w:ascii="Arial" w:cs="Arial" w:eastAsia="Arial" w:hAnsi="Arial"/>
                <w:sz w:val="13"/>
                <w:szCs w:val="13"/>
                <w:b w:val="1"/>
                <w:bCs w:val="1"/>
                <w:color w:val="auto"/>
                <w:w w:val="92"/>
              </w:rPr>
              <w:t>(781) 329-4700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31"/>
        </w:trPr>
        <w:tc>
          <w:tcPr>
            <w:tcW w:w="6720" w:type="dxa"/>
            <w:vAlign w:val="bottom"/>
            <w:gridSpan w:val="4"/>
          </w:tcPr>
          <w:p>
            <w:pPr>
              <w:jc w:val="center"/>
              <w:ind w:left="3354"/>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2060" w:type="dxa"/>
            <w:vAlign w:val="bottom"/>
          </w:tcPr>
          <w:p>
            <w:pPr>
              <w:spacing w:after="0"/>
              <w:rPr>
                <w:sz w:val="11"/>
                <w:szCs w:val="11"/>
                <w:color w:val="auto"/>
              </w:rPr>
            </w:pPr>
          </w:p>
        </w:tc>
      </w:tr>
      <w:tr>
        <w:trPr>
          <w:trHeight w:val="88"/>
        </w:trPr>
        <w:tc>
          <w:tcPr>
            <w:tcW w:w="426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40" w:type="dxa"/>
            <w:vAlign w:val="bottom"/>
            <w:gridSpan w:val="2"/>
          </w:tcPr>
          <w:p>
            <w:pPr>
              <w:spacing w:after="0"/>
              <w:rPr>
                <w:sz w:val="7"/>
                <w:szCs w:val="7"/>
                <w:color w:val="auto"/>
              </w:rPr>
            </w:pPr>
          </w:p>
        </w:tc>
        <w:tc>
          <w:tcPr>
            <w:tcW w:w="2060" w:type="dxa"/>
            <w:vAlign w:val="bottom"/>
          </w:tcPr>
          <w:p>
            <w:pPr>
              <w:spacing w:after="0"/>
              <w:rPr>
                <w:sz w:val="7"/>
                <w:szCs w:val="7"/>
                <w:color w:val="auto"/>
              </w:rPr>
            </w:pPr>
          </w:p>
        </w:tc>
      </w:tr>
      <w:tr>
        <w:trPr>
          <w:trHeight w:val="234"/>
        </w:trPr>
        <w:tc>
          <w:tcPr>
            <w:tcW w:w="6720" w:type="dxa"/>
            <w:vAlign w:val="bottom"/>
            <w:gridSpan w:val="4"/>
          </w:tcPr>
          <w:p>
            <w:pPr>
              <w:jc w:val="center"/>
              <w:ind w:left="337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2060" w:type="dxa"/>
            <w:vAlign w:val="bottom"/>
          </w:tcPr>
          <w:p>
            <w:pPr>
              <w:spacing w:after="0"/>
              <w:rPr>
                <w:sz w:val="20"/>
                <w:szCs w:val="20"/>
                <w:color w:val="auto"/>
              </w:rPr>
            </w:pPr>
          </w:p>
        </w:tc>
      </w:tr>
      <w:tr>
        <w:trPr>
          <w:trHeight w:val="205"/>
        </w:trPr>
        <w:tc>
          <w:tcPr>
            <w:tcW w:w="6040" w:type="dxa"/>
            <w:vAlign w:val="bottom"/>
            <w:gridSpan w:val="3"/>
          </w:tcPr>
          <w:p>
            <w:pPr>
              <w:jc w:val="center"/>
              <w:ind w:right="1260"/>
              <w:spacing w:after="0" w:line="205" w:lineRule="exact"/>
              <w:rPr>
                <w:sz w:val="20"/>
                <w:szCs w:val="20"/>
                <w:color w:val="auto"/>
              </w:rPr>
            </w:pPr>
            <w:r>
              <w:rPr>
                <w:rFonts w:ascii="Arial" w:cs="Arial" w:eastAsia="Arial" w:hAnsi="Arial"/>
                <w:sz w:val="13"/>
                <w:szCs w:val="13"/>
                <w:b w:val="1"/>
                <w:bCs w:val="1"/>
                <w:color w:val="auto"/>
                <w:w w:val="90"/>
              </w:rPr>
              <w:t>Common Stock $0.16</w:t>
            </w:r>
            <w:r>
              <w:rPr>
                <w:rFonts w:ascii="Arial" w:cs="Arial" w:eastAsia="Arial" w:hAnsi="Arial"/>
                <w:sz w:val="18"/>
                <w:szCs w:val="18"/>
                <w:b w:val="1"/>
                <w:bCs w:val="1"/>
                <w:color w:val="auto"/>
                <w:w w:val="90"/>
                <w:vertAlign w:val="superscript"/>
              </w:rPr>
              <w:t>2</w:t>
            </w:r>
            <w:r>
              <w:rPr>
                <w:rFonts w:ascii="Arial" w:cs="Arial" w:eastAsia="Arial" w:hAnsi="Arial"/>
                <w:sz w:val="13"/>
                <w:szCs w:val="13"/>
                <w:b w:val="1"/>
                <w:bCs w:val="1"/>
                <w:color w:val="auto"/>
                <w:w w:val="90"/>
              </w:rPr>
              <w:t>/</w:t>
            </w:r>
            <w:r>
              <w:rPr>
                <w:rFonts w:ascii="Arial" w:cs="Arial" w:eastAsia="Arial" w:hAnsi="Arial"/>
                <w:sz w:val="9"/>
                <w:szCs w:val="9"/>
                <w:b w:val="1"/>
                <w:bCs w:val="1"/>
                <w:color w:val="auto"/>
                <w:w w:val="90"/>
              </w:rPr>
              <w:t>3</w:t>
            </w:r>
            <w:r>
              <w:rPr>
                <w:rFonts w:ascii="Arial" w:cs="Arial" w:eastAsia="Arial" w:hAnsi="Arial"/>
                <w:sz w:val="13"/>
                <w:szCs w:val="13"/>
                <w:b w:val="1"/>
                <w:bCs w:val="1"/>
                <w:color w:val="auto"/>
                <w:w w:val="90"/>
              </w:rPr>
              <w:t xml:space="preserve"> Par Value</w:t>
            </w:r>
          </w:p>
        </w:tc>
        <w:tc>
          <w:tcPr>
            <w:tcW w:w="680" w:type="dxa"/>
            <w:vAlign w:val="bottom"/>
          </w:tcPr>
          <w:p>
            <w:pPr>
              <w:spacing w:after="0"/>
              <w:rPr>
                <w:sz w:val="17"/>
                <w:szCs w:val="17"/>
                <w:color w:val="auto"/>
              </w:rPr>
            </w:pPr>
          </w:p>
        </w:tc>
        <w:tc>
          <w:tcPr>
            <w:tcW w:w="2060" w:type="dxa"/>
            <w:vAlign w:val="bottom"/>
          </w:tcPr>
          <w:p>
            <w:pPr>
              <w:jc w:val="center"/>
              <w:ind w:left="80"/>
              <w:spacing w:after="0"/>
              <w:rPr>
                <w:sz w:val="20"/>
                <w:szCs w:val="20"/>
                <w:color w:val="auto"/>
              </w:rPr>
            </w:pPr>
            <w:r>
              <w:rPr>
                <w:rFonts w:ascii="Arial" w:cs="Arial" w:eastAsia="Arial" w:hAnsi="Arial"/>
                <w:sz w:val="13"/>
                <w:szCs w:val="13"/>
                <w:b w:val="1"/>
                <w:bCs w:val="1"/>
                <w:color w:val="auto"/>
                <w:w w:val="90"/>
              </w:rPr>
              <w:t>New York Stock Exchange</w:t>
            </w:r>
          </w:p>
        </w:tc>
      </w:tr>
      <w:tr>
        <w:trPr>
          <w:trHeight w:val="131"/>
        </w:trPr>
        <w:tc>
          <w:tcPr>
            <w:tcW w:w="6040" w:type="dxa"/>
            <w:vAlign w:val="bottom"/>
            <w:gridSpan w:val="3"/>
          </w:tcPr>
          <w:p>
            <w:pPr>
              <w:jc w:val="center"/>
              <w:ind w:right="1280"/>
              <w:spacing w:after="0"/>
              <w:rPr>
                <w:sz w:val="20"/>
                <w:szCs w:val="20"/>
                <w:color w:val="auto"/>
              </w:rPr>
            </w:pPr>
            <w:r>
              <w:rPr>
                <w:rFonts w:ascii="Arial" w:cs="Arial" w:eastAsia="Arial" w:hAnsi="Arial"/>
                <w:sz w:val="10"/>
                <w:szCs w:val="10"/>
                <w:i w:val="1"/>
                <w:iCs w:val="1"/>
                <w:color w:val="auto"/>
                <w:w w:val="95"/>
              </w:rPr>
              <w:t>Title of Each Class</w:t>
            </w:r>
          </w:p>
        </w:tc>
        <w:tc>
          <w:tcPr>
            <w:tcW w:w="680" w:type="dxa"/>
            <w:vAlign w:val="bottom"/>
          </w:tcPr>
          <w:p>
            <w:pPr>
              <w:spacing w:after="0"/>
              <w:rPr>
                <w:sz w:val="11"/>
                <w:szCs w:val="11"/>
                <w:color w:val="auto"/>
              </w:rPr>
            </w:pPr>
          </w:p>
        </w:tc>
        <w:tc>
          <w:tcPr>
            <w:tcW w:w="2060" w:type="dxa"/>
            <w:vAlign w:val="bottom"/>
          </w:tcPr>
          <w:p>
            <w:pPr>
              <w:jc w:val="center"/>
              <w:ind w:left="80"/>
              <w:spacing w:after="0"/>
              <w:rPr>
                <w:sz w:val="20"/>
                <w:szCs w:val="20"/>
                <w:color w:val="auto"/>
              </w:rPr>
            </w:pPr>
            <w:r>
              <w:rPr>
                <w:rFonts w:ascii="Arial" w:cs="Arial" w:eastAsia="Arial" w:hAnsi="Arial"/>
                <w:sz w:val="10"/>
                <w:szCs w:val="10"/>
                <w:i w:val="1"/>
                <w:iCs w:val="1"/>
                <w:color w:val="auto"/>
                <w:w w:val="93"/>
              </w:rPr>
              <w:t>Name of Each Exchange on Which Registered</w:t>
            </w:r>
          </w:p>
        </w:tc>
      </w:tr>
      <w:tr>
        <w:trPr>
          <w:trHeight w:val="244"/>
        </w:trPr>
        <w:tc>
          <w:tcPr>
            <w:tcW w:w="6720" w:type="dxa"/>
            <w:vAlign w:val="bottom"/>
            <w:gridSpan w:val="4"/>
          </w:tcPr>
          <w:p>
            <w:pPr>
              <w:jc w:val="center"/>
              <w:ind w:left="3374"/>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2060" w:type="dxa"/>
            <w:vAlign w:val="bottom"/>
          </w:tcPr>
          <w:p>
            <w:pPr>
              <w:spacing w:after="0"/>
              <w:rPr>
                <w:sz w:val="21"/>
                <w:szCs w:val="21"/>
                <w:color w:val="auto"/>
              </w:rPr>
            </w:pPr>
          </w:p>
        </w:tc>
      </w:tr>
      <w:tr>
        <w:trPr>
          <w:trHeight w:val="195"/>
        </w:trPr>
        <w:tc>
          <w:tcPr>
            <w:tcW w:w="426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None</w:t>
            </w: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31"/>
        </w:trPr>
        <w:tc>
          <w:tcPr>
            <w:tcW w:w="4260" w:type="dxa"/>
            <w:vAlign w:val="bottom"/>
          </w:tcPr>
          <w:p>
            <w:pPr>
              <w:spacing w:after="0"/>
              <w:rPr>
                <w:sz w:val="11"/>
                <w:szCs w:val="11"/>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0"/>
                <w:szCs w:val="10"/>
                <w:i w:val="1"/>
                <w:iCs w:val="1"/>
                <w:color w:val="auto"/>
                <w:w w:val="96"/>
              </w:rPr>
              <w:t>Title of Class</w:t>
            </w:r>
          </w:p>
        </w:tc>
        <w:tc>
          <w:tcPr>
            <w:tcW w:w="68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50"/>
        </w:trPr>
        <w:tc>
          <w:tcPr>
            <w:tcW w:w="6720" w:type="dxa"/>
            <w:vAlign w:val="bottom"/>
            <w:gridSpan w:val="4"/>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2060" w:type="dxa"/>
            <w:vAlign w:val="bottom"/>
          </w:tcPr>
          <w:p>
            <w:pPr>
              <w:ind w:left="60"/>
              <w:spacing w:after="0"/>
              <w:rPr>
                <w:sz w:val="20"/>
                <w:szCs w:val="20"/>
                <w:color w:val="auto"/>
              </w:rPr>
            </w:pPr>
            <w:r>
              <w:rPr>
                <w:rFonts w:ascii="Arial" w:cs="Arial" w:eastAsia="Arial" w:hAnsi="Arial"/>
                <w:sz w:val="13"/>
                <w:szCs w:val="13"/>
                <w:color w:val="auto"/>
              </w:rPr>
              <w:t>NO o</w:t>
            </w:r>
          </w:p>
        </w:tc>
      </w:tr>
      <w:tr>
        <w:trPr>
          <w:trHeight w:val="246"/>
        </w:trPr>
        <w:tc>
          <w:tcPr>
            <w:tcW w:w="6720" w:type="dxa"/>
            <w:vAlign w:val="bottom"/>
            <w:gridSpan w:val="4"/>
          </w:tcPr>
          <w:p>
            <w:pPr>
              <w:spacing w:after="0"/>
              <w:rPr>
                <w:sz w:val="20"/>
                <w:szCs w:val="20"/>
                <w:color w:val="auto"/>
              </w:rPr>
            </w:pPr>
            <w:r>
              <w:rPr>
                <w:rFonts w:ascii="Arial" w:cs="Arial" w:eastAsia="Arial" w:hAnsi="Arial"/>
                <w:sz w:val="13"/>
                <w:szCs w:val="13"/>
                <w:color w:val="auto"/>
                <w:w w:val="93"/>
              </w:rPr>
              <w:t>Indicate by check mark if the registrant is not required to file reports pursuant to Section 13 or Section 15(d) of the Act. YES o</w:t>
            </w:r>
          </w:p>
        </w:tc>
        <w:tc>
          <w:tcPr>
            <w:tcW w:w="206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4"/>
          <w:szCs w:val="24"/>
          <w:color w:val="auto"/>
        </w:r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left="340" w:right="6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4"/>
          <w:szCs w:val="24"/>
          <w:color w:val="auto"/>
        </w:rPr>
      </w:pPr>
    </w:p>
    <w:p>
      <w:pPr>
        <w:ind w:left="340" w:right="460" w:firstLine="324"/>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4"/>
          <w:szCs w:val="24"/>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4"/>
          <w:szCs w:val="24"/>
          <w:color w:val="auto"/>
        </w:rPr>
      </w:pPr>
    </w:p>
    <w:p>
      <w:pPr>
        <w:ind w:left="3320" w:right="760" w:hanging="4517"/>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4"/>
          <w:szCs w:val="24"/>
          <w:color w:val="auto"/>
        </w:rPr>
      </w:pPr>
    </w:p>
    <w:p>
      <w:pPr>
        <w:ind w:left="660"/>
        <w:spacing w:after="0" w:line="150" w:lineRule="exact"/>
        <w:tabs>
          <w:tab w:leader="none" w:pos="66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21" w:lineRule="exact"/>
        <w:rPr>
          <w:sz w:val="24"/>
          <w:szCs w:val="24"/>
          <w:color w:val="auto"/>
        </w:rPr>
      </w:pPr>
    </w:p>
    <w:p>
      <w:pPr>
        <w:ind w:left="340" w:right="420" w:firstLine="324"/>
        <w:spacing w:after="0" w:line="26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$9,291,000,000 based on the last reported sale of the Common Stock on the New York Stock Exchange Composite Tape reporting system on April 30, 2011.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67" w:lineRule="exact"/>
        <w:rPr>
          <w:sz w:val="24"/>
          <w:szCs w:val="24"/>
          <w:color w:val="auto"/>
        </w:rPr>
      </w:pPr>
    </w:p>
    <w:p>
      <w:pPr>
        <w:jc w:val="right"/>
        <w:ind w:left="660" w:right="4640"/>
        <w:spacing w:after="0" w:line="267" w:lineRule="auto"/>
        <w:rPr>
          <w:sz w:val="20"/>
          <w:szCs w:val="20"/>
          <w:color w:val="auto"/>
        </w:rPr>
      </w:pPr>
      <w:r>
        <w:rPr>
          <w:rFonts w:ascii="Arial" w:cs="Arial" w:eastAsia="Arial" w:hAnsi="Arial"/>
          <w:sz w:val="13"/>
          <w:szCs w:val="13"/>
          <w:color w:val="auto"/>
        </w:rPr>
        <w:t>As of October 29, 2011, there were 297,960,718 shares of Common Stock, $0.16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par value per share, outstanding. </w:t>
      </w:r>
      <w:r>
        <w:rPr>
          <w:rFonts w:ascii="Arial" w:cs="Arial" w:eastAsia="Arial" w:hAnsi="Arial"/>
          <w:sz w:val="13"/>
          <w:szCs w:val="13"/>
          <w:b w:val="1"/>
          <w:bCs w:val="1"/>
          <w:color w:val="auto"/>
        </w:rPr>
        <w:t>Documents Incorporated by Reference</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40" w:type="dxa"/>
            <w:vAlign w:val="bottom"/>
          </w:tcPr>
          <w:p>
            <w:pPr>
              <w:spacing w:after="0"/>
              <w:rPr>
                <w:sz w:val="10"/>
                <w:szCs w:val="10"/>
                <w:color w:val="auto"/>
              </w:rPr>
            </w:pPr>
          </w:p>
        </w:tc>
        <w:tc>
          <w:tcPr>
            <w:tcW w:w="9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Document Description</w:t>
            </w: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Form 10-K Part</w:t>
            </w:r>
          </w:p>
        </w:tc>
        <w:tc>
          <w:tcPr>
            <w:tcW w:w="340" w:type="dxa"/>
            <w:vAlign w:val="bottom"/>
          </w:tcPr>
          <w:p>
            <w:pPr>
              <w:spacing w:after="0"/>
              <w:rPr>
                <w:sz w:val="10"/>
                <w:szCs w:val="10"/>
                <w:color w:val="auto"/>
              </w:rPr>
            </w:pPr>
          </w:p>
        </w:tc>
      </w:tr>
      <w:tr>
        <w:trPr>
          <w:trHeight w:val="185"/>
        </w:trPr>
        <w:tc>
          <w:tcPr>
            <w:tcW w:w="340" w:type="dxa"/>
            <w:vAlign w:val="bottom"/>
          </w:tcPr>
          <w:p>
            <w:pPr>
              <w:spacing w:after="0"/>
              <w:rPr>
                <w:sz w:val="16"/>
                <w:szCs w:val="16"/>
                <w:color w:val="auto"/>
              </w:rPr>
            </w:pPr>
          </w:p>
        </w:tc>
        <w:tc>
          <w:tcPr>
            <w:tcW w:w="9360" w:type="dxa"/>
            <w:vAlign w:val="bottom"/>
          </w:tcPr>
          <w:p>
            <w:pPr>
              <w:spacing w:after="0"/>
              <w:rPr>
                <w:sz w:val="20"/>
                <w:szCs w:val="20"/>
                <w:color w:val="auto"/>
              </w:rPr>
            </w:pPr>
            <w:r>
              <w:rPr>
                <w:rFonts w:ascii="Arial" w:cs="Arial" w:eastAsia="Arial" w:hAnsi="Arial"/>
                <w:sz w:val="13"/>
                <w:szCs w:val="13"/>
                <w:color w:val="auto"/>
              </w:rPr>
              <w:t>Portions of the Registrant’s Proxy Statement for the Annual Meeting of Shareholders to be held March 13, 2012</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rPr>
              <w:t>III</w:t>
            </w:r>
          </w:p>
        </w:tc>
        <w:tc>
          <w:tcPr>
            <w:tcW w:w="340" w:type="dxa"/>
            <w:vAlign w:val="bottom"/>
          </w:tcPr>
          <w:p>
            <w:pPr>
              <w:spacing w:after="0"/>
              <w:rPr>
                <w:sz w:val="16"/>
                <w:szCs w:val="16"/>
                <w:color w:val="auto"/>
              </w:rPr>
            </w:pPr>
          </w:p>
        </w:tc>
      </w:tr>
      <w:tr>
        <w:trPr>
          <w:trHeight w:val="129"/>
        </w:trPr>
        <w:tc>
          <w:tcPr>
            <w:tcW w:w="340" w:type="dxa"/>
            <w:vAlign w:val="bottom"/>
          </w:tcPr>
          <w:p>
            <w:pPr>
              <w:spacing w:after="0"/>
              <w:rPr>
                <w:sz w:val="11"/>
                <w:szCs w:val="11"/>
                <w:color w:val="auto"/>
              </w:rPr>
            </w:pPr>
          </w:p>
        </w:tc>
        <w:tc>
          <w:tcPr>
            <w:tcW w:w="9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9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Note About Forward-Looking Statements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2"/>
          <w:szCs w:val="12"/>
          <w:color w:val="auto"/>
        </w:rPr>
        <w:t>This Annual Report on Form 10-K, including in particular the section entitled “Outlook,” contained in Item 7, “Management’s Discussion and Analysis of Financial Condition and Results of Operations”, contains forward-looking statements regarding future events and our future results that are subject to the safe harbor created under the Private Securities Litigation Reform Act of 1995.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sovereign debt issues globally; declines in customer demand for our products;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our reliance on assembly and test subcontractors, third party wafer fabricators and independent distributors; the expected outcomes of intellectual property and litigation matters; the ability to safeguard our patents and intellectual property; potential acquisitions or divestitures; the expected activities of our key personnel; the global nature of our operations;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Annual Report on Form 10-K. Therefore, actual results may differ materially and adversely from those expressed in any forward-looking statements. We undertake no obligation to revise or update any forward-looking statements except to the extent required by law.</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00"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We are a world leader in the design, manufacture and marketing of a broad portfolio of high-performance analog, mixed-signal and digital signal processing integrated circuits (ICs) used in virtually all types of electronic equipment. Since our inception in 1965, we have focused on solving the engineering challenges associated with signal processing in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digital applications evolve, new needs for high-performance analog signal processing and digital signal processing (DSP) technology are generated. As a result, we produce a wide range of innovative products — including data converters, amplifiers and linear products, radio frequency (RF) ICs, power management products, sensors based on micro-electro mechanical systems (MEMS) technology and other sensors, and processing products, including DSP and other processors — that are designed to meet the needs of a broad base of customers.</w:t>
      </w:r>
    </w:p>
    <w:p>
      <w:pPr>
        <w:spacing w:after="0" w:line="58" w:lineRule="exact"/>
        <w:rPr>
          <w:sz w:val="20"/>
          <w:szCs w:val="20"/>
          <w:color w:val="auto"/>
        </w:rPr>
      </w:pPr>
    </w:p>
    <w:p>
      <w:pPr>
        <w:ind w:right="460" w:firstLine="399"/>
        <w:spacing w:after="0" w:line="371" w:lineRule="auto"/>
        <w:rPr>
          <w:sz w:val="20"/>
          <w:szCs w:val="20"/>
          <w:color w:val="auto"/>
        </w:rPr>
      </w:pPr>
      <w:r>
        <w:rPr>
          <w:rFonts w:ascii="Arial" w:cs="Arial" w:eastAsia="Arial" w:hAnsi="Arial"/>
          <w:sz w:val="11"/>
          <w:szCs w:val="11"/>
          <w:color w:val="auto"/>
        </w:rPr>
        <w:t>We focus on key strategic markets where our signal processing technology is often a critical differentiator in our customers’ products, in particular, the industrial, automotive, consumer and communications markets. Used by over 60,000 customers worldwide, our products are embedded inside many different types of electronic equipment including:</w:t>
      </w:r>
    </w:p>
    <w:p>
      <w:pPr>
        <w:sectPr>
          <w:pgSz w:w="11900" w:h="16838" w:orient="portrait"/>
          <w:cols w:equalWidth="0" w:num="1">
            <w:col w:w="9980"/>
          </w:cols>
          <w:pgMar w:left="900" w:top="716" w:right="101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 Industrial process control systems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Factory automation systems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Instrumentation and measurement systems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Energy management systems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Aerospace and defense 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Automobiles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Digital televisions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Medical imaging equipment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Patient monitoring devices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 Wireless infrastructure equipment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Networking equipment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Optical systems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Digital cameras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Portable electronic devices</w:t>
      </w:r>
    </w:p>
    <w:p>
      <w:pPr>
        <w:spacing w:after="0" w:line="89" w:lineRule="exact"/>
        <w:rPr>
          <w:sz w:val="20"/>
          <w:szCs w:val="20"/>
          <w:color w:val="auto"/>
        </w:rPr>
      </w:pPr>
    </w:p>
    <w:p>
      <w:pPr>
        <w:sectPr>
          <w:pgSz w:w="11900" w:h="16838" w:orient="portrait"/>
          <w:cols w:equalWidth="0" w:num="2">
            <w:col w:w="4480" w:space="720"/>
            <w:col w:w="4780"/>
          </w:cols>
          <w:pgMar w:left="900" w:top="716" w:right="1019" w:bottom="1440" w:gutter="0" w:footer="0" w:header="0"/>
          <w:type w:val="continuous"/>
        </w:sectPr>
      </w:pPr>
    </w:p>
    <w:p>
      <w:pPr>
        <w:ind w:right="20" w:firstLine="399"/>
        <w:spacing w:after="0" w:line="264" w:lineRule="auto"/>
        <w:rPr>
          <w:sz w:val="20"/>
          <w:szCs w:val="20"/>
          <w:color w:val="auto"/>
        </w:rPr>
      </w:pPr>
      <w:r>
        <w:rPr>
          <w:rFonts w:ascii="Arial" w:cs="Arial" w:eastAsia="Arial" w:hAnsi="Arial"/>
          <w:sz w:val="13"/>
          <w:szCs w:val="13"/>
          <w:color w:val="auto"/>
        </w:rPr>
        <w:t>We were founded in 1965 and are incorporated in Massachusetts. Our headquarters are near Boston, in Norwood, Massachusetts. In addition, we have manufacturing facilities in Massachusetts, Ireland, and the Philippines, and have more than thirty design facilities worldwide. Our common stock is listed on the New York Stock Exchange, or NYSE, under the symbol ADI and is included in the Standard &amp; Poor’s 500 Index.</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or SEC. We also make available on our website our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the NYSE.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Industry Background</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Semiconductor components are the electronic building blocks used in electronic systems and equipment. These components are classified as either discrete devices (such as individual transistors) or integrated circuits (in which a number of transistors and other elements are combined to form a more complicated electronic circuit). Integrated circuits may be divided into two general categories, digital and analog. Digital circuits, such as memory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type w:val="continuous"/>
        </w:sectPr>
      </w:pPr>
    </w:p>
    <w:bookmarkStart w:id="3" w:name="page4"/>
    <w:bookmarkEnd w:id="3"/>
    <w:p>
      <w:pPr>
        <w:ind w:right="200"/>
        <w:spacing w:after="0" w:line="264" w:lineRule="auto"/>
        <w:rPr>
          <w:sz w:val="20"/>
          <w:szCs w:val="20"/>
          <w:color w:val="auto"/>
        </w:rPr>
      </w:pPr>
      <w:r>
        <w:rPr>
          <w:rFonts w:ascii="Arial" w:cs="Arial" w:eastAsia="Arial" w:hAnsi="Arial"/>
          <w:sz w:val="13"/>
          <w:szCs w:val="13"/>
          <w:color w:val="auto"/>
        </w:rPr>
        <w:t>devices and microprocessors, generally process on-off electrical signals, represented by binary digits, “1” and “0.” In contrast, analog integrated circuits monitor, condition, amplify or transform continuous analog signals associated with physical properties, such as temperature, pressure, weight, light, sound or motion, and play an important role in bridging between real world phenomena and a variety of electronic systems. Analog ICs also provide voltage regulation and power control to electronic systems.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Organizational Structure</w:t>
      </w:r>
    </w:p>
    <w:p>
      <w:pPr>
        <w:spacing w:after="0" w:line="100" w:lineRule="exact"/>
        <w:rPr>
          <w:sz w:val="20"/>
          <w:szCs w:val="20"/>
          <w:color w:val="auto"/>
        </w:rPr>
      </w:pPr>
    </w:p>
    <w:p>
      <w:pPr>
        <w:ind w:right="260" w:firstLine="399"/>
        <w:spacing w:after="0" w:line="322" w:lineRule="auto"/>
        <w:rPr>
          <w:sz w:val="20"/>
          <w:szCs w:val="20"/>
          <w:color w:val="auto"/>
        </w:rPr>
      </w:pPr>
      <w:r>
        <w:rPr>
          <w:rFonts w:ascii="Arial" w:cs="Arial" w:eastAsia="Arial" w:hAnsi="Arial"/>
          <w:sz w:val="11"/>
          <w:szCs w:val="11"/>
          <w:color w:val="auto"/>
        </w:rPr>
        <w:t>We operate in one reporting segment, which is comprised of two separate groups, one focused on products and one focused on end markets. The product group is focused on core technology development and leadership in converters, amplifiers and RF, MEMS, power management, and DSP. The end market-focused organization is dedicated to understanding, selecting, and resourcing initiatives that are more customized to a particular market or application. The focus of this team is to apply the full expanse of our broad technology portfolio to more integrated and targeted product strategies for the industrial, automotive, consumer, and communications markets. The end market group includes our sales organization.</w:t>
      </w:r>
    </w:p>
    <w:p>
      <w:pPr>
        <w:spacing w:after="0" w:line="39"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These two groups collaborate at all levels. On the one hand, our product group develops key technology for use by the end market groups, which apply these technologies to specific applications. Equally important, the applications expertise within each end market group is used to enhance core technology development by our product group.</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Products</w:t>
      </w:r>
    </w:p>
    <w:p>
      <w:pPr>
        <w:spacing w:after="0" w:line="100"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We design, manufacture and market a broad line of high-performance ICs that incorporate analog, mixed-signal and digital signal processing technologies. Our ICs are designed to address a wide range of real-world signal processing applications. Our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However, for some industrial, automotive, consumer, and communications products, we focus on working with leading customers to design application-specific solutions. We begin with our existing core technologies in data conversion, amplification, RF, MEMS, power management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76"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We produce and market several thousand products and operate in one reporting segment. Our ten highest revenue products, in the aggregate, accounted for approximately 8% of our revenue for fiscal 2011. A breakdown of our fiscal 2011 revenue by product category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Percent of</w:t>
            </w:r>
          </w:p>
        </w:tc>
        <w:tc>
          <w:tcPr>
            <w:tcW w:w="0" w:type="dxa"/>
            <w:vAlign w:val="bottom"/>
          </w:tcPr>
          <w:p>
            <w:pPr>
              <w:spacing w:after="0"/>
              <w:rPr>
                <w:sz w:val="1"/>
                <w:szCs w:val="1"/>
                <w:color w:val="auto"/>
              </w:rPr>
            </w:pPr>
          </w:p>
        </w:tc>
      </w:tr>
      <w:tr>
        <w:trPr>
          <w:trHeight w:val="108"/>
        </w:trPr>
        <w:tc>
          <w:tcPr>
            <w:tcW w:w="8980" w:type="dxa"/>
            <w:vAlign w:val="bottom"/>
            <w:vMerge w:val="restart"/>
          </w:tcPr>
          <w:p>
            <w:pPr>
              <w:spacing w:after="0"/>
              <w:rPr>
                <w:sz w:val="20"/>
                <w:szCs w:val="20"/>
                <w:color w:val="auto"/>
              </w:rPr>
            </w:pPr>
            <w:r>
              <w:rPr>
                <w:rFonts w:ascii="Arial" w:cs="Arial" w:eastAsia="Arial" w:hAnsi="Arial"/>
                <w:sz w:val="10"/>
                <w:szCs w:val="10"/>
                <w:b w:val="1"/>
                <w:bCs w:val="1"/>
                <w:color w:val="auto"/>
              </w:rPr>
              <w:t>Product Category</w:t>
            </w:r>
          </w:p>
        </w:tc>
        <w:tc>
          <w:tcPr>
            <w:tcW w:w="200" w:type="dxa"/>
            <w:vAlign w:val="bottom"/>
          </w:tcPr>
          <w:p>
            <w:pPr>
              <w:spacing w:after="0"/>
              <w:rPr>
                <w:sz w:val="9"/>
                <w:szCs w:val="9"/>
                <w:color w:val="auto"/>
              </w:rPr>
            </w:pP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FY 2011</w:t>
            </w:r>
          </w:p>
        </w:tc>
        <w:tc>
          <w:tcPr>
            <w:tcW w:w="0" w:type="dxa"/>
            <w:vAlign w:val="bottom"/>
          </w:tcPr>
          <w:p>
            <w:pPr>
              <w:spacing w:after="0"/>
              <w:rPr>
                <w:sz w:val="1"/>
                <w:szCs w:val="1"/>
                <w:color w:val="auto"/>
              </w:rPr>
            </w:pPr>
          </w:p>
        </w:tc>
      </w:tr>
      <w:tr>
        <w:trPr>
          <w:trHeight w:val="125"/>
        </w:trPr>
        <w:tc>
          <w:tcPr>
            <w:tcW w:w="8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Revenue</w:t>
            </w:r>
          </w:p>
        </w:tc>
        <w:tc>
          <w:tcPr>
            <w:tcW w:w="0" w:type="dxa"/>
            <w:vAlign w:val="bottom"/>
          </w:tcPr>
          <w:p>
            <w:pPr>
              <w:spacing w:after="0"/>
              <w:rPr>
                <w:sz w:val="1"/>
                <w:szCs w:val="1"/>
                <w:color w:val="auto"/>
              </w:rPr>
            </w:pPr>
          </w:p>
        </w:tc>
      </w:tr>
      <w:tr>
        <w:trPr>
          <w:trHeight w:val="29"/>
        </w:trPr>
        <w:tc>
          <w:tcPr>
            <w:tcW w:w="89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Converters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8980" w:type="dxa"/>
            <w:vAlign w:val="bottom"/>
          </w:tcPr>
          <w:p>
            <w:pPr>
              <w:spacing w:after="0"/>
              <w:rPr>
                <w:sz w:val="20"/>
                <w:szCs w:val="20"/>
                <w:color w:val="auto"/>
              </w:rPr>
            </w:pPr>
            <w:r>
              <w:rPr>
                <w:rFonts w:ascii="Arial" w:cs="Arial" w:eastAsia="Arial" w:hAnsi="Arial"/>
                <w:sz w:val="13"/>
                <w:szCs w:val="13"/>
                <w:b w:val="1"/>
                <w:bCs w:val="1"/>
                <w:color w:val="auto"/>
              </w:rPr>
              <w:t>Amplifiers/ Radio frequency</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analog</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8980" w:type="dxa"/>
            <w:vAlign w:val="bottom"/>
          </w:tcPr>
          <w:p>
            <w:pPr>
              <w:spacing w:after="0"/>
              <w:rPr>
                <w:sz w:val="20"/>
                <w:szCs w:val="20"/>
                <w:color w:val="auto"/>
              </w:rPr>
            </w:pPr>
            <w:r>
              <w:rPr>
                <w:rFonts w:ascii="Arial" w:cs="Arial" w:eastAsia="Arial" w:hAnsi="Arial"/>
                <w:sz w:val="13"/>
                <w:szCs w:val="13"/>
                <w:b w:val="1"/>
                <w:bCs w:val="1"/>
                <w:color w:val="auto"/>
              </w:rPr>
              <w:t>Power management &amp; reference</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Digital signal processing</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Analog Products</w:t>
      </w:r>
    </w:p>
    <w:p>
      <w:pPr>
        <w:spacing w:after="0" w:line="96" w:lineRule="exact"/>
        <w:rPr>
          <w:sz w:val="20"/>
          <w:szCs w:val="20"/>
          <w:color w:val="auto"/>
        </w:rPr>
      </w:pPr>
    </w:p>
    <w:p>
      <w:pPr>
        <w:ind w:right="40" w:firstLine="399"/>
        <w:spacing w:after="0" w:line="334" w:lineRule="auto"/>
        <w:rPr>
          <w:sz w:val="20"/>
          <w:szCs w:val="20"/>
          <w:color w:val="auto"/>
        </w:rPr>
      </w:pPr>
      <w:r>
        <w:rPr>
          <w:rFonts w:ascii="Arial" w:cs="Arial" w:eastAsia="Arial" w:hAnsi="Arial"/>
          <w:sz w:val="11"/>
          <w:szCs w:val="11"/>
          <w:color w:val="auto"/>
        </w:rPr>
        <w:t>Our analog and mixed signal IC technology has been the foundation of our business for over four decades, and we are one of the world’s largest suppliers of high-performance analog ICs. Our analog signal processing ICs are primarily high-performance devices, offering higher dynamic range, greater bandwidth, and other enhanced features. The principal advantages these products have versus competitors’ products include higher accuracy, higher speed, lower cost per function, smaller size, lower power consumption and fewer components, resulting in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 w:name="page5"/>
    <w:bookmarkEnd w:id="4"/>
    <w:p>
      <w:pPr>
        <w:ind w:right="340"/>
        <w:spacing w:after="0" w:line="371" w:lineRule="auto"/>
        <w:rPr>
          <w:sz w:val="20"/>
          <w:szCs w:val="20"/>
          <w:color w:val="auto"/>
        </w:rPr>
      </w:pPr>
      <w:r>
        <w:rPr>
          <w:rFonts w:ascii="Arial" w:cs="Arial" w:eastAsia="Arial" w:hAnsi="Arial"/>
          <w:sz w:val="11"/>
          <w:szCs w:val="11"/>
          <w:color w:val="auto"/>
        </w:rPr>
        <w:t>improved reliability. Our product portfolio includes several thousand analog ICs, any one of which can have as many as several hundred customers. Our analog ICs typically have long product life cycles. Our analog IC customers include original equipment manufacturers OEMs and customers who build electronic subsystems for integration into larger systems.</w:t>
      </w:r>
    </w:p>
    <w:p>
      <w:pPr>
        <w:spacing w:after="0" w:line="12" w:lineRule="exact"/>
        <w:rPr>
          <w:sz w:val="20"/>
          <w:szCs w:val="20"/>
          <w:color w:val="auto"/>
        </w:rPr>
      </w:pPr>
    </w:p>
    <w:p>
      <w:pPr>
        <w:ind w:right="280" w:firstLine="399"/>
        <w:spacing w:after="0" w:line="260" w:lineRule="auto"/>
        <w:rPr>
          <w:sz w:val="20"/>
          <w:szCs w:val="20"/>
          <w:color w:val="auto"/>
        </w:rPr>
      </w:pPr>
      <w:r>
        <w:rPr>
          <w:rFonts w:ascii="Arial" w:cs="Arial" w:eastAsia="Arial" w:hAnsi="Arial"/>
          <w:sz w:val="13"/>
          <w:szCs w:val="13"/>
          <w:i w:val="1"/>
          <w:iCs w:val="1"/>
          <w:color w:val="auto"/>
        </w:rPr>
        <w:t xml:space="preserve">Converters </w:t>
      </w:r>
      <w:r>
        <w:rPr>
          <w:rFonts w:ascii="Arial" w:cs="Arial" w:eastAsia="Arial" w:hAnsi="Arial"/>
          <w:sz w:val="13"/>
          <w:szCs w:val="13"/>
          <w:color w:val="auto"/>
        </w:rPr>
        <w:t>— We are a leading supplier of data converter products. Data converters translate real-world analog signals into digital data and also translate digital data into analog</w:t>
      </w:r>
      <w:r>
        <w:rPr>
          <w:rFonts w:ascii="Arial" w:cs="Arial" w:eastAsia="Arial" w:hAnsi="Arial"/>
          <w:sz w:val="13"/>
          <w:szCs w:val="13"/>
          <w:i w:val="1"/>
          <w:iCs w:val="1"/>
          <w:color w:val="auto"/>
        </w:rPr>
        <w:t xml:space="preserve"> </w:t>
      </w:r>
      <w:r>
        <w:rPr>
          <w:rFonts w:ascii="Arial" w:cs="Arial" w:eastAsia="Arial" w:hAnsi="Arial"/>
          <w:sz w:val="13"/>
          <w:szCs w:val="13"/>
          <w:color w:val="auto"/>
        </w:rPr>
        <w:t>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7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i w:val="1"/>
          <w:iCs w:val="1"/>
          <w:color w:val="auto"/>
        </w:rPr>
        <w:t xml:space="preserve">Amplifiers/Radio Frequency </w:t>
      </w:r>
      <w:r>
        <w:rPr>
          <w:rFonts w:ascii="Arial" w:cs="Arial" w:eastAsia="Arial" w:hAnsi="Arial"/>
          <w:sz w:val="12"/>
          <w:szCs w:val="12"/>
          <w:color w:val="auto"/>
        </w:rPr>
        <w:t>— We are also a leading supplier of high-performance amplifiers. Amplifiers are used to condition analog signals. High performance amplifiers</w:t>
      </w:r>
      <w:r>
        <w:rPr>
          <w:rFonts w:ascii="Arial" w:cs="Arial" w:eastAsia="Arial" w:hAnsi="Arial"/>
          <w:sz w:val="12"/>
          <w:szCs w:val="12"/>
          <w:i w:val="1"/>
          <w:iCs w:val="1"/>
          <w:color w:val="auto"/>
        </w:rPr>
        <w:t xml:space="preserve"> </w:t>
      </w:r>
      <w:r>
        <w:rPr>
          <w:rFonts w:ascii="Arial" w:cs="Arial" w:eastAsia="Arial" w:hAnsi="Arial"/>
          <w:sz w:val="12"/>
          <w:szCs w:val="12"/>
          <w:color w:val="auto"/>
        </w:rPr>
        <w:t>emphasize the performance dimensions of speed and precision. Within this product portfolio we provide precision, instrumentation, high speed, intermediate frequency/RF, broadband, and other amplifiers. We also offer an extensive portfolio of precision voltage references that are used in a wide variety of applications. Our analog product line also includes a broad portfolio of high performance RF ICs covering the entire RF signal chain, from industry-leading stand-alone RF function blocks such as phase locked loops, frequency synthesizers, mixers, modulators, demodulators, and power detectors, to highly integrated broadband and short-range single chip transceiver solutions. Our high performance RF ICs support the high performance requirements of cellular infrastructure and a broad range of applications in our target markets.</w:t>
      </w:r>
    </w:p>
    <w:p>
      <w:pPr>
        <w:spacing w:after="0" w:line="59"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i w:val="1"/>
          <w:iCs w:val="1"/>
          <w:color w:val="auto"/>
        </w:rPr>
        <w:t xml:space="preserve">Other Analog </w:t>
      </w:r>
      <w:r>
        <w:rPr>
          <w:rFonts w:ascii="Arial" w:cs="Arial" w:eastAsia="Arial" w:hAnsi="Arial"/>
          <w:sz w:val="12"/>
          <w:szCs w:val="12"/>
          <w:color w:val="auto"/>
        </w:rPr>
        <w:t>— Also within our analog technology portfolio are products that are based on Micro-ElectroMechanical Systems (MEMS) technology. This technology enables us to</w:t>
      </w:r>
      <w:r>
        <w:rPr>
          <w:rFonts w:ascii="Arial" w:cs="Arial" w:eastAsia="Arial" w:hAnsi="Arial"/>
          <w:sz w:val="12"/>
          <w:szCs w:val="12"/>
          <w:i w:val="1"/>
          <w:iCs w:val="1"/>
          <w:color w:val="auto"/>
        </w:rPr>
        <w:t xml:space="preserve"> </w:t>
      </w:r>
      <w:r>
        <w:rPr>
          <w:rFonts w:ascii="Arial" w:cs="Arial" w:eastAsia="Arial" w:hAnsi="Arial"/>
          <w:sz w:val="12"/>
          <w:szCs w:val="12"/>
          <w:color w:val="auto"/>
        </w:rPr>
        <w:t>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axis, and MEMS microphones used to sense audio. The majority of our current revenue from MEMS products is derived from the automotive, industrial, healthcare, and consumer end markets. In addition to our MEMs our other analog product category includes isolators that enable designers to implement isolation in designs without the cost, size, power, performance, and reliability constraints found with optocouplers. Our isolators have been designed into hundreds of applications, such as universal serial bus isolation in patient monitors, where it allows hospitals and physicians to adopt the latest advances in computer technology to supervise patient health and wirelessly transmit medical records. In smart metering applications, our isolators provide reliable electrostatic discharge performance that helps reduce meter tampering. Likewise, in satellites, where any malfunction can be catastrophic, our isolators help protect the power system while enabling designers to achieve small form factors.</w:t>
      </w:r>
    </w:p>
    <w:p>
      <w:pPr>
        <w:spacing w:after="0" w:line="6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i w:val="1"/>
          <w:iCs w:val="1"/>
          <w:color w:val="auto"/>
        </w:rPr>
        <w:t xml:space="preserve">Power Management &amp; Reference </w:t>
      </w:r>
      <w:r>
        <w:rPr>
          <w:rFonts w:ascii="Arial" w:cs="Arial" w:eastAsia="Arial" w:hAnsi="Arial"/>
          <w:sz w:val="13"/>
          <w:szCs w:val="13"/>
          <w:color w:val="auto"/>
        </w:rPr>
        <w:t>— Power management &amp; reference products make up the balance of our analog sales. Those products that include functions such as power</w:t>
      </w:r>
      <w:r>
        <w:rPr>
          <w:rFonts w:ascii="Arial" w:cs="Arial" w:eastAsia="Arial" w:hAnsi="Arial"/>
          <w:sz w:val="13"/>
          <w:szCs w:val="13"/>
          <w:i w:val="1"/>
          <w:iCs w:val="1"/>
          <w:color w:val="auto"/>
        </w:rPr>
        <w:t xml:space="preserve"> </w:t>
      </w:r>
      <w:r>
        <w:rPr>
          <w:rFonts w:ascii="Arial" w:cs="Arial" w:eastAsia="Arial" w:hAnsi="Arial"/>
          <w:sz w:val="13"/>
          <w:szCs w:val="13"/>
          <w:color w:val="auto"/>
        </w:rPr>
        <w:t>conversion, driver monitoring, sequencing and energy management, are developed to complement analog signal chain components across core market segments from micro power, energy-sensitive battery applications to efficient, high performance power systems in infrastructure and industrial applications.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Digital Signal Processing Products</w:t>
      </w:r>
    </w:p>
    <w:p>
      <w:pPr>
        <w:spacing w:after="0" w:line="96"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Digital Signal Processing products (DSPs) complete our product portfolio. DSPs are optimized for high-speed numeric calculations, which are essential for instantaneous, or real-time, 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5" w:name="page6"/>
    <w:bookmarkEnd w:id="5"/>
    <w:p>
      <w:pPr>
        <w:ind w:left="680" w:right="880"/>
        <w:spacing w:after="0" w:line="289" w:lineRule="auto"/>
        <w:rPr>
          <w:sz w:val="20"/>
          <w:szCs w:val="20"/>
          <w:color w:val="auto"/>
        </w:rPr>
      </w:pPr>
      <w:r>
        <w:rPr>
          <w:rFonts w:ascii="Arial" w:cs="Arial" w:eastAsia="Arial" w:hAnsi="Arial"/>
          <w:sz w:val="12"/>
          <w:szCs w:val="12"/>
          <w:color w:val="auto"/>
        </w:rPr>
        <w:t>products that share common architectures and therefore can execute the same software across a range of products. We support these products with easy-to-use development tools, which are designed to reduce our customers’ product development costs and time-to-market. Our customers use our products to solve a wide range of signal processing challenges across our core market and segment focus areas within the industrial, automotive, consumer and communications end markets. As an integrated part of our customer’s signal chain, there are typically many other Analog Devices products connected to our processors including converters, audio and video codecs and power management solutions.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Markets and Applications</w:t>
      </w:r>
    </w:p>
    <w:p>
      <w:pPr>
        <w:spacing w:after="0" w:line="10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During fiscal year 2011, we consolidated the computer end market, which represented approximately 1% of fiscal 2011 revenue, into the consumer end market, and reclassified handset revenue, which represented approximately 3% of fiscal 2011 revenue, from the communications end market to the consumer end market for all periods presented. The breakdown of our fiscal 2011 revenue by end market is set out in the table below.</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Percent of</w:t>
            </w:r>
          </w:p>
        </w:tc>
        <w:tc>
          <w:tcPr>
            <w:tcW w:w="0" w:type="dxa"/>
            <w:vAlign w:val="bottom"/>
          </w:tcPr>
          <w:p>
            <w:pPr>
              <w:spacing w:after="0"/>
              <w:rPr>
                <w:sz w:val="1"/>
                <w:szCs w:val="1"/>
                <w:color w:val="auto"/>
              </w:rPr>
            </w:pPr>
          </w:p>
        </w:tc>
      </w:tr>
      <w:tr>
        <w:trPr>
          <w:trHeight w:val="108"/>
        </w:trPr>
        <w:tc>
          <w:tcPr>
            <w:tcW w:w="8980" w:type="dxa"/>
            <w:vAlign w:val="bottom"/>
            <w:vMerge w:val="restart"/>
          </w:tcPr>
          <w:p>
            <w:pPr>
              <w:spacing w:after="0"/>
              <w:rPr>
                <w:sz w:val="20"/>
                <w:szCs w:val="20"/>
                <w:color w:val="auto"/>
              </w:rPr>
            </w:pPr>
            <w:r>
              <w:rPr>
                <w:rFonts w:ascii="Arial" w:cs="Arial" w:eastAsia="Arial" w:hAnsi="Arial"/>
                <w:sz w:val="10"/>
                <w:szCs w:val="10"/>
                <w:b w:val="1"/>
                <w:bCs w:val="1"/>
                <w:color w:val="auto"/>
              </w:rPr>
              <w:t>End Market</w:t>
            </w:r>
          </w:p>
        </w:tc>
        <w:tc>
          <w:tcPr>
            <w:tcW w:w="200" w:type="dxa"/>
            <w:vAlign w:val="bottom"/>
          </w:tcPr>
          <w:p>
            <w:pPr>
              <w:spacing w:after="0"/>
              <w:rPr>
                <w:sz w:val="9"/>
                <w:szCs w:val="9"/>
                <w:color w:val="auto"/>
              </w:rPr>
            </w:pP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FY 2011</w:t>
            </w:r>
          </w:p>
        </w:tc>
        <w:tc>
          <w:tcPr>
            <w:tcW w:w="0" w:type="dxa"/>
            <w:vAlign w:val="bottom"/>
          </w:tcPr>
          <w:p>
            <w:pPr>
              <w:spacing w:after="0"/>
              <w:rPr>
                <w:sz w:val="1"/>
                <w:szCs w:val="1"/>
                <w:color w:val="auto"/>
              </w:rPr>
            </w:pPr>
          </w:p>
        </w:tc>
      </w:tr>
      <w:tr>
        <w:trPr>
          <w:trHeight w:val="125"/>
        </w:trPr>
        <w:tc>
          <w:tcPr>
            <w:tcW w:w="8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89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Industrial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980" w:type="dxa"/>
            <w:vAlign w:val="bottom"/>
          </w:tcPr>
          <w:p>
            <w:pPr>
              <w:spacing w:after="0"/>
              <w:rPr>
                <w:sz w:val="20"/>
                <w:szCs w:val="20"/>
                <w:color w:val="auto"/>
              </w:rPr>
            </w:pPr>
            <w:r>
              <w:rPr>
                <w:rFonts w:ascii="Arial" w:cs="Arial" w:eastAsia="Arial" w:hAnsi="Arial"/>
                <w:sz w:val="13"/>
                <w:szCs w:val="13"/>
                <w:b w:val="1"/>
                <w:bCs w:val="1"/>
                <w:color w:val="auto"/>
              </w:rPr>
              <w:t>Automotive</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8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Consumer</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9"/>
        </w:trPr>
        <w:tc>
          <w:tcPr>
            <w:tcW w:w="8980" w:type="dxa"/>
            <w:vAlign w:val="bottom"/>
          </w:tcPr>
          <w:p>
            <w:pPr>
              <w:spacing w:after="0"/>
              <w:rPr>
                <w:sz w:val="20"/>
                <w:szCs w:val="20"/>
                <w:color w:val="auto"/>
              </w:rPr>
            </w:pPr>
            <w:r>
              <w:rPr>
                <w:rFonts w:ascii="Arial" w:cs="Arial" w:eastAsia="Arial" w:hAnsi="Arial"/>
                <w:sz w:val="13"/>
                <w:szCs w:val="13"/>
                <w:b w:val="1"/>
                <w:bCs w:val="1"/>
                <w:color w:val="auto"/>
              </w:rPr>
              <w:t>Communications</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55245</wp:posOffset>
            </wp:positionV>
            <wp:extent cx="8235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The sum of the individual percentages do not equal 100% due to rounding.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describes some of the characteristics of, and customer products within, our major end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Industrial </w:t>
      </w:r>
      <w:r>
        <w:rPr>
          <w:rFonts w:ascii="Arial" w:cs="Arial" w:eastAsia="Arial" w:hAnsi="Arial"/>
          <w:sz w:val="13"/>
          <w:szCs w:val="13"/>
          <w:color w:val="auto"/>
        </w:rPr>
        <w:t>— Our industrial market includes the following sectors:</w:t>
      </w:r>
    </w:p>
    <w:p>
      <w:pPr>
        <w:spacing w:after="0" w:line="96"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i w:val="1"/>
          <w:iCs w:val="1"/>
          <w:color w:val="auto"/>
        </w:rPr>
        <w:t xml:space="preserve">Industrial and Instrumentation </w:t>
      </w:r>
      <w:r>
        <w:rPr>
          <w:rFonts w:ascii="Arial" w:cs="Arial" w:eastAsia="Arial" w:hAnsi="Arial"/>
          <w:sz w:val="13"/>
          <w:szCs w:val="13"/>
          <w:color w:val="auto"/>
        </w:rPr>
        <w:t>— Our industrial automation applications generally require ICs that offer performance greater than that available from commodity-level ICs but</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do not have production volumes that warrant custom ICs. There is a trend towards development of products focused on particular sub-applications, which incorporate combinations of analog, mixed-signal, and DSP ICs to achieve the necessary functionality. Our instrumentation customers differentiate themselves by using the highest performance analog and mixed-signal ICs available. Our industrial and instrumentation market includes applications such as:</w:t>
      </w:r>
    </w:p>
    <w:p>
      <w:pPr>
        <w:sectPr>
          <w:pgSz w:w="11900" w:h="16838" w:orient="portrait"/>
          <w:cols w:equalWidth="0" w:num="1">
            <w:col w:w="11460"/>
          </w:cols>
          <w:pgMar w:left="220" w:top="720" w:right="219" w:bottom="1440" w:gutter="0" w:footer="0" w:header="0"/>
        </w:sectPr>
      </w:pP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Process control systems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Robotics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Environmental control systems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 Oscilloscopes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 Lab, chemical, and environmental analyzers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Weigh scales</w:t>
      </w:r>
    </w:p>
    <w:p>
      <w:pPr>
        <w:spacing w:after="0" w:line="89" w:lineRule="exact"/>
        <w:rPr>
          <w:sz w:val="20"/>
          <w:szCs w:val="20"/>
          <w:color w:val="auto"/>
        </w:rPr>
      </w:pPr>
    </w:p>
    <w:p>
      <w:pPr>
        <w:sectPr>
          <w:pgSz w:w="11900" w:h="16838" w:orient="portrait"/>
          <w:cols w:equalWidth="0" w:num="2">
            <w:col w:w="5160" w:space="720"/>
            <w:col w:w="5580"/>
          </w:cols>
          <w:pgMar w:left="220" w:top="720" w:right="219" w:bottom="1440" w:gutter="0" w:footer="0" w:header="0"/>
          <w:type w:val="continuous"/>
        </w:sectPr>
      </w:pPr>
    </w:p>
    <w:p>
      <w:pPr>
        <w:jc w:val="both"/>
        <w:ind w:left="680" w:right="820" w:firstLine="399"/>
        <w:spacing w:after="0" w:line="296" w:lineRule="auto"/>
        <w:rPr>
          <w:sz w:val="20"/>
          <w:szCs w:val="20"/>
          <w:color w:val="auto"/>
        </w:rPr>
      </w:pPr>
      <w:r>
        <w:rPr>
          <w:rFonts w:ascii="Arial" w:cs="Arial" w:eastAsia="Arial" w:hAnsi="Arial"/>
          <w:sz w:val="12"/>
          <w:szCs w:val="12"/>
          <w:i w:val="1"/>
          <w:iCs w:val="1"/>
          <w:color w:val="auto"/>
        </w:rPr>
        <w:t xml:space="preserve">Defense/Aerospace </w:t>
      </w:r>
      <w:r>
        <w:rPr>
          <w:rFonts w:ascii="Arial" w:cs="Arial" w:eastAsia="Arial" w:hAnsi="Arial"/>
          <w:sz w:val="12"/>
          <w:szCs w:val="12"/>
          <w:color w:val="auto"/>
        </w:rPr>
        <w:t>— The defense, commercial avionics and space markets all require high-performance ICs that meet rigorous environmental and reliability specifications. Many of</w:t>
      </w:r>
      <w:r>
        <w:rPr>
          <w:rFonts w:ascii="Arial" w:cs="Arial" w:eastAsia="Arial" w:hAnsi="Arial"/>
          <w:sz w:val="12"/>
          <w:szCs w:val="12"/>
          <w:i w:val="1"/>
          <w:iCs w:val="1"/>
          <w:color w:val="auto"/>
        </w:rPr>
        <w:t xml:space="preserve"> </w:t>
      </w:r>
      <w:r>
        <w:rPr>
          <w:rFonts w:ascii="Arial" w:cs="Arial" w:eastAsia="Arial" w:hAnsi="Arial"/>
          <w:sz w:val="12"/>
          <w:szCs w:val="12"/>
          <w:color w:val="auto"/>
        </w:rPr>
        <w:t>our analog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Customer products include:</w:t>
      </w:r>
    </w:p>
    <w:p>
      <w:pPr>
        <w:sectPr>
          <w:pgSz w:w="11900" w:h="16838" w:orient="portrait"/>
          <w:cols w:equalWidth="0" w:num="1">
            <w:col w:w="11460"/>
          </w:cols>
          <w:pgMar w:left="220" w:top="720" w:right="219" w:bottom="1440" w:gutter="0" w:footer="0" w:header="0"/>
          <w:type w:val="continuous"/>
        </w:sectPr>
      </w:pPr>
    </w:p>
    <w:p>
      <w:pPr>
        <w:spacing w:after="0" w:line="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Navigation systems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 Space and satellite communications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 Radar systems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Security devices</w:t>
      </w:r>
    </w:p>
    <w:p>
      <w:pPr>
        <w:spacing w:after="0" w:line="112" w:lineRule="exact"/>
        <w:rPr>
          <w:sz w:val="20"/>
          <w:szCs w:val="20"/>
          <w:color w:val="auto"/>
        </w:rPr>
      </w:pPr>
    </w:p>
    <w:p>
      <w:pPr>
        <w:sectPr>
          <w:pgSz w:w="11900" w:h="16838" w:orient="portrait"/>
          <w:cols w:equalWidth="0" w:num="2">
            <w:col w:w="5160" w:space="720"/>
            <w:col w:w="5580"/>
          </w:cols>
          <w:pgMar w:left="220" w:top="720" w:right="219" w:bottom="1440" w:gutter="0" w:footer="0" w:header="0"/>
          <w:type w:val="continuous"/>
        </w:sectPr>
      </w:pPr>
    </w:p>
    <w:p>
      <w:pPr>
        <w:ind w:left="680" w:right="860" w:firstLine="399"/>
        <w:spacing w:after="0" w:line="264" w:lineRule="auto"/>
        <w:rPr>
          <w:sz w:val="20"/>
          <w:szCs w:val="20"/>
          <w:color w:val="auto"/>
        </w:rPr>
      </w:pPr>
      <w:r>
        <w:rPr>
          <w:rFonts w:ascii="Arial" w:cs="Arial" w:eastAsia="Arial" w:hAnsi="Arial"/>
          <w:sz w:val="13"/>
          <w:szCs w:val="13"/>
          <w:i w:val="1"/>
          <w:iCs w:val="1"/>
          <w:color w:val="auto"/>
        </w:rPr>
        <w:t xml:space="preserve">Energy Management </w:t>
      </w:r>
      <w:r>
        <w:rPr>
          <w:rFonts w:ascii="Arial" w:cs="Arial" w:eastAsia="Arial" w:hAnsi="Arial"/>
          <w:sz w:val="13"/>
          <w:szCs w:val="13"/>
          <w:color w:val="auto"/>
        </w:rPr>
        <w:t>— The desire to improve energy efficiency, conservation, reliability, and cleanliness is driving investments in renewable energy, power transmission and</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360" w:type="dxa"/>
            <w:vAlign w:val="bottom"/>
          </w:tcPr>
          <w:p>
            <w:pPr>
              <w:ind w:left="680"/>
              <w:spacing w:after="0"/>
              <w:rPr>
                <w:sz w:val="20"/>
                <w:szCs w:val="20"/>
                <w:color w:val="auto"/>
              </w:rPr>
            </w:pPr>
            <w:r>
              <w:rPr>
                <w:rFonts w:ascii="Arial" w:cs="Arial" w:eastAsia="Arial" w:hAnsi="Arial"/>
                <w:sz w:val="13"/>
                <w:szCs w:val="13"/>
                <w:color w:val="auto"/>
              </w:rPr>
              <w:t>• Utility meters</w:t>
            </w:r>
          </w:p>
        </w:tc>
        <w:tc>
          <w:tcPr>
            <w:tcW w:w="7100" w:type="dxa"/>
            <w:vAlign w:val="bottom"/>
          </w:tcPr>
          <w:p>
            <w:pPr>
              <w:ind w:left="1520"/>
              <w:spacing w:after="0"/>
              <w:rPr>
                <w:sz w:val="20"/>
                <w:szCs w:val="20"/>
                <w:color w:val="auto"/>
              </w:rPr>
            </w:pPr>
            <w:r>
              <w:rPr>
                <w:rFonts w:ascii="Arial" w:cs="Arial" w:eastAsia="Arial" w:hAnsi="Arial"/>
                <w:sz w:val="13"/>
                <w:szCs w:val="13"/>
                <w:color w:val="auto"/>
              </w:rPr>
              <w:t>• Wind turbines</w:t>
            </w:r>
          </w:p>
        </w:tc>
      </w:tr>
      <w:tr>
        <w:trPr>
          <w:trHeight w:val="157"/>
        </w:trPr>
        <w:tc>
          <w:tcPr>
            <w:tcW w:w="4360" w:type="dxa"/>
            <w:vAlign w:val="bottom"/>
          </w:tcPr>
          <w:p>
            <w:pPr>
              <w:ind w:left="680"/>
              <w:spacing w:after="0"/>
              <w:rPr>
                <w:sz w:val="20"/>
                <w:szCs w:val="20"/>
                <w:color w:val="auto"/>
              </w:rPr>
            </w:pPr>
            <w:r>
              <w:rPr>
                <w:rFonts w:ascii="Arial" w:cs="Arial" w:eastAsia="Arial" w:hAnsi="Arial"/>
                <w:sz w:val="13"/>
                <w:szCs w:val="13"/>
                <w:color w:val="auto"/>
              </w:rPr>
              <w:t>• Meter communication modules</w:t>
            </w:r>
          </w:p>
        </w:tc>
        <w:tc>
          <w:tcPr>
            <w:tcW w:w="7100" w:type="dxa"/>
            <w:vAlign w:val="bottom"/>
          </w:tcPr>
          <w:p>
            <w:pPr>
              <w:ind w:left="1520"/>
              <w:spacing w:after="0"/>
              <w:rPr>
                <w:sz w:val="20"/>
                <w:szCs w:val="20"/>
                <w:color w:val="auto"/>
              </w:rPr>
            </w:pPr>
            <w:r>
              <w:rPr>
                <w:rFonts w:ascii="Arial" w:cs="Arial" w:eastAsia="Arial" w:hAnsi="Arial"/>
                <w:sz w:val="13"/>
                <w:szCs w:val="13"/>
                <w:color w:val="auto"/>
              </w:rPr>
              <w:t>• Solar inverters</w:t>
            </w:r>
          </w:p>
        </w:tc>
      </w:tr>
      <w:tr>
        <w:trPr>
          <w:trHeight w:val="165"/>
        </w:trPr>
        <w:tc>
          <w:tcPr>
            <w:tcW w:w="4360" w:type="dxa"/>
            <w:vAlign w:val="bottom"/>
          </w:tcPr>
          <w:p>
            <w:pPr>
              <w:ind w:left="680"/>
              <w:spacing w:after="0"/>
              <w:rPr>
                <w:sz w:val="20"/>
                <w:szCs w:val="20"/>
                <w:color w:val="auto"/>
              </w:rPr>
            </w:pPr>
            <w:r>
              <w:rPr>
                <w:rFonts w:ascii="Arial" w:cs="Arial" w:eastAsia="Arial" w:hAnsi="Arial"/>
                <w:sz w:val="13"/>
                <w:szCs w:val="13"/>
                <w:color w:val="auto"/>
              </w:rPr>
              <w:t>• Substation relays and automation equipment</w:t>
            </w:r>
          </w:p>
        </w:tc>
        <w:tc>
          <w:tcPr>
            <w:tcW w:w="7100" w:type="dxa"/>
            <w:vAlign w:val="bottom"/>
          </w:tcPr>
          <w:p>
            <w:pPr>
              <w:ind w:left="1520"/>
              <w:spacing w:after="0"/>
              <w:rPr>
                <w:sz w:val="20"/>
                <w:szCs w:val="20"/>
                <w:color w:val="auto"/>
              </w:rPr>
            </w:pPr>
            <w:r>
              <w:rPr>
                <w:rFonts w:ascii="Arial" w:cs="Arial" w:eastAsia="Arial" w:hAnsi="Arial"/>
                <w:sz w:val="13"/>
                <w:szCs w:val="13"/>
                <w:color w:val="auto"/>
              </w:rPr>
              <w:t>• Building energy automation/control</w:t>
            </w:r>
          </w:p>
        </w:tc>
      </w:tr>
      <w:tr>
        <w:trPr>
          <w:trHeight w:val="442"/>
        </w:trPr>
        <w:tc>
          <w:tcPr>
            <w:tcW w:w="4360" w:type="dxa"/>
            <w:vAlign w:val="bottom"/>
          </w:tcPr>
          <w:p>
            <w:pPr>
              <w:spacing w:after="0"/>
              <w:rPr>
                <w:sz w:val="24"/>
                <w:szCs w:val="24"/>
                <w:color w:val="auto"/>
              </w:rPr>
            </w:pPr>
          </w:p>
        </w:tc>
        <w:tc>
          <w:tcPr>
            <w:tcW w:w="7100" w:type="dxa"/>
            <w:vAlign w:val="bottom"/>
          </w:tcPr>
          <w:p>
            <w:pPr>
              <w:jc w:val="right"/>
              <w:ind w:right="5694"/>
              <w:spacing w:after="0"/>
              <w:rPr>
                <w:sz w:val="20"/>
                <w:szCs w:val="20"/>
                <w:color w:val="auto"/>
              </w:rPr>
            </w:pPr>
            <w:r>
              <w:rPr>
                <w:rFonts w:ascii="Arial" w:cs="Arial" w:eastAsia="Arial" w:hAnsi="Arial"/>
                <w:sz w:val="13"/>
                <w:szCs w:val="13"/>
                <w:color w:val="auto"/>
              </w:rPr>
              <w:t>5</w:t>
            </w:r>
          </w:p>
        </w:tc>
      </w:tr>
      <w:tr>
        <w:trPr>
          <w:trHeight w:val="163"/>
        </w:trPr>
        <w:tc>
          <w:tcPr>
            <w:tcW w:w="436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6" w:name="page7"/>
    <w:bookmarkEnd w:id="6"/>
    <w:p>
      <w:pPr>
        <w:jc w:val="both"/>
        <w:ind w:right="40" w:firstLine="399"/>
        <w:spacing w:after="0" w:line="260" w:lineRule="auto"/>
        <w:rPr>
          <w:sz w:val="20"/>
          <w:szCs w:val="20"/>
          <w:color w:val="auto"/>
        </w:rPr>
      </w:pPr>
      <w:r>
        <w:rPr>
          <w:rFonts w:ascii="Arial" w:cs="Arial" w:eastAsia="Arial" w:hAnsi="Arial"/>
          <w:sz w:val="13"/>
          <w:szCs w:val="13"/>
          <w:i w:val="1"/>
          <w:iCs w:val="1"/>
          <w:color w:val="auto"/>
        </w:rPr>
        <w:t xml:space="preserve">Healthcare </w:t>
      </w:r>
      <w:r>
        <w:rPr>
          <w:rFonts w:ascii="Arial" w:cs="Arial" w:eastAsia="Arial" w:hAnsi="Arial"/>
          <w:sz w:val="13"/>
          <w:szCs w:val="13"/>
          <w:color w:val="auto"/>
        </w:rPr>
        <w:t>— Two significant trends in the healthcare market today are the increasing need for higher channel counts in medical systems to improve resolution and throughput while</w:t>
      </w:r>
      <w:r>
        <w:rPr>
          <w:rFonts w:ascii="Arial" w:cs="Arial" w:eastAsia="Arial" w:hAnsi="Arial"/>
          <w:sz w:val="13"/>
          <w:szCs w:val="13"/>
          <w:i w:val="1"/>
          <w:iCs w:val="1"/>
          <w:color w:val="auto"/>
        </w:rPr>
        <w:t xml:space="preserve"> </w:t>
      </w:r>
      <w:r>
        <w:rPr>
          <w:rFonts w:ascii="Arial" w:cs="Arial" w:eastAsia="Arial" w:hAnsi="Arial"/>
          <w:sz w:val="13"/>
          <w:szCs w:val="13"/>
          <w:color w:val="auto"/>
        </w:rPr>
        <w:t>achieving a lower cost per channel, and the movement of highly accurate patient monitoring devices from the hospital environment to the home, improving patient care and reducing overall healthcare costs. Our innovative technologies are designed into a variety of high performance imaging, patient monitoring, medical instrumentation, and home health devices. Our offerings include both standard and application-specific products and are used in applications such as:</w:t>
      </w:r>
    </w:p>
    <w:p>
      <w:pPr>
        <w:spacing w:after="0" w:line="80"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Ultrasound</w:t>
      </w:r>
      <w:r>
        <w:rPr>
          <w:sz w:val="20"/>
          <w:szCs w:val="20"/>
          <w:color w:val="auto"/>
        </w:rPr>
        <w:tab/>
      </w:r>
      <w:r>
        <w:rPr>
          <w:rFonts w:ascii="Arial" w:cs="Arial" w:eastAsia="Arial" w:hAnsi="Arial"/>
          <w:sz w:val="12"/>
          <w:szCs w:val="12"/>
          <w:color w:val="auto"/>
        </w:rPr>
        <w:t>• Infusion pumps</w:t>
      </w:r>
    </w:p>
    <w:p>
      <w:pPr>
        <w:spacing w:after="0" w:line="15"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CT scanners</w:t>
      </w:r>
      <w:r>
        <w:rPr>
          <w:sz w:val="20"/>
          <w:szCs w:val="20"/>
          <w:color w:val="auto"/>
        </w:rPr>
        <w:tab/>
      </w:r>
      <w:r>
        <w:rPr>
          <w:rFonts w:ascii="Arial" w:cs="Arial" w:eastAsia="Arial" w:hAnsi="Arial"/>
          <w:sz w:val="12"/>
          <w:szCs w:val="12"/>
          <w:color w:val="auto"/>
        </w:rPr>
        <w:t>• Clinical lab instrumentation</w:t>
      </w:r>
    </w:p>
    <w:p>
      <w:pPr>
        <w:spacing w:after="0" w:line="8"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Digital x-ray</w:t>
      </w:r>
      <w:r>
        <w:rPr>
          <w:sz w:val="20"/>
          <w:szCs w:val="20"/>
          <w:color w:val="auto"/>
        </w:rPr>
        <w:tab/>
      </w:r>
      <w:r>
        <w:rPr>
          <w:rFonts w:ascii="Arial" w:cs="Arial" w:eastAsia="Arial" w:hAnsi="Arial"/>
          <w:sz w:val="11"/>
          <w:szCs w:val="11"/>
          <w:color w:val="auto"/>
        </w:rPr>
        <w:t>• Surgical instrumentation</w:t>
      </w:r>
    </w:p>
    <w:p>
      <w:pPr>
        <w:spacing w:after="0" w:line="8"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Multi-parameter patient monitors</w:t>
      </w:r>
      <w:r>
        <w:rPr>
          <w:sz w:val="20"/>
          <w:szCs w:val="20"/>
          <w:color w:val="auto"/>
        </w:rPr>
        <w:tab/>
      </w:r>
      <w:r>
        <w:rPr>
          <w:rFonts w:ascii="Arial" w:cs="Arial" w:eastAsia="Arial" w:hAnsi="Arial"/>
          <w:sz w:val="11"/>
          <w:szCs w:val="11"/>
          <w:color w:val="auto"/>
        </w:rPr>
        <w:t>• Blood analyzers</w:t>
      </w:r>
    </w:p>
    <w:p>
      <w:pPr>
        <w:spacing w:after="0" w:line="8"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Pulse oximeters</w:t>
      </w:r>
      <w:r>
        <w:rPr>
          <w:sz w:val="20"/>
          <w:szCs w:val="20"/>
          <w:color w:val="auto"/>
        </w:rPr>
        <w:tab/>
      </w:r>
      <w:r>
        <w:rPr>
          <w:rFonts w:ascii="Arial" w:cs="Arial" w:eastAsia="Arial" w:hAnsi="Arial"/>
          <w:sz w:val="12"/>
          <w:szCs w:val="12"/>
          <w:color w:val="auto"/>
        </w:rPr>
        <w:t>• Activity monitors</w:t>
      </w:r>
    </w:p>
    <w:p>
      <w:pPr>
        <w:spacing w:after="0" w:line="89"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Automotive </w:t>
      </w:r>
      <w:r>
        <w:rPr>
          <w:rFonts w:ascii="Arial" w:cs="Arial" w:eastAsia="Arial" w:hAnsi="Arial"/>
          <w:sz w:val="13"/>
          <w:szCs w:val="13"/>
          <w:color w:val="auto"/>
        </w:rPr>
        <w:t>— We develop differentiated high performance signal processing solutions that enable sophisticated automotive systems addressing the three industry macrotrends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namely greener, safer and more comfort. Through collaboration with manufacturers worldwide, ADI has achieved significant market share through a broad portfolio of analog, digital and MEMS ICs that increase fuel efficiency, enhance vehicle stability and improve the audio/video experience of the passengers. Specifically, we have developed products used in applications such as:</w:t>
      </w:r>
    </w:p>
    <w:p>
      <w:pPr>
        <w:sectPr>
          <w:pgSz w:w="11900" w:h="16838" w:orient="portrait"/>
          <w:cols w:equalWidth="0" w:num="1">
            <w:col w:w="9960"/>
          </w:cols>
          <w:pgMar w:left="900" w:top="720" w:right="1039" w:bottom="1440" w:gutter="0" w:footer="0" w:header="0"/>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4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ind w:left="1340"/>
              <w:spacing w:after="0"/>
              <w:rPr>
                <w:sz w:val="20"/>
                <w:szCs w:val="20"/>
                <w:color w:val="auto"/>
              </w:rPr>
            </w:pPr>
            <w:r>
              <w:rPr>
                <w:rFonts w:ascii="Arial" w:cs="Arial" w:eastAsia="Arial" w:hAnsi="Arial"/>
                <w:sz w:val="10"/>
                <w:szCs w:val="10"/>
                <w:b w:val="1"/>
                <w:bCs w:val="1"/>
                <w:color w:val="auto"/>
              </w:rPr>
              <w:t>Green</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ind w:left="1340"/>
              <w:spacing w:after="0"/>
              <w:rPr>
                <w:sz w:val="20"/>
                <w:szCs w:val="20"/>
                <w:color w:val="auto"/>
              </w:rPr>
            </w:pPr>
            <w:r>
              <w:rPr>
                <w:rFonts w:ascii="Arial" w:cs="Arial" w:eastAsia="Arial" w:hAnsi="Arial"/>
                <w:sz w:val="10"/>
                <w:szCs w:val="10"/>
                <w:b w:val="1"/>
                <w:bCs w:val="1"/>
                <w:color w:val="auto"/>
              </w:rPr>
              <w:t>Safety</w:t>
            </w:r>
          </w:p>
        </w:tc>
      </w:tr>
      <w:tr>
        <w:trPr>
          <w:trHeight w:val="178"/>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180" w:type="dxa"/>
            <w:vAlign w:val="bottom"/>
          </w:tcPr>
          <w:p>
            <w:pPr>
              <w:ind w:left="180"/>
              <w:spacing w:after="0"/>
              <w:rPr>
                <w:sz w:val="20"/>
                <w:szCs w:val="20"/>
                <w:color w:val="auto"/>
              </w:rPr>
            </w:pPr>
            <w:r>
              <w:rPr>
                <w:rFonts w:ascii="Arial" w:cs="Arial" w:eastAsia="Arial" w:hAnsi="Arial"/>
                <w:sz w:val="13"/>
                <w:szCs w:val="13"/>
                <w:color w:val="auto"/>
              </w:rPr>
              <w:t>Hybrid electric / electric vehicles</w:t>
            </w:r>
          </w:p>
        </w:tc>
        <w:tc>
          <w:tcPr>
            <w:tcW w:w="10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  Crash sensors in airbag systems</w:t>
            </w:r>
          </w:p>
        </w:tc>
      </w:tr>
      <w:tr>
        <w:trPr>
          <w:trHeight w:val="157"/>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180" w:type="dxa"/>
            <w:vAlign w:val="bottom"/>
          </w:tcPr>
          <w:p>
            <w:pPr>
              <w:ind w:left="180"/>
              <w:spacing w:after="0"/>
              <w:rPr>
                <w:sz w:val="20"/>
                <w:szCs w:val="20"/>
                <w:color w:val="auto"/>
              </w:rPr>
            </w:pPr>
            <w:r>
              <w:rPr>
                <w:rFonts w:ascii="Arial" w:cs="Arial" w:eastAsia="Arial" w:hAnsi="Arial"/>
                <w:sz w:val="13"/>
                <w:szCs w:val="13"/>
                <w:color w:val="auto"/>
              </w:rPr>
              <w:t>Intelligent battery sensors</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060" w:type="dxa"/>
            <w:vAlign w:val="bottom"/>
          </w:tcPr>
          <w:p>
            <w:pPr>
              <w:ind w:left="80"/>
              <w:spacing w:after="0"/>
              <w:rPr>
                <w:sz w:val="20"/>
                <w:szCs w:val="20"/>
                <w:color w:val="auto"/>
              </w:rPr>
            </w:pPr>
            <w:r>
              <w:rPr>
                <w:rFonts w:ascii="Arial" w:cs="Arial" w:eastAsia="Arial" w:hAnsi="Arial"/>
                <w:sz w:val="13"/>
                <w:szCs w:val="13"/>
                <w:color w:val="auto"/>
              </w:rPr>
              <w:t>Electronic stability systems</w:t>
            </w:r>
          </w:p>
        </w:tc>
      </w:tr>
      <w:tr>
        <w:trPr>
          <w:trHeight w:val="157"/>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180" w:type="dxa"/>
            <w:vAlign w:val="bottom"/>
          </w:tcPr>
          <w:p>
            <w:pPr>
              <w:ind w:left="180"/>
              <w:spacing w:after="0"/>
              <w:rPr>
                <w:sz w:val="20"/>
                <w:szCs w:val="20"/>
                <w:color w:val="auto"/>
              </w:rPr>
            </w:pPr>
            <w:r>
              <w:rPr>
                <w:rFonts w:ascii="Arial" w:cs="Arial" w:eastAsia="Arial" w:hAnsi="Arial"/>
                <w:sz w:val="13"/>
                <w:szCs w:val="13"/>
                <w:color w:val="auto"/>
              </w:rPr>
              <w:t>Battery monitoring and management systems</w:t>
            </w:r>
          </w:p>
        </w:tc>
        <w:tc>
          <w:tcPr>
            <w:tcW w:w="10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w w:val="99"/>
              </w:rPr>
              <w:t>•  Advanced driver assistance systems (RADAR/Vision)</w:t>
            </w:r>
          </w:p>
        </w:tc>
      </w:tr>
      <w:tr>
        <w:trPr>
          <w:trHeight w:val="165"/>
        </w:trPr>
        <w:tc>
          <w:tcPr>
            <w:tcW w:w="2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3060" w:type="dxa"/>
            <w:vAlign w:val="bottom"/>
          </w:tcPr>
          <w:p>
            <w:pPr>
              <w:ind w:left="80"/>
              <w:spacing w:after="0"/>
              <w:rPr>
                <w:sz w:val="20"/>
                <w:szCs w:val="20"/>
                <w:color w:val="auto"/>
              </w:rPr>
            </w:pPr>
            <w:r>
              <w:rPr>
                <w:rFonts w:ascii="Arial" w:cs="Arial" w:eastAsia="Arial" w:hAnsi="Arial"/>
                <w:sz w:val="13"/>
                <w:szCs w:val="13"/>
                <w:color w:val="auto"/>
              </w:rPr>
              <w:t>Vehicle dynamic control systems</w:t>
            </w: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Comfort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0224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2475" cy="6350"/>
                    </a:xfrm>
                    <a:prstGeom prst="rect">
                      <a:avLst/>
                    </a:prstGeom>
                    <a:noFill/>
                  </pic:spPr>
                </pic:pic>
              </a:graphicData>
            </a:graphic>
          </wp:anchor>
        </w:drawing>
      </w:r>
    </w:p>
    <w:p>
      <w:pPr>
        <w:spacing w:after="0" w:line="30" w:lineRule="exact"/>
        <w:rPr>
          <w:sz w:val="20"/>
          <w:szCs w:val="20"/>
          <w:color w:val="auto"/>
        </w:rPr>
      </w:pPr>
    </w:p>
    <w:p>
      <w:pPr>
        <w:ind w:left="200" w:hanging="200"/>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Car audio amplifiers</w:t>
      </w:r>
    </w:p>
    <w:p>
      <w:pPr>
        <w:spacing w:after="0" w:line="15" w:lineRule="exact"/>
        <w:rPr>
          <w:rFonts w:ascii="Arial" w:cs="Arial" w:eastAsia="Arial" w:hAnsi="Arial"/>
          <w:sz w:val="13"/>
          <w:szCs w:val="13"/>
          <w:color w:val="auto"/>
        </w:rPr>
      </w:pPr>
    </w:p>
    <w:p>
      <w:pPr>
        <w:ind w:left="200" w:hanging="200"/>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Head unit solutions</w:t>
      </w:r>
    </w:p>
    <w:p>
      <w:pPr>
        <w:spacing w:after="0" w:line="7" w:lineRule="exact"/>
        <w:rPr>
          <w:rFonts w:ascii="Arial" w:cs="Arial" w:eastAsia="Arial" w:hAnsi="Arial"/>
          <w:sz w:val="13"/>
          <w:szCs w:val="13"/>
          <w:color w:val="auto"/>
        </w:rPr>
      </w:pPr>
    </w:p>
    <w:p>
      <w:pPr>
        <w:ind w:left="200" w:hanging="200"/>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Rear seat entertainment systems</w:t>
      </w:r>
    </w:p>
    <w:p>
      <w:pPr>
        <w:spacing w:after="0" w:line="269" w:lineRule="exact"/>
        <w:rPr>
          <w:sz w:val="20"/>
          <w:szCs w:val="20"/>
          <w:color w:val="auto"/>
        </w:rPr>
      </w:pPr>
    </w:p>
    <w:p>
      <w:pPr>
        <w:sectPr>
          <w:pgSz w:w="11900" w:h="16838" w:orient="portrait"/>
          <w:cols w:equalWidth="0" w:num="2">
            <w:col w:w="6700" w:space="100"/>
            <w:col w:w="3160"/>
          </w:cols>
          <w:pgMar w:left="900" w:top="720" w:right="1039" w:bottom="1440" w:gutter="0" w:footer="0" w:header="0"/>
          <w:type w:val="continuous"/>
        </w:sectPr>
      </w:pPr>
    </w:p>
    <w:p>
      <w:pPr>
        <w:ind w:right="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Consumer </w:t>
      </w:r>
      <w:r>
        <w:rPr>
          <w:rFonts w:ascii="Arial" w:cs="Arial" w:eastAsia="Arial" w:hAnsi="Arial"/>
          <w:sz w:val="13"/>
          <w:szCs w:val="13"/>
          <w:color w:val="auto"/>
        </w:rPr>
        <w:t>— Market demand for digital entertainment systems and the consumer demand for high quality voice transmissions, music, movies and photographs with a high degree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interactivity have allowed us to combine analog and digital design capability to provide solutions that meet the rigorous cost and time-to-market requirements of the consumer electronics market. The emergence of high-performance, feature-rich consumer products has created a market for our high-performance ICs with a high level of specific functionality. These products include:</w:t>
      </w:r>
    </w:p>
    <w:p>
      <w:pPr>
        <w:spacing w:after="0" w:line="80"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Digital cameras</w:t>
      </w:r>
      <w:r>
        <w:rPr>
          <w:sz w:val="20"/>
          <w:szCs w:val="20"/>
          <w:color w:val="auto"/>
        </w:rPr>
        <w:tab/>
      </w:r>
      <w:r>
        <w:rPr>
          <w:rFonts w:ascii="Arial" w:cs="Arial" w:eastAsia="Arial" w:hAnsi="Arial"/>
          <w:sz w:val="12"/>
          <w:szCs w:val="12"/>
          <w:color w:val="auto"/>
        </w:rPr>
        <w:t>• High-performance audio/video equipment</w:t>
      </w:r>
    </w:p>
    <w:p>
      <w:pPr>
        <w:spacing w:after="0" w:line="15"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High-definition televisions and DVD recorders/players</w:t>
      </w:r>
      <w:r>
        <w:rPr>
          <w:sz w:val="20"/>
          <w:szCs w:val="20"/>
          <w:color w:val="auto"/>
        </w:rPr>
        <w:tab/>
      </w:r>
      <w:r>
        <w:rPr>
          <w:rFonts w:ascii="Arial" w:cs="Arial" w:eastAsia="Arial" w:hAnsi="Arial"/>
          <w:sz w:val="11"/>
          <w:szCs w:val="11"/>
          <w:color w:val="auto"/>
        </w:rPr>
        <w:t>• Portable media devices (cellular handsets, smart phones and tablets)</w:t>
      </w:r>
    </w:p>
    <w:p>
      <w:pPr>
        <w:spacing w:after="0" w:line="8" w:lineRule="exact"/>
        <w:rPr>
          <w:sz w:val="20"/>
          <w:szCs w:val="20"/>
          <w:color w:val="auto"/>
        </w:rPr>
      </w:pPr>
    </w:p>
    <w:p>
      <w:pPr>
        <w:spacing w:after="0"/>
        <w:tabs>
          <w:tab w:leader="none" w:pos="5180" w:val="left"/>
        </w:tabs>
        <w:rPr>
          <w:sz w:val="20"/>
          <w:szCs w:val="20"/>
          <w:color w:val="auto"/>
        </w:rPr>
      </w:pPr>
      <w:r>
        <w:rPr>
          <w:rFonts w:ascii="Arial" w:cs="Arial" w:eastAsia="Arial" w:hAnsi="Arial"/>
          <w:sz w:val="13"/>
          <w:szCs w:val="13"/>
          <w:color w:val="auto"/>
        </w:rPr>
        <w:t>• Home theater systems</w:t>
      </w:r>
      <w:r>
        <w:rPr>
          <w:sz w:val="20"/>
          <w:szCs w:val="20"/>
          <w:color w:val="auto"/>
        </w:rPr>
        <w:tab/>
      </w:r>
      <w:r>
        <w:rPr>
          <w:rFonts w:ascii="Arial" w:cs="Arial" w:eastAsia="Arial" w:hAnsi="Arial"/>
          <w:sz w:val="11"/>
          <w:szCs w:val="11"/>
          <w:color w:val="auto"/>
        </w:rPr>
        <w:t>• Computers</w:t>
      </w:r>
    </w:p>
    <w:p>
      <w:pPr>
        <w:spacing w:after="0" w:line="89"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b w:val="1"/>
          <w:bCs w:val="1"/>
          <w:i w:val="1"/>
          <w:iCs w:val="1"/>
          <w:color w:val="auto"/>
        </w:rPr>
        <w:t xml:space="preserve">Communications </w:t>
      </w:r>
      <w:r>
        <w:rPr>
          <w:rFonts w:ascii="Arial" w:cs="Arial" w:eastAsia="Arial" w:hAnsi="Arial"/>
          <w:sz w:val="13"/>
          <w:szCs w:val="13"/>
          <w:color w:val="auto"/>
        </w:rPr>
        <w:t>— The development of broadband, wireless and Internet infrastructures around the world has created an important market for our communications products.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Our products are used in the full spectrum of signal processing for internet protocol, video streaming and voice communication. In wireless and broadband communication applications, our products are incorporated into:</w:t>
      </w:r>
    </w:p>
    <w:p>
      <w:pPr>
        <w:spacing w:after="0" w:line="81" w:lineRule="exact"/>
        <w:rPr>
          <w:sz w:val="20"/>
          <w:szCs w:val="20"/>
          <w:color w:val="auto"/>
        </w:rPr>
      </w:pPr>
    </w:p>
    <w:p>
      <w:pPr>
        <w:spacing w:after="0"/>
        <w:tabs>
          <w:tab w:leader="none" w:pos="300" w:val="left"/>
          <w:tab w:leader="none" w:pos="5080" w:val="left"/>
          <w:tab w:leader="none" w:pos="52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Cellular basestation equipment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Wired networking equipment</w:t>
      </w:r>
    </w:p>
    <w:p>
      <w:pPr>
        <w:spacing w:after="0" w:line="15" w:lineRule="exact"/>
        <w:rPr>
          <w:sz w:val="20"/>
          <w:szCs w:val="20"/>
          <w:color w:val="auto"/>
        </w:rPr>
      </w:pPr>
    </w:p>
    <w:p>
      <w:pPr>
        <w:spacing w:after="0"/>
        <w:tabs>
          <w:tab w:leader="none" w:pos="300" w:val="left"/>
          <w:tab w:leader="none" w:pos="5080" w:val="left"/>
          <w:tab w:leader="none" w:pos="52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Wireless backhowl systems</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Satellite systems</w:t>
      </w:r>
    </w:p>
    <w:p>
      <w:pPr>
        <w:spacing w:after="0" w:line="89"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See Note 4 in the Notes to our Consolidated Financial Statements contained in Item 8 of this Annual Report on Form 10-K for further information about our products by category and end market.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right="140" w:firstLine="399"/>
        <w:spacing w:after="0" w:line="334" w:lineRule="auto"/>
        <w:rPr>
          <w:sz w:val="20"/>
          <w:szCs w:val="20"/>
          <w:color w:val="auto"/>
        </w:rPr>
      </w:pPr>
      <w:r>
        <w:rPr>
          <w:rFonts w:ascii="Arial" w:cs="Arial" w:eastAsia="Arial" w:hAnsi="Arial"/>
          <w:sz w:val="11"/>
          <w:szCs w:val="11"/>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$506 million during fiscal 2011 on the design, development and improvement of new and existing products and manufacturing processes, compared to approximately $492 million during fiscal 2010 and approximately $447 million during fiscal 2009.</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type w:val="continuous"/>
        </w:sectPr>
      </w:pPr>
    </w:p>
    <w:bookmarkStart w:id="7" w:name="page8"/>
    <w:bookmarkEnd w:id="7"/>
    <w:p>
      <w:pPr>
        <w:ind w:right="340" w:firstLine="399"/>
        <w:spacing w:after="0" w:line="320" w:lineRule="auto"/>
        <w:rPr>
          <w:sz w:val="20"/>
          <w:szCs w:val="20"/>
          <w:color w:val="auto"/>
        </w:rPr>
      </w:pPr>
      <w:r>
        <w:rPr>
          <w:rFonts w:ascii="Arial" w:cs="Arial" w:eastAsia="Arial" w:hAnsi="Arial"/>
          <w:sz w:val="12"/>
          <w:szCs w:val="12"/>
          <w:color w:val="auto"/>
        </w:rPr>
        <w:t>Our research and development strategy focuses on building technical leadership in core technologies of converters, amplifiers and RF, MEMS, power management, and DSP. In support of our research and development activities, we employ thousands of engineers involved in product and manufacturing process development throughout the world.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Patents and Other Intellectual Property Rights</w:t>
      </w:r>
    </w:p>
    <w:p>
      <w:pPr>
        <w:spacing w:after="0" w:line="100" w:lineRule="exact"/>
        <w:rPr>
          <w:sz w:val="20"/>
          <w:szCs w:val="20"/>
          <w:color w:val="auto"/>
        </w:rPr>
      </w:pPr>
    </w:p>
    <w:p>
      <w:pPr>
        <w:ind w:firstLine="399"/>
        <w:spacing w:after="0" w:line="305" w:lineRule="auto"/>
        <w:rPr>
          <w:sz w:val="20"/>
          <w:szCs w:val="20"/>
          <w:color w:val="auto"/>
        </w:rPr>
      </w:pPr>
      <w:r>
        <w:rPr>
          <w:rFonts w:ascii="Arial" w:cs="Arial" w:eastAsia="Arial" w:hAnsi="Arial"/>
          <w:sz w:val="11"/>
          <w:szCs w:val="11"/>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29, 2011, we held approximately 1,700 U.S. patents and approximately 700 non-provisional pending U.S. patent applications.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Channels</w:t>
      </w:r>
    </w:p>
    <w:p>
      <w:pPr>
        <w:spacing w:after="0" w:line="100" w:lineRule="exact"/>
        <w:rPr>
          <w:sz w:val="20"/>
          <w:szCs w:val="20"/>
          <w:color w:val="auto"/>
        </w:rPr>
      </w:pPr>
    </w:p>
    <w:p>
      <w:pPr>
        <w:ind w:right="620" w:firstLine="399"/>
        <w:spacing w:after="0" w:line="276" w:lineRule="auto"/>
        <w:rPr>
          <w:sz w:val="20"/>
          <w:szCs w:val="20"/>
          <w:color w:val="auto"/>
        </w:rPr>
      </w:pPr>
      <w:r>
        <w:rPr>
          <w:rFonts w:ascii="Arial" w:cs="Arial" w:eastAsia="Arial" w:hAnsi="Arial"/>
          <w:sz w:val="13"/>
          <w:szCs w:val="13"/>
          <w:color w:val="auto"/>
        </w:rPr>
        <w:t>We sell our products globally through a direct sales force, third-party distributors, independent sales representatives and via our website. We have direct sales offices, sales representatives and/or distributors in over 40 countries outside North America.</w:t>
      </w:r>
    </w:p>
    <w:p>
      <w:pPr>
        <w:spacing w:after="0" w:line="59"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We support our worldwide technical direct field sales efforts by an extensive promotional program that includes editorial coverage and paid advertising in trade publications, direct mail programs, promotional brochures, technical seminars and participation in trade shows. We publish and distribute product catalogs, applications guides, technical handbooks and detailed data sheets for individual products. We also provide this information and sell products via our website.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53"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We derived approximately 55% of our fiscal 2011 revenue from sales made through distributors. These distributors typically maintain an inventory of our products. Some of them also sell products that compete with our products, including those for which we are an alternate source. In all regions of the world, we defer revenue and the related cost of sales on shipments to distributors until the distributors resell the products to their customers. We make sales to distributors under agreements that allow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distributors are allowed to return unsold products if we terminate the relationship with the distributor. Additional information relating to our sales to distributors is set forth in Note 2n in the Notes to Consolidated Financial Statements contained in Item 8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Financial Information and Geographic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operate and track our results in one reportable segment based on the aggregation of five operating segments.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8" w:name="page9"/>
    <w:bookmarkEnd w:id="8"/>
    <w:p>
      <w:pPr>
        <w:ind w:right="60" w:firstLine="399"/>
        <w:spacing w:after="0" w:line="289" w:lineRule="auto"/>
        <w:rPr>
          <w:sz w:val="20"/>
          <w:szCs w:val="20"/>
          <w:color w:val="auto"/>
        </w:rPr>
      </w:pPr>
      <w:r>
        <w:rPr>
          <w:rFonts w:ascii="Arial" w:cs="Arial" w:eastAsia="Arial" w:hAnsi="Arial"/>
          <w:sz w:val="12"/>
          <w:szCs w:val="12"/>
          <w:color w:val="auto"/>
        </w:rPr>
        <w:t>Through subsidiaries and affiliates, we conduct business in numerous countries outside the United States. During fiscal 2011, we derived approximately 82% of our revenue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 Although we engage in hedging transactions to reduce our exposure to currency exchange rate fluctuations, our competitive position may be adversely affected by changes in the exchange rate of the United States dollar against other currencies.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categorization of sales into geographic regions set forth below is based upon the location of the customer.</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80" w:type="dxa"/>
            <w:vAlign w:val="bottom"/>
          </w:tcPr>
          <w:p>
            <w:pPr>
              <w:spacing w:after="0"/>
              <w:rPr>
                <w:sz w:val="20"/>
                <w:szCs w:val="20"/>
                <w:color w:val="auto"/>
              </w:rPr>
            </w:pPr>
            <w:r>
              <w:rPr>
                <w:rFonts w:ascii="Arial" w:cs="Arial" w:eastAsia="Arial" w:hAnsi="Arial"/>
                <w:sz w:val="10"/>
                <w:szCs w:val="10"/>
                <w:b w:val="1"/>
                <w:bCs w:val="1"/>
                <w:color w:val="auto"/>
              </w:rPr>
              <w:t>Geographic Area</w:t>
            </w:r>
          </w:p>
        </w:tc>
        <w:tc>
          <w:tcPr>
            <w:tcW w:w="200" w:type="dxa"/>
            <w:vAlign w:val="bottom"/>
          </w:tcPr>
          <w:p>
            <w:pPr>
              <w:spacing w:after="0"/>
              <w:rPr>
                <w:sz w:val="10"/>
                <w:szCs w:val="10"/>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 of FY 2011 Revenue</w:t>
            </w:r>
          </w:p>
        </w:tc>
      </w:tr>
      <w:tr>
        <w:trPr>
          <w:trHeight w:val="29"/>
        </w:trPr>
        <w:tc>
          <w:tcPr>
            <w:tcW w:w="8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Rest of North/South America</w:t>
            </w: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57"/>
        </w:trPr>
        <w:tc>
          <w:tcPr>
            <w:tcW w:w="8080" w:type="dxa"/>
            <w:vAlign w:val="bottom"/>
          </w:tcPr>
          <w:p>
            <w:pPr>
              <w:spacing w:after="0"/>
              <w:rPr>
                <w:sz w:val="20"/>
                <w:szCs w:val="20"/>
                <w:color w:val="auto"/>
              </w:rPr>
            </w:pPr>
            <w:r>
              <w:rPr>
                <w:rFonts w:ascii="Arial" w:cs="Arial" w:eastAsia="Arial" w:hAnsi="Arial"/>
                <w:sz w:val="13"/>
                <w:szCs w:val="13"/>
                <w:color w:val="auto"/>
              </w:rPr>
              <w:t>Japan</w:t>
            </w: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5"/>
        </w:trPr>
        <w:tc>
          <w:tcPr>
            <w:tcW w:w="8080" w:type="dxa"/>
            <w:vAlign w:val="bottom"/>
          </w:tcPr>
          <w:p>
            <w:pPr>
              <w:spacing w:after="0"/>
              <w:rPr>
                <w:sz w:val="20"/>
                <w:szCs w:val="20"/>
                <w:color w:val="auto"/>
              </w:rPr>
            </w:pPr>
            <w:r>
              <w:rPr>
                <w:rFonts w:ascii="Arial" w:cs="Arial" w:eastAsia="Arial" w:hAnsi="Arial"/>
                <w:sz w:val="13"/>
                <w:szCs w:val="13"/>
                <w:color w:val="auto"/>
              </w:rPr>
              <w:t>Rest of Asia</w:t>
            </w:r>
          </w:p>
        </w:tc>
        <w:tc>
          <w:tcPr>
            <w:tcW w:w="1900" w:type="dxa"/>
            <w:vAlign w:val="bottom"/>
            <w:gridSpan w:val="3"/>
          </w:tcPr>
          <w:p>
            <w:pPr>
              <w:jc w:val="right"/>
              <w:spacing w:after="0"/>
              <w:rPr>
                <w:sz w:val="20"/>
                <w:szCs w:val="20"/>
                <w:color w:val="auto"/>
              </w:rPr>
            </w:pPr>
            <w:r>
              <w:rPr>
                <w:rFonts w:ascii="Arial" w:cs="Arial" w:eastAsia="Arial" w:hAnsi="Arial"/>
                <w:sz w:val="13"/>
                <w:szCs w:val="13"/>
                <w:color w:val="auto"/>
              </w:rPr>
              <w:t>15%</w:t>
            </w:r>
          </w:p>
        </w:tc>
      </w:tr>
    </w:tbl>
    <w:p>
      <w:pPr>
        <w:spacing w:after="0" w:line="72"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For further detail regarding revenue and financial information about our industry, segment and geographic areas, see our Consolidated Financial Statements and Note 4 in the related Notes contained in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We have tens of thousands of customers worldwide. No sales to an individual customer accounted for more than 10% of fiscal year 2011, 2010, or 2009 revenue. These customers used hundreds of different types of our products in a wide range of applications spanning the industrial, automotive, consumer and communication markets. Our largest single customer, excluding distributors, represented approximately 4% of our fiscal 2011 revenue. Our 20 largest customers, excluding distributors, accounted for approximately 32% of our fiscal 2011 revenue.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 and Raw Materials</w:t>
      </w:r>
    </w:p>
    <w:p>
      <w:pPr>
        <w:spacing w:after="0" w:line="100" w:lineRule="exact"/>
        <w:rPr>
          <w:sz w:val="20"/>
          <w:szCs w:val="20"/>
          <w:color w:val="auto"/>
        </w:rPr>
      </w:pPr>
    </w:p>
    <w:p>
      <w:pPr>
        <w:jc w:val="both"/>
        <w:ind w:right="360" w:firstLine="399"/>
        <w:spacing w:after="0" w:line="264" w:lineRule="auto"/>
        <w:rPr>
          <w:sz w:val="20"/>
          <w:szCs w:val="20"/>
          <w:color w:val="auto"/>
        </w:rPr>
      </w:pPr>
      <w:r>
        <w:rPr>
          <w:rFonts w:ascii="Arial" w:cs="Arial" w:eastAsia="Arial" w:hAnsi="Arial"/>
          <w:sz w:val="13"/>
          <w:szCs w:val="13"/>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and ceramic and plastic used for packaging.</w:t>
      </w:r>
    </w:p>
    <w:p>
      <w:pPr>
        <w:spacing w:after="0" w:line="67"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We develop and employ a wide variety of proprietary manufacturing processes that are specifically tailored for use in fabricating high-performance analog, DSP, mixed-signal and MEMS ICs. We also use bipolar and complementary metal-oxide semiconductor, or CMOS, wafer fabrication processes.</w:t>
      </w:r>
    </w:p>
    <w:p>
      <w:pPr>
        <w:spacing w:after="0" w:line="59"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Our IC products are fabricated both at our production facilities and by third-party wafer fabricators. Our products are manufactured in our own wafer fabrication facilities using proprietary processes and at third-party wafer-fabrication foundries using sub-micron digital CMOS processes. A significant portion of our revenue in fiscal years 2011, 2010 and 2009 was from products fabricated at third-party wafer-fabrication facilities, primarily Taiwan Semiconductor Manufacturing Company, or TSMC. We operate wafer fabrication facilities in Wilmington,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t>Massachusetts and Limerick, Ireland. We also operate test facilities located in the Philippines and use third-party subcontractors for the assembly and testing of our products.</w:t>
      </w:r>
    </w:p>
    <w:p>
      <w:pPr>
        <w:spacing w:after="0" w:line="96"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Capital spending was approximately $123.0 million in fiscal 2011, compared with approximately $111.6 million in fiscal 2010. We currently plan to make capital expenditures in the range of approximately $100 million to $125 million in fiscal 2012.</w:t>
      </w:r>
    </w:p>
    <w:p>
      <w:pPr>
        <w:spacing w:after="0" w:line="59"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However, a large portion of our external wafer purchases and foundry services are from a limited number of suppliers, primarily TSMC. If TSMC or any of our other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Although we have experienced shortages of components, materials and external foundry services from time to time, these items have generally been available to us as needed.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Backlog at the end of fiscal 2011 was approximately $379 million, down from approximately $563 million at the end of fiscal 2010. We define backlog as of a particular date to mean firm orders from a customer or distributor with a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cancelled or deliveries to be delayed by customers without significant penalty. Accordingly, we believe that our backlog at any time should not be used as an indication of our future revenue.</w:t>
      </w:r>
    </w:p>
    <w:p>
      <w:pPr>
        <w:spacing w:after="0" w:line="55" w:lineRule="exact"/>
        <w:rPr>
          <w:sz w:val="20"/>
          <w:szCs w:val="20"/>
          <w:color w:val="auto"/>
        </w:rPr>
      </w:pPr>
    </w:p>
    <w:p>
      <w:pPr>
        <w:ind w:right="200" w:firstLine="399"/>
        <w:spacing w:after="0" w:line="282" w:lineRule="auto"/>
        <w:rPr>
          <w:sz w:val="20"/>
          <w:szCs w:val="20"/>
          <w:color w:val="auto"/>
        </w:rPr>
      </w:pPr>
      <w:r>
        <w:rPr>
          <w:rFonts w:ascii="Arial" w:cs="Arial" w:eastAsia="Arial" w:hAnsi="Arial"/>
          <w:sz w:val="12"/>
          <w:szCs w:val="12"/>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Contracts</w:t>
      </w:r>
    </w:p>
    <w:p>
      <w:pPr>
        <w:spacing w:after="0" w:line="10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We estimate that approximately 3% of our fiscal 2011 revenue was attributable to sales to the U.S. government and U.S. government contractors and subcontractors. Our government contract business is predominantly in the form of negotiated, firm, fixed-price subcontracts. Most of these contracts and subcontracts contain standard provisions relating to termination at the election of the U.S.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Acquisitions, Divestitures and Investments</w:t>
      </w:r>
    </w:p>
    <w:p>
      <w:pPr>
        <w:spacing w:after="0" w:line="10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An element of our business strategy involves expansion through the acquisition of businesses, assets, products or technologies that allow us to complement our existing product offerings, expand our market coverage, increase our engineering workforce or enhance our technological capabilities. From time to time, we consider acquisitions and divestitures that may strengthen our business.</w:t>
      </w:r>
    </w:p>
    <w:p>
      <w:pPr>
        <w:spacing w:after="0" w:line="67"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Additional information relating to our acquisition and divestiture activities during fiscal 2011, 2010 and 2009 is set forth in Note 2u and Note 6 of the Notes to Consolidated Financial Statements contained in Item 8 of this Annual Report on Form 10-K.</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 varying among products, markets, and customers.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compete with a number of semiconductor companies in markets that are highly competitive. Our competitors include but are not limited to:</w:t>
      </w:r>
    </w:p>
    <w:p>
      <w:pPr>
        <w:sectPr>
          <w:pgSz w:w="11900" w:h="16838" w:orient="portrait"/>
          <w:cols w:equalWidth="0" w:num="1">
            <w:col w:w="9960"/>
          </w:cols>
          <w:pgMar w:left="900" w:top="716" w:right="10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 Broadcom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Cirrus Logic, Inc.</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Freescale Semiconductor, Inc.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 Infineon Technologies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Intersil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Knowles Electronics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Linear Technology Corporation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Maxim Integrated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Microchip Technology,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NXP Semiconductors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ST Microelectronics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Silicon Laboratories,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 Texas Instruments, Inc.</w:t>
      </w:r>
    </w:p>
    <w:p>
      <w:pPr>
        <w:spacing w:after="0" w:line="245" w:lineRule="exact"/>
        <w:rPr>
          <w:sz w:val="20"/>
          <w:szCs w:val="20"/>
          <w:color w:val="auto"/>
        </w:rPr>
      </w:pPr>
    </w:p>
    <w:p>
      <w:pPr>
        <w:sectPr>
          <w:pgSz w:w="11900" w:h="16838" w:orient="portrait"/>
          <w:cols w:equalWidth="0" w:num="2">
            <w:col w:w="4480" w:space="720"/>
            <w:col w:w="4760"/>
          </w:cols>
          <w:pgMar w:left="900" w:top="716" w:right="1039" w:bottom="1440" w:gutter="0" w:footer="0" w:header="0"/>
          <w:type w:val="continuous"/>
        </w:sectPr>
      </w:pPr>
    </w:p>
    <w:p>
      <w:pPr>
        <w:ind w:right="40" w:firstLine="399"/>
        <w:spacing w:after="0" w:line="276" w:lineRule="auto"/>
        <w:rPr>
          <w:sz w:val="20"/>
          <w:szCs w:val="20"/>
          <w:color w:val="auto"/>
        </w:rPr>
      </w:pPr>
      <w:r>
        <w:rPr>
          <w:rFonts w:ascii="Arial" w:cs="Arial" w:eastAsia="Arial" w:hAnsi="Arial"/>
          <w:sz w:val="13"/>
          <w:szCs w:val="13"/>
          <w:color w:val="auto"/>
        </w:rPr>
        <w:t>We believe that our technical innovation emphasizing product performance and reliability, supported by our commitment to strong customer service and technical support, enables us to make a fundamental difference to our customers’ competiveness in our chosen markets.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 Health and Safety</w:t>
      </w:r>
    </w:p>
    <w:p>
      <w:pPr>
        <w:spacing w:after="0" w:line="100"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5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Our management systems are certified to ISO 14001, OHSAS 18001, ISO 9001 and TS16949. We are a member of the Electronic Industry Citizenship Coalition, (EICC). Our Sustainability Report, first published in 2009, states our commitment to consuming less energy and applying fair labor standards, among other things. We are not including the information contained in our Sustainability Report in, or incorporating it by reference into this Annual Report on Form 10-K.</w:t>
      </w:r>
    </w:p>
    <w:p>
      <w:pPr>
        <w:spacing w:after="0" w:line="67"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chemical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As of October 29, 2011, we employed approximately 9,200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design, support and manufacture of new and existing products and processes. We believe that relations with our employees are good; however, the competition for such personnel is intense, and the loss of key personnel could have a material adverse impact on our results of operations and financial condition.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type w:val="continuous"/>
        </w:sectPr>
      </w:pPr>
    </w:p>
    <w:bookmarkStart w:id="11" w:name="page12"/>
    <w:bookmarkEnd w:id="11"/>
    <w:p>
      <w:pPr>
        <w:spacing w:after="0"/>
        <w:tabs>
          <w:tab w:leader="none" w:pos="10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00"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Disruptions in global credit and financial markets could materially and adversely affect our business and results of operations.</w:t>
      </w:r>
    </w:p>
    <w:p>
      <w:pPr>
        <w:spacing w:after="0" w:line="96" w:lineRule="exact"/>
        <w:rPr>
          <w:sz w:val="20"/>
          <w:szCs w:val="20"/>
          <w:color w:val="auto"/>
        </w:rPr>
      </w:pPr>
    </w:p>
    <w:p>
      <w:pPr>
        <w:ind w:firstLine="399"/>
        <w:spacing w:after="0" w:line="306" w:lineRule="auto"/>
        <w:rPr>
          <w:sz w:val="20"/>
          <w:szCs w:val="20"/>
          <w:color w:val="auto"/>
        </w:rPr>
      </w:pPr>
      <w:r>
        <w:rPr>
          <w:rFonts w:ascii="Arial" w:cs="Arial" w:eastAsia="Arial" w:hAnsi="Arial"/>
          <w:sz w:val="11"/>
          <w:szCs w:val="11"/>
          <w:color w:val="auto"/>
        </w:rPr>
        <w:t>There is significant uncertainty about the stability of global credit and financial markets. These economic uncertainties affect businesses such as ours in a number of ways, making it difficult to accurately forecast and plan our future business activities. High unemployment rates, weakness in commercial and residential real estate markets and the tightening of credit by financial institutions may lead consumers and businesses to postpone spending, which may cause our customers to cancel, decrease or delay their existing and future orders for our products. In addition, financial difficulties experienced by our suppliers or distributors could result in product delays, increased accounts receivable defaults and inventory challenges. Financial turmoil may cause financial institutions to consolidate or go out of business, which increases the risk that the actual amounts realized in the future on our financial instruments could differ significantly from the fair value assigned to them. During the past few years, many governments adopted stimulus or spending programs designed to ease the economic impact of the crisis. Some of our businesses benefited from these stimulus programs and as these programs conclude, those businesses could be negatively impacted. The continuing debt crisis in certain European countries could cause the value of the Euro to deteriorate, thus reducing the purchasing power of our European customers. In addition, the recent downgrade of the U.S. credit rating and the ongoing European debt crisis have contributed to the instability in global credit markets. We are unable to predict the impact of these events, and if economic conditions deteriorate, we may record additional charges relating to restructuring costs or the impairment of assets and our business and results of operations could be materially and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future revenue, gross margins, operating results and net income are difficult to predict and may materially fluctuate.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future revenue, gross margins, operating results and net income are difficult to predict and may be materially affected by a number of factors, including:</w:t>
      </w:r>
    </w:p>
    <w:p>
      <w:pPr>
        <w:spacing w:after="0" w:line="96" w:lineRule="exact"/>
        <w:rPr>
          <w:sz w:val="20"/>
          <w:szCs w:val="20"/>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effects of adverse economic conditions in the United States and international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customer demand for our products and for end products that incorporate our products;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effectiveness of our efforts to refocus our operations, including our ability to reduce our cost structure in both the short term and over a longer duration;</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new product announcements or introductions by us, our customers or our competitors;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competitive pricing pressures;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manufacturing yields, adequate availability of wafers and other raw materials, and manufacturing, assembly and test capacity;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ability of our third party suppliers, subcontractors and manufacturers to supply us with sufficient quantities of products or components;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significant decline in our backlog;</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delay or cancellation of significant customer orders and our ability to manage inventory;</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hire, retain and motivate adequate numbers of engineers and other qualified employees to meet the demands of our customers;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geographic, product or customer mix;</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utilize our manufacturing facilities at efficient levels;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2" w:name="page13"/>
    <w:bookmarkEnd w:id="12"/>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significant litigation-related costs;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difficulties inherent in forecasting future operating expense levels, including with respect to costs associated with labor, utilities, transportation and raw materials;</w:t>
      </w:r>
    </w:p>
    <w:p>
      <w:pPr>
        <w:spacing w:after="0" w:line="97" w:lineRule="exact"/>
        <w:rPr>
          <w:rFonts w:ascii="Arial" w:cs="Arial" w:eastAsia="Arial" w:hAnsi="Arial"/>
          <w:sz w:val="12"/>
          <w:szCs w:val="12"/>
          <w:color w:val="auto"/>
        </w:rPr>
      </w:pPr>
    </w:p>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costs related to compliance with increasing worldwide environmental regulations;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our effective tax rates in the United States, Ireland or worldwide; and</w:t>
      </w:r>
    </w:p>
    <w:p>
      <w:pPr>
        <w:spacing w:after="0" w:line="86" w:lineRule="exact"/>
        <w:rPr>
          <w:rFonts w:ascii="Arial" w:cs="Arial" w:eastAsia="Arial" w:hAnsi="Arial"/>
          <w:sz w:val="13"/>
          <w:szCs w:val="13"/>
          <w:color w:val="auto"/>
        </w:rPr>
      </w:pPr>
    </w:p>
    <w:p>
      <w:pPr>
        <w:ind w:left="600" w:right="300" w:hanging="190"/>
        <w:spacing w:after="0" w:line="276"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effects of public health emergencies, natural disasters, widespread travel disruptions, security risks, terrorist activities, international conflicts and other events beyond our control.</w:t>
      </w:r>
    </w:p>
    <w:p>
      <w:pPr>
        <w:spacing w:after="0" w:line="59"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Changes in our effective tax rate may impact our results of operations.</w:t>
      </w:r>
    </w:p>
    <w:p>
      <w:pPr>
        <w:spacing w:after="0" w:line="96"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the lack of sufficient excess tax benefits (credits) in our additional paid in capital (APIC) pool in situations where our realized tax deductions for certain stock-based compensation awards are less than those originally anticipated; changes in available tax credits; and changes in tax laws or the interpretation of such tax laws. Any significant increase in our future effective tax rates could adversely impact our net income for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Long-term contracts are not typical for us and reductions, cancellations or delays in orders for our products could adversely affect our operating results.</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future success depends upon our ability to continue to innovate, improve our products, develop and market new products, and identify and enter new markets.</w:t>
      </w:r>
    </w:p>
    <w:p>
      <w:pPr>
        <w:spacing w:after="0" w:line="96"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3" w:name="page14"/>
    <w:bookmarkEnd w:id="13"/>
    <w:p>
      <w:pPr>
        <w:ind w:right="80"/>
        <w:spacing w:after="0" w:line="281" w:lineRule="auto"/>
        <w:rPr>
          <w:sz w:val="20"/>
          <w:szCs w:val="20"/>
          <w:color w:val="auto"/>
        </w:rPr>
      </w:pPr>
      <w:r>
        <w:rPr>
          <w:rFonts w:ascii="Arial" w:cs="Arial" w:eastAsia="Arial" w:hAnsi="Arial"/>
          <w:sz w:val="12"/>
          <w:szCs w:val="12"/>
          <w:color w:val="auto"/>
        </w:rPr>
        <w:t>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may not be able to compete successfully in markets within the semiconductor industry in the future.</w:t>
      </w:r>
    </w:p>
    <w:p>
      <w:pPr>
        <w:spacing w:after="0" w:line="96" w:lineRule="exact"/>
        <w:rPr>
          <w:sz w:val="20"/>
          <w:szCs w:val="20"/>
          <w:color w:val="auto"/>
        </w:rPr>
      </w:pPr>
    </w:p>
    <w:p>
      <w:pPr>
        <w:ind w:right="60" w:firstLine="399"/>
        <w:spacing w:after="0" w:line="279" w:lineRule="auto"/>
        <w:rPr>
          <w:sz w:val="20"/>
          <w:szCs w:val="20"/>
          <w:color w:val="auto"/>
        </w:rPr>
      </w:pPr>
      <w:r>
        <w:rPr>
          <w:rFonts w:ascii="Arial" w:cs="Arial" w:eastAsia="Arial" w:hAnsi="Arial"/>
          <w:sz w:val="12"/>
          <w:szCs w:val="12"/>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(or as a result of consolidation within the industry may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39" w:lineRule="exact"/>
        <w:rPr>
          <w:sz w:val="20"/>
          <w:szCs w:val="20"/>
          <w:color w:val="auto"/>
        </w:rPr>
      </w:pPr>
    </w:p>
    <w:p>
      <w:pPr>
        <w:spacing w:after="0" w:line="276" w:lineRule="auto"/>
        <w:rPr>
          <w:sz w:val="20"/>
          <w:szCs w:val="20"/>
          <w:color w:val="auto"/>
        </w:rPr>
      </w:pPr>
      <w:r>
        <w:rPr>
          <w:rFonts w:ascii="Arial" w:cs="Arial" w:eastAsia="Arial" w:hAnsi="Arial"/>
          <w:sz w:val="13"/>
          <w:szCs w:val="13"/>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59" w:lineRule="exact"/>
        <w:rPr>
          <w:sz w:val="20"/>
          <w:szCs w:val="20"/>
          <w:color w:val="auto"/>
        </w:rPr>
      </w:pPr>
    </w:p>
    <w:p>
      <w:pPr>
        <w:ind w:right="40" w:firstLine="399"/>
        <w:spacing w:after="0" w:line="279" w:lineRule="auto"/>
        <w:rPr>
          <w:sz w:val="20"/>
          <w:szCs w:val="20"/>
          <w:color w:val="auto"/>
        </w:rPr>
      </w:pPr>
      <w:r>
        <w:rPr>
          <w:rFonts w:ascii="Arial" w:cs="Arial" w:eastAsia="Arial" w:hAnsi="Arial"/>
          <w:sz w:val="12"/>
          <w:szCs w:val="12"/>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 significant portion of our revenue for fiscal 2011 was from products fabricated at third-party wafer-fabrication facilities, primarily TSMC.</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59"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The cyclical nature of the semiconductor industry has resulted in periods when demand for our products has increased or decreased rapidly. If we expand our operations and workforce too rapidly or procure excessive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4" w:name="page15"/>
    <w:bookmarkEnd w:id="14"/>
    <w:p>
      <w:pPr>
        <w:spacing w:after="0" w:line="282" w:lineRule="auto"/>
        <w:rPr>
          <w:sz w:val="20"/>
          <w:szCs w:val="20"/>
          <w:color w:val="auto"/>
        </w:rPr>
      </w:pPr>
      <w:r>
        <w:rPr>
          <w:rFonts w:ascii="Arial" w:cs="Arial" w:eastAsia="Arial" w:hAnsi="Arial"/>
          <w:sz w:val="12"/>
          <w:szCs w:val="12"/>
          <w:color w:val="auto"/>
        </w:rPr>
        <w:t>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38" w:lineRule="exact"/>
        <w:rPr>
          <w:sz w:val="20"/>
          <w:szCs w:val="20"/>
          <w:color w:val="auto"/>
        </w:rPr>
      </w:pPr>
    </w:p>
    <w:p>
      <w:pPr>
        <w:ind w:right="460"/>
        <w:spacing w:after="0" w:line="276" w:lineRule="auto"/>
        <w:rPr>
          <w:sz w:val="20"/>
          <w:szCs w:val="20"/>
          <w:color w:val="auto"/>
        </w:rPr>
      </w:pPr>
      <w:r>
        <w:rPr>
          <w:rFonts w:ascii="Arial" w:cs="Arial" w:eastAsia="Arial" w:hAnsi="Arial"/>
          <w:sz w:val="13"/>
          <w:szCs w:val="13"/>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59"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9"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3"/>
          <w:szCs w:val="13"/>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5" w:name="page16"/>
    <w:bookmarkEnd w:id="15"/>
    <w:p>
      <w:pPr>
        <w:ind w:right="260"/>
        <w:spacing w:after="0" w:line="320" w:lineRule="auto"/>
        <w:rPr>
          <w:sz w:val="20"/>
          <w:szCs w:val="20"/>
          <w:color w:val="auto"/>
        </w:rPr>
      </w:pPr>
      <w:r>
        <w:rPr>
          <w:rFonts w:ascii="Arial" w:cs="Arial" w:eastAsia="Arial" w:hAnsi="Arial"/>
          <w:sz w:val="12"/>
          <w:szCs w:val="12"/>
          <w:color w:val="auto"/>
        </w:rPr>
        <w:t>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may be unable to adequately protect our proprietary rights, which may limit our ability to compete effectively.</w:t>
      </w:r>
    </w:p>
    <w:p>
      <w:pPr>
        <w:spacing w:after="0" w:line="96"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7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71" w:lineRule="exact"/>
        <w:rPr>
          <w:sz w:val="20"/>
          <w:szCs w:val="20"/>
          <w:color w:val="auto"/>
        </w:rPr>
      </w:pPr>
    </w:p>
    <w:p>
      <w:pPr>
        <w:ind w:right="360" w:firstLine="399"/>
        <w:spacing w:after="0" w:line="260" w:lineRule="auto"/>
        <w:rPr>
          <w:sz w:val="20"/>
          <w:szCs w:val="20"/>
          <w:color w:val="auto"/>
        </w:rPr>
      </w:pPr>
      <w:r>
        <w:rPr>
          <w:rFonts w:ascii="Arial" w:cs="Arial" w:eastAsia="Arial" w:hAnsi="Arial"/>
          <w:sz w:val="13"/>
          <w:szCs w:val="13"/>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may be subject to network disruptions or security breaches that could damage our reputation and harm our business and operating results.</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We may be subject to network disruptions or security breaches caused by computer viruses, illegal break-ins or hacking, sabotage, acts of vandalism by third parties or terrorism. Our security measures or those of our third party service providers may not detect or prevent such security breaches. Any such compromise of our information security could result in the unauthorized publication of our confidential business or proprietary information, cause an interruption in our operations, result in the unauthorized release of customer or employee data, result in a violation of privacy or other laws, expose us to a risk of litigation or damage our reputation, which could harm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 we do not retain our key personnel, our ability to execute our business strategy will be adversely affected.</w:t>
      </w:r>
    </w:p>
    <w:p>
      <w:pPr>
        <w:spacing w:after="0" w:line="96"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32"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59" w:lineRule="exact"/>
        <w:rPr>
          <w:sz w:val="20"/>
          <w:szCs w:val="20"/>
          <w:color w:val="auto"/>
        </w:rPr>
      </w:pPr>
    </w:p>
    <w:p>
      <w:pPr>
        <w:ind w:right="260" w:firstLine="399"/>
        <w:spacing w:after="0" w:line="320" w:lineRule="auto"/>
        <w:rPr>
          <w:sz w:val="20"/>
          <w:szCs w:val="20"/>
          <w:color w:val="auto"/>
        </w:rPr>
      </w:pPr>
      <w:r>
        <w:rPr>
          <w:rFonts w:ascii="Arial" w:cs="Arial" w:eastAsia="Arial" w:hAnsi="Arial"/>
          <w:sz w:val="12"/>
          <w:szCs w:val="12"/>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16" w:name="page17"/>
    <w:bookmarkEnd w:id="16"/>
    <w:p>
      <w:pPr>
        <w:ind w:right="100"/>
        <w:spacing w:after="0" w:line="257" w:lineRule="auto"/>
        <w:rPr>
          <w:sz w:val="20"/>
          <w:szCs w:val="20"/>
          <w:color w:val="auto"/>
        </w:rPr>
      </w:pPr>
      <w:r>
        <w:rPr>
          <w:rFonts w:ascii="Arial" w:cs="Arial" w:eastAsia="Arial" w:hAnsi="Arial"/>
          <w:sz w:val="13"/>
          <w:szCs w:val="13"/>
          <w:color w:val="auto"/>
        </w:rPr>
        <w:t>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Acquisitions also involve a number of risks, including:</w:t>
      </w:r>
    </w:p>
    <w:p>
      <w:pPr>
        <w:spacing w:after="0" w:line="96" w:lineRule="exact"/>
        <w:rPr>
          <w:sz w:val="20"/>
          <w:szCs w:val="20"/>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difficulty integrating acquired technologies, operations and personnel with our existing businesses;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diversion of management attention in connection with both negotiating the acquisitions and integrating the assets;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strain on managerial and operational resources as management tries to oversee larger operations;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future funding requirements for acquired companies, which may be significant;</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potential loss of key employees;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exposure to unforeseen liabilities of acquired companies;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increased risk of costly and time-consuming litigation.</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If we are unable to successfully address these risks, we may not realize some or all of the expected benefits of the acquisition, which may have an adverse effect on our business plans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rely on manufacturing capacity located in geologically unstable areas, which could affect the availability of supplies and services.</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created widespread destruction and economic uncertainty in that region. Japan represented approximately 13% of our revenue in fiscal 2011.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are exposed to business, economic, political, legal and other risks through our significant worldwide operations.</w:t>
      </w:r>
    </w:p>
    <w:p>
      <w:pPr>
        <w:spacing w:after="0" w:line="96"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We have significant operations and manufacturing facilities outside the United States, including in Ireland and the Philippines. During fiscal 2011, we derived approximately 82% of our revenue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October 29, 2011, our principal source of liquidity was $3,592.5 million of cash and cash equivalents and short-term investments. As of October 29, 2011, approximately $1,170.5 million of our cash and cash equivalents and short-term investments was held in the United States and the remaining balance was held outside the United States in various foreign subsidiaries. As we intend to reinvest certain of our foreign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17" w:name="page18"/>
    <w:bookmarkEnd w:id="17"/>
    <w:p>
      <w:pPr>
        <w:ind w:right="60"/>
        <w:spacing w:after="0" w:line="289" w:lineRule="auto"/>
        <w:rPr>
          <w:sz w:val="20"/>
          <w:szCs w:val="20"/>
          <w:color w:val="auto"/>
        </w:rPr>
      </w:pPr>
      <w:r>
        <w:rPr>
          <w:rFonts w:ascii="Arial" w:cs="Arial" w:eastAsia="Arial" w:hAnsi="Arial"/>
          <w:sz w:val="12"/>
          <w:szCs w:val="12"/>
          <w:color w:val="auto"/>
        </w:rPr>
        <w:t>earnings indefinitely, this cash held outside the United States is not readily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53"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w:t>
      </w:r>
    </w:p>
    <w:p>
      <w:pPr>
        <w:spacing w:after="0" w:line="73"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operating results are dependent on the performance of independent distributors.</w:t>
      </w:r>
    </w:p>
    <w:p>
      <w:pPr>
        <w:spacing w:after="0" w:line="96" w:lineRule="exact"/>
        <w:rPr>
          <w:sz w:val="20"/>
          <w:szCs w:val="20"/>
          <w:color w:val="auto"/>
        </w:rPr>
      </w:pPr>
    </w:p>
    <w:p>
      <w:pPr>
        <w:ind w:right="220" w:firstLine="399"/>
        <w:spacing w:after="0" w:line="258" w:lineRule="auto"/>
        <w:rPr>
          <w:sz w:val="20"/>
          <w:szCs w:val="20"/>
          <w:color w:val="auto"/>
        </w:rPr>
      </w:pPr>
      <w:r>
        <w:rPr>
          <w:rFonts w:ascii="Arial" w:cs="Arial" w:eastAsia="Arial" w:hAnsi="Arial"/>
          <w:sz w:val="13"/>
          <w:szCs w:val="13"/>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We are subject to increasingly strict environmental health and safety (EHS) regulations, which could increase our expenses and affect our operating results.</w:t>
      </w:r>
    </w:p>
    <w:p>
      <w:pPr>
        <w:spacing w:after="0" w:line="96"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8" w:name="page19"/>
    <w:bookmarkEnd w:id="18"/>
    <w:p>
      <w:pPr>
        <w:ind w:right="80" w:firstLine="399"/>
        <w:spacing w:after="0" w:line="308" w:lineRule="auto"/>
        <w:rPr>
          <w:sz w:val="20"/>
          <w:szCs w:val="20"/>
          <w:color w:val="auto"/>
        </w:rPr>
      </w:pPr>
      <w:r>
        <w:rPr>
          <w:rFonts w:ascii="Arial" w:cs="Arial" w:eastAsia="Arial" w:hAnsi="Arial"/>
          <w:sz w:val="11"/>
          <w:szCs w:val="11"/>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27"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i w:val="1"/>
          <w:iCs w:val="1"/>
          <w:color w:val="auto"/>
        </w:rPr>
        <w:t>If we are unable to generate sufficient cash flow, we may not be able to service our debt obligations, including making payments on our two issuances of $375 million senior unsecured notes or our $145 million term loan facility.</w:t>
      </w:r>
    </w:p>
    <w:p>
      <w:pPr>
        <w:spacing w:after="0" w:line="59"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In fiscal 2009, we issued in a public offering $375 million aggregate principal amount of 5.0% senior unsecured notes due July 1, 2014. In April 2011, we issued in a public offering $375 million aggregate principal amount of 3.0% senior unsecured notes due April 15, 2016. In December 2010, Analog Devices Holdings B.V., a wholly owned subsidiary of ours,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55" w:lineRule="exact"/>
        <w:rPr>
          <w:sz w:val="20"/>
          <w:szCs w:val="20"/>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seek additional financing in the debt or equity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refinance or restructure all or a portion of our indebtedness, including the notes;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sell selected assets;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reduce or delay planned capital expenditures; or</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reduce or delay planned operating expenditures.</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Such measures might not be sufficient to enable us to service our debt, including the notes or our term loan facility, which could negatively impact our financial results. In addition, any such financing, refinancing or sale of assets might not be possible on economically favorable terms.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Restrictions in our revolving credit and term loan facilities and outstanding debt instruments may limit our activities.</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Our current revolving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9" w:name="page20"/>
    <w:bookmarkEnd w:id="19"/>
    <w:p>
      <w:pPr>
        <w:spacing w:after="0"/>
        <w:rPr>
          <w:sz w:val="20"/>
          <w:szCs w:val="20"/>
          <w:color w:val="auto"/>
        </w:rPr>
      </w:pPr>
      <w:r>
        <w:rPr>
          <w:rFonts w:ascii="Arial" w:cs="Arial" w:eastAsia="Arial" w:hAnsi="Arial"/>
          <w:sz w:val="13"/>
          <w:szCs w:val="13"/>
          <w:i w:val="1"/>
          <w:iCs w:val="1"/>
          <w:color w:val="auto"/>
        </w:rPr>
        <w:t>Our stock price may be volatile.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market price of our common stock has been volatile in the past and may be volatile in the future, as it may be significantly affected by the following factors:</w:t>
      </w:r>
    </w:p>
    <w:p>
      <w:pPr>
        <w:spacing w:after="0" w:line="96" w:lineRule="exact"/>
        <w:rPr>
          <w:sz w:val="20"/>
          <w:szCs w:val="20"/>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crises in global credit, debt and financial markets;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anticipated fluctuations in our revenue and operating results;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financial estimates by securities analysts or our failure to perform in line with those estimates or our published guidance;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changes in market valuations of other semiconductor companies;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new products, technical innovations, acquisitions or dispositions, litigation or capital commitments;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departures of key personnel;</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actual or perceived noncompliance with corporate responsibility or ethics standards by us or any of our employees, officers or directors;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negative media publicity targeting us or our competitors.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0" w:name="page21"/>
    <w:bookmarkEnd w:id="20"/>
    <w:p>
      <w:pPr>
        <w:spacing w:after="0"/>
        <w:tabs>
          <w:tab w:leader="none" w:pos="10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00" w:type="dxa"/>
            <w:vAlign w:val="bottom"/>
            <w:gridSpan w:val="2"/>
          </w:tcPr>
          <w:p>
            <w:pPr>
              <w:ind w:left="500"/>
              <w:spacing w:after="0"/>
              <w:rPr>
                <w:sz w:val="20"/>
                <w:szCs w:val="20"/>
                <w:color w:val="auto"/>
              </w:rPr>
            </w:pPr>
            <w:r>
              <w:rPr>
                <w:rFonts w:ascii="Arial" w:cs="Arial" w:eastAsia="Arial" w:hAnsi="Arial"/>
                <w:sz w:val="10"/>
                <w:szCs w:val="10"/>
                <w:b w:val="1"/>
                <w:bCs w:val="1"/>
                <w:color w:val="auto"/>
              </w:rPr>
              <w:t>Principal Properties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500" w:type="dxa"/>
            <w:vAlign w:val="bottom"/>
            <w:gridSpan w:val="2"/>
            <w:vMerge w:val="restart"/>
          </w:tcPr>
          <w:p>
            <w:pPr>
              <w:ind w:left="3100"/>
              <w:spacing w:after="0"/>
              <w:rPr>
                <w:sz w:val="20"/>
                <w:szCs w:val="20"/>
                <w:color w:val="auto"/>
              </w:rPr>
            </w:pPr>
            <w:r>
              <w:rPr>
                <w:rFonts w:ascii="Arial" w:cs="Arial" w:eastAsia="Arial" w:hAnsi="Arial"/>
                <w:sz w:val="10"/>
                <w:szCs w:val="10"/>
                <w:b w:val="1"/>
                <w:bCs w:val="1"/>
                <w:color w:val="auto"/>
              </w:rPr>
              <w:t>Use</w:t>
            </w: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Floor Space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00" w:type="dxa"/>
            <w:vAlign w:val="bottom"/>
            <w:tcBorders>
              <w:bottom w:val="single" w:sz="8" w:color="auto"/>
            </w:tcBorders>
            <w:gridSpan w:val="2"/>
          </w:tcPr>
          <w:p>
            <w:pPr>
              <w:ind w:left="780"/>
              <w:spacing w:after="0"/>
              <w:rPr>
                <w:sz w:val="20"/>
                <w:szCs w:val="20"/>
                <w:color w:val="auto"/>
              </w:rPr>
            </w:pPr>
            <w:r>
              <w:rPr>
                <w:rFonts w:ascii="Arial" w:cs="Arial" w:eastAsia="Arial" w:hAnsi="Arial"/>
                <w:sz w:val="10"/>
                <w:szCs w:val="10"/>
                <w:b w:val="1"/>
                <w:bCs w:val="1"/>
                <w:color w:val="auto"/>
              </w:rPr>
              <w:t>Owned: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500" w:type="dxa"/>
            <w:vAlign w:val="bottom"/>
            <w:tcBorders>
              <w:bottom w:val="single" w:sz="8" w:color="auto"/>
            </w:tcBorders>
            <w:gridSpan w:val="2"/>
            <w:vMerge w:val="continue"/>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00" w:type="dxa"/>
            <w:vAlign w:val="bottom"/>
            <w:gridSpan w:val="2"/>
          </w:tcPr>
          <w:p>
            <w:pPr>
              <w:spacing w:after="0"/>
              <w:rPr>
                <w:sz w:val="20"/>
                <w:szCs w:val="20"/>
                <w:color w:val="auto"/>
              </w:rPr>
            </w:pPr>
            <w:r>
              <w:rPr>
                <w:rFonts w:ascii="Arial" w:cs="Arial" w:eastAsia="Arial" w:hAnsi="Arial"/>
                <w:sz w:val="13"/>
                <w:szCs w:val="13"/>
                <w:color w:val="auto"/>
              </w:rPr>
              <w:t>Wilmington, MA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Wafer fabrication, testing, engineering, marketing and administrative offices</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Arial" w:cs="Arial" w:eastAsia="Arial" w:hAnsi="Arial"/>
                <w:sz w:val="13"/>
                <w:szCs w:val="13"/>
                <w:color w:val="auto"/>
                <w:w w:val="99"/>
              </w:rPr>
              <w:t>586,200 sq. ft.</w:t>
            </w: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3"/>
                <w:szCs w:val="13"/>
                <w:color w:val="auto"/>
              </w:rPr>
              <w:t>Cavite, Philippines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Wafer probe and testing, warehouse, engineering and administrative offices</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Arial" w:cs="Arial" w:eastAsia="Arial" w:hAnsi="Arial"/>
                <w:sz w:val="13"/>
                <w:szCs w:val="13"/>
                <w:color w:val="auto"/>
                <w:w w:val="99"/>
              </w:rPr>
              <w:t>596,900 sq. ft.</w:t>
            </w: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3"/>
                <w:szCs w:val="13"/>
                <w:color w:val="auto"/>
              </w:rPr>
              <w:t>Limerick, Ireland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w w:val="95"/>
              </w:rPr>
              <w:t>Wafer fabrication, wafer probe and testing, engineering and administrative offices</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ind w:left="200"/>
              <w:spacing w:after="0"/>
              <w:rPr>
                <w:sz w:val="20"/>
                <w:szCs w:val="20"/>
                <w:color w:val="auto"/>
              </w:rPr>
            </w:pPr>
            <w:r>
              <w:rPr>
                <w:rFonts w:ascii="Arial" w:cs="Arial" w:eastAsia="Arial" w:hAnsi="Arial"/>
                <w:sz w:val="13"/>
                <w:szCs w:val="13"/>
                <w:color w:val="auto"/>
                <w:w w:val="99"/>
              </w:rPr>
              <w:t>446,500 sq. ft.</w:t>
            </w: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Product testing, engineering and administrative offices</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98,700 sq. ft.</w:t>
            </w: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3"/>
                <w:szCs w:val="13"/>
                <w:color w:val="auto"/>
              </w:rPr>
              <w:t>San Jose, CA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Engineering, administrative offices</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76,700 sq. ft.</w:t>
            </w:r>
          </w:p>
        </w:tc>
        <w:tc>
          <w:tcPr>
            <w:tcW w:w="0" w:type="dxa"/>
            <w:vAlign w:val="bottom"/>
          </w:tcPr>
          <w:p>
            <w:pPr>
              <w:spacing w:after="0"/>
              <w:rPr>
                <w:sz w:val="1"/>
                <w:szCs w:val="1"/>
                <w:color w:val="auto"/>
              </w:rPr>
            </w:pPr>
          </w:p>
        </w:tc>
      </w:tr>
      <w:tr>
        <w:trPr>
          <w:trHeight w:val="165"/>
        </w:trPr>
        <w:tc>
          <w:tcPr>
            <w:tcW w:w="1900" w:type="dxa"/>
            <w:vAlign w:val="bottom"/>
            <w:gridSpan w:val="2"/>
          </w:tcPr>
          <w:p>
            <w:pPr>
              <w:spacing w:after="0"/>
              <w:rPr>
                <w:sz w:val="20"/>
                <w:szCs w:val="20"/>
                <w:color w:val="auto"/>
              </w:rPr>
            </w:pPr>
            <w:r>
              <w:rPr>
                <w:rFonts w:ascii="Arial" w:cs="Arial" w:eastAsia="Arial" w:hAnsi="Arial"/>
                <w:sz w:val="13"/>
                <w:szCs w:val="13"/>
                <w:color w:val="auto"/>
              </w:rPr>
              <w:t>Manila, Philippines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Components assembly and testing, engineering and administrative offices</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74,000 sq. ft.</w:t>
            </w:r>
          </w:p>
        </w:tc>
        <w:tc>
          <w:tcPr>
            <w:tcW w:w="0" w:type="dxa"/>
            <w:vAlign w:val="bottom"/>
          </w:tcPr>
          <w:p>
            <w:pPr>
              <w:spacing w:after="0"/>
              <w:rPr>
                <w:sz w:val="1"/>
                <w:szCs w:val="1"/>
                <w:color w:val="auto"/>
              </w:rPr>
            </w:pPr>
          </w:p>
        </w:tc>
      </w:tr>
      <w:tr>
        <w:trPr>
          <w:trHeight w:val="269"/>
        </w:trPr>
        <w:tc>
          <w:tcPr>
            <w:tcW w:w="1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Principal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0"/>
                <w:szCs w:val="10"/>
                <w:b w:val="1"/>
                <w:bCs w:val="1"/>
                <w:color w:val="auto"/>
                <w:w w:val="91"/>
              </w:rPr>
              <w:t>Lease</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Properties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500" w:type="dxa"/>
            <w:vAlign w:val="bottom"/>
            <w:gridSpan w:val="2"/>
            <w:vMerge w:val="restart"/>
          </w:tcPr>
          <w:p>
            <w:pPr>
              <w:ind w:left="1960"/>
              <w:spacing w:after="0"/>
              <w:rPr>
                <w:sz w:val="20"/>
                <w:szCs w:val="20"/>
                <w:color w:val="auto"/>
              </w:rPr>
            </w:pPr>
            <w:r>
              <w:rPr>
                <w:rFonts w:ascii="Arial" w:cs="Arial" w:eastAsia="Arial" w:hAnsi="Arial"/>
                <w:sz w:val="10"/>
                <w:szCs w:val="10"/>
                <w:b w:val="1"/>
                <w:bCs w:val="1"/>
                <w:color w:val="auto"/>
              </w:rPr>
              <w:t>Use</w:t>
            </w:r>
          </w:p>
        </w:tc>
        <w:tc>
          <w:tcPr>
            <w:tcW w:w="148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Floor Space</w:t>
            </w:r>
          </w:p>
        </w:tc>
        <w:tc>
          <w:tcPr>
            <w:tcW w:w="8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Renewals</w:t>
            </w:r>
          </w:p>
        </w:tc>
        <w:tc>
          <w:tcPr>
            <w:tcW w:w="0" w:type="dxa"/>
            <w:vAlign w:val="bottom"/>
          </w:tcPr>
          <w:p>
            <w:pPr>
              <w:spacing w:after="0"/>
              <w:rPr>
                <w:sz w:val="1"/>
                <w:szCs w:val="1"/>
                <w:color w:val="auto"/>
              </w:rPr>
            </w:pPr>
          </w:p>
        </w:tc>
      </w:tr>
      <w:tr>
        <w:trPr>
          <w:trHeight w:val="125"/>
        </w:trPr>
        <w:tc>
          <w:tcPr>
            <w:tcW w:w="1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Leased: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500" w:type="dxa"/>
            <w:vAlign w:val="bottom"/>
            <w:gridSpan w:val="2"/>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Expiration</w:t>
            </w:r>
          </w:p>
        </w:tc>
        <w:tc>
          <w:tcPr>
            <w:tcW w:w="2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1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(fiscal year)</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900" w:type="dxa"/>
            <w:vAlign w:val="bottom"/>
            <w:gridSpan w:val="2"/>
          </w:tcPr>
          <w:p>
            <w:pPr>
              <w:spacing w:after="0"/>
              <w:rPr>
                <w:sz w:val="20"/>
                <w:szCs w:val="20"/>
                <w:color w:val="auto"/>
              </w:rPr>
            </w:pPr>
            <w:r>
              <w:rPr>
                <w:rFonts w:ascii="Arial" w:cs="Arial" w:eastAsia="Arial" w:hAnsi="Arial"/>
                <w:sz w:val="13"/>
                <w:szCs w:val="13"/>
                <w:color w:val="auto"/>
              </w:rPr>
              <w:t>Norwood, MA</w:t>
            </w:r>
          </w:p>
        </w:tc>
        <w:tc>
          <w:tcPr>
            <w:tcW w:w="120" w:type="dxa"/>
            <w:vAlign w:val="bottom"/>
          </w:tcPr>
          <w:p>
            <w:pPr>
              <w:spacing w:after="0"/>
              <w:rPr>
                <w:sz w:val="13"/>
                <w:szCs w:val="13"/>
                <w:color w:val="auto"/>
              </w:rPr>
            </w:pPr>
          </w:p>
        </w:tc>
        <w:tc>
          <w:tcPr>
            <w:tcW w:w="4600" w:type="dxa"/>
            <w:vAlign w:val="bottom"/>
            <w:gridSpan w:val="3"/>
          </w:tcPr>
          <w:p>
            <w:pPr>
              <w:spacing w:after="0"/>
              <w:rPr>
                <w:sz w:val="20"/>
                <w:szCs w:val="20"/>
                <w:color w:val="auto"/>
              </w:rPr>
            </w:pPr>
            <w:r>
              <w:rPr>
                <w:rFonts w:ascii="Arial" w:cs="Arial" w:eastAsia="Arial" w:hAnsi="Arial"/>
                <w:sz w:val="13"/>
                <w:szCs w:val="13"/>
                <w:color w:val="auto"/>
              </w:rPr>
              <w:t>Corporate headquarters, engineering, components testing, sales and marketing</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130,000 sq. ft.</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2, five-yr.</w:t>
            </w: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gridSpan w:val="3"/>
          </w:tcPr>
          <w:p>
            <w:pPr>
              <w:spacing w:after="0"/>
              <w:rPr>
                <w:sz w:val="20"/>
                <w:szCs w:val="20"/>
                <w:color w:val="auto"/>
              </w:rPr>
            </w:pPr>
            <w:r>
              <w:rPr>
                <w:rFonts w:ascii="Arial" w:cs="Arial" w:eastAsia="Arial" w:hAnsi="Arial"/>
                <w:sz w:val="13"/>
                <w:szCs w:val="13"/>
                <w:color w:val="auto"/>
              </w:rPr>
              <w:t>offices</w:t>
            </w: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periods</w:t>
            </w:r>
          </w:p>
        </w:tc>
        <w:tc>
          <w:tcPr>
            <w:tcW w:w="0" w:type="dxa"/>
            <w:vAlign w:val="bottom"/>
          </w:tcPr>
          <w:p>
            <w:pPr>
              <w:spacing w:after="0"/>
              <w:rPr>
                <w:sz w:val="1"/>
                <w:szCs w:val="1"/>
                <w:color w:val="auto"/>
              </w:rPr>
            </w:pPr>
          </w:p>
        </w:tc>
      </w:tr>
      <w:tr>
        <w:trPr>
          <w:trHeight w:val="157"/>
        </w:trPr>
        <w:tc>
          <w:tcPr>
            <w:tcW w:w="1900" w:type="dxa"/>
            <w:vAlign w:val="bottom"/>
            <w:gridSpan w:val="2"/>
          </w:tcPr>
          <w:p>
            <w:pPr>
              <w:spacing w:after="0"/>
              <w:rPr>
                <w:sz w:val="20"/>
                <w:szCs w:val="20"/>
                <w:color w:val="auto"/>
              </w:rPr>
            </w:pPr>
            <w:r>
              <w:rPr>
                <w:rFonts w:ascii="Arial" w:cs="Arial" w:eastAsia="Arial" w:hAnsi="Arial"/>
                <w:sz w:val="13"/>
                <w:szCs w:val="13"/>
                <w:color w:val="auto"/>
              </w:rPr>
              <w:t>Greensboro, NC</w:t>
            </w:r>
          </w:p>
        </w:tc>
        <w:tc>
          <w:tcPr>
            <w:tcW w:w="120" w:type="dxa"/>
            <w:vAlign w:val="bottom"/>
          </w:tcPr>
          <w:p>
            <w:pPr>
              <w:spacing w:after="0"/>
              <w:rPr>
                <w:sz w:val="13"/>
                <w:szCs w:val="13"/>
                <w:color w:val="auto"/>
              </w:rPr>
            </w:pPr>
          </w:p>
        </w:tc>
        <w:tc>
          <w:tcPr>
            <w:tcW w:w="4600" w:type="dxa"/>
            <w:vAlign w:val="bottom"/>
            <w:gridSpan w:val="3"/>
          </w:tcPr>
          <w:p>
            <w:pPr>
              <w:spacing w:after="0"/>
              <w:rPr>
                <w:sz w:val="20"/>
                <w:szCs w:val="20"/>
                <w:color w:val="auto"/>
              </w:rPr>
            </w:pPr>
            <w:r>
              <w:rPr>
                <w:rFonts w:ascii="Arial" w:cs="Arial" w:eastAsia="Arial" w:hAnsi="Arial"/>
                <w:sz w:val="13"/>
                <w:szCs w:val="13"/>
                <w:color w:val="auto"/>
              </w:rPr>
              <w:t>Engineering and administrative offices</w:t>
            </w: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47,600 sq. ft.</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2013</w:t>
            </w:r>
          </w:p>
        </w:tc>
        <w:tc>
          <w:tcPr>
            <w:tcW w:w="24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1, one-yr.</w:t>
            </w: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period</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20" w:firstLine="399"/>
        <w:spacing w:after="0" w:line="322" w:lineRule="auto"/>
        <w:rPr>
          <w:sz w:val="20"/>
          <w:szCs w:val="20"/>
          <w:color w:val="auto"/>
        </w:rPr>
      </w:pPr>
      <w:r>
        <w:rPr>
          <w:rFonts w:ascii="Arial" w:cs="Arial" w:eastAsia="Arial" w:hAnsi="Arial"/>
          <w:sz w:val="11"/>
          <w:szCs w:val="11"/>
          <w:color w:val="auto"/>
        </w:rPr>
        <w:t>In addition to the principal leased properties listed in the above table, we also lease sales offices and other premises at 21 locations in the United States and 36 locations internationally under operating lease agreements. These leases expire at various dates through the year 2022.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11 in the Notes to Consolidated Financial Statements contained in Item 8 of this Annual Report on Form 10-K.</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1" w:name="page22"/>
    <w:bookmarkEnd w:id="21"/>
    <w:p>
      <w:pPr>
        <w:spacing w:after="0"/>
        <w:tabs>
          <w:tab w:leader="none" w:pos="9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100" w:lineRule="exact"/>
        <w:rPr>
          <w:sz w:val="20"/>
          <w:szCs w:val="20"/>
          <w:color w:val="auto"/>
        </w:rPr>
      </w:pPr>
    </w:p>
    <w:p>
      <w:pPr>
        <w:jc w:val="both"/>
        <w:ind w:firstLine="399"/>
        <w:spacing w:after="0" w:line="334" w:lineRule="auto"/>
        <w:rPr>
          <w:sz w:val="20"/>
          <w:szCs w:val="20"/>
          <w:color w:val="auto"/>
        </w:rPr>
      </w:pPr>
      <w:r>
        <w:rPr>
          <w:rFonts w:ascii="Arial" w:cs="Arial" w:eastAsia="Arial" w:hAnsi="Arial"/>
          <w:sz w:val="11"/>
          <w:szCs w:val="11"/>
          <w:color w:val="auto"/>
        </w:rPr>
        <w:t>From time to time in the ordinary course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 We do not believe that any current legal matters will have a material adverse effect on our financial position, results of operations or cash flows.</w:t>
      </w:r>
    </w:p>
    <w:p>
      <w:pPr>
        <w:spacing w:after="0" w:line="107"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3"/>
          <w:szCs w:val="13"/>
          <w:b w:val="1"/>
          <w:bCs w:val="1"/>
          <w:color w:val="auto"/>
        </w:rPr>
        <w:t>(REMOVED AND RESERVED)</w:t>
      </w: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860"/>
          </w:cols>
          <w:pgMar w:left="900" w:top="716" w:right="11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3"/>
          <w:szCs w:val="13"/>
          <w:b w:val="1"/>
          <w:bCs w:val="1"/>
          <w:color w:val="auto"/>
        </w:rPr>
        <w:t>EXECUTIVE OFFICERS OF THE COMPANY</w:t>
      </w:r>
    </w:p>
    <w:p>
      <w:pPr>
        <w:spacing w:after="0" w:line="100"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sets forth (i) the name, age and position of each of our executive officers and (ii) the business experience of each person named in the table during at least the past five years. There is no family relationship among any of our executive officers.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Executive Officer</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0"/>
                <w:szCs w:val="1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0"/>
                <w:szCs w:val="10"/>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Ray Stata</w:t>
            </w:r>
          </w:p>
        </w:tc>
        <w:tc>
          <w:tcPr>
            <w:tcW w:w="540" w:type="dxa"/>
            <w:vAlign w:val="bottom"/>
            <w:gridSpan w:val="2"/>
            <w:shd w:val="clear" w:color="auto" w:fill="CCEEFF"/>
          </w:tcPr>
          <w:p>
            <w:pPr>
              <w:jc w:val="center"/>
              <w:ind w:left="134"/>
              <w:spacing w:after="0" w:line="149" w:lineRule="exact"/>
              <w:rPr>
                <w:sz w:val="20"/>
                <w:szCs w:val="20"/>
                <w:color w:val="auto"/>
              </w:rPr>
            </w:pPr>
            <w:r>
              <w:rPr>
                <w:rFonts w:ascii="Arial" w:cs="Arial" w:eastAsia="Arial" w:hAnsi="Arial"/>
                <w:sz w:val="13"/>
                <w:szCs w:val="13"/>
                <w:color w:val="auto"/>
                <w:w w:val="96"/>
              </w:rPr>
              <w:t>77</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Chairman of the Board</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9"/>
              </w:rPr>
              <w:t>Chairman of the Board since 1973; Chief Executive Officer</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from 1973 to November 1996; President from 1971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November 1991.</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Jerald G. Fishman</w:t>
            </w:r>
          </w:p>
        </w:tc>
        <w:tc>
          <w:tcPr>
            <w:tcW w:w="5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96"/>
              </w:rPr>
              <w:t>65</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5"/>
              </w:rPr>
              <w:t>President, Chief Executive Officer and Director</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6"/>
              </w:rPr>
              <w:t>Chief Executive Officer since November 1996; President and</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Director since November 1991; Executive Vice President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1988 to November 1991; Group Vice President — Components</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1982 to 1988.</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David A. Zinsner</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42</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Finance and Chief Financial</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Finance and Chief Financial Officer since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Officer</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1"/>
              </w:rPr>
              <w:t>January 2009; Senior Vice President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6"/>
              </w:rPr>
              <w:t>Intersil Corporation from 2005 to December 2008; Corporate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Controller and Treasurer Intersil Corporation from 2000 to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2005. Corporate Treasurer Intersil Corporation from 1999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2000.</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Seamus Brennan</w:t>
            </w:r>
          </w:p>
        </w:tc>
        <w:tc>
          <w:tcPr>
            <w:tcW w:w="5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96"/>
              </w:rPr>
              <w:t>60</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rPr>
              <w:t>Vice President and Chief Accounting Officer</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rPr>
              <w:t>Vice President and Chief Accounting Officer from April</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2011;Vice President, Corporate Controller and Chief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Accounting Officer from December 2008 to April 2011;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Corporate Controller from 2002 to December 2008; Assistant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Corporate Controller from 1997 to 2002; Manager Enterprise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System Implementation from 1994 to 1997; Plant Controller,</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Analog Devices, B.V. — Limerick, Ireland from 1989 to 1994.</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Samuel H. Fuller</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65</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w w:val="92"/>
              </w:rPr>
              <w:t>Vice President, Research and Development and</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2"/>
              </w:rPr>
              <w:t>Vice President, Research and Development since March 1998;</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Chief Technology Officer</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4"/>
              </w:rPr>
              <w:t>Chief Technology Officer since March 2006; Vice President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5"/>
              </w:rPr>
              <w:t>Research and Chief Scientist of Digital Equipment Corp. from</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1983 to 1998.</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Robert R. Marshall</w:t>
            </w:r>
          </w:p>
        </w:tc>
        <w:tc>
          <w:tcPr>
            <w:tcW w:w="5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96"/>
              </w:rPr>
              <w:t>57</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rPr>
              <w:t>Vice President, Worldwide Manufacturing</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2"/>
              </w:rPr>
              <w:t>Vice President, Worldwide Manufacturing since February 1994;</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Vice President, Manufacturing, Limerick Site,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B.V. — Limerick, Ireland from November 1991 to February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1994; Plant Manager,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January 1991 to November 1991.</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22</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Executive Officer</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300" w:type="dxa"/>
            <w:vAlign w:val="bottom"/>
          </w:tcPr>
          <w:p>
            <w:pPr>
              <w:spacing w:after="0"/>
              <w:rPr>
                <w:sz w:val="10"/>
                <w:szCs w:val="1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300" w:type="dxa"/>
            <w:vAlign w:val="bottom"/>
          </w:tcPr>
          <w:p>
            <w:pPr>
              <w:spacing w:after="0"/>
              <w:rPr>
                <w:sz w:val="10"/>
                <w:szCs w:val="10"/>
                <w:color w:val="auto"/>
              </w:rPr>
            </w:pP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Business Experience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William Matson</w:t>
            </w:r>
          </w:p>
        </w:tc>
        <w:tc>
          <w:tcPr>
            <w:tcW w:w="540" w:type="dxa"/>
            <w:vAlign w:val="bottom"/>
            <w:gridSpan w:val="2"/>
            <w:shd w:val="clear" w:color="auto" w:fill="CCEEFF"/>
          </w:tcPr>
          <w:p>
            <w:pPr>
              <w:jc w:val="center"/>
              <w:ind w:left="134"/>
              <w:spacing w:after="0" w:line="149" w:lineRule="exact"/>
              <w:rPr>
                <w:sz w:val="20"/>
                <w:szCs w:val="20"/>
                <w:color w:val="auto"/>
              </w:rPr>
            </w:pPr>
            <w:r>
              <w:rPr>
                <w:rFonts w:ascii="Arial" w:cs="Arial" w:eastAsia="Arial" w:hAnsi="Arial"/>
                <w:sz w:val="13"/>
                <w:szCs w:val="13"/>
                <w:color w:val="auto"/>
                <w:w w:val="96"/>
              </w:rPr>
              <w:t>52</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Vice President, Human Resources</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1"/>
              </w:rPr>
              <w:t>Vice President, Human Resources since November 2006; Chief</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3"/>
              </w:rPr>
              <w:t>Human Resource Officer of Lenovo, an international computer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manufacturer, from January 2005 to June 2006; General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Manager of IBM Business Transformation Outsourcing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September 2003 to April 2005; Vice President, Human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3"/>
              </w:rPr>
              <w:t>Resources of IBM Asia Pacific Region from December 1999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September 2003.</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Robert McAdam</w:t>
            </w:r>
          </w:p>
        </w:tc>
        <w:tc>
          <w:tcPr>
            <w:tcW w:w="5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96"/>
              </w:rPr>
              <w:t>60</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1"/>
              </w:rPr>
              <w:t>Vice President, Core Products and Technologies</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4"/>
              </w:rPr>
              <w:t>Vice President, Core Products and Technologies Group since</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Group</w:t>
            </w: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6"/>
              </w:rPr>
              <w:t>October 2009; Vice President and General Manager, Analog</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Semiconductor Components from February 1994 to September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5"/>
              </w:rPr>
              <w:t>2009; Vice President and General Manager, Analog Devices,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3"/>
              </w:rPr>
              <w:t>B.V. — Limerick, Ireland from January 1991 to February 1994;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Product Line Manager, Analog Devices, B.V. — Limerick,</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Ireland from October 1988 to January 1991.</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Vincent Roche</w:t>
            </w:r>
          </w:p>
        </w:tc>
        <w:tc>
          <w:tcPr>
            <w:tcW w:w="54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6"/>
              </w:rPr>
              <w:t>51</w:t>
            </w:r>
          </w:p>
        </w:tc>
        <w:tc>
          <w:tcPr>
            <w:tcW w:w="3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Vice President, Strategic Market Segments</w:t>
            </w:r>
          </w:p>
        </w:tc>
        <w:tc>
          <w:tcPr>
            <w:tcW w:w="30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6"/>
              </w:rPr>
              <w:t>Vice President, Strategic Segments Group and Global Sales</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Group</w:t>
            </w: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9"/>
              </w:rPr>
              <w:t>since October 2009; Vice President, Worldwide Sales from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March 2001 to October 2009; Vice President and General</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Manager, Silicon Valley Business Units and Computer &amp;</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7"/>
              </w:rPr>
              <w:t>Networking from 1999 to March 2001; Product Line Director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6"/>
              </w:rPr>
              <w:t>from 1995 to 1999; Product Marketing Manager from 1988 to</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1995.</w:t>
            </w:r>
          </w:p>
        </w:tc>
        <w:tc>
          <w:tcPr>
            <w:tcW w:w="800" w:type="dxa"/>
            <w:vAlign w:val="bottom"/>
          </w:tcPr>
          <w:p>
            <w:pPr>
              <w:spacing w:after="0"/>
              <w:rPr>
                <w:sz w:val="14"/>
                <w:szCs w:val="14"/>
                <w:color w:val="auto"/>
              </w:rPr>
            </w:pPr>
          </w:p>
        </w:tc>
      </w:tr>
      <w:tr>
        <w:trPr>
          <w:trHeight w:val="148"/>
        </w:trPr>
        <w:tc>
          <w:tcPr>
            <w:tcW w:w="68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Margaret K. Seif</w:t>
            </w:r>
          </w:p>
        </w:tc>
        <w:tc>
          <w:tcPr>
            <w:tcW w:w="540" w:type="dxa"/>
            <w:vAlign w:val="bottom"/>
            <w:gridSpan w:val="2"/>
          </w:tcPr>
          <w:p>
            <w:pPr>
              <w:jc w:val="center"/>
              <w:ind w:left="134"/>
              <w:spacing w:after="0" w:line="149" w:lineRule="exact"/>
              <w:rPr>
                <w:sz w:val="20"/>
                <w:szCs w:val="20"/>
                <w:color w:val="auto"/>
              </w:rPr>
            </w:pPr>
            <w:r>
              <w:rPr>
                <w:rFonts w:ascii="Arial" w:cs="Arial" w:eastAsia="Arial" w:hAnsi="Arial"/>
                <w:sz w:val="13"/>
                <w:szCs w:val="13"/>
                <w:color w:val="auto"/>
                <w:w w:val="96"/>
              </w:rPr>
              <w:t>50</w:t>
            </w:r>
          </w:p>
        </w:tc>
        <w:tc>
          <w:tcPr>
            <w:tcW w:w="300" w:type="dxa"/>
            <w:vAlign w:val="bottom"/>
          </w:tcPr>
          <w:p>
            <w:pPr>
              <w:spacing w:after="0"/>
              <w:rPr>
                <w:sz w:val="12"/>
                <w:szCs w:val="12"/>
                <w:color w:val="auto"/>
              </w:rPr>
            </w:pPr>
          </w:p>
        </w:tc>
        <w:tc>
          <w:tcPr>
            <w:tcW w:w="2580" w:type="dxa"/>
            <w:vAlign w:val="bottom"/>
          </w:tcPr>
          <w:p>
            <w:pPr>
              <w:spacing w:after="0" w:line="149" w:lineRule="exact"/>
              <w:rPr>
                <w:sz w:val="20"/>
                <w:szCs w:val="20"/>
                <w:color w:val="auto"/>
              </w:rPr>
            </w:pPr>
            <w:r>
              <w:rPr>
                <w:rFonts w:ascii="Arial" w:cs="Arial" w:eastAsia="Arial" w:hAnsi="Arial"/>
                <w:sz w:val="13"/>
                <w:szCs w:val="13"/>
                <w:color w:val="auto"/>
                <w:w w:val="93"/>
              </w:rPr>
              <w:t>Vice President, General Counsel and Secretary</w:t>
            </w:r>
          </w:p>
        </w:tc>
        <w:tc>
          <w:tcPr>
            <w:tcW w:w="30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3"/>
                <w:szCs w:val="13"/>
                <w:color w:val="auto"/>
                <w:w w:val="94"/>
              </w:rPr>
              <w:t>Vice President, General Counsel and Secretary since January</w:t>
            </w:r>
          </w:p>
        </w:tc>
        <w:tc>
          <w:tcPr>
            <w:tcW w:w="800" w:type="dxa"/>
            <w:vAlign w:val="bottom"/>
          </w:tcPr>
          <w:p>
            <w:pPr>
              <w:spacing w:after="0"/>
              <w:rPr>
                <w:sz w:val="12"/>
                <w:szCs w:val="12"/>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2006; Senior Vice President, General Counsel and Secretary of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4"/>
              </w:rPr>
              <w:t>RSA Security Inc. from January 2000 to November 2005; Vice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2"/>
              </w:rPr>
              <w:t>President, General Counsel and Secretary of RSA Security Inc.</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from June 1998 to January 2000.</w:t>
            </w:r>
          </w:p>
        </w:tc>
        <w:tc>
          <w:tcPr>
            <w:tcW w:w="800" w:type="dxa"/>
            <w:vAlign w:val="bottom"/>
          </w:tcPr>
          <w:p>
            <w:pPr>
              <w:spacing w:after="0"/>
              <w:rPr>
                <w:sz w:val="14"/>
                <w:szCs w:val="14"/>
                <w:color w:val="auto"/>
              </w:rPr>
            </w:pPr>
          </w:p>
        </w:tc>
      </w:tr>
      <w:tr>
        <w:trPr>
          <w:trHeight w:val="295"/>
        </w:trPr>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2"/>
          </w:tcPr>
          <w:p>
            <w:pPr>
              <w:jc w:val="right"/>
              <w:ind w:right="1176"/>
              <w:spacing w:after="0"/>
              <w:rPr>
                <w:sz w:val="20"/>
                <w:szCs w:val="20"/>
                <w:color w:val="auto"/>
              </w:rPr>
            </w:pPr>
            <w:r>
              <w:rPr>
                <w:rFonts w:ascii="Arial" w:cs="Arial" w:eastAsia="Arial" w:hAnsi="Arial"/>
                <w:sz w:val="13"/>
                <w:szCs w:val="13"/>
                <w:color w:val="auto"/>
              </w:rPr>
              <w:t>23</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00"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ADI. The tables below set forth the high and low sales prices per share of our common stock on the New York Stock Exchange and the dividends declared for each quarterly period within our two most recent fiscal years.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High and Low Sales Prices of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Period</w:t>
            </w:r>
          </w:p>
        </w:tc>
        <w:tc>
          <w:tcPr>
            <w:tcW w:w="1600" w:type="dxa"/>
            <w:vAlign w:val="bottom"/>
            <w:gridSpan w:val="4"/>
          </w:tcPr>
          <w:p>
            <w:pPr>
              <w:ind w:left="360"/>
              <w:spacing w:after="0"/>
              <w:rPr>
                <w:sz w:val="20"/>
                <w:szCs w:val="20"/>
                <w:color w:val="auto"/>
              </w:rPr>
            </w:pPr>
            <w:r>
              <w:rPr>
                <w:rFonts w:ascii="Arial" w:cs="Arial" w:eastAsia="Arial" w:hAnsi="Arial"/>
                <w:sz w:val="10"/>
                <w:szCs w:val="10"/>
                <w:b w:val="1"/>
                <w:bCs w:val="1"/>
                <w:color w:val="auto"/>
              </w:rPr>
              <w:t>Fiscal 2011</w:t>
            </w:r>
          </w:p>
        </w:tc>
        <w:tc>
          <w:tcPr>
            <w:tcW w:w="1280" w:type="dxa"/>
            <w:vAlign w:val="bottom"/>
            <w:gridSpan w:val="4"/>
          </w:tcPr>
          <w:p>
            <w:pPr>
              <w:ind w:left="340"/>
              <w:spacing w:after="0"/>
              <w:rPr>
                <w:sz w:val="20"/>
                <w:szCs w:val="20"/>
                <w:color w:val="auto"/>
              </w:rPr>
            </w:pPr>
            <w:r>
              <w:rPr>
                <w:rFonts w:ascii="Arial" w:cs="Arial" w:eastAsia="Arial" w:hAnsi="Arial"/>
                <w:sz w:val="10"/>
                <w:szCs w:val="10"/>
                <w:b w:val="1"/>
                <w:bCs w:val="1"/>
                <w:color w:val="auto"/>
              </w:rPr>
              <w:t>Fiscal 2010</w:t>
            </w:r>
          </w:p>
        </w:tc>
        <w:tc>
          <w:tcPr>
            <w:tcW w:w="0" w:type="dxa"/>
            <w:vAlign w:val="bottom"/>
          </w:tcPr>
          <w:p>
            <w:pPr>
              <w:spacing w:after="0"/>
              <w:rPr>
                <w:sz w:val="1"/>
                <w:szCs w:val="1"/>
                <w:color w:val="auto"/>
              </w:rPr>
            </w:pPr>
          </w:p>
        </w:tc>
      </w:tr>
      <w:tr>
        <w:trPr>
          <w:trHeight w:val="98"/>
        </w:trPr>
        <w:tc>
          <w:tcPr>
            <w:tcW w:w="7100" w:type="dxa"/>
            <w:vAlign w:val="bottom"/>
            <w:gridSpan w:val="2"/>
            <w:vMerge w:val="continue"/>
          </w:tcPr>
          <w:p>
            <w:pPr>
              <w:spacing w:after="0"/>
              <w:rPr>
                <w:sz w:val="8"/>
                <w:szCs w:val="8"/>
                <w:color w:val="auto"/>
              </w:rPr>
            </w:pPr>
          </w:p>
        </w:tc>
        <w:tc>
          <w:tcPr>
            <w:tcW w:w="820" w:type="dxa"/>
            <w:vAlign w:val="bottom"/>
            <w:tcBorders>
              <w:top w:val="single" w:sz="8" w:color="auto"/>
            </w:tcBorders>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8"/>
              </w:rPr>
              <w:t>High</w:t>
            </w:r>
          </w:p>
        </w:tc>
        <w:tc>
          <w:tcPr>
            <w:tcW w:w="4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9"/>
              </w:rPr>
              <w:t>Low</w:t>
            </w:r>
          </w:p>
        </w:tc>
        <w:tc>
          <w:tcPr>
            <w:tcW w:w="38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380"/>
              <w:spacing w:after="0" w:line="98" w:lineRule="exact"/>
              <w:rPr>
                <w:sz w:val="20"/>
                <w:szCs w:val="20"/>
                <w:color w:val="auto"/>
              </w:rPr>
            </w:pPr>
            <w:r>
              <w:rPr>
                <w:rFonts w:ascii="Arial" w:cs="Arial" w:eastAsia="Arial" w:hAnsi="Arial"/>
                <w:sz w:val="10"/>
                <w:szCs w:val="10"/>
                <w:b w:val="1"/>
                <w:bCs w:val="1"/>
                <w:color w:val="auto"/>
                <w:w w:val="98"/>
              </w:rPr>
              <w:t>High</w:t>
            </w:r>
          </w:p>
        </w:tc>
        <w:tc>
          <w:tcPr>
            <w:tcW w:w="3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2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6"/>
              </w:rPr>
              <w:t>$ 39.86</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2"/>
              </w:rPr>
              <w:t>$ 33.18</w:t>
            </w:r>
          </w:p>
        </w:tc>
        <w:tc>
          <w:tcPr>
            <w:tcW w:w="8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2"/>
              </w:rPr>
              <w:t>$ 32.19</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$ 25.26</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20" w:type="dxa"/>
            <w:vAlign w:val="bottom"/>
            <w:gridSpan w:val="2"/>
          </w:tcPr>
          <w:p>
            <w:pPr>
              <w:jc w:val="center"/>
              <w:ind w:right="400"/>
              <w:spacing w:after="0"/>
              <w:rPr>
                <w:sz w:val="20"/>
                <w:szCs w:val="20"/>
                <w:color w:val="auto"/>
              </w:rPr>
            </w:pPr>
            <w:r>
              <w:rPr>
                <w:rFonts w:ascii="Arial" w:cs="Arial" w:eastAsia="Arial" w:hAnsi="Arial"/>
                <w:sz w:val="13"/>
                <w:szCs w:val="13"/>
                <w:color w:val="auto"/>
                <w:w w:val="96"/>
              </w:rPr>
              <w:t>$ 41.66</w:t>
            </w:r>
          </w:p>
        </w:tc>
        <w:tc>
          <w:tcPr>
            <w:tcW w:w="7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$ 36.29</w:t>
            </w:r>
          </w:p>
        </w:tc>
        <w:tc>
          <w:tcPr>
            <w:tcW w:w="800" w:type="dxa"/>
            <w:vAlign w:val="bottom"/>
            <w:gridSpan w:val="2"/>
          </w:tcPr>
          <w:p>
            <w:pPr>
              <w:jc w:val="center"/>
              <w:ind w:right="400"/>
              <w:spacing w:after="0"/>
              <w:rPr>
                <w:sz w:val="20"/>
                <w:szCs w:val="20"/>
                <w:color w:val="auto"/>
              </w:rPr>
            </w:pPr>
            <w:r>
              <w:rPr>
                <w:rFonts w:ascii="Arial" w:cs="Arial" w:eastAsia="Arial" w:hAnsi="Arial"/>
                <w:sz w:val="13"/>
                <w:szCs w:val="13"/>
                <w:color w:val="auto"/>
                <w:w w:val="92"/>
              </w:rPr>
              <w:t>$ 31.50</w:t>
            </w:r>
          </w:p>
        </w:tc>
        <w:tc>
          <w:tcPr>
            <w:tcW w:w="4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$ 26.38</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2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6"/>
              </w:rPr>
              <w:t>$ 43.28</w:t>
            </w:r>
          </w:p>
        </w:tc>
        <w:tc>
          <w:tcPr>
            <w:tcW w:w="78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2"/>
              </w:rPr>
              <w:t>$ 34.02</w:t>
            </w:r>
          </w:p>
        </w:tc>
        <w:tc>
          <w:tcPr>
            <w:tcW w:w="8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2"/>
              </w:rPr>
              <w:t>$ 31.37</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$ 26.28</w:t>
            </w:r>
          </w:p>
        </w:tc>
        <w:tc>
          <w:tcPr>
            <w:tcW w:w="0" w:type="dxa"/>
            <w:vAlign w:val="bottom"/>
          </w:tcPr>
          <w:p>
            <w:pPr>
              <w:spacing w:after="0"/>
              <w:rPr>
                <w:sz w:val="1"/>
                <w:szCs w:val="1"/>
                <w:color w:val="auto"/>
              </w:rPr>
            </w:pPr>
          </w:p>
        </w:tc>
      </w:tr>
      <w:tr>
        <w:trPr>
          <w:trHeight w:val="165"/>
        </w:trPr>
        <w:tc>
          <w:tcPr>
            <w:tcW w:w="71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20" w:type="dxa"/>
            <w:vAlign w:val="bottom"/>
            <w:gridSpan w:val="2"/>
          </w:tcPr>
          <w:p>
            <w:pPr>
              <w:jc w:val="center"/>
              <w:ind w:right="400"/>
              <w:spacing w:after="0"/>
              <w:rPr>
                <w:sz w:val="20"/>
                <w:szCs w:val="20"/>
                <w:color w:val="auto"/>
              </w:rPr>
            </w:pPr>
            <w:r>
              <w:rPr>
                <w:rFonts w:ascii="Arial" w:cs="Arial" w:eastAsia="Arial" w:hAnsi="Arial"/>
                <w:sz w:val="13"/>
                <w:szCs w:val="13"/>
                <w:color w:val="auto"/>
                <w:w w:val="96"/>
              </w:rPr>
              <w:t>$ 37.75</w:t>
            </w:r>
          </w:p>
        </w:tc>
        <w:tc>
          <w:tcPr>
            <w:tcW w:w="780" w:type="dxa"/>
            <w:vAlign w:val="bottom"/>
            <w:gridSpan w:val="2"/>
          </w:tcPr>
          <w:p>
            <w:pPr>
              <w:jc w:val="center"/>
              <w:ind w:right="380"/>
              <w:spacing w:after="0"/>
              <w:rPr>
                <w:sz w:val="20"/>
                <w:szCs w:val="20"/>
                <w:color w:val="auto"/>
              </w:rPr>
            </w:pPr>
            <w:r>
              <w:rPr>
                <w:rFonts w:ascii="Arial" w:cs="Arial" w:eastAsia="Arial" w:hAnsi="Arial"/>
                <w:sz w:val="13"/>
                <w:szCs w:val="13"/>
                <w:color w:val="auto"/>
                <w:w w:val="92"/>
              </w:rPr>
              <w:t>$ 29.23</w:t>
            </w:r>
          </w:p>
        </w:tc>
        <w:tc>
          <w:tcPr>
            <w:tcW w:w="800" w:type="dxa"/>
            <w:vAlign w:val="bottom"/>
            <w:gridSpan w:val="2"/>
          </w:tcPr>
          <w:p>
            <w:pPr>
              <w:jc w:val="center"/>
              <w:ind w:right="400"/>
              <w:spacing w:after="0"/>
              <w:rPr>
                <w:sz w:val="20"/>
                <w:szCs w:val="20"/>
                <w:color w:val="auto"/>
              </w:rPr>
            </w:pPr>
            <w:r>
              <w:rPr>
                <w:rFonts w:ascii="Arial" w:cs="Arial" w:eastAsia="Arial" w:hAnsi="Arial"/>
                <w:sz w:val="13"/>
                <w:szCs w:val="13"/>
                <w:color w:val="auto"/>
                <w:w w:val="92"/>
              </w:rPr>
              <w:t>$ 34.09</w:t>
            </w:r>
          </w:p>
        </w:tc>
        <w:tc>
          <w:tcPr>
            <w:tcW w:w="4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$ 27.45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 Declared Per Outstanding Share of Common Stock</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fiscal 2011 and fiscal 2010, we paid a cash dividend in each quarter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80" w:type="dxa"/>
            <w:vAlign w:val="bottom"/>
          </w:tcPr>
          <w:p>
            <w:pPr>
              <w:spacing w:after="0"/>
              <w:rPr>
                <w:sz w:val="20"/>
                <w:szCs w:val="20"/>
                <w:color w:val="auto"/>
              </w:rPr>
            </w:pPr>
            <w:r>
              <w:rPr>
                <w:rFonts w:ascii="Arial" w:cs="Arial" w:eastAsia="Arial" w:hAnsi="Arial"/>
                <w:sz w:val="10"/>
                <w:szCs w:val="10"/>
                <w:b w:val="1"/>
                <w:bCs w:val="1"/>
                <w:color w:val="auto"/>
              </w:rPr>
              <w:t>Period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3"/>
              </w:rPr>
              <w:t>Fiscal 2011</w:t>
            </w: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3"/>
              </w:rPr>
              <w:t>Fiscal 2010</w:t>
            </w:r>
          </w:p>
        </w:tc>
      </w:tr>
      <w:tr>
        <w:trPr>
          <w:trHeight w:val="29"/>
        </w:trPr>
        <w:tc>
          <w:tcPr>
            <w:tcW w:w="7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r>
      <w:tr>
        <w:trPr>
          <w:trHeight w:val="157"/>
        </w:trPr>
        <w:tc>
          <w:tcPr>
            <w:tcW w:w="7880" w:type="dxa"/>
            <w:vAlign w:val="bottom"/>
          </w:tcPr>
          <w:p>
            <w:pPr>
              <w:spacing w:after="0"/>
              <w:rPr>
                <w:sz w:val="20"/>
                <w:szCs w:val="20"/>
                <w:color w:val="auto"/>
              </w:rPr>
            </w:pPr>
            <w:r>
              <w:rPr>
                <w:rFonts w:ascii="Arial" w:cs="Arial" w:eastAsia="Arial" w:hAnsi="Arial"/>
                <w:sz w:val="13"/>
                <w:szCs w:val="13"/>
                <w:color w:val="auto"/>
              </w:rPr>
              <w:t>Second Quarter</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0.20</w:t>
            </w:r>
          </w:p>
        </w:tc>
      </w:tr>
      <w:tr>
        <w:trPr>
          <w:trHeight w:val="157"/>
        </w:trPr>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0.22</w:t>
            </w: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Fourth Quarter</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0.22</w:t>
            </w:r>
          </w:p>
        </w:tc>
      </w:tr>
    </w:tbl>
    <w:p>
      <w:pPr>
        <w:spacing w:after="0" w:line="72"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During the first quarter of fiscal 2012, on November 18, 2011, our Board of Directors declared a cash dividend of $0.25 per outstanding share of common stock. The dividend will be paid on December 21, 2011 to all shareholders of record at the close of business on December 2, 2011. The payment of future dividends, if any, will be based on several factors including our financial performance, outlook and liquidity.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Information regarding our equity compensation plans and the securities authorized for issuance thereunder is set forth in Item 12 below.</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Total Number of Shares</w:t>
            </w: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Approximate Dollar</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Value of Shares that</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4"/>
              </w:rPr>
              <w:t>Average Price Paid</w:t>
            </w: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Purchased as Part of</w:t>
            </w: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May Yet Be Purchased</w:t>
            </w:r>
          </w:p>
        </w:tc>
        <w:tc>
          <w:tcPr>
            <w:tcW w:w="0" w:type="dxa"/>
            <w:vAlign w:val="bottom"/>
          </w:tcPr>
          <w:p>
            <w:pPr>
              <w:spacing w:after="0"/>
              <w:rPr>
                <w:sz w:val="1"/>
                <w:szCs w:val="1"/>
                <w:color w:val="auto"/>
              </w:rPr>
            </w:pPr>
          </w:p>
        </w:tc>
      </w:tr>
      <w:tr>
        <w:trPr>
          <w:trHeight w:val="108"/>
        </w:trPr>
        <w:tc>
          <w:tcPr>
            <w:tcW w:w="2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20" w:type="dxa"/>
            <w:vAlign w:val="bottom"/>
          </w:tcPr>
          <w:p>
            <w:pPr>
              <w:spacing w:after="0"/>
              <w:rPr>
                <w:sz w:val="9"/>
                <w:szCs w:val="9"/>
                <w:color w:val="auto"/>
              </w:rPr>
            </w:pPr>
          </w:p>
        </w:tc>
        <w:tc>
          <w:tcPr>
            <w:tcW w:w="15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Publicly Announced</w:t>
            </w:r>
          </w:p>
        </w:tc>
        <w:tc>
          <w:tcPr>
            <w:tcW w:w="180" w:type="dxa"/>
            <w:vAlign w:val="bottom"/>
          </w:tcPr>
          <w:p>
            <w:pPr>
              <w:spacing w:after="0"/>
              <w:rPr>
                <w:sz w:val="9"/>
                <w:szCs w:val="9"/>
                <w:color w:val="auto"/>
              </w:rPr>
            </w:pPr>
          </w:p>
        </w:tc>
        <w:tc>
          <w:tcPr>
            <w:tcW w:w="15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Under the Plans or</w:t>
            </w:r>
          </w:p>
        </w:tc>
        <w:tc>
          <w:tcPr>
            <w:tcW w:w="0" w:type="dxa"/>
            <w:vAlign w:val="bottom"/>
          </w:tcPr>
          <w:p>
            <w:pPr>
              <w:spacing w:after="0"/>
              <w:rPr>
                <w:sz w:val="1"/>
                <w:szCs w:val="1"/>
                <w:color w:val="auto"/>
              </w:rPr>
            </w:pPr>
          </w:p>
        </w:tc>
      </w:tr>
      <w:tr>
        <w:trPr>
          <w:trHeight w:val="125"/>
        </w:trPr>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Purchased(a)</w:t>
            </w:r>
          </w:p>
        </w:tc>
        <w:tc>
          <w:tcPr>
            <w:tcW w:w="160" w:type="dxa"/>
            <w:vAlign w:val="bottom"/>
          </w:tcPr>
          <w:p>
            <w:pPr>
              <w:spacing w:after="0"/>
              <w:rPr>
                <w:sz w:val="10"/>
                <w:szCs w:val="10"/>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Per Share(b)</w:t>
            </w: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Plans or Programs(c)</w:t>
            </w:r>
          </w:p>
        </w:tc>
        <w:tc>
          <w:tcPr>
            <w:tcW w:w="18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29"/>
        </w:trPr>
        <w:tc>
          <w:tcPr>
            <w:tcW w:w="2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July 31, 2011 through August 27, 2011</w:t>
            </w:r>
          </w:p>
        </w:tc>
        <w:tc>
          <w:tcPr>
            <w:tcW w:w="1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205,946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31.72</w:t>
            </w:r>
          </w:p>
        </w:tc>
        <w:tc>
          <w:tcPr>
            <w:tcW w:w="2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205,946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797,794,699</w:t>
            </w:r>
          </w:p>
        </w:tc>
        <w:tc>
          <w:tcPr>
            <w:tcW w:w="0" w:type="dxa"/>
            <w:vAlign w:val="bottom"/>
          </w:tcPr>
          <w:p>
            <w:pPr>
              <w:spacing w:after="0"/>
              <w:rPr>
                <w:sz w:val="1"/>
                <w:szCs w:val="1"/>
                <w:color w:val="auto"/>
              </w:rPr>
            </w:pPr>
          </w:p>
        </w:tc>
      </w:tr>
      <w:tr>
        <w:trPr>
          <w:trHeight w:val="157"/>
        </w:trPr>
        <w:tc>
          <w:tcPr>
            <w:tcW w:w="2800" w:type="dxa"/>
            <w:vAlign w:val="bottom"/>
          </w:tcPr>
          <w:p>
            <w:pPr>
              <w:jc w:val="center"/>
              <w:spacing w:after="0"/>
              <w:rPr>
                <w:sz w:val="20"/>
                <w:szCs w:val="20"/>
                <w:color w:val="auto"/>
              </w:rPr>
            </w:pPr>
            <w:r>
              <w:rPr>
                <w:rFonts w:ascii="Arial" w:cs="Arial" w:eastAsia="Arial" w:hAnsi="Arial"/>
                <w:sz w:val="13"/>
                <w:szCs w:val="13"/>
                <w:color w:val="auto"/>
                <w:w w:val="90"/>
              </w:rPr>
              <w:t>August 28, 2011 through September 24, 2011</w:t>
            </w:r>
          </w:p>
        </w:tc>
        <w:tc>
          <w:tcPr>
            <w:tcW w:w="1720" w:type="dxa"/>
            <w:vAlign w:val="bottom"/>
            <w:gridSpan w:val="3"/>
          </w:tcPr>
          <w:p>
            <w:pPr>
              <w:jc w:val="right"/>
              <w:ind w:right="400"/>
              <w:spacing w:after="0"/>
              <w:rPr>
                <w:sz w:val="20"/>
                <w:szCs w:val="20"/>
                <w:color w:val="auto"/>
              </w:rPr>
            </w:pPr>
            <w:r>
              <w:rPr>
                <w:rFonts w:ascii="Arial" w:cs="Arial" w:eastAsia="Arial" w:hAnsi="Arial"/>
                <w:sz w:val="13"/>
                <w:szCs w:val="13"/>
                <w:color w:val="auto"/>
              </w:rPr>
              <w:t>486,038</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32.72</w:t>
            </w:r>
          </w:p>
        </w:tc>
        <w:tc>
          <w:tcPr>
            <w:tcW w:w="2100" w:type="dxa"/>
            <w:vAlign w:val="bottom"/>
            <w:gridSpan w:val="2"/>
          </w:tcPr>
          <w:p>
            <w:pPr>
              <w:jc w:val="right"/>
              <w:ind w:right="400"/>
              <w:spacing w:after="0"/>
              <w:rPr>
                <w:sz w:val="20"/>
                <w:szCs w:val="20"/>
                <w:color w:val="auto"/>
              </w:rPr>
            </w:pPr>
            <w:r>
              <w:rPr>
                <w:rFonts w:ascii="Arial" w:cs="Arial" w:eastAsia="Arial" w:hAnsi="Arial"/>
                <w:sz w:val="13"/>
                <w:szCs w:val="13"/>
                <w:color w:val="auto"/>
              </w:rPr>
              <w:t>485,027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781,928,623</w:t>
            </w:r>
          </w:p>
        </w:tc>
        <w:tc>
          <w:tcPr>
            <w:tcW w:w="0" w:type="dxa"/>
            <w:vAlign w:val="bottom"/>
          </w:tcPr>
          <w:p>
            <w:pPr>
              <w:spacing w:after="0"/>
              <w:rPr>
                <w:sz w:val="1"/>
                <w:szCs w:val="1"/>
                <w:color w:val="auto"/>
              </w:rPr>
            </w:pPr>
          </w:p>
        </w:tc>
      </w:tr>
      <w:tr>
        <w:trPr>
          <w:trHeight w:val="157"/>
        </w:trPr>
        <w:tc>
          <w:tcPr>
            <w:tcW w:w="2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September 25, 2011 through October 29, 2011</w:t>
            </w: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1,847,688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32.71</w:t>
            </w:r>
          </w:p>
        </w:tc>
        <w:tc>
          <w:tcPr>
            <w:tcW w:w="2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1,847,099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721,510,868</w:t>
            </w:r>
          </w:p>
        </w:tc>
        <w:tc>
          <w:tcPr>
            <w:tcW w:w="0" w:type="dxa"/>
            <w:vAlign w:val="bottom"/>
          </w:tcPr>
          <w:p>
            <w:pPr>
              <w:spacing w:after="0"/>
              <w:rPr>
                <w:sz w:val="1"/>
                <w:szCs w:val="1"/>
                <w:color w:val="auto"/>
              </w:rPr>
            </w:pPr>
          </w:p>
        </w:tc>
      </w:tr>
      <w:tr>
        <w:trPr>
          <w:trHeight w:val="20"/>
        </w:trPr>
        <w:tc>
          <w:tcPr>
            <w:tcW w:w="2800" w:type="dxa"/>
            <w:vAlign w:val="bottom"/>
            <w:vMerge w:val="restart"/>
          </w:tcPr>
          <w:p>
            <w:pPr>
              <w:jc w:val="center"/>
              <w:spacing w:after="0"/>
              <w:rPr>
                <w:sz w:val="20"/>
                <w:szCs w:val="20"/>
                <w:color w:val="auto"/>
              </w:rPr>
            </w:pPr>
            <w:r>
              <w:rPr>
                <w:rFonts w:ascii="Arial" w:cs="Arial" w:eastAsia="Arial" w:hAnsi="Arial"/>
                <w:sz w:val="13"/>
                <w:szCs w:val="13"/>
                <w:color w:val="auto"/>
                <w:w w:val="89"/>
              </w:rPr>
              <w:t>Total</w:t>
            </w: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32.63</w:t>
            </w:r>
          </w:p>
        </w:tc>
        <w:tc>
          <w:tcPr>
            <w:tcW w:w="1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color w:val="auto"/>
                <w:w w:val="71"/>
              </w:rPr>
              <w:t>$</w:t>
            </w: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721,510,868</w:t>
            </w: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3"/>
                <w:szCs w:val="13"/>
                <w:color w:val="auto"/>
              </w:rPr>
              <w:t>2,539,672</w:t>
            </w:r>
          </w:p>
        </w:tc>
        <w:tc>
          <w:tcPr>
            <w:tcW w:w="16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3"/>
                <w:szCs w:val="13"/>
                <w:color w:val="auto"/>
              </w:rPr>
              <w:t>2,538,072</w:t>
            </w:r>
          </w:p>
        </w:tc>
        <w:tc>
          <w:tcPr>
            <w:tcW w:w="18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400" w:hanging="393"/>
        <w:spacing w:after="0"/>
        <w:tabs>
          <w:tab w:leader="none" w:pos="4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1,600 shares paid to us by employees to satisfy employee tax obligations upon vesting of restricted stock granted to our employees under our equity compensation plans.</w:t>
      </w:r>
    </w:p>
    <w:p>
      <w:pPr>
        <w:spacing w:after="0" w:line="58" w:lineRule="exact"/>
        <w:rPr>
          <w:rFonts w:ascii="Arial" w:cs="Arial" w:eastAsia="Arial" w:hAnsi="Arial"/>
          <w:sz w:val="12"/>
          <w:szCs w:val="12"/>
          <w:color w:val="auto"/>
        </w:rPr>
      </w:pPr>
    </w:p>
    <w:p>
      <w:pPr>
        <w:ind w:left="400" w:hanging="393"/>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average price paid per share of stock repurchased under the stock repurchase program includes the commissions paid to the brokers.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5" w:name="page26"/>
    <w:bookmarkEnd w:id="25"/>
    <w:p>
      <w:pPr>
        <w:ind w:left="400" w:right="300" w:hanging="393"/>
        <w:spacing w:after="0" w:line="260" w:lineRule="auto"/>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Shares repurchased pursuant to the stock repurchase program publicly announced on August 12, 2004. In the aggregate, our Board of Directors has authorized us to repurchase $5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70"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The number of holders of record of our common stock at November 16, 2011 was 2,769. This number does not include shareholders for whom shares are held in a “nominee” or “street” name. On October 28, 2011, the last reported sales price of our common stock on the New York Stock Exchange was $37.70 per share.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Comparative Stock Performance Graph</w:t>
      </w:r>
    </w:p>
    <w:p>
      <w:pPr>
        <w:spacing w:after="0" w:line="10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The following graph compares cumulative total shareholder return on our common stock since October 28, 2006 with the cumulative total return of the Standard &amp; Poor’s 500 Index and the Standard &amp; Poor’s Semiconductors Index. This graph assumes the investment of $100 on October 28, 2006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97790</wp:posOffset>
            </wp:positionV>
            <wp:extent cx="3589020" cy="2084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89020" cy="208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00"/>
          </w:cols>
          <w:pgMar w:left="900" w:top="730" w:right="1099" w:bottom="1440" w:gutter="0" w:footer="0" w:header="0"/>
        </w:sectPr>
      </w:pPr>
    </w:p>
    <w:bookmarkStart w:id="26" w:name="page27"/>
    <w:bookmarkEnd w:id="26"/>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10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The following table includes selected financial data for each of our last five fiscal years and includes adjustments to reflect the classification of our Baseband Chipset Business and our CPU voltage regulation and PC thermal monitoring business as discontinued operations. See Note 2u in the Notes to Consolidated Financial Statements contained in Item 8 of this Annual Report on Form 10-K for information on discontinued operations.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20" w:type="dxa"/>
            <w:vAlign w:val="bottom"/>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Statement of Operations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revenue from continuing operations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2,993,320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2,761,503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2,014,908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2,582,931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2,464,721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860,894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247,408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525,177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502,123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income (loss) from discontinued operations, net of tax</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6,500</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859</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364</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261,107</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(5,216)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867,394</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712,084</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247,772</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786,284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496,907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Income per share from continuing operations, net of tax:</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2.79</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1.77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per share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2.69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Cash dividends declared per common share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0.94</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0.84</w:t>
            </w: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0.80</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0.76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Balance Sheet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tcPr>
          <w:p>
            <w:pPr>
              <w:ind w:left="140"/>
              <w:spacing w:after="0"/>
              <w:rPr>
                <w:sz w:val="20"/>
                <w:szCs w:val="20"/>
                <w:color w:val="auto"/>
              </w:rPr>
            </w:pPr>
            <w:r>
              <w:rPr>
                <w:rFonts w:ascii="Arial" w:cs="Arial" w:eastAsia="Arial" w:hAnsi="Arial"/>
                <w:sz w:val="13"/>
                <w:szCs w:val="13"/>
                <w:color w:val="auto"/>
              </w:rPr>
              <w:t>Total assets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5,277,635</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4,328,831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3,369,407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3,081,132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2,967,276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 term debt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886,376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400,635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379,626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7" w:name="page28"/>
    <w:bookmarkEnd w:id="27"/>
    <w:p>
      <w:pPr>
        <w:ind w:left="920" w:right="380" w:hanging="903"/>
        <w:spacing w:after="0" w:line="283" w:lineRule="auto"/>
        <w:tabs>
          <w:tab w:leader="none" w:pos="9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 (all tabular amounts in thousands except per share amounts)</w:t>
      </w:r>
    </w:p>
    <w:p>
      <w:pPr>
        <w:spacing w:after="0" w:line="54" w:lineRule="exact"/>
        <w:rPr>
          <w:sz w:val="20"/>
          <w:szCs w:val="20"/>
          <w:color w:val="auto"/>
        </w:rPr>
      </w:pPr>
    </w:p>
    <w:p>
      <w:pPr>
        <w:jc w:val="both"/>
        <w:ind w:right="320" w:firstLine="399"/>
        <w:spacing w:after="0" w:line="260" w:lineRule="auto"/>
        <w:rPr>
          <w:sz w:val="20"/>
          <w:szCs w:val="20"/>
          <w:color w:val="auto"/>
        </w:rPr>
      </w:pPr>
      <w:r>
        <w:rPr>
          <w:rFonts w:ascii="Arial" w:cs="Arial" w:eastAsia="Arial" w:hAnsi="Arial"/>
          <w:sz w:val="13"/>
          <w:szCs w:val="13"/>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Unless otherwise noted, this Management’s Discussion and Analysis relates only to financial results from continuing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Overview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w w:val="98"/>
              </w:rPr>
              <w:t>Fiscal Year</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8"/>
                <w:szCs w:val="8"/>
                <w:color w:val="auto"/>
              </w:rPr>
            </w:pPr>
          </w:p>
        </w:tc>
      </w:tr>
      <w:tr>
        <w:trPr>
          <w:trHeight w:val="29"/>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2,993,320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2,761,503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2,014,908</w:t>
            </w:r>
          </w:p>
        </w:tc>
      </w:tr>
      <w:tr>
        <w:trPr>
          <w:trHeight w:val="157"/>
        </w:trPr>
        <w:tc>
          <w:tcPr>
            <w:tcW w:w="6660" w:type="dxa"/>
            <w:vAlign w:val="bottom"/>
          </w:tcPr>
          <w:p>
            <w:pPr>
              <w:spacing w:after="0"/>
              <w:rPr>
                <w:sz w:val="20"/>
                <w:szCs w:val="20"/>
                <w:color w:val="auto"/>
              </w:rPr>
            </w:pPr>
            <w:r>
              <w:rPr>
                <w:rFonts w:ascii="Arial" w:cs="Arial" w:eastAsia="Arial" w:hAnsi="Arial"/>
                <w:sz w:val="13"/>
                <w:szCs w:val="13"/>
                <w:color w:val="auto"/>
              </w:rPr>
              <w:t>Gross Margin %</w:t>
            </w:r>
          </w:p>
        </w:tc>
        <w:tc>
          <w:tcPr>
            <w:tcW w:w="16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66.4%</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65.2%</w:t>
            </w:r>
          </w:p>
        </w:tc>
        <w:tc>
          <w:tcPr>
            <w:tcW w:w="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55.5%</w:t>
            </w:r>
          </w:p>
        </w:tc>
      </w:tr>
      <w:tr>
        <w:trPr>
          <w:trHeight w:val="157"/>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Net income from Continuing Operations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860,894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247,408</w:t>
            </w:r>
          </w:p>
        </w:tc>
      </w:tr>
      <w:tr>
        <w:trPr>
          <w:trHeight w:val="157"/>
        </w:trPr>
        <w:tc>
          <w:tcPr>
            <w:tcW w:w="6660" w:type="dxa"/>
            <w:vAlign w:val="bottom"/>
          </w:tcPr>
          <w:p>
            <w:pPr>
              <w:spacing w:after="0"/>
              <w:rPr>
                <w:sz w:val="20"/>
                <w:szCs w:val="20"/>
                <w:color w:val="auto"/>
              </w:rPr>
            </w:pPr>
            <w:r>
              <w:rPr>
                <w:rFonts w:ascii="Arial" w:cs="Arial" w:eastAsia="Arial" w:hAnsi="Arial"/>
                <w:sz w:val="13"/>
                <w:szCs w:val="13"/>
                <w:color w:val="auto"/>
              </w:rPr>
              <w:t>Net income from Continuing Operations as a % of Revenue</w:t>
            </w:r>
          </w:p>
        </w:tc>
        <w:tc>
          <w:tcPr>
            <w:tcW w:w="16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25.8%</w:t>
            </w:r>
          </w:p>
        </w:tc>
        <w:tc>
          <w:tcPr>
            <w:tcW w:w="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12.3%</w:t>
            </w:r>
          </w:p>
        </w:tc>
      </w:tr>
      <w:tr>
        <w:trPr>
          <w:trHeight w:val="157"/>
        </w:trPr>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Diluted EPS from Continuing Operations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0.85</w:t>
            </w:r>
          </w:p>
        </w:tc>
      </w:tr>
      <w:tr>
        <w:trPr>
          <w:trHeight w:val="165"/>
        </w:trPr>
        <w:tc>
          <w:tcPr>
            <w:tcW w:w="6660" w:type="dxa"/>
            <w:vAlign w:val="bottom"/>
          </w:tcPr>
          <w:p>
            <w:pPr>
              <w:spacing w:after="0"/>
              <w:rPr>
                <w:sz w:val="20"/>
                <w:szCs w:val="20"/>
                <w:color w:val="auto"/>
              </w:rPr>
            </w:pPr>
            <w:r>
              <w:rPr>
                <w:rFonts w:ascii="Arial" w:cs="Arial" w:eastAsia="Arial" w:hAnsi="Arial"/>
                <w:sz w:val="13"/>
                <w:szCs w:val="13"/>
                <w:color w:val="auto"/>
              </w:rPr>
              <w:t>Diluted EPS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2.81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0.85</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The year-to-year revenue changes by end market and product category are more fully outlined below under </w:t>
      </w:r>
      <w:r>
        <w:rPr>
          <w:rFonts w:ascii="Arial" w:cs="Arial" w:eastAsia="Arial" w:hAnsi="Arial"/>
          <w:sz w:val="12"/>
          <w:szCs w:val="12"/>
          <w:i w:val="1"/>
          <w:iCs w:val="1"/>
          <w:color w:val="auto"/>
        </w:rPr>
        <w:t>Revenue Trends by End Market</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Trends by Product</w:t>
      </w:r>
      <w:r>
        <w:rPr>
          <w:rFonts w:ascii="Arial" w:cs="Arial" w:eastAsia="Arial" w:hAnsi="Arial"/>
          <w:sz w:val="12"/>
          <w:szCs w:val="12"/>
          <w:color w:val="auto"/>
        </w:rPr>
        <w:t>.</w:t>
      </w:r>
    </w:p>
    <w:p>
      <w:pPr>
        <w:spacing w:after="0" w:line="108" w:lineRule="exact"/>
        <w:rPr>
          <w:sz w:val="20"/>
          <w:szCs w:val="20"/>
          <w:color w:val="auto"/>
        </w:rPr>
      </w:pPr>
    </w:p>
    <w:p>
      <w:pPr>
        <w:ind w:right="120" w:firstLine="399"/>
        <w:spacing w:after="0" w:line="277" w:lineRule="auto"/>
        <w:rPr>
          <w:sz w:val="20"/>
          <w:szCs w:val="20"/>
          <w:color w:val="auto"/>
        </w:rPr>
      </w:pPr>
      <w:r>
        <w:rPr>
          <w:rFonts w:ascii="Arial" w:cs="Arial" w:eastAsia="Arial" w:hAnsi="Arial"/>
          <w:sz w:val="12"/>
          <w:szCs w:val="12"/>
          <w:color w:val="auto"/>
        </w:rPr>
        <w:t>During fiscal 2011, our revenue increased 8%, as compared to fiscal 2010. Our diluted earnings per share from continuing operations increased to $2.79 in fiscal 2011 from $2.33 in fiscal 2010. Cash flow from operations in fiscal 2011 was $900.5 million or 30% of revenue. We received proceeds of $515.5 million during fiscal 2011 from the issuance of $375 million aggregate principal amount of 3.0% senior unsecured notes and from a $145 million term loan facility entered into by a wholly owned subsidiary of ours. In addition, we received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$217.2 million in net proceeds from employee stock option exercises. During fiscal 2011, we repurchased a total of approximately 9.0 million shares of our common stock for an aggregate of $330.3 million, distributed $281.6 million to our shareholders in dividend payments and paid $123.0 million for property, plant and equipment additions. These factors contributed to the net increase in cash and cash equivalents of $335.1 million in fiscal 2011.</w:t>
      </w:r>
    </w:p>
    <w:p>
      <w:pPr>
        <w:spacing w:after="0" w:line="71" w:lineRule="exact"/>
        <w:rPr>
          <w:sz w:val="20"/>
          <w:szCs w:val="20"/>
          <w:color w:val="auto"/>
        </w:rPr>
      </w:pPr>
    </w:p>
    <w:p>
      <w:pPr>
        <w:ind w:right="40" w:firstLine="399"/>
        <w:spacing w:after="0" w:line="316" w:lineRule="auto"/>
        <w:rPr>
          <w:sz w:val="20"/>
          <w:szCs w:val="20"/>
          <w:color w:val="auto"/>
        </w:rPr>
      </w:pPr>
      <w:r>
        <w:rPr>
          <w:rFonts w:ascii="Arial" w:cs="Arial" w:eastAsia="Arial" w:hAnsi="Arial"/>
          <w:sz w:val="11"/>
          <w:szCs w:val="11"/>
          <w:color w:val="auto"/>
        </w:rPr>
        <w:t>The year-to-year increase in revenue and profitability for fiscal 2011 was primarily the result of improved global macro-economic conditions during the first half of the fiscal year. The strong growth we experienced in the first six months of fiscal 2011, including a 9% sequential revenue increase in our second fiscal quarter, was followed by sequential revenue declines in both the third and fourth fiscal quarters. The 9% sequential revenue increase in the second fiscal quarter included increased inventory stocking by our customers as a result of the Japanese earthquake and tsunami in March 2011. During the third and fourth quarters, of fiscal 2011, we began to see revenue declines attributable to inventory corrections following the inventory buildup in the prior quarters and declining demand as the deficit and credit related crisis in Europe and the U.S. caused customers to become more cautious in the second half of fiscal 2011.</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End Market</w:t>
      </w:r>
    </w:p>
    <w:p>
      <w:pPr>
        <w:spacing w:after="0" w:line="9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 During fiscal year 2011, we consolidated the computer end market, which represented approximately 1% of fiscal 2011 revenue, into the consumer end market, and reclassified handset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auto"/>
        </w:rPr>
        <w:t>revenue, which represented approximately 3% of fiscal 2011 revenue, from the communications end market to the consumer end market for all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0"/>
                <w:szCs w:val="10"/>
                <w:b w:val="1"/>
                <w:bCs w:val="1"/>
                <w:color w:val="auto"/>
              </w:rPr>
              <w:t>2011</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2010</w:t>
            </w:r>
          </w:p>
        </w:tc>
        <w:tc>
          <w:tcPr>
            <w:tcW w:w="4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1"/>
              </w:rPr>
              <w:t>Total</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Revenue</w:t>
            </w:r>
          </w:p>
        </w:tc>
        <w:tc>
          <w:tcPr>
            <w:tcW w:w="18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Product</w:t>
            </w:r>
          </w:p>
        </w:tc>
        <w:tc>
          <w:tcPr>
            <w:tcW w:w="84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Revenue*</w:t>
            </w: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1,397,634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1,267,736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860,696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415,444</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14%</w:t>
            </w: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333,644</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200,329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586,945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626,565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508,848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540" w:type="dxa"/>
            <w:vAlign w:val="bottom"/>
            <w:gridSpan w:val="2"/>
          </w:tcPr>
          <w:p>
            <w:pPr>
              <w:spacing w:after="0"/>
              <w:rPr>
                <w:sz w:val="20"/>
                <w:szCs w:val="20"/>
                <w:color w:val="auto"/>
              </w:rPr>
            </w:pPr>
            <w:r>
              <w:rPr>
                <w:rFonts w:ascii="Arial" w:cs="Arial" w:eastAsia="Arial" w:hAnsi="Arial"/>
                <w:sz w:val="13"/>
                <w:szCs w:val="13"/>
                <w:color w:val="auto"/>
              </w:rPr>
              <w:t>Communications</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593,297</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20%</w:t>
            </w: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533,558</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445,035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2,993,320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2,761,503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2,014,908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i w:val="1"/>
          <w:iCs w:val="1"/>
          <w:color w:val="auto"/>
        </w:rPr>
        <w:t xml:space="preserve">Industrial — </w:t>
      </w:r>
      <w:r>
        <w:rPr>
          <w:rFonts w:ascii="Arial" w:cs="Arial" w:eastAsia="Arial" w:hAnsi="Arial"/>
          <w:sz w:val="13"/>
          <w:szCs w:val="13"/>
          <w:color w:val="auto"/>
        </w:rPr>
        <w:t>The year-to-year increase in revenue from fiscal 2010 to fiscal 2011 in industrial end market revenue was primarily the result of a broad-based increase in demand in this</w:t>
      </w:r>
      <w:r>
        <w:rPr>
          <w:rFonts w:ascii="Arial" w:cs="Arial" w:eastAsia="Arial" w:hAnsi="Arial"/>
          <w:sz w:val="13"/>
          <w:szCs w:val="13"/>
          <w:i w:val="1"/>
          <w:iCs w:val="1"/>
          <w:color w:val="auto"/>
        </w:rPr>
        <w:t xml:space="preserve"> </w:t>
      </w:r>
      <w:r>
        <w:rPr>
          <w:rFonts w:ascii="Arial" w:cs="Arial" w:eastAsia="Arial" w:hAnsi="Arial"/>
          <w:sz w:val="13"/>
          <w:szCs w:val="13"/>
          <w:color w:val="auto"/>
        </w:rPr>
        <w:t>end market, which was most significant for products sold into the automation and instrumentation sectors and, to a lesser extent, products sold into the energy and healthcare sectors. The year-to-year increase in revenue from fiscal 2009 to fiscal 2010 in industrial end market revenue was primarily the result of a broad-based increase in demand in this end market, which was most significant for products sold into the instrumentation and automation sectors.</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i w:val="1"/>
          <w:iCs w:val="1"/>
          <w:color w:val="auto"/>
        </w:rPr>
        <w:t xml:space="preserve">Automotive </w:t>
      </w:r>
      <w:r>
        <w:rPr>
          <w:rFonts w:ascii="Arial" w:cs="Arial" w:eastAsia="Arial" w:hAnsi="Arial"/>
          <w:sz w:val="13"/>
          <w:szCs w:val="13"/>
          <w:color w:val="auto"/>
        </w:rPr>
        <w:t>— The year-to-year increase in revenue from fiscal 2010 to fiscal 2011 in automotive end market revenue was primarily the result of a general increase in the electronic</w:t>
      </w:r>
      <w:r>
        <w:rPr>
          <w:rFonts w:ascii="Arial" w:cs="Arial" w:eastAsia="Arial" w:hAnsi="Arial"/>
          <w:sz w:val="13"/>
          <w:szCs w:val="13"/>
          <w:i w:val="1"/>
          <w:iCs w:val="1"/>
          <w:color w:val="auto"/>
        </w:rPr>
        <w:t xml:space="preserve"> </w:t>
      </w:r>
      <w:r>
        <w:rPr>
          <w:rFonts w:ascii="Arial" w:cs="Arial" w:eastAsia="Arial" w:hAnsi="Arial"/>
          <w:sz w:val="13"/>
          <w:szCs w:val="13"/>
          <w:color w:val="auto"/>
        </w:rPr>
        <w:t>content found in vehicles and, to a lesser extent, a general increase in demand by our customers. The year-to-year increase in revenue from fiscal 2009 to fiscal 2010 in automotive end market revenue was primarily the result of increased demand due to various government-initiated incentive programs, inventory replenishment and a general increase in the electronic content found in vehicles.</w:t>
      </w:r>
    </w:p>
    <w:p>
      <w:pPr>
        <w:spacing w:after="0" w:line="7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i w:val="1"/>
          <w:iCs w:val="1"/>
          <w:color w:val="auto"/>
        </w:rPr>
        <w:t xml:space="preserve">Consumer — </w:t>
      </w:r>
      <w:r>
        <w:rPr>
          <w:rFonts w:ascii="Arial" w:cs="Arial" w:eastAsia="Arial" w:hAnsi="Arial"/>
          <w:sz w:val="13"/>
          <w:szCs w:val="13"/>
          <w:color w:val="auto"/>
        </w:rPr>
        <w:t>The year-to-year decrease in revenue from fiscal 2010 to fiscal 2011 in consumer end market revenue was primarily the result of a decrease in demand for products in</w:t>
      </w:r>
      <w:r>
        <w:rPr>
          <w:rFonts w:ascii="Arial" w:cs="Arial" w:eastAsia="Arial" w:hAnsi="Arial"/>
          <w:sz w:val="13"/>
          <w:szCs w:val="13"/>
          <w:i w:val="1"/>
          <w:iCs w:val="1"/>
          <w:color w:val="auto"/>
        </w:rPr>
        <w:t xml:space="preserve"> </w:t>
      </w:r>
      <w:r>
        <w:rPr>
          <w:rFonts w:ascii="Arial" w:cs="Arial" w:eastAsia="Arial" w:hAnsi="Arial"/>
          <w:sz w:val="13"/>
          <w:szCs w:val="13"/>
          <w:color w:val="auto"/>
        </w:rPr>
        <w:t>the digital camera and home entertainment sector primarily as a result of the impact of the earthquake and tsunami that occurred in Japan in March 2011, partially offset by an increase in demand for products used in portable devices in this end market. The year-to-year increase in revenue from fiscal 2009 to fiscal 2010 in consumer end market revenue was primarily the result of a broad-based increase in demand for products used in digital cameras and other consumer applications.</w:t>
      </w:r>
    </w:p>
    <w:p>
      <w:pPr>
        <w:spacing w:after="0" w:line="70"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i w:val="1"/>
          <w:iCs w:val="1"/>
          <w:color w:val="auto"/>
        </w:rPr>
        <w:t xml:space="preserve">Communications — </w:t>
      </w:r>
      <w:r>
        <w:rPr>
          <w:rFonts w:ascii="Arial" w:cs="Arial" w:eastAsia="Arial" w:hAnsi="Arial"/>
          <w:sz w:val="12"/>
          <w:szCs w:val="12"/>
          <w:color w:val="auto"/>
        </w:rPr>
        <w:t>The year-to-year increase in revenue from fiscal 2010 to fiscal 2011 in communications end market revenue was primarily the result of a broad-based increase in</w:t>
      </w:r>
      <w:r>
        <w:rPr>
          <w:rFonts w:ascii="Arial" w:cs="Arial" w:eastAsia="Arial" w:hAnsi="Arial"/>
          <w:sz w:val="12"/>
          <w:szCs w:val="12"/>
          <w:i w:val="1"/>
          <w:iCs w:val="1"/>
          <w:color w:val="auto"/>
        </w:rPr>
        <w:t xml:space="preserve"> </w:t>
      </w:r>
      <w:r>
        <w:rPr>
          <w:rFonts w:ascii="Arial" w:cs="Arial" w:eastAsia="Arial" w:hAnsi="Arial"/>
          <w:sz w:val="12"/>
          <w:szCs w:val="12"/>
          <w:color w:val="auto"/>
        </w:rPr>
        <w:t>demand in this end market, which was most significant for the basestation end market sector. The year-to-year increase in revenue from fiscal 2009 to fiscal 2010 in communications end market revenue was primarily the result of a broad-based increase in demand in this end market, which was most significant for the infrastructure sector.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9" w:name="page30"/>
    <w:bookmarkEnd w:id="29"/>
    <w:p>
      <w:pPr>
        <w:ind w:left="20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2011</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2010</w:t>
            </w: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2009</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Revenue</w:t>
            </w: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7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Revenue</w:t>
            </w: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1,343,492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45%</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1,295,678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1,005,004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3640" w:type="dxa"/>
            <w:vAlign w:val="bottom"/>
            <w:gridSpan w:val="2"/>
          </w:tcPr>
          <w:p>
            <w:pPr>
              <w:spacing w:after="0"/>
              <w:rPr>
                <w:sz w:val="20"/>
                <w:szCs w:val="20"/>
                <w:color w:val="auto"/>
              </w:rPr>
            </w:pPr>
            <w:r>
              <w:rPr>
                <w:rFonts w:ascii="Arial" w:cs="Arial" w:eastAsia="Arial" w:hAnsi="Arial"/>
                <w:sz w:val="13"/>
                <w:szCs w:val="13"/>
                <w:color w:val="auto"/>
              </w:rPr>
              <w:t>Amplifiers/Radio frequency</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788,498</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26%</w:t>
            </w:r>
          </w:p>
        </w:tc>
        <w:tc>
          <w:tcPr>
            <w:tcW w:w="74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701,634</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501,942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410,233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334,649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216,473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9%</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2,542,223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85%</w:t>
            </w:r>
          </w:p>
        </w:tc>
        <w:tc>
          <w:tcPr>
            <w:tcW w:w="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2,331,961</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1,723,419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217,501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194,699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118,148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9%</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2,759,724</w:t>
            </w:r>
          </w:p>
        </w:tc>
        <w:tc>
          <w:tcPr>
            <w:tcW w:w="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92%</w:t>
            </w:r>
          </w:p>
        </w:tc>
        <w:tc>
          <w:tcPr>
            <w:tcW w:w="74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2,526,660</w:t>
            </w:r>
          </w:p>
        </w:tc>
        <w:tc>
          <w:tcPr>
            <w:tcW w:w="300" w:type="dxa"/>
            <w:vAlign w:val="bottom"/>
            <w:vMerge w:val="continue"/>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3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Digital signal processing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233,596</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234,843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173,341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8%</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4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2,993,320</w:t>
            </w:r>
          </w:p>
        </w:tc>
        <w:tc>
          <w:tcPr>
            <w:tcW w:w="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74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300" w:type="dxa"/>
            <w:vAlign w:val="bottom"/>
            <w:vMerge w:val="continue"/>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30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increase in total revenue from fiscal 2010 to fiscal 2011 and from fiscal 2009 to fiscal 2010 was the result of a broad-based increase in sales across all of our product categories.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Geographic Region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Revenue by geographic region, based upon customer location, for the last three fiscal years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532,011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508,187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401,608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Rest of North and South America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164,079</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153,962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92,954</w:t>
            </w: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Europe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838,719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703,717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502,602</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Japan</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400,456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441,826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349,907</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596,433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508,489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376,080</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Rest of Asia</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461,622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445,322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291,757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2,993,320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2,761,503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2,014,908</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399"/>
        <w:spacing w:after="0" w:line="320" w:lineRule="auto"/>
        <w:rPr>
          <w:sz w:val="20"/>
          <w:szCs w:val="20"/>
          <w:color w:val="auto"/>
        </w:rPr>
      </w:pPr>
      <w:r>
        <w:rPr>
          <w:rFonts w:ascii="Arial" w:cs="Arial" w:eastAsia="Arial" w:hAnsi="Arial"/>
          <w:sz w:val="12"/>
          <w:szCs w:val="12"/>
          <w:color w:val="auto"/>
        </w:rPr>
        <w:t>In fiscal years 2011, 2010 and 2009,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35"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Sales increased in all geographic regions, except Japan, in fiscal 2011 as compared to fiscal 2010, primarily as a result of increases in sales activity in the industrial, automotive and communications end market sectors. The year-to-year decrease in sales in Japan was primarily the result of lower sales activity in the consumer end market sector in this region due to the earthquake and tsunami that occurred in Japan in March 2011.</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0" w:name="page31"/>
    <w:bookmarkEnd w:id="30"/>
    <w:p>
      <w:pPr>
        <w:ind w:right="80" w:firstLine="399"/>
        <w:spacing w:after="0" w:line="276" w:lineRule="auto"/>
        <w:rPr>
          <w:sz w:val="20"/>
          <w:szCs w:val="20"/>
          <w:color w:val="auto"/>
        </w:rPr>
      </w:pPr>
      <w:r>
        <w:rPr>
          <w:rFonts w:ascii="Arial" w:cs="Arial" w:eastAsia="Arial" w:hAnsi="Arial"/>
          <w:sz w:val="13"/>
          <w:szCs w:val="13"/>
          <w:color w:val="auto"/>
        </w:rPr>
        <w:t>Sales increased in all geographic regions in fiscal 2010 as compared to fiscal 2009, with sales in Europe and the Rest of Asia experiencing the largest increases. The increase in sales was the result of an increase in demand for our products primarily as a result of improving economic conditions worldwide.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Gross Margin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Fiscal Year</w:t>
            </w: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r>
        <w:trPr>
          <w:trHeight w:val="98"/>
        </w:trPr>
        <w:tc>
          <w:tcPr>
            <w:tcW w:w="5760" w:type="dxa"/>
            <w:vAlign w:val="bottom"/>
          </w:tcPr>
          <w:p>
            <w:pPr>
              <w:spacing w:after="0"/>
              <w:rPr>
                <w:sz w:val="8"/>
                <w:szCs w:val="8"/>
                <w:color w:val="auto"/>
              </w:rPr>
            </w:pPr>
          </w:p>
        </w:tc>
        <w:tc>
          <w:tcPr>
            <w:tcW w:w="1240" w:type="dxa"/>
            <w:vAlign w:val="bottom"/>
            <w:tcBorders>
              <w:bottom w:val="single" w:sz="8" w:color="auto"/>
            </w:tcBorders>
          </w:tcPr>
          <w:p>
            <w:pPr>
              <w:jc w:val="right"/>
              <w:ind w:right="459"/>
              <w:spacing w:after="0" w:line="98" w:lineRule="exact"/>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8"/>
                <w:szCs w:val="8"/>
                <w:color w:val="auto"/>
              </w:rPr>
            </w:pPr>
          </w:p>
        </w:tc>
        <w:tc>
          <w:tcPr>
            <w:tcW w:w="122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1220" w:type="dxa"/>
            <w:vAlign w:val="bottom"/>
            <w:tcBorders>
              <w:bottom w:val="single" w:sz="8" w:color="auto"/>
            </w:tcBorders>
          </w:tcPr>
          <w:p>
            <w:pPr>
              <w:jc w:val="right"/>
              <w:ind w:right="44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5760" w:type="dxa"/>
            <w:vAlign w:val="bottom"/>
          </w:tcPr>
          <w:p>
            <w:pPr>
              <w:spacing w:after="0"/>
              <w:rPr>
                <w:sz w:val="20"/>
                <w:szCs w:val="20"/>
                <w:color w:val="auto"/>
              </w:rPr>
            </w:pPr>
            <w:r>
              <w:rPr>
                <w:rFonts w:ascii="Arial" w:cs="Arial" w:eastAsia="Arial" w:hAnsi="Arial"/>
                <w:sz w:val="13"/>
                <w:szCs w:val="13"/>
                <w:color w:val="auto"/>
              </w:rPr>
              <w:t>Gross Margin</w:t>
            </w:r>
          </w:p>
        </w:tc>
        <w:tc>
          <w:tcPr>
            <w:tcW w:w="1240" w:type="dxa"/>
            <w:vAlign w:val="bottom"/>
          </w:tcPr>
          <w:p>
            <w:pPr>
              <w:jc w:val="right"/>
              <w:ind w:right="299"/>
              <w:spacing w:after="0"/>
              <w:rPr>
                <w:sz w:val="20"/>
                <w:szCs w:val="20"/>
                <w:color w:val="auto"/>
              </w:rPr>
            </w:pPr>
            <w:r>
              <w:rPr>
                <w:rFonts w:ascii="Arial" w:cs="Arial" w:eastAsia="Arial" w:hAnsi="Arial"/>
                <w:sz w:val="13"/>
                <w:szCs w:val="13"/>
                <w:color w:val="auto"/>
              </w:rPr>
              <w:t>$1,986,541</w:t>
            </w:r>
          </w:p>
        </w:tc>
        <w:tc>
          <w:tcPr>
            <w:tcW w:w="1480" w:type="dxa"/>
            <w:vAlign w:val="bottom"/>
            <w:gridSpan w:val="2"/>
          </w:tcPr>
          <w:p>
            <w:pPr>
              <w:jc w:val="right"/>
              <w:ind w:right="288"/>
              <w:spacing w:after="0"/>
              <w:rPr>
                <w:sz w:val="20"/>
                <w:szCs w:val="20"/>
                <w:color w:val="auto"/>
              </w:rPr>
            </w:pPr>
            <w:r>
              <w:rPr>
                <w:rFonts w:ascii="Arial" w:cs="Arial" w:eastAsia="Arial" w:hAnsi="Arial"/>
                <w:sz w:val="13"/>
                <w:szCs w:val="13"/>
                <w:color w:val="auto"/>
              </w:rPr>
              <w:t>$1,799,422</w:t>
            </w:r>
          </w:p>
        </w:tc>
        <w:tc>
          <w:tcPr>
            <w:tcW w:w="1500" w:type="dxa"/>
            <w:vAlign w:val="bottom"/>
            <w:gridSpan w:val="2"/>
          </w:tcPr>
          <w:p>
            <w:pPr>
              <w:jc w:val="right"/>
              <w:ind w:right="288"/>
              <w:spacing w:after="0"/>
              <w:rPr>
                <w:sz w:val="20"/>
                <w:szCs w:val="20"/>
                <w:color w:val="auto"/>
              </w:rPr>
            </w:pPr>
            <w:r>
              <w:rPr>
                <w:rFonts w:ascii="Arial" w:cs="Arial" w:eastAsia="Arial" w:hAnsi="Arial"/>
                <w:sz w:val="13"/>
                <w:szCs w:val="13"/>
                <w:color w:val="auto"/>
              </w:rPr>
              <w:t>$1,118,637</w:t>
            </w:r>
          </w:p>
        </w:tc>
      </w:tr>
      <w:tr>
        <w:trPr>
          <w:trHeight w:val="165"/>
        </w:trPr>
        <w:tc>
          <w:tcPr>
            <w:tcW w:w="5760" w:type="dxa"/>
            <w:vAlign w:val="bottom"/>
          </w:tcPr>
          <w:p>
            <w:pPr>
              <w:spacing w:after="0"/>
              <w:rPr>
                <w:sz w:val="20"/>
                <w:szCs w:val="20"/>
                <w:color w:val="auto"/>
              </w:rPr>
            </w:pPr>
            <w:r>
              <w:rPr>
                <w:rFonts w:ascii="Arial" w:cs="Arial" w:eastAsia="Arial" w:hAnsi="Arial"/>
                <w:sz w:val="13"/>
                <w:szCs w:val="13"/>
                <w:color w:val="auto"/>
              </w:rPr>
              <w:t>Gross Margin %</w:t>
            </w:r>
          </w:p>
        </w:tc>
        <w:tc>
          <w:tcPr>
            <w:tcW w:w="1240" w:type="dxa"/>
            <w:vAlign w:val="bottom"/>
          </w:tcPr>
          <w:p>
            <w:pPr>
              <w:jc w:val="right"/>
              <w:ind w:right="179"/>
              <w:spacing w:after="0"/>
              <w:rPr>
                <w:sz w:val="20"/>
                <w:szCs w:val="20"/>
                <w:color w:val="auto"/>
              </w:rPr>
            </w:pPr>
            <w:r>
              <w:rPr>
                <w:rFonts w:ascii="Arial" w:cs="Arial" w:eastAsia="Arial" w:hAnsi="Arial"/>
                <w:sz w:val="13"/>
                <w:szCs w:val="13"/>
                <w:color w:val="auto"/>
              </w:rPr>
              <w:t>66.4%</w:t>
            </w:r>
          </w:p>
        </w:tc>
        <w:tc>
          <w:tcPr>
            <w:tcW w:w="1480" w:type="dxa"/>
            <w:vAlign w:val="bottom"/>
            <w:gridSpan w:val="2"/>
          </w:tcPr>
          <w:p>
            <w:pPr>
              <w:jc w:val="right"/>
              <w:ind w:right="188"/>
              <w:spacing w:after="0"/>
              <w:rPr>
                <w:sz w:val="20"/>
                <w:szCs w:val="20"/>
                <w:color w:val="auto"/>
              </w:rPr>
            </w:pPr>
            <w:r>
              <w:rPr>
                <w:rFonts w:ascii="Arial" w:cs="Arial" w:eastAsia="Arial" w:hAnsi="Arial"/>
                <w:sz w:val="13"/>
                <w:szCs w:val="13"/>
                <w:color w:val="auto"/>
              </w:rPr>
              <w:t>65.2%</w:t>
            </w:r>
          </w:p>
        </w:tc>
        <w:tc>
          <w:tcPr>
            <w:tcW w:w="1500" w:type="dxa"/>
            <w:vAlign w:val="bottom"/>
            <w:gridSpan w:val="2"/>
          </w:tcPr>
          <w:p>
            <w:pPr>
              <w:jc w:val="right"/>
              <w:ind w:right="188"/>
              <w:spacing w:after="0"/>
              <w:rPr>
                <w:sz w:val="20"/>
                <w:szCs w:val="20"/>
                <w:color w:val="auto"/>
              </w:rPr>
            </w:pPr>
            <w:r>
              <w:rPr>
                <w:rFonts w:ascii="Arial" w:cs="Arial" w:eastAsia="Arial" w:hAnsi="Arial"/>
                <w:sz w:val="13"/>
                <w:szCs w:val="13"/>
                <w:color w:val="auto"/>
              </w:rPr>
              <w:t>55.5%</w:t>
            </w:r>
          </w:p>
        </w:tc>
      </w:tr>
    </w:tbl>
    <w:p>
      <w:pPr>
        <w:spacing w:after="0" w:line="81"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Gross margin percentage was higher in fiscal 2011 by 120 basis points, as compared to fiscal 2010 primarily as a result of an increase in sales of $231.8 million, increased operating levels in our manufacturing facilities and the impact of efforts to reduce overall manufacturing costs, including the savings realized as a result of our wafer fabrication consolidation actions. Additionally, a higher proportion of our revenues were from products sold into the instrumentation and automation sectors of the industrial end market, which earn higher margins as compared to products sold into our other end markets.</w:t>
      </w:r>
    </w:p>
    <w:p>
      <w:pPr>
        <w:spacing w:after="0" w:line="7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Gross margin percentage was higher in fiscal 2010 by 970 basis points as compared to fiscal 2009 primarily as a result of an increase in sales of $746.6 million, increased operating levels in our manufacturing facilities and the impact of ongoing efforts to reduce overall manufacturing costs, including the savings realized as a result of our wafer fabrication facility consolidations. Additionally, a higher proportion of our revenues were from products sold into the instrumentation and automation sectors of the industrial end market, which earn higher margins as compared to products sold into our other end markets.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Research and Development (R&amp;D)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R&amp;D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$505,570</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$492,305</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$446,980</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R&amp;D Expenses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16.9%</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17.8%</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22.2%</w:t>
            </w:r>
          </w:p>
        </w:tc>
      </w:tr>
    </w:tbl>
    <w:p>
      <w:pPr>
        <w:spacing w:after="0" w:line="81"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R&amp;D expenses increased $13.3 million, or 3%, in fiscal 2011 as compared to fiscal 2010. The increase was primarily the result of higher employee salary and benefit expense due to salary increases that were effective at the beginning of the second quarter of fiscal 2011, increased headcount, and a general increase in spending. These increases were partially offset by lower variable compensation expense, which is a variable expense linked to our overall profitability and revenue growth.</w:t>
      </w:r>
    </w:p>
    <w:p>
      <w:pPr>
        <w:spacing w:after="0" w:line="67" w:lineRule="exact"/>
        <w:rPr>
          <w:sz w:val="20"/>
          <w:szCs w:val="20"/>
          <w:color w:val="auto"/>
        </w:rPr>
      </w:pPr>
    </w:p>
    <w:p>
      <w:pPr>
        <w:ind w:right="300" w:firstLine="399"/>
        <w:spacing w:after="0" w:line="264" w:lineRule="auto"/>
        <w:rPr>
          <w:sz w:val="20"/>
          <w:szCs w:val="20"/>
          <w:color w:val="auto"/>
        </w:rPr>
      </w:pPr>
      <w:r>
        <w:rPr>
          <w:rFonts w:ascii="Arial" w:cs="Arial" w:eastAsia="Arial" w:hAnsi="Arial"/>
          <w:sz w:val="13"/>
          <w:szCs w:val="13"/>
          <w:color w:val="auto"/>
        </w:rPr>
        <w:t>Research and development, or R&amp;D, expenses in fiscal 2010 increased $45.3 million, or 10%, from fiscal 2009. The increase was primarily the result of an increase in variable compensation expense, which was a variable expense linked to our overall profitability, partially offset by the impact of actions we took over the prior two years to control discretionary spending and permanently reduce operating expenses.</w:t>
      </w:r>
    </w:p>
    <w:p>
      <w:pPr>
        <w:spacing w:after="0" w:line="67"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ind w:left="200"/>
        <w:spacing w:after="0"/>
        <w:rPr>
          <w:sz w:val="20"/>
          <w:szCs w:val="20"/>
          <w:color w:val="auto"/>
        </w:rPr>
      </w:pPr>
      <w:r>
        <w:rPr>
          <w:rFonts w:ascii="Arial" w:cs="Arial" w:eastAsia="Arial" w:hAnsi="Arial"/>
          <w:sz w:val="13"/>
          <w:szCs w:val="13"/>
          <w:i w:val="1"/>
          <w:iCs w:val="1"/>
          <w:color w:val="auto"/>
        </w:rPr>
        <w:t>Selling, Marketing, General and Administrative (SMG&amp;A)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SMG&amp;A Expenses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$406,707</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$390,560</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$333,184</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SMG&amp;A Expenses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13.6%</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14.1%</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16.5%</w:t>
            </w:r>
          </w:p>
        </w:tc>
      </w:tr>
    </w:tbl>
    <w:p>
      <w:pPr>
        <w:spacing w:after="0" w:line="81" w:lineRule="exact"/>
        <w:rPr>
          <w:sz w:val="20"/>
          <w:szCs w:val="20"/>
          <w:color w:val="auto"/>
        </w:rPr>
      </w:pPr>
    </w:p>
    <w:p>
      <w:pPr>
        <w:jc w:val="both"/>
        <w:ind w:right="60" w:firstLine="399"/>
        <w:spacing w:after="0" w:line="296" w:lineRule="auto"/>
        <w:rPr>
          <w:sz w:val="20"/>
          <w:szCs w:val="20"/>
          <w:color w:val="auto"/>
        </w:rPr>
      </w:pPr>
      <w:r>
        <w:rPr>
          <w:rFonts w:ascii="Arial" w:cs="Arial" w:eastAsia="Arial" w:hAnsi="Arial"/>
          <w:sz w:val="12"/>
          <w:szCs w:val="12"/>
          <w:color w:val="auto"/>
        </w:rPr>
        <w:t>Selling, marketing, general and administrative, or SMG&amp;A, expenses increased $16.1 million, or 4%, in fiscal 2011 as compared to fiscal 2010. The increase was primarily the result of higher employee salary and benefit expense due to salary increases that were effective at the beginning of the second quarter of fiscal 2011, increased headcount and a general increase in spending. These increases were partially offset by lower variable compensation expense, which is a variable expense linked to our overall profitability and revenue growth.</w:t>
      </w:r>
    </w:p>
    <w:p>
      <w:pPr>
        <w:spacing w:after="0" w:line="5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SMG&amp;A expenses in fiscal 2010 increased $57.4 million, or 17%, from fiscal 2009. The increase was primarily the result of an increase in variable compensation expense, which was a variable expense linked to our overall profitability, and higher sales commission expenses, which are variable expenses linked to our sales. These increases were offset by the impact of actions we took over the prior two years to control discretionary spending and permanently reduce operating expenses.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Special Charges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right="120" w:firstLine="399"/>
        <w:spacing w:after="0" w:line="371" w:lineRule="auto"/>
        <w:rPr>
          <w:sz w:val="20"/>
          <w:szCs w:val="20"/>
          <w:color w:val="auto"/>
        </w:rPr>
      </w:pPr>
      <w:r>
        <w:rPr>
          <w:rFonts w:ascii="Arial" w:cs="Arial" w:eastAsia="Arial" w:hAnsi="Arial"/>
          <w:sz w:val="11"/>
          <w:szCs w:val="11"/>
          <w:color w:val="auto"/>
        </w:rPr>
        <w:t>We ceased production at our California wafer fabrication facility in November 2006. We paid the related lease obligation costs on a monthly basis over the remaining lease term, which expired in March 2010. We recorded a one-time settlement charge of $0.4 million in fiscal 2010 related to the termination of the lease. This action was completed during fiscal 2010.</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During fiscal 2007 through fiscal 2010, we recorded special charges of $16.4 million as a result of our decision to only use eight-inch technology at our wafer fabrication facility in Limerick. These special charges included $14.9 million for severance and fringe benefit costs in accordance with our ongoing benefit plan for 150 manufacturing employees and $1.5 million for clean-up and closure costs that we expensed as incurred. The production in the six-inch wafer fabrication facility ceased during the fourth quarter of fiscal 2009. This action was completed during fiscal 2010. This action resulted in annual cost savings of approximately $25 million per year.</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During fiscal 2008 through fiscal 2010, in order to further reduce our operating cost structure, we recorded special charges of approximately $43.3 million. These special charges included: $39.1 million for severance and fringe benefit costs in accordance with our ongoing benefit plan or statutory requirements at foreign locations for 245 manufacturing employees and 470 engineering and SMG&amp;A employees; $2.1 million for lease obligation costs for facilities that we ceased using during the first quarter of fiscal 2009; $0.8 million for the write-off of property, plant and equipment; $0.5 million for contract termination costs; $0.3 million for clean-up and closure costs that we expensed as incurred; and $0.5 million related to the impairment of intellectual property. This action resulted in annual cost savings of approximately $52 million per year. We terminated the employment of all employees associated with this action and we are paying amounts owed to them as income continuance.</w:t>
      </w:r>
    </w:p>
    <w:p>
      <w:pPr>
        <w:spacing w:after="0" w:line="72"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During fiscal 2011, in order to further reduce our operating cost structure, we recorded a special charge of approximately $2.2 million. This special charge was for severance and fringe benefit costs in accordance with our ongoing benefit plan or statutory requirements at foreign locations for 25 engineering and SMG&amp;A employees. As of October 29, 2011, we still employed 13 of the 25 employees included in this cost reduction action. These employees must continue to be employed by us until their employment is involuntarily terminated in order to receive the severance benefit. We estimate this action will result in annual savings in SMG&amp;A expenses of approximately $4 million once fully implemented.</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2" w:name="page33"/>
    <w:bookmarkEnd w:id="32"/>
    <w:p>
      <w:pPr>
        <w:ind w:left="880"/>
        <w:spacing w:after="0"/>
        <w:rPr>
          <w:sz w:val="20"/>
          <w:szCs w:val="20"/>
          <w:color w:val="auto"/>
        </w:rPr>
      </w:pPr>
      <w:r>
        <w:rPr>
          <w:rFonts w:ascii="Arial" w:cs="Arial" w:eastAsia="Arial" w:hAnsi="Arial"/>
          <w:sz w:val="13"/>
          <w:szCs w:val="13"/>
          <w:i w:val="1"/>
          <w:iCs w:val="1"/>
          <w:color w:val="auto"/>
        </w:rPr>
        <w:t>Closure of a Wafer Fabrication Facility in Cambridge</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During fiscal 2009 and fiscal 2010, we recorded special charges of $26.8 million as a result of our decision to consolidate our Cambridge, Massachusetts wafer fabrication facility into our existing Wilmington, Massachusetts facility. These special charges included: $7.4 million for severance and fringe benefit costs recorded in accordance with our ongoing benefit plan for 124 manufacturing employees and 9 SMG&amp;A employees; $14.6 million for the impairment of manufacturing assets; $3.4 million for lease obligation costs for the Cambridge wafer fabrication facility, which we ceased using in the first quarter of fiscal 2010; and $1.4 million for clean-up and closure costs that we expensed as incurred. This action was completed during the third quarter of fiscal 2011. This action resulted in annual cost savings of approximately $43 million per year.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Income from Continuing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4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240" w:type="dxa"/>
            <w:vAlign w:val="bottom"/>
          </w:tcPr>
          <w:p>
            <w:pPr>
              <w:spacing w:after="0"/>
              <w:rPr>
                <w:sz w:val="8"/>
                <w:szCs w:val="8"/>
                <w:color w:val="auto"/>
              </w:rPr>
            </w:pPr>
          </w:p>
        </w:tc>
        <w:tc>
          <w:tcPr>
            <w:tcW w:w="1240" w:type="dxa"/>
            <w:vAlign w:val="bottom"/>
            <w:tcBorders>
              <w:bottom w:val="single" w:sz="8" w:color="auto"/>
            </w:tcBorders>
          </w:tcPr>
          <w:p>
            <w:pPr>
              <w:jc w:val="right"/>
              <w:ind w:right="459"/>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6240" w:type="dxa"/>
            <w:vAlign w:val="bottom"/>
          </w:tcPr>
          <w:p>
            <w:pPr>
              <w:spacing w:after="0"/>
              <w:rPr>
                <w:sz w:val="20"/>
                <w:szCs w:val="20"/>
                <w:color w:val="auto"/>
              </w:rPr>
            </w:pPr>
            <w:r>
              <w:rPr>
                <w:rFonts w:ascii="Arial" w:cs="Arial" w:eastAsia="Arial" w:hAnsi="Arial"/>
                <w:sz w:val="13"/>
                <w:szCs w:val="13"/>
                <w:color w:val="auto"/>
              </w:rPr>
              <w:t>Operating income from Continuing Operations</w:t>
            </w:r>
          </w:p>
        </w:tc>
        <w:tc>
          <w:tcPr>
            <w:tcW w:w="1240" w:type="dxa"/>
            <w:vAlign w:val="bottom"/>
          </w:tcPr>
          <w:p>
            <w:pPr>
              <w:jc w:val="right"/>
              <w:ind w:right="299"/>
              <w:spacing w:after="0"/>
              <w:rPr>
                <w:sz w:val="20"/>
                <w:szCs w:val="20"/>
                <w:color w:val="auto"/>
              </w:rPr>
            </w:pPr>
            <w:r>
              <w:rPr>
                <w:rFonts w:ascii="Arial" w:cs="Arial" w:eastAsia="Arial" w:hAnsi="Arial"/>
                <w:sz w:val="13"/>
                <w:szCs w:val="13"/>
                <w:color w:val="auto"/>
              </w:rPr>
              <w:t>$1,072,025</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$900,074</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$284,817</w:t>
            </w:r>
          </w:p>
        </w:tc>
      </w:tr>
      <w:tr>
        <w:trPr>
          <w:trHeight w:val="165"/>
        </w:trPr>
        <w:tc>
          <w:tcPr>
            <w:tcW w:w="6240" w:type="dxa"/>
            <w:vAlign w:val="bottom"/>
          </w:tcPr>
          <w:p>
            <w:pPr>
              <w:spacing w:after="0"/>
              <w:rPr>
                <w:sz w:val="20"/>
                <w:szCs w:val="20"/>
                <w:color w:val="auto"/>
              </w:rPr>
            </w:pPr>
            <w:r>
              <w:rPr>
                <w:rFonts w:ascii="Arial" w:cs="Arial" w:eastAsia="Arial" w:hAnsi="Arial"/>
                <w:sz w:val="13"/>
                <w:szCs w:val="13"/>
                <w:color w:val="auto"/>
              </w:rPr>
              <w:t>Operating income from Continuing Operations as a % of Revenue</w:t>
            </w:r>
          </w:p>
        </w:tc>
        <w:tc>
          <w:tcPr>
            <w:tcW w:w="1240" w:type="dxa"/>
            <w:vAlign w:val="bottom"/>
          </w:tcPr>
          <w:p>
            <w:pPr>
              <w:jc w:val="right"/>
              <w:ind w:right="179"/>
              <w:spacing w:after="0"/>
              <w:rPr>
                <w:sz w:val="20"/>
                <w:szCs w:val="20"/>
                <w:color w:val="auto"/>
              </w:rPr>
            </w:pPr>
            <w:r>
              <w:rPr>
                <w:rFonts w:ascii="Arial" w:cs="Arial" w:eastAsia="Arial" w:hAnsi="Arial"/>
                <w:sz w:val="13"/>
                <w:szCs w:val="13"/>
                <w:color w:val="auto"/>
              </w:rPr>
              <w:t>35.8%</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32.6%</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14.1%</w:t>
            </w:r>
          </w:p>
        </w:tc>
      </w:tr>
    </w:tbl>
    <w:p>
      <w:pPr>
        <w:spacing w:after="0" w:line="81" w:lineRule="exact"/>
        <w:rPr>
          <w:sz w:val="20"/>
          <w:szCs w:val="20"/>
          <w:color w:val="auto"/>
        </w:rPr>
      </w:pPr>
    </w:p>
    <w:p>
      <w:pPr>
        <w:jc w:val="both"/>
        <w:ind w:left="680" w:right="940" w:firstLine="399"/>
        <w:spacing w:after="0" w:line="276" w:lineRule="auto"/>
        <w:rPr>
          <w:sz w:val="20"/>
          <w:szCs w:val="20"/>
          <w:color w:val="auto"/>
        </w:rPr>
      </w:pPr>
      <w:r>
        <w:rPr>
          <w:rFonts w:ascii="Arial" w:cs="Arial" w:eastAsia="Arial" w:hAnsi="Arial"/>
          <w:sz w:val="13"/>
          <w:szCs w:val="13"/>
          <w:color w:val="auto"/>
        </w:rPr>
        <w:t>The $172.0 million, or 19%, increase in operating income from continuing operations in fiscal 2011 as compared to fiscal 2010 was primarily the result of an increase in revenue of $231.8 million and a 120 basis point increase in gross margin percentage.</w:t>
      </w:r>
    </w:p>
    <w:p>
      <w:pPr>
        <w:spacing w:after="0" w:line="59"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$615.3 million, or 216%, increase in operating income from continuing operations in fiscal 2010 as compared to fiscal 2009 was primarily the result of an increase in revenue of $746.6 million, a 970 basis point increase in gross margin percentage, and lower special charges recorded in fiscal 2010 as compared to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Nonoperating (Income) Expense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0"/>
                <w:szCs w:val="10"/>
                <w:b w:val="1"/>
                <w:bCs w:val="1"/>
                <w:color w:val="auto"/>
                <w:w w:val="94"/>
              </w:rPr>
              <w:t>Fiscal Year</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19,146</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10,429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4,094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(9,060)</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(9,837)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(15,621)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nonoperating expense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10,578</w:t>
            </w:r>
          </w:p>
        </w:tc>
        <w:tc>
          <w:tcPr>
            <w:tcW w:w="42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(1,591)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(12,627)</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Nonoperating (income) expense was higher by $12.2 million in fiscal 2011 as compared to fiscal 2010. The increase was primarily due to an increase in interest expense incurred as a result of the issuance of $375 million aggregate principal amount of 3.0% senior unsecured notes on April 4, 2011, and the $145 million term loan facility entered into by a wholly owned subsidiary of ours in December 2010. In addition, we earned lower interest income as a result of lower interest rates in fiscal 2011 as compared to fiscal 2010, which was partially offset by interest earned on higher cash balances in fiscal 2011.</w:t>
      </w:r>
    </w:p>
    <w:p>
      <w:pPr>
        <w:spacing w:after="0" w:line="7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Nonoperating income was lower by $11 million in fiscal 2010 as compared to fiscal 2009. The increase was primarily due to higher interest expense incurred during fiscal 2010 as a result of the issuance of $375 million aggregate principal 5.0% senior unsecured notes on June 30, 2009, resulting in a partial year of interest expense in 2009 compared to a full year in 2010. In addition, we earned lower interest income on investments as a result of lower interest rates in fiscal 2010 as compared to fiscal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Provision for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Fiscal Year</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38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920" w:type="dxa"/>
            <w:vAlign w:val="bottom"/>
            <w:tcBorders>
              <w:bottom w:val="single" w:sz="8" w:color="auto"/>
            </w:tcBorders>
          </w:tcPr>
          <w:p>
            <w:pPr>
              <w:jc w:val="right"/>
              <w:ind w:right="308"/>
              <w:spacing w:after="0" w:line="98" w:lineRule="exact"/>
              <w:rPr>
                <w:sz w:val="20"/>
                <w:szCs w:val="20"/>
                <w:color w:val="auto"/>
              </w:rPr>
            </w:pPr>
            <w:r>
              <w:rPr>
                <w:rFonts w:ascii="Arial" w:cs="Arial" w:eastAsia="Arial" w:hAnsi="Arial"/>
                <w:sz w:val="10"/>
                <w:szCs w:val="10"/>
                <w:b w:val="1"/>
                <w:bCs w:val="1"/>
                <w:color w:val="auto"/>
              </w:rPr>
              <w:t>2009</w:t>
            </w:r>
          </w:p>
        </w:tc>
        <w:tc>
          <w:tcPr>
            <w:tcW w:w="800" w:type="dxa"/>
            <w:vAlign w:val="bottom"/>
          </w:tcPr>
          <w:p>
            <w:pPr>
              <w:spacing w:after="0"/>
              <w:rPr>
                <w:sz w:val="8"/>
                <w:szCs w:val="8"/>
                <w:color w:val="auto"/>
              </w:rPr>
            </w:pPr>
          </w:p>
        </w:tc>
      </w:tr>
      <w:tr>
        <w:trPr>
          <w:trHeight w:val="178"/>
        </w:trPr>
        <w:tc>
          <w:tcPr>
            <w:tcW w:w="3880" w:type="dxa"/>
            <w:vAlign w:val="bottom"/>
          </w:tcPr>
          <w:p>
            <w:pPr>
              <w:ind w:left="680"/>
              <w:spacing w:after="0"/>
              <w:rPr>
                <w:sz w:val="20"/>
                <w:szCs w:val="20"/>
                <w:color w:val="auto"/>
              </w:rPr>
            </w:pPr>
            <w:r>
              <w:rPr>
                <w:rFonts w:ascii="Arial" w:cs="Arial" w:eastAsia="Arial" w:hAnsi="Arial"/>
                <w:sz w:val="13"/>
                <w:szCs w:val="13"/>
                <w:color w:val="auto"/>
              </w:rPr>
              <w:t>Provision for Income Taxes</w:t>
            </w:r>
          </w:p>
        </w:tc>
        <w:tc>
          <w:tcPr>
            <w:tcW w:w="4320" w:type="dxa"/>
            <w:vAlign w:val="bottom"/>
            <w:gridSpan w:val="2"/>
          </w:tcPr>
          <w:p>
            <w:pPr>
              <w:jc w:val="right"/>
              <w:ind w:right="228"/>
              <w:spacing w:after="0"/>
              <w:rPr>
                <w:sz w:val="20"/>
                <w:szCs w:val="20"/>
                <w:color w:val="auto"/>
              </w:rPr>
            </w:pPr>
            <w:r>
              <w:rPr>
                <w:rFonts w:ascii="Arial" w:cs="Arial" w:eastAsia="Arial" w:hAnsi="Arial"/>
                <w:sz w:val="13"/>
                <w:szCs w:val="13"/>
                <w:color w:val="auto"/>
              </w:rPr>
              <w:t>$200,553</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$190,440</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$50,036</w:t>
            </w:r>
          </w:p>
        </w:tc>
        <w:tc>
          <w:tcPr>
            <w:tcW w:w="800" w:type="dxa"/>
            <w:vAlign w:val="bottom"/>
          </w:tcPr>
          <w:p>
            <w:pPr>
              <w:spacing w:after="0"/>
              <w:rPr>
                <w:sz w:val="15"/>
                <w:szCs w:val="15"/>
                <w:color w:val="auto"/>
              </w:rPr>
            </w:pPr>
          </w:p>
        </w:tc>
      </w:tr>
      <w:tr>
        <w:trPr>
          <w:trHeight w:val="165"/>
        </w:trPr>
        <w:tc>
          <w:tcPr>
            <w:tcW w:w="3880" w:type="dxa"/>
            <w:vAlign w:val="bottom"/>
          </w:tcPr>
          <w:p>
            <w:pPr>
              <w:ind w:left="680"/>
              <w:spacing w:after="0"/>
              <w:rPr>
                <w:sz w:val="20"/>
                <w:szCs w:val="20"/>
                <w:color w:val="auto"/>
              </w:rPr>
            </w:pPr>
            <w:r>
              <w:rPr>
                <w:rFonts w:ascii="Arial" w:cs="Arial" w:eastAsia="Arial" w:hAnsi="Arial"/>
                <w:sz w:val="13"/>
                <w:szCs w:val="13"/>
                <w:color w:val="auto"/>
              </w:rPr>
              <w:t>Effective Income Tax Rate</w:t>
            </w:r>
          </w:p>
        </w:tc>
        <w:tc>
          <w:tcPr>
            <w:tcW w:w="4320" w:type="dxa"/>
            <w:vAlign w:val="bottom"/>
            <w:gridSpan w:val="2"/>
          </w:tcPr>
          <w:p>
            <w:pPr>
              <w:jc w:val="right"/>
              <w:ind w:right="108"/>
              <w:spacing w:after="0"/>
              <w:rPr>
                <w:sz w:val="20"/>
                <w:szCs w:val="20"/>
                <w:color w:val="auto"/>
              </w:rPr>
            </w:pPr>
            <w:r>
              <w:rPr>
                <w:rFonts w:ascii="Arial" w:cs="Arial" w:eastAsia="Arial" w:hAnsi="Arial"/>
                <w:sz w:val="13"/>
                <w:szCs w:val="13"/>
                <w:color w:val="auto"/>
              </w:rPr>
              <w:t>18.9%</w:t>
            </w:r>
          </w:p>
        </w:tc>
        <w:tc>
          <w:tcPr>
            <w:tcW w:w="1260" w:type="dxa"/>
            <w:vAlign w:val="bottom"/>
            <w:gridSpan w:val="2"/>
          </w:tcPr>
          <w:p>
            <w:pPr>
              <w:jc w:val="right"/>
              <w:ind w:right="128"/>
              <w:spacing w:after="0"/>
              <w:rPr>
                <w:sz w:val="20"/>
                <w:szCs w:val="20"/>
                <w:color w:val="auto"/>
              </w:rPr>
            </w:pPr>
            <w:r>
              <w:rPr>
                <w:rFonts w:ascii="Arial" w:cs="Arial" w:eastAsia="Arial" w:hAnsi="Arial"/>
                <w:sz w:val="13"/>
                <w:szCs w:val="13"/>
                <w:color w:val="auto"/>
              </w:rPr>
              <w:t>21.1%</w:t>
            </w:r>
          </w:p>
        </w:tc>
        <w:tc>
          <w:tcPr>
            <w:tcW w:w="1200" w:type="dxa"/>
            <w:vAlign w:val="bottom"/>
            <w:gridSpan w:val="2"/>
          </w:tcPr>
          <w:p>
            <w:pPr>
              <w:jc w:val="right"/>
              <w:ind w:right="128"/>
              <w:spacing w:after="0"/>
              <w:rPr>
                <w:sz w:val="20"/>
                <w:szCs w:val="20"/>
                <w:color w:val="auto"/>
              </w:rPr>
            </w:pPr>
            <w:r>
              <w:rPr>
                <w:rFonts w:ascii="Arial" w:cs="Arial" w:eastAsia="Arial" w:hAnsi="Arial"/>
                <w:sz w:val="13"/>
                <w:szCs w:val="13"/>
                <w:color w:val="auto"/>
              </w:rPr>
              <w:t>16.8%</w:t>
            </w:r>
          </w:p>
        </w:tc>
        <w:tc>
          <w:tcPr>
            <w:tcW w:w="800" w:type="dxa"/>
            <w:vAlign w:val="bottom"/>
          </w:tcPr>
          <w:p>
            <w:pPr>
              <w:spacing w:after="0"/>
              <w:rPr>
                <w:sz w:val="14"/>
                <w:szCs w:val="14"/>
                <w:color w:val="auto"/>
              </w:rPr>
            </w:pPr>
          </w:p>
        </w:tc>
      </w:tr>
      <w:tr>
        <w:trPr>
          <w:trHeight w:val="452"/>
        </w:trPr>
        <w:tc>
          <w:tcPr>
            <w:tcW w:w="3880" w:type="dxa"/>
            <w:vAlign w:val="bottom"/>
          </w:tcPr>
          <w:p>
            <w:pPr>
              <w:spacing w:after="0"/>
              <w:rPr>
                <w:sz w:val="24"/>
                <w:szCs w:val="24"/>
                <w:color w:val="auto"/>
              </w:rPr>
            </w:pPr>
          </w:p>
        </w:tc>
        <w:tc>
          <w:tcPr>
            <w:tcW w:w="3340" w:type="dxa"/>
            <w:vAlign w:val="bottom"/>
          </w:tcPr>
          <w:p>
            <w:pPr>
              <w:jc w:val="right"/>
              <w:ind w:right="1414"/>
              <w:spacing w:after="0"/>
              <w:rPr>
                <w:sz w:val="20"/>
                <w:szCs w:val="20"/>
                <w:color w:val="auto"/>
              </w:rPr>
            </w:pPr>
            <w:r>
              <w:rPr>
                <w:rFonts w:ascii="Arial" w:cs="Arial" w:eastAsia="Arial" w:hAnsi="Arial"/>
                <w:sz w:val="13"/>
                <w:szCs w:val="13"/>
                <w:color w:val="auto"/>
              </w:rPr>
              <w:t>32</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8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 w:name="page34"/>
    <w:bookmarkEnd w:id="33"/>
    <w:p>
      <w:pPr>
        <w:ind w:left="400"/>
        <w:spacing w:after="0"/>
        <w:rPr>
          <w:sz w:val="20"/>
          <w:szCs w:val="20"/>
          <w:color w:val="auto"/>
        </w:rPr>
      </w:pPr>
      <w:r>
        <w:rPr>
          <w:rFonts w:ascii="Arial" w:cs="Arial" w:eastAsia="Arial" w:hAnsi="Arial"/>
          <w:sz w:val="13"/>
          <w:szCs w:val="13"/>
          <w:color w:val="auto"/>
        </w:rPr>
        <w:t>Our effective tax rate reflects the applicable tax rate in effect in the various tax jurisdictions around the world where our income is earned.</w:t>
      </w:r>
    </w:p>
    <w:p>
      <w:pPr>
        <w:spacing w:after="0" w:line="96" w:lineRule="exact"/>
        <w:rPr>
          <w:sz w:val="20"/>
          <w:szCs w:val="20"/>
          <w:color w:val="auto"/>
        </w:rPr>
      </w:pPr>
    </w:p>
    <w:p>
      <w:pPr>
        <w:ind w:right="100" w:firstLine="399"/>
        <w:spacing w:after="0" w:line="280" w:lineRule="auto"/>
        <w:rPr>
          <w:sz w:val="20"/>
          <w:szCs w:val="20"/>
          <w:color w:val="auto"/>
        </w:rPr>
      </w:pPr>
      <w:r>
        <w:rPr>
          <w:rFonts w:ascii="Arial" w:cs="Arial" w:eastAsia="Arial" w:hAnsi="Arial"/>
          <w:sz w:val="12"/>
          <w:szCs w:val="12"/>
          <w:color w:val="auto"/>
        </w:rPr>
        <w:t>Our effective tax rate for fiscal 2011 was lower by 220 basis points compared to our effective tax rate for fiscal 2010. The tax rate for fiscal 2011 included the following items which caused a decrease in our tax rate: the reinstatement of the federal R&amp;D tax credit in December 2010 retroactive to January 1, 2010, resulting in a $6.0 million income tax savings; a</w:t>
      </w:r>
    </w:p>
    <w:p>
      <w:pPr>
        <w:spacing w:after="0" w:line="256" w:lineRule="auto"/>
        <w:rPr>
          <w:sz w:val="20"/>
          <w:szCs w:val="20"/>
          <w:color w:val="auto"/>
        </w:rPr>
      </w:pPr>
      <w:r>
        <w:rPr>
          <w:rFonts w:ascii="Arial" w:cs="Arial" w:eastAsia="Arial" w:hAnsi="Arial"/>
          <w:sz w:val="13"/>
          <w:szCs w:val="13"/>
          <w:color w:val="auto"/>
        </w:rPr>
        <w:t>$6.7 million reduction in the state tax credit valuation reserve that we believe we can now recover; a $0.5 million tax benefit from the increase in Irish deferred taxes as a result of the increase in the Irish manufacturing tax rate from 10% to 12.5%; and a net $10.8 million tax benefit related to the settlement with the Appeals Office of the Internal Revenue Service of certain tax matters for the fiscal 2004 through fiscal 2007 tax years. Fiscal 2010 also included a higher special charge, a majority of which provided a tax benefit at the higher U.S. tax rate as compared to the special charge recorded in fiscal 2011.</w:t>
      </w:r>
    </w:p>
    <w:p>
      <w:pPr>
        <w:spacing w:after="0" w:line="72"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Our effective tax rate for fiscal 2010 was higher compared to our effective tax rate for fiscal 2009 primarily as a result of a change in the mix of our income to jurisdictions where income is taxed at a higher rate. In addition, higher special charges recorded in fiscal 2009, a majority of which provided a tax benefit at the higher U.S. tax rate, contributed to a higher effective tax rate for fiscal 2010 as compared to fiscal 2009.</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Income from Continuing Operations, Net of Tax</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98"/>
        </w:trPr>
        <w:tc>
          <w:tcPr>
            <w:tcW w:w="6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38"/>
              <w:spacing w:after="0" w:line="98" w:lineRule="exact"/>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1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1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6520" w:type="dxa"/>
            <w:vAlign w:val="bottom"/>
          </w:tcPr>
          <w:p>
            <w:pPr>
              <w:spacing w:after="0"/>
              <w:rPr>
                <w:sz w:val="20"/>
                <w:szCs w:val="20"/>
                <w:color w:val="auto"/>
              </w:rPr>
            </w:pPr>
            <w:r>
              <w:rPr>
                <w:rFonts w:ascii="Arial" w:cs="Arial" w:eastAsia="Arial" w:hAnsi="Arial"/>
                <w:sz w:val="13"/>
                <w:szCs w:val="13"/>
                <w:color w:val="auto"/>
              </w:rPr>
              <w:t>Income from Continuing Operations, net of tax</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w w:val="85"/>
              </w:rPr>
              <w:t>860,894</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w w:val="85"/>
              </w:rPr>
              <w:t>711,225</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w w:val="85"/>
              </w:rPr>
              <w:t>247,408</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Income from Continuing Operations, net of tax as a % of Revenue</w:t>
            </w:r>
          </w:p>
        </w:tc>
        <w:tc>
          <w:tcPr>
            <w:tcW w:w="2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28.8%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25.8%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color w:val="auto"/>
              </w:rPr>
              <w:t>12.3%</w:t>
            </w:r>
          </w:p>
        </w:tc>
      </w:tr>
      <w:tr>
        <w:trPr>
          <w:trHeight w:val="165"/>
        </w:trPr>
        <w:tc>
          <w:tcPr>
            <w:tcW w:w="6520" w:type="dxa"/>
            <w:vAlign w:val="bottom"/>
          </w:tcPr>
          <w:p>
            <w:pPr>
              <w:spacing w:after="0"/>
              <w:rPr>
                <w:sz w:val="20"/>
                <w:szCs w:val="20"/>
                <w:color w:val="auto"/>
              </w:rPr>
            </w:pPr>
            <w:r>
              <w:rPr>
                <w:rFonts w:ascii="Arial" w:cs="Arial" w:eastAsia="Arial" w:hAnsi="Arial"/>
                <w:sz w:val="13"/>
                <w:szCs w:val="13"/>
                <w:color w:val="auto"/>
              </w:rPr>
              <w:t>Diluted EPS from Continuing Operations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rPr>
              <w:t>2.79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rPr>
              <w:t>2.33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8"/>
              <w:spacing w:after="0"/>
              <w:rPr>
                <w:sz w:val="20"/>
                <w:szCs w:val="20"/>
                <w:color w:val="auto"/>
              </w:rPr>
            </w:pPr>
            <w:r>
              <w:rPr>
                <w:rFonts w:ascii="Arial" w:cs="Arial" w:eastAsia="Arial" w:hAnsi="Arial"/>
                <w:sz w:val="13"/>
                <w:szCs w:val="13"/>
                <w:color w:val="auto"/>
              </w:rPr>
              <w:t>0.85</w:t>
            </w:r>
          </w:p>
        </w:tc>
      </w:tr>
    </w:tbl>
    <w:p>
      <w:pPr>
        <w:spacing w:after="0" w:line="81"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Net income from continuing operations in fiscal 2011 was higher than in fiscal 2010 by approximately $149.7 million primarily as a result of the $172.0 million increase in operating income from continuing operations, offset by lower nonoperating income and a higher provision for income taxes in fiscal 2011 than in fiscal 2010.</w:t>
      </w:r>
    </w:p>
    <w:p>
      <w:pPr>
        <w:spacing w:after="0" w:line="59"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Income from continuing operations, net of tax, in fiscal 2010 was higher than in fiscal 2009 by approximately $463.8 million primarily as a result of the $615.3 million increase in operating income that was partially offset by a higher provision for income taxes in fiscal 2010.</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impact of inflation and foreign currency exchange rate movement on our results of operations during the past three fiscal years has not been significant.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Discontinued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rPr>
              <w:t>Fiscal Year</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2011</w:t>
            </w:r>
          </w:p>
        </w:tc>
        <w:tc>
          <w:tcPr>
            <w:tcW w:w="140" w:type="dxa"/>
            <w:vAlign w:val="bottom"/>
          </w:tcPr>
          <w:p>
            <w:pPr>
              <w:spacing w:after="0"/>
              <w:rPr>
                <w:sz w:val="8"/>
                <w:szCs w:val="8"/>
                <w:color w:val="auto"/>
              </w:rPr>
            </w:pPr>
          </w:p>
        </w:tc>
        <w:tc>
          <w:tcPr>
            <w:tcW w:w="58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Income from Discontinued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Gain on sale of Discontinued Operations, net of tax</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6,500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859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6,500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9"/>
        </w:trPr>
        <w:tc>
          <w:tcPr>
            <w:tcW w:w="8040" w:type="dxa"/>
            <w:vAlign w:val="bottom"/>
            <w:vMerge w:val="restart"/>
          </w:tcPr>
          <w:p>
            <w:pPr>
              <w:spacing w:after="0"/>
              <w:rPr>
                <w:sz w:val="20"/>
                <w:szCs w:val="20"/>
                <w:color w:val="auto"/>
              </w:rPr>
            </w:pPr>
            <w:r>
              <w:rPr>
                <w:rFonts w:ascii="Arial" w:cs="Arial" w:eastAsia="Arial" w:hAnsi="Arial"/>
                <w:sz w:val="13"/>
                <w:szCs w:val="13"/>
                <w:color w:val="auto"/>
              </w:rPr>
              <w:t>Diluted earnings per share from Discontinued Operations</w:t>
            </w: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0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0.02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86"/>
              </w:rPr>
              <w:t>0.00</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Acquisitions</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In fiscal 2006, we acquired substantially all the outstanding stock of privately-held Integrant Technologies, Inc. (Integrant) of Seoul, Korea. The acquisition enabled us to enter the mobile TV market and strengthened our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4" w:name="page35"/>
    <w:bookmarkEnd w:id="34"/>
    <w:p>
      <w:pPr>
        <w:ind w:right="300"/>
        <w:spacing w:after="0" w:line="276" w:lineRule="auto"/>
        <w:rPr>
          <w:sz w:val="20"/>
          <w:szCs w:val="20"/>
          <w:color w:val="auto"/>
        </w:rPr>
      </w:pPr>
      <w:r>
        <w:rPr>
          <w:rFonts w:ascii="Arial" w:cs="Arial" w:eastAsia="Arial" w:hAnsi="Arial"/>
          <w:sz w:val="13"/>
          <w:szCs w:val="13"/>
          <w:color w:val="auto"/>
        </w:rPr>
        <w:t>presence in the Asia region. We paid $8.4 million related to the purchase of shares from the founder of Integrant during the period from July 2007 through July 2009. We recorded these payments as additional goodwill.</w:t>
      </w:r>
    </w:p>
    <w:p>
      <w:pPr>
        <w:spacing w:after="0" w:line="59" w:lineRule="exact"/>
        <w:rPr>
          <w:sz w:val="20"/>
          <w:szCs w:val="20"/>
          <w:color w:val="auto"/>
        </w:rPr>
      </w:pPr>
    </w:p>
    <w:p>
      <w:pPr>
        <w:ind w:right="160" w:firstLine="399"/>
        <w:spacing w:after="0" w:line="257" w:lineRule="auto"/>
        <w:rPr>
          <w:sz w:val="20"/>
          <w:szCs w:val="20"/>
          <w:color w:val="auto"/>
        </w:rPr>
      </w:pPr>
      <w:r>
        <w:rPr>
          <w:rFonts w:ascii="Arial" w:cs="Arial" w:eastAsia="Arial" w:hAnsi="Arial"/>
          <w:sz w:val="13"/>
          <w:szCs w:val="13"/>
          <w:color w:val="auto"/>
        </w:rPr>
        <w:t>In fiscal 2006, we acquired all the outstanding stock of privately-held AudioAsics A/S (AudioAsics) of Roskilde, Denmark. The acquisition of AudioAsics allowed us to continue developing low-power audio solutions, while expanding our presence in the Nordic and Eastern European regions. We paid additional cash payments of $3.1 million during fiscal 2009 for the achievement of revenue-based milestones during the period from October 2006 through January 2009, which we recorded as additional goodwill. In addition, in accordance with the terms of the acquisition documents, we paid $3.2 million during fiscal 2009 based on the achievement of technological milestones during the period from October 2006 through January 2009, which we recorded as compensation expense in fiscal 2008. All revenue and technological milestones related to this acquisition have been met and no additional payments will be made.</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fiscal 2011, we acquired privately-held Lyric Semiconductor, Inc. (Lyric) of Cambridge, Massachusetts. The acquisition of Lyric gives us the potential to achieve an order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magnitude improvement in power efficiency in mixed signal processing. The acquisition-date fair value of the consideration transferred totaled $27.8 million, which consisted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$14.0 million in initial cash payments at closing and contingent consideration of up to $13.8 million. The contingent consideration arrangement requires additional cash payments to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former equity holders of Lyric upon the achievement of certain technological and product development milestones payable during the period from June 2011 through June 2016. As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October 29, 2011, no contingent payments have been made and the fair value of the contingent consideration was approximately $14.0 million. We allocated the purchase price to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tangible and intangible assets acquired and liabilities assumed based on their estimated fair values at the date of acquisition, resulting in the recognition of $12.2 million of in-process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$18.9 million of goodwill and $3.3 million of net deferred tax liabilities. In addition, we will be obligated to pay royalties to the former equity holders of Lyric 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revenue recognized from the sale of Lyric products and licenses through the earlier of 20 years or the accrual of a maximum of $25 million. Royalty payments to Lyric employees require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post-acquisition services to be rendered and, as such, we will record these amounts as compensation expense in the related periods. As of October 29, 2011, no royalty payments have been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made. We recognized $0.2 million of acquisition related costs that we expensed in the third quarter of fiscal 2011. These costs are included in operating expenses in the consolidated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statement of income.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have not provided pro forma results of operations for Integrant, AudioAsics and Lyric in this report as they were not material to us on either an individual or an aggregate basis.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We included the results of operations of each acquisition in our consolidated statement of income from the date of such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Fiscal Year</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98"/>
        </w:trPr>
        <w:tc>
          <w:tcPr>
            <w:tcW w:w="6500" w:type="dxa"/>
            <w:vAlign w:val="bottom"/>
          </w:tcPr>
          <w:p>
            <w:pPr>
              <w:spacing w:after="0"/>
              <w:rPr>
                <w:sz w:val="8"/>
                <w:szCs w:val="8"/>
                <w:color w:val="auto"/>
              </w:rPr>
            </w:pPr>
          </w:p>
        </w:tc>
        <w:tc>
          <w:tcPr>
            <w:tcW w:w="980" w:type="dxa"/>
            <w:vAlign w:val="bottom"/>
            <w:tcBorders>
              <w:bottom w:val="single" w:sz="8" w:color="auto"/>
            </w:tcBorders>
          </w:tcPr>
          <w:p>
            <w:pPr>
              <w:jc w:val="right"/>
              <w:ind w:right="319"/>
              <w:spacing w:after="0" w:line="98" w:lineRule="exact"/>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8"/>
                <w:szCs w:val="8"/>
                <w:color w:val="auto"/>
              </w:rPr>
            </w:pPr>
          </w:p>
        </w:tc>
        <w:tc>
          <w:tcPr>
            <w:tcW w:w="980" w:type="dxa"/>
            <w:vAlign w:val="bottom"/>
            <w:tcBorders>
              <w:bottom w:val="single" w:sz="8" w:color="auto"/>
            </w:tcBorders>
          </w:tcPr>
          <w:p>
            <w:pPr>
              <w:jc w:val="right"/>
              <w:ind w:right="348"/>
              <w:spacing w:after="0" w:line="98" w:lineRule="exact"/>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8"/>
                <w:szCs w:val="8"/>
                <w:color w:val="auto"/>
              </w:rPr>
            </w:pPr>
          </w:p>
        </w:tc>
        <w:tc>
          <w:tcPr>
            <w:tcW w:w="980" w:type="dxa"/>
            <w:vAlign w:val="bottom"/>
            <w:tcBorders>
              <w:bottom w:val="single" w:sz="8" w:color="auto"/>
            </w:tcBorders>
          </w:tcPr>
          <w:p>
            <w:pPr>
              <w:jc w:val="right"/>
              <w:ind w:right="328"/>
              <w:spacing w:after="0" w:line="98" w:lineRule="exact"/>
              <w:rPr>
                <w:sz w:val="20"/>
                <w:szCs w:val="20"/>
                <w:color w:val="auto"/>
              </w:rPr>
            </w:pPr>
            <w:r>
              <w:rPr>
                <w:rFonts w:ascii="Arial" w:cs="Arial" w:eastAsia="Arial" w:hAnsi="Arial"/>
                <w:sz w:val="10"/>
                <w:szCs w:val="10"/>
                <w:b w:val="1"/>
                <w:bCs w:val="1"/>
                <w:color w:val="auto"/>
              </w:rPr>
              <w:t>2009</w:t>
            </w:r>
          </w:p>
        </w:tc>
      </w:tr>
      <w:tr>
        <w:trPr>
          <w:trHeight w:val="178"/>
        </w:trPr>
        <w:tc>
          <w:tcPr>
            <w:tcW w:w="6500" w:type="dxa"/>
            <w:vAlign w:val="bottom"/>
          </w:tcPr>
          <w:p>
            <w:pPr>
              <w:spacing w:after="0"/>
              <w:rPr>
                <w:sz w:val="20"/>
                <w:szCs w:val="20"/>
                <w:color w:val="auto"/>
              </w:rPr>
            </w:pPr>
            <w:r>
              <w:rPr>
                <w:rFonts w:ascii="Arial" w:cs="Arial" w:eastAsia="Arial" w:hAnsi="Arial"/>
                <w:sz w:val="13"/>
                <w:szCs w:val="13"/>
                <w:color w:val="auto"/>
              </w:rPr>
              <w:t>Net Cash Provided by Operations</w:t>
            </w:r>
          </w:p>
        </w:tc>
        <w:tc>
          <w:tcPr>
            <w:tcW w:w="980" w:type="dxa"/>
            <w:vAlign w:val="bottom"/>
          </w:tcPr>
          <w:p>
            <w:pPr>
              <w:jc w:val="right"/>
              <w:ind w:right="199"/>
              <w:spacing w:after="0"/>
              <w:rPr>
                <w:sz w:val="20"/>
                <w:szCs w:val="20"/>
                <w:color w:val="auto"/>
              </w:rPr>
            </w:pPr>
            <w:r>
              <w:rPr>
                <w:rFonts w:ascii="Arial" w:cs="Arial" w:eastAsia="Arial" w:hAnsi="Arial"/>
                <w:sz w:val="13"/>
                <w:szCs w:val="13"/>
                <w:color w:val="auto"/>
              </w:rPr>
              <w:t>$900,529</w:t>
            </w:r>
          </w:p>
        </w:tc>
        <w:tc>
          <w:tcPr>
            <w:tcW w:w="1260" w:type="dxa"/>
            <w:vAlign w:val="bottom"/>
            <w:gridSpan w:val="2"/>
          </w:tcPr>
          <w:p>
            <w:pPr>
              <w:jc w:val="right"/>
              <w:ind w:right="228"/>
              <w:spacing w:after="0"/>
              <w:rPr>
                <w:sz w:val="20"/>
                <w:szCs w:val="20"/>
                <w:color w:val="auto"/>
              </w:rPr>
            </w:pPr>
            <w:r>
              <w:rPr>
                <w:rFonts w:ascii="Arial" w:cs="Arial" w:eastAsia="Arial" w:hAnsi="Arial"/>
                <w:sz w:val="13"/>
                <w:szCs w:val="13"/>
                <w:color w:val="auto"/>
              </w:rPr>
              <w:t>$991,175</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$432,148</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Net Cash Provided by Operations as a % of Revenue</w:t>
            </w:r>
          </w:p>
        </w:tc>
        <w:tc>
          <w:tcPr>
            <w:tcW w:w="980" w:type="dxa"/>
            <w:vAlign w:val="bottom"/>
          </w:tcPr>
          <w:p>
            <w:pPr>
              <w:jc w:val="right"/>
              <w:ind w:right="99"/>
              <w:spacing w:after="0"/>
              <w:rPr>
                <w:sz w:val="20"/>
                <w:szCs w:val="20"/>
                <w:color w:val="auto"/>
              </w:rPr>
            </w:pPr>
            <w:r>
              <w:rPr>
                <w:rFonts w:ascii="Arial" w:cs="Arial" w:eastAsia="Arial" w:hAnsi="Arial"/>
                <w:sz w:val="13"/>
                <w:szCs w:val="13"/>
                <w:color w:val="auto"/>
              </w:rPr>
              <w:t>30.1%</w:t>
            </w:r>
          </w:p>
        </w:tc>
        <w:tc>
          <w:tcPr>
            <w:tcW w:w="1260" w:type="dxa"/>
            <w:vAlign w:val="bottom"/>
            <w:gridSpan w:val="2"/>
          </w:tcPr>
          <w:p>
            <w:pPr>
              <w:jc w:val="right"/>
              <w:ind w:right="108"/>
              <w:spacing w:after="0"/>
              <w:rPr>
                <w:sz w:val="20"/>
                <w:szCs w:val="20"/>
                <w:color w:val="auto"/>
              </w:rPr>
            </w:pPr>
            <w:r>
              <w:rPr>
                <w:rFonts w:ascii="Arial" w:cs="Arial" w:eastAsia="Arial" w:hAnsi="Arial"/>
                <w:sz w:val="13"/>
                <w:szCs w:val="13"/>
                <w:color w:val="auto"/>
              </w:rPr>
              <w:t>35.9%</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21.4%</w:t>
            </w: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At October 29, 2011, cash and cash equivalents totaled $1,405.1 million. The primary sources of funds for fiscal 2011 were net cash generated from operating activities of</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$900.5 million, proceeds of $515.5 million relating to the issuance of $375 million aggregate principal amount of 3.0% senior unsecured notes due April 15, 2016 and the $145 million term loan facility we entered into through a wholly owned subsidiary. In addition, we received $217.2 million in net proceeds from employee stock option exercises. The principal uses of funds for fiscal 2011 were the repurchase of approximately 9 million shares of our common stock for an aggregate of $330.3 million,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5" w:name="page36"/>
    <w:bookmarkEnd w:id="35"/>
    <w:p>
      <w:pPr>
        <w:ind w:right="580"/>
        <w:spacing w:after="0" w:line="276" w:lineRule="auto"/>
        <w:rPr>
          <w:sz w:val="20"/>
          <w:szCs w:val="20"/>
          <w:color w:val="auto"/>
        </w:rPr>
      </w:pPr>
      <w:r>
        <w:rPr>
          <w:rFonts w:ascii="Arial" w:cs="Arial" w:eastAsia="Arial" w:hAnsi="Arial"/>
          <w:sz w:val="13"/>
          <w:szCs w:val="13"/>
          <w:color w:val="auto"/>
        </w:rPr>
        <w:t>dividend payments of $281.6 million and additions to property, plant and equipment of $123.0 million. These factors contributed to the net increase in cash and cash equivalents of $335.1 million in fiscal 2011.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72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0"/>
                <w:szCs w:val="10"/>
                <w:b w:val="1"/>
                <w:bCs w:val="1"/>
                <w:color w:val="auto"/>
              </w:rPr>
              <w:t>Fiscal Year</w:t>
            </w:r>
          </w:p>
        </w:tc>
      </w:tr>
      <w:tr>
        <w:trPr>
          <w:trHeight w:val="98"/>
        </w:trPr>
        <w:tc>
          <w:tcPr>
            <w:tcW w:w="7720" w:type="dxa"/>
            <w:vAlign w:val="bottom"/>
          </w:tcPr>
          <w:p>
            <w:pPr>
              <w:spacing w:after="0"/>
              <w:rPr>
                <w:sz w:val="8"/>
                <w:szCs w:val="8"/>
                <w:color w:val="auto"/>
              </w:rPr>
            </w:pPr>
          </w:p>
        </w:tc>
        <w:tc>
          <w:tcPr>
            <w:tcW w:w="80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2011</w:t>
            </w:r>
          </w:p>
        </w:tc>
        <w:tc>
          <w:tcPr>
            <w:tcW w:w="1460" w:type="dxa"/>
            <w:vAlign w:val="bottom"/>
            <w:gridSpan w:val="3"/>
          </w:tcPr>
          <w:p>
            <w:pPr>
              <w:jc w:val="right"/>
              <w:ind w:right="400"/>
              <w:spacing w:after="0" w:line="98" w:lineRule="exact"/>
              <w:rPr>
                <w:sz w:val="20"/>
                <w:szCs w:val="20"/>
                <w:color w:val="auto"/>
              </w:rPr>
            </w:pPr>
            <w:r>
              <w:rPr>
                <w:rFonts w:ascii="Arial" w:cs="Arial" w:eastAsia="Arial" w:hAnsi="Arial"/>
                <w:sz w:val="10"/>
                <w:szCs w:val="10"/>
                <w:b w:val="1"/>
                <w:bCs w:val="1"/>
                <w:color w:val="auto"/>
              </w:rPr>
              <w:t>2010</w:t>
            </w:r>
          </w:p>
        </w:tc>
      </w:tr>
      <w:tr>
        <w:trPr>
          <w:trHeight w:val="29"/>
        </w:trPr>
        <w:tc>
          <w:tcPr>
            <w:tcW w:w="77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157"/>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$348,416</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$387,169</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Days Sales Outstanding*</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460" w:type="dxa"/>
            <w:vAlign w:val="bottom"/>
            <w:gridSpan w:val="3"/>
          </w:tcPr>
          <w:p>
            <w:pPr>
              <w:jc w:val="right"/>
              <w:ind w:right="280"/>
              <w:spacing w:after="0"/>
              <w:rPr>
                <w:sz w:val="20"/>
                <w:szCs w:val="20"/>
                <w:color w:val="auto"/>
              </w:rPr>
            </w:pPr>
            <w:r>
              <w:rPr>
                <w:rFonts w:ascii="Arial" w:cs="Arial" w:eastAsia="Arial" w:hAnsi="Arial"/>
                <w:sz w:val="13"/>
                <w:szCs w:val="13"/>
                <w:color w:val="auto"/>
              </w:rPr>
              <w:t>46</w:t>
            </w:r>
          </w:p>
        </w:tc>
      </w:tr>
      <w:tr>
        <w:trPr>
          <w:trHeight w:val="157"/>
        </w:trPr>
        <w:tc>
          <w:tcPr>
            <w:tcW w:w="772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$295,081</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$277,478</w:t>
            </w:r>
          </w:p>
        </w:tc>
      </w:tr>
      <w:tr>
        <w:trPr>
          <w:trHeight w:val="165"/>
        </w:trPr>
        <w:tc>
          <w:tcPr>
            <w:tcW w:w="7720" w:type="dxa"/>
            <w:vAlign w:val="bottom"/>
          </w:tcPr>
          <w:p>
            <w:pPr>
              <w:spacing w:after="0"/>
              <w:rPr>
                <w:sz w:val="20"/>
                <w:szCs w:val="20"/>
                <w:color w:val="auto"/>
              </w:rPr>
            </w:pPr>
            <w:r>
              <w:rPr>
                <w:rFonts w:ascii="Arial" w:cs="Arial" w:eastAsia="Arial" w:hAnsi="Arial"/>
                <w:sz w:val="13"/>
                <w:szCs w:val="13"/>
                <w:color w:val="auto"/>
              </w:rPr>
              <w:t>Days Cost of Sales in Inventory*</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460" w:type="dxa"/>
            <w:vAlign w:val="bottom"/>
            <w:gridSpan w:val="3"/>
          </w:tcPr>
          <w:p>
            <w:pPr>
              <w:jc w:val="right"/>
              <w:ind w:right="280"/>
              <w:spacing w:after="0"/>
              <w:rPr>
                <w:sz w:val="20"/>
                <w:szCs w:val="20"/>
                <w:color w:val="auto"/>
              </w:rPr>
            </w:pPr>
            <w:r>
              <w:rPr>
                <w:rFonts w:ascii="Arial" w:cs="Arial" w:eastAsia="Arial" w:hAnsi="Arial"/>
                <w:sz w:val="13"/>
                <w:szCs w:val="13"/>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220" w:right="80" w:hanging="213"/>
        <w:spacing w:after="0" w:line="276" w:lineRule="auto"/>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use the annualized fourth quarter revenue in our calculation of days sales outstanding and we use the annualized fourth quarter cost of sales in our calculation of days cost of sales in inventory.</w:t>
      </w:r>
    </w:p>
    <w:p>
      <w:pPr>
        <w:spacing w:after="0" w:line="59"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Accounts receivable at October 29, 2011 decreased $38.8 million, or 10%, from the end of the fourth quarter of fiscal 2010. The decrease in receivables was primarily the result of lower revenue in the fourth quarter of fiscal 2011 as compared to the fourth quarter of fiscal 2010. Days sales outstanding decreased by two days as a result of lower product shipments in the final month of the fourth quarter of fiscal 2011 as compared to the final month of the fourth quarter of fiscal 2010.</w:t>
      </w:r>
    </w:p>
    <w:p>
      <w:pPr>
        <w:spacing w:after="0" w:line="67"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Inventory at October 29, 2011 increased by $17.6 million, or 6%, from the end of the fourth quarter of fiscal 2010. The increase in inventory relates primarily to an increase in manufacturing production to support the higher revenue levels recorded in fiscal 2011. Days cost of sales in inventory increased five days primarily due to lower manufacturing costs, which resulted in cost of sales increasing only 1% from the fourth quarter of fiscal 2010 as compared to the fourth quarter of fiscal 2011, compared to a 6% increase in inventory during this same time period.</w:t>
      </w:r>
    </w:p>
    <w:p>
      <w:pPr>
        <w:spacing w:after="0" w:line="7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Current liabilities decreased to $525.0 million at October 29, 2011, a decrease of $118.5 million, or 18%, from $643.5 million at the end of fiscal 2010. This decrease was primarily due to a decrease in income tax payable as a result of the settlement with the Appeals Office of the Internal Revenue Service of certain tax matters for the fiscal 2004 through fiscal 2007 tax years. In addition, accrued liabilities declined as a result of a decrease in accruals related to variable compensation expense.</w:t>
      </w:r>
    </w:p>
    <w:p>
      <w:pPr>
        <w:spacing w:after="0" w:line="67" w:lineRule="exact"/>
        <w:rPr>
          <w:sz w:val="20"/>
          <w:szCs w:val="20"/>
          <w:color w:val="auto"/>
        </w:rPr>
      </w:pPr>
    </w:p>
    <w:p>
      <w:pPr>
        <w:ind w:right="40" w:firstLine="399"/>
        <w:spacing w:after="0" w:line="255" w:lineRule="auto"/>
        <w:rPr>
          <w:sz w:val="20"/>
          <w:szCs w:val="20"/>
          <w:color w:val="auto"/>
        </w:rPr>
      </w:pPr>
      <w:r>
        <w:rPr>
          <w:rFonts w:ascii="Arial" w:cs="Arial" w:eastAsia="Arial" w:hAnsi="Arial"/>
          <w:sz w:val="13"/>
          <w:szCs w:val="13"/>
          <w:color w:val="auto"/>
        </w:rPr>
        <w:t>As of October 29, 2011 and October 30, 2010, we had gross deferred revenue of $311.3 million and $327.2 million, respectively, and gross deferred cost of sales of $78.1 million and $84.4 million, respectively. Deferred income on shipments to distributors decreased by approximately $9.6 million in fiscal 2011 primarily as a result of the distributors’ sales to their customers in fiscal 2011 exceeding our shipments to our distributors during this same time period.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74" w:lineRule="exact"/>
        <w:rPr>
          <w:sz w:val="20"/>
          <w:szCs w:val="20"/>
          <w:color w:val="auto"/>
        </w:rPr>
      </w:pPr>
    </w:p>
    <w:p>
      <w:pPr>
        <w:ind w:right="360" w:firstLine="399"/>
        <w:spacing w:after="0" w:line="320" w:lineRule="auto"/>
        <w:rPr>
          <w:sz w:val="20"/>
          <w:szCs w:val="20"/>
          <w:color w:val="auto"/>
        </w:rPr>
      </w:pPr>
      <w:r>
        <w:rPr>
          <w:rFonts w:ascii="Arial" w:cs="Arial" w:eastAsia="Arial" w:hAnsi="Arial"/>
          <w:sz w:val="12"/>
          <w:szCs w:val="12"/>
          <w:color w:val="auto"/>
        </w:rPr>
        <w:t>Net additions to property, plant and equipment were $123.0 million in fiscal 2011 and were funded with a combination of cash on hand and cash generated from operations. We expect capital expenditures to be in the range of approximately $100 million to $125 million in fiscal 2012 to be used primarily in our manufacturing facilities.</w:t>
      </w:r>
    </w:p>
    <w:p>
      <w:pPr>
        <w:spacing w:after="0" w:line="35" w:lineRule="exact"/>
        <w:rPr>
          <w:sz w:val="20"/>
          <w:szCs w:val="20"/>
          <w:color w:val="auto"/>
        </w:rPr>
      </w:pPr>
    </w:p>
    <w:p>
      <w:pPr>
        <w:ind w:firstLine="399"/>
        <w:spacing w:after="0" w:line="334" w:lineRule="auto"/>
        <w:rPr>
          <w:sz w:val="20"/>
          <w:szCs w:val="20"/>
          <w:color w:val="auto"/>
        </w:rPr>
      </w:pPr>
      <w:r>
        <w:rPr>
          <w:rFonts w:ascii="Arial" w:cs="Arial" w:eastAsia="Arial" w:hAnsi="Arial"/>
          <w:sz w:val="11"/>
          <w:szCs w:val="11"/>
          <w:color w:val="auto"/>
        </w:rPr>
        <w:t>During fiscal 2011, our Board of Directors declared cash dividends totaling $0.94 per outstanding share of common stock resulting in aggregate dividend payments of $281.6 million. After the end of fiscal 2011, on November 18, 2011, our Board of Directors declared a cash dividend of $0.25 per outstanding share of our common stock. The dividend is payable on December 21, 2011 to shareholders of record on December 2, 2011 and is expected to total approximately $75 million. We currently expect quarterly dividends to continue at $0.25 per share,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6" w:name="page37"/>
    <w:bookmarkEnd w:id="36"/>
    <w:p>
      <w:pPr>
        <w:ind w:right="40"/>
        <w:spacing w:after="0" w:line="276" w:lineRule="auto"/>
        <w:rPr>
          <w:sz w:val="20"/>
          <w:szCs w:val="20"/>
          <w:color w:val="auto"/>
        </w:rPr>
      </w:pPr>
      <w:r>
        <w:rPr>
          <w:rFonts w:ascii="Arial" w:cs="Arial" w:eastAsia="Arial" w:hAnsi="Arial"/>
          <w:sz w:val="13"/>
          <w:szCs w:val="13"/>
          <w:color w:val="auto"/>
        </w:rPr>
        <w:t>although they remain subject to declaration by our Board of Directors. The payment of future dividends, if any, will be based on several factors, including our financial performance, outlook and liquidity.</w:t>
      </w:r>
    </w:p>
    <w:p>
      <w:pPr>
        <w:spacing w:after="0" w:line="59"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color w:val="auto"/>
        </w:rPr>
        <w:t>Our common stock repurchase program has been in place since August 2004. In the aggregate, the Board of Directors has authorized us to repurchase $5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October 29, 2011, we had repurchased a total of approximately 125.0 million shares of our common stock for approximately $4,278.5 million under this program. As of October 29, 2011, an additional $721.5 million remained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or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59"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On June 30, 2009, we issued $375 million aggregate principal amount of 5.0% senior unsecured notes due July 1, 2014 (the 5.0%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5.0% Notes. We swapped the fixed interest portion of these Notes for a variable interest rate based on the three-month LIBOR plus 2.05% (2.42% as of October 29, 2011). The variable interest payments based on the variable annual rate are payable quarterly. The LIBOR based rate is set quarterly three months prior to the date of the interest payment. The indenture governing the 5.0%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October 29, 2011, we were compliant with these covenants.</w:t>
      </w:r>
    </w:p>
    <w:p>
      <w:pPr>
        <w:spacing w:after="0" w:line="58" w:lineRule="exact"/>
        <w:rPr>
          <w:sz w:val="20"/>
          <w:szCs w:val="20"/>
          <w:color w:val="auto"/>
        </w:rPr>
      </w:pPr>
    </w:p>
    <w:p>
      <w:pPr>
        <w:ind w:right="20" w:firstLine="399"/>
        <w:spacing w:after="0" w:line="310" w:lineRule="auto"/>
        <w:rPr>
          <w:sz w:val="20"/>
          <w:szCs w:val="20"/>
          <w:color w:val="auto"/>
        </w:rPr>
      </w:pPr>
      <w:r>
        <w:rPr>
          <w:rFonts w:ascii="Arial" w:cs="Arial" w:eastAsia="Arial" w:hAnsi="Arial"/>
          <w:sz w:val="11"/>
          <w:szCs w:val="11"/>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 $145 million, which matures on December 22, 2013. The terms of the agreement provide for a three-year principal amortization schedule with $3.6 million payable quarterly every March, June, September and December with the balance payable upon the maturity date. During the third quarter of fiscal 2011 we made an additional principal payment of $17.5 million. The loan will bear interest at a fluctuating rate for each period equal to the LIBOR rate corresponding with the tenor of the interest period plus a spread of 1.25% (1.61% as of October 29,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As of October 29, 2011, we were compliant with these covenants. The proceeds of this loan are being used to restructure our captive finance subsidiaries.</w:t>
      </w:r>
    </w:p>
    <w:p>
      <w:pPr>
        <w:spacing w:after="0" w:line="4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On April 4, 2011, we issued $375 million aggregate principal amount of 3.0% senior unsecured notes due April 15, 2016 (the 3.0% Notes) with semi-annual fixed interest payments due on April 15 and October 15 of each year, commencing October 15, 2011. The net proceeds of the offering were $370.5 million, after issuing at a discount and deducting expenses, underwriting discounts and commissions, which will be amortized over the term of the 3.0% Notes. The indenture governing the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October 29, 2011, we were compliant with these covenants.</w:t>
      </w:r>
    </w:p>
    <w:p>
      <w:pPr>
        <w:spacing w:after="0" w:line="55"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right="20"/>
        <w:spacing w:after="0" w:line="276" w:lineRule="auto"/>
        <w:rPr>
          <w:sz w:val="20"/>
          <w:szCs w:val="20"/>
          <w:color w:val="auto"/>
        </w:rPr>
      </w:pPr>
      <w:r>
        <w:rPr>
          <w:rFonts w:ascii="Arial" w:cs="Arial" w:eastAsia="Arial" w:hAnsi="Arial"/>
          <w:sz w:val="13"/>
          <w:szCs w:val="13"/>
          <w:color w:val="auto"/>
        </w:rPr>
        <w:t>working capital and other lawful corporate purposes. The terms of this facility also include financial covenants that require us to maintain a minimum interest coverage ratio and not exceed a maximum leverage ratio. As of October 29, 2011, we were compliant with these covenants.</w:t>
      </w:r>
    </w:p>
    <w:p>
      <w:pPr>
        <w:spacing w:after="0" w:line="59"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At October 29, 2011, our principal source of liquidity was $3,592.5 million of cash and cash equivalents and short-term investments, of which approximately $1,170.5 million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 Our cash and cash equivalents consist of highly liquid investments with maturities of three months or less at the time of acquisition and our short-term investments consist primarily of liquid money market funds and corporate obligations, such as commercial paper, bonds and bank time deposits. We maintain these balances with high credit quality counterparties, continually monitor the amount of credit exposure to any one issuer and diversify our investments in order to minimize our credit risk.</w:t>
      </w:r>
    </w:p>
    <w:p>
      <w:pPr>
        <w:spacing w:after="0" w:line="59"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summarizes our contractual obligations and the amounts we owe under these contracts in specified periods as of October 29, 2011: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89"/>
              </w:rPr>
              <w:t>Less than</w:t>
            </w: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0"/>
                <w:szCs w:val="10"/>
                <w:b w:val="1"/>
                <w:bCs w:val="1"/>
                <w:color w:val="auto"/>
              </w:rPr>
              <w:t>Payment due by period</w:t>
            </w:r>
          </w:p>
        </w:tc>
        <w:tc>
          <w:tcPr>
            <w:tcW w:w="40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More than</w:t>
            </w:r>
          </w:p>
        </w:tc>
        <w:tc>
          <w:tcPr>
            <w:tcW w:w="0" w:type="dxa"/>
            <w:vAlign w:val="bottom"/>
          </w:tcPr>
          <w:p>
            <w:pPr>
              <w:spacing w:after="0"/>
              <w:rPr>
                <w:sz w:val="1"/>
                <w:szCs w:val="1"/>
                <w:color w:val="auto"/>
              </w:rPr>
            </w:pPr>
          </w:p>
        </w:tc>
      </w:tr>
      <w:tr>
        <w:trPr>
          <w:trHeight w:val="81"/>
        </w:trPr>
        <w:tc>
          <w:tcPr>
            <w:tcW w:w="4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(thousands)</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jc w:val="right"/>
              <w:ind w:right="7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4"/>
              </w:rPr>
              <w:t>1-3 Years</w:t>
            </w:r>
          </w:p>
        </w:tc>
        <w:tc>
          <w:tcPr>
            <w:tcW w:w="100" w:type="dxa"/>
            <w:vAlign w:val="bottom"/>
          </w:tcPr>
          <w:p>
            <w:pPr>
              <w:spacing w:after="0"/>
              <w:rPr>
                <w:sz w:val="7"/>
                <w:szCs w:val="7"/>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4"/>
              </w:rPr>
              <w:t>3-5 Years</w:t>
            </w: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Contractual obligations: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Operating leases</w:t>
            </w:r>
            <w:r>
              <w:rPr>
                <w:rFonts w:ascii="Arial" w:cs="Arial" w:eastAsia="Arial" w:hAnsi="Arial"/>
                <w:sz w:val="11"/>
                <w:szCs w:val="11"/>
                <w:color w:val="auto"/>
              </w:rPr>
              <w:t>a</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66,055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17,590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19,675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9,318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19,472</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866,608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477,108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375,000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Interest payments associated with long-term debt obligations</w:t>
            </w:r>
            <w:r>
              <w:rPr>
                <w:rFonts w:ascii="Arial" w:cs="Arial" w:eastAsia="Arial" w:hAnsi="Arial"/>
                <w:sz w:val="11"/>
                <w:szCs w:val="11"/>
                <w:color w:val="auto"/>
              </w:rPr>
              <w:t>b</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110,599</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31,808</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61,916</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Payments due under interest rate swap agreements</w:t>
            </w:r>
            <w:r>
              <w:rPr>
                <w:rFonts w:ascii="Arial" w:cs="Arial" w:eastAsia="Arial" w:hAnsi="Arial"/>
                <w:sz w:val="11"/>
                <w:szCs w:val="11"/>
                <w:color w:val="auto"/>
              </w:rPr>
              <w:t>c</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25,281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9,184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16,097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Deferred compensation plan</w:t>
            </w:r>
            <w:r>
              <w:rPr>
                <w:rFonts w:ascii="Arial" w:cs="Arial" w:eastAsia="Arial" w:hAnsi="Arial"/>
                <w:sz w:val="11"/>
                <w:szCs w:val="11"/>
                <w:color w:val="auto"/>
              </w:rPr>
              <w:t>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26,410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26,410</w:t>
            </w:r>
          </w:p>
        </w:tc>
        <w:tc>
          <w:tcPr>
            <w:tcW w:w="0" w:type="dxa"/>
            <w:vAlign w:val="bottom"/>
          </w:tcPr>
          <w:p>
            <w:pPr>
              <w:spacing w:after="0"/>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funding</w:t>
            </w:r>
            <w:r>
              <w:rPr>
                <w:rFonts w:ascii="Arial" w:cs="Arial" w:eastAsia="Arial" w:hAnsi="Arial"/>
                <w:sz w:val="11"/>
                <w:szCs w:val="11"/>
                <w:color w:val="auto"/>
              </w:rPr>
              <w:t>e</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3,673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vMerge w:val="continue"/>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1,098,626</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76,755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574,796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401,193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45,882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0" w:hanging="393"/>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Certain of our operating lease obligations include escalation clauses. These escalating payment requirements are reflected in the table.</w:t>
      </w:r>
    </w:p>
    <w:p>
      <w:pPr>
        <w:spacing w:after="0" w:line="47" w:lineRule="exact"/>
        <w:rPr>
          <w:rFonts w:ascii="Arial" w:cs="Arial" w:eastAsia="Arial" w:hAnsi="Arial"/>
          <w:sz w:val="13"/>
          <w:szCs w:val="13"/>
          <w:color w:val="auto"/>
        </w:rPr>
      </w:pPr>
    </w:p>
    <w:p>
      <w:pPr>
        <w:ind w:left="400" w:hanging="393"/>
        <w:spacing w:after="0" w:line="264" w:lineRule="auto"/>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interest payments related to our 5% senior unsecured notes are expected to be fully offset by the proceeds from our interest rate swap agreements. The interest payments related to our term loan facility are based on LIBOR plus a spread of 1.25% (1.61% as of October 29, 2011). The actual payments will be based on the LIBOR rate corresponding to the tenor of the interest period chosen, plus a spread of 1.25% which is set two business days prior to the start of the new interest period.</w:t>
      </w:r>
    </w:p>
    <w:p>
      <w:pPr>
        <w:spacing w:after="0" w:line="17" w:lineRule="exact"/>
        <w:rPr>
          <w:rFonts w:ascii="Arial" w:cs="Arial" w:eastAsia="Arial" w:hAnsi="Arial"/>
          <w:sz w:val="13"/>
          <w:szCs w:val="13"/>
          <w:color w:val="auto"/>
        </w:rPr>
      </w:pPr>
    </w:p>
    <w:p>
      <w:pPr>
        <w:ind w:left="400" w:right="120" w:hanging="393"/>
        <w:spacing w:after="0" w:line="276" w:lineRule="auto"/>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interest payments are based on a variable interest rate based on the three month LIBOR plus 2.05% (2.42% as of October 29, 2011). The actual payments will be based on the LIBOR based rate which is set quarterly three months prior to the due date of the interest payments plus 2.05%.</w:t>
      </w:r>
    </w:p>
    <w:p>
      <w:pPr>
        <w:spacing w:after="0" w:line="10" w:lineRule="exact"/>
        <w:rPr>
          <w:rFonts w:ascii="Arial" w:cs="Arial" w:eastAsia="Arial" w:hAnsi="Arial"/>
          <w:sz w:val="13"/>
          <w:szCs w:val="13"/>
          <w:color w:val="auto"/>
        </w:rPr>
      </w:pPr>
    </w:p>
    <w:p>
      <w:pPr>
        <w:ind w:left="400" w:right="120" w:hanging="393"/>
        <w:spacing w:after="0" w:line="260" w:lineRule="auto"/>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The amount in the “More than 5 Years” column of the table represents the remaining total balance under the deferred compensation plan to be paid to participants who have not terminated employment. Since we cannot reasonably estimate the timing of withdrawals for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ind w:left="400"/>
        <w:spacing w:after="0"/>
        <w:rPr>
          <w:sz w:val="20"/>
          <w:szCs w:val="20"/>
          <w:color w:val="auto"/>
        </w:rPr>
      </w:pPr>
      <w:r>
        <w:rPr>
          <w:rFonts w:ascii="Arial" w:cs="Arial" w:eastAsia="Arial" w:hAnsi="Arial"/>
          <w:sz w:val="13"/>
          <w:szCs w:val="13"/>
          <w:color w:val="auto"/>
        </w:rPr>
        <w:t>participants who have not yet terminated employment, we have included the future obligation to these participants in the “More than 5 Years” column of the table.</w:t>
      </w:r>
    </w:p>
    <w:p>
      <w:pPr>
        <w:spacing w:after="0" w:line="47" w:lineRule="exact"/>
        <w:rPr>
          <w:sz w:val="20"/>
          <w:szCs w:val="20"/>
          <w:color w:val="auto"/>
        </w:rPr>
      </w:pPr>
    </w:p>
    <w:p>
      <w:pPr>
        <w:ind w:left="400" w:right="80" w:hanging="393"/>
        <w:spacing w:after="0" w:line="296" w:lineRule="auto"/>
        <w:tabs>
          <w:tab w:leader="none" w:pos="4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funding policy for our foreign defined benefit plans is consistent with the local requirements of each country. The payment obligations in the table are estimates of our expected contributions to these plans for fiscal year 2012.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5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short-term requirements.</w:t>
      </w:r>
    </w:p>
    <w:p>
      <w:pPr>
        <w:spacing w:after="0" w:line="70"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Our 2011 acquisition of Lyric Semiconductor involves the potential payment of contingent consideration. The table above does not reflect any such obligations, as the timing and amounts are uncertain. See Note 6 in the Notes to our Consolidated Financial Statements contained in Item 8 of this Annual Report on Form 10-K for more information regarding our acquisitions.</w:t>
      </w:r>
    </w:p>
    <w:p>
      <w:pPr>
        <w:spacing w:after="0" w:line="67"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As of October 29, 2011, our total liabilities associated with uncertain tax positions was $20.8 million, which are included in “Other non-current liabilities” in our consolidated balance sheet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expected timing of payments and the amounts of the obligations discussed above are estimated based on current information available as of October 29, 2011.</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Off-balance Sheet Financing</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October 29, 2011, we had no off-balance sheet 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Outlook</w:t>
      </w:r>
    </w:p>
    <w:p>
      <w:pPr>
        <w:spacing w:after="0" w:line="10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67"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are planning for revenue in the first quarter of fiscal 2012 to be down approximately 5% to 10% from the fourth quarter of fiscal 2011. Our plan is for gross margin percentage for the first quarter of fiscal 2012 to be approximately 63.0% plus or minus 50 basis points. We are planning for operating expenses in the first quarter of fiscal 2012 to be in the range of $226 million to $229 million. As a result, our plan is for diluted EPS to be approximately $0.44 to $0.51 in the first quarter of fiscal 2012.</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Standards Implemented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 xml:space="preserve">In October 2009, the Financial Accounting Standards Board (FASB) issued Accounting Standards Update No. 2009-13 — </w:t>
      </w:r>
      <w:r>
        <w:rPr>
          <w:rFonts w:ascii="Arial" w:cs="Arial" w:eastAsia="Arial" w:hAnsi="Arial"/>
          <w:sz w:val="13"/>
          <w:szCs w:val="13"/>
          <w:i w:val="1"/>
          <w:iCs w:val="1"/>
          <w:color w:val="auto"/>
        </w:rPr>
        <w:t>Revenue Recognition (Topic 605): Multiple-Deliverable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Revenue Arrangements </w:t>
      </w:r>
      <w:r>
        <w:rPr>
          <w:rFonts w:ascii="Arial" w:cs="Arial" w:eastAsia="Arial" w:hAnsi="Arial"/>
          <w:sz w:val="13"/>
          <w:szCs w:val="13"/>
          <w:color w:val="auto"/>
        </w:rPr>
        <w:t>(formerly EITF Issue No. 08-1) (ASU No. 2009-13). This standard modifies the revenue recognition guidance for arrangements that involve the delivery of multiple</w:t>
      </w:r>
      <w:r>
        <w:rPr>
          <w:rFonts w:ascii="Arial" w:cs="Arial" w:eastAsia="Arial" w:hAnsi="Arial"/>
          <w:sz w:val="13"/>
          <w:szCs w:val="13"/>
          <w:i w:val="1"/>
          <w:iCs w:val="1"/>
          <w:color w:val="auto"/>
        </w:rPr>
        <w:t xml:space="preserve"> </w:t>
      </w:r>
      <w:r>
        <w:rPr>
          <w:rFonts w:ascii="Arial" w:cs="Arial" w:eastAsia="Arial" w:hAnsi="Arial"/>
          <w:sz w:val="13"/>
          <w:szCs w:val="13"/>
          <w:color w:val="auto"/>
        </w:rPr>
        <w:t>elements, such as product, software, services or support, to a customer at different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39" w:name="page40"/>
    <w:bookmarkEnd w:id="39"/>
    <w:p>
      <w:pPr>
        <w:ind w:right="60"/>
        <w:spacing w:after="0" w:line="260" w:lineRule="auto"/>
        <w:rPr>
          <w:sz w:val="20"/>
          <w:szCs w:val="20"/>
          <w:color w:val="auto"/>
        </w:rPr>
      </w:pPr>
      <w:r>
        <w:rPr>
          <w:rFonts w:ascii="Arial" w:cs="Arial" w:eastAsia="Arial" w:hAnsi="Arial"/>
          <w:sz w:val="13"/>
          <w:szCs w:val="13"/>
          <w:color w:val="auto"/>
        </w:rPr>
        <w:t>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our fiscal year 2011. The adoption of ASU 2009-13 in the first quarter of fiscal 2011 did not have a material impact on our financial condition and results of operations.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Standards to be Implemented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Business Combinations</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 xml:space="preserve">In December 2010, the FASB issued ASU No. 2010-29, </w:t>
      </w:r>
      <w:r>
        <w:rPr>
          <w:rFonts w:ascii="Arial" w:cs="Arial" w:eastAsia="Arial" w:hAnsi="Arial"/>
          <w:sz w:val="12"/>
          <w:szCs w:val="12"/>
          <w:i w:val="1"/>
          <w:iCs w:val="1"/>
          <w:color w:val="auto"/>
        </w:rPr>
        <w:t>Business Combinations (ASC Topic 805) — Disclosure of Supplementary Pro Forma Information for Business Combinations</w:t>
      </w:r>
      <w:r>
        <w:rPr>
          <w:rFonts w:ascii="Arial" w:cs="Arial" w:eastAsia="Arial" w:hAnsi="Arial"/>
          <w:sz w:val="12"/>
          <w:szCs w:val="12"/>
          <w:color w:val="auto"/>
        </w:rPr>
        <w:t xml:space="preserve"> (ASU No. 2010-29). ASU No. 2010-29 requires a public entity to disclose revenue and earnings of the combined entity as though 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our first quarter of fiscal year 2012. The adoption of ASU No. 2010-29 will require additional disclosure in the event of a business combination but will not have a material impact on our financial condition and results of operations.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Intangibles — Goodwill and Other</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In December 2010, the FASB issued ASU No. 2010-28, </w:t>
      </w:r>
      <w:r>
        <w:rPr>
          <w:rFonts w:ascii="Arial" w:cs="Arial" w:eastAsia="Arial" w:hAnsi="Arial"/>
          <w:sz w:val="13"/>
          <w:szCs w:val="13"/>
          <w:i w:val="1"/>
          <w:iCs w:val="1"/>
          <w:color w:val="auto"/>
        </w:rPr>
        <w:t>Intangibles-Goodwill and Other (ASC Topic 350)</w:t>
      </w:r>
      <w:r>
        <w:rPr>
          <w:rFonts w:ascii="Arial" w:cs="Arial" w:eastAsia="Arial" w:hAnsi="Arial"/>
          <w:sz w:val="13"/>
          <w:szCs w:val="13"/>
          <w:color w:val="auto"/>
        </w:rPr>
        <w:t xml:space="preserve"> (ASU No. 2010-28). ASU No. 2010-28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our fiscal year 2012. We do not expect the adoption of ASU No. 2010-28 to impact our financial condition and results of operations.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Fair Value Measurement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May 2011, the FASB issued ASU No. 2011-04, </w:t>
      </w:r>
      <w:r>
        <w:rPr>
          <w:rFonts w:ascii="Arial" w:cs="Arial" w:eastAsia="Arial" w:hAnsi="Arial"/>
          <w:sz w:val="12"/>
          <w:szCs w:val="12"/>
          <w:i w:val="1"/>
          <w:iCs w:val="1"/>
          <w:color w:val="auto"/>
        </w:rPr>
        <w:t>Amendments to Achieve Common Fair Value Measurements and Disclosure Requirements in U.S. GAAP and IFRSs</w:t>
      </w:r>
      <w:r>
        <w:rPr>
          <w:rFonts w:ascii="Arial" w:cs="Arial" w:eastAsia="Arial" w:hAnsi="Arial"/>
          <w:sz w:val="12"/>
          <w:szCs w:val="12"/>
          <w:color w:val="auto"/>
        </w:rPr>
        <w:t xml:space="preserve"> (ASU</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 xml:space="preserve">No. 2011-04). ASU No. 2011-04 amended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to converge the fair value measurement guidance in U.S. GAAP and International Financial Reporting Standards (IFRSs). Some of the amendments clarify the application of existing fair value measurement requirements, while other amendments change a particular principle in ASC 820. In addition, ASU No. 2011-04 requires additional fair value disclosures. The amendments are to be applied prospectively and are effective for interim and annual periods beginning after December 15, 2011, which is our second quarter of fiscal year 2012. We are currently evaluating the impact, if any, that ASU No. 2011-04 may have on our financial condition and results of operations.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Comprehensive Income</w:t>
      </w:r>
    </w:p>
    <w:p>
      <w:pPr>
        <w:spacing w:after="0" w:line="96" w:lineRule="exact"/>
        <w:rPr>
          <w:sz w:val="20"/>
          <w:szCs w:val="20"/>
          <w:color w:val="auto"/>
        </w:rPr>
      </w:pPr>
    </w:p>
    <w:p>
      <w:pPr>
        <w:ind w:right="180" w:firstLine="399"/>
        <w:spacing w:after="0" w:line="282" w:lineRule="auto"/>
        <w:rPr>
          <w:sz w:val="20"/>
          <w:szCs w:val="20"/>
          <w:color w:val="auto"/>
        </w:rPr>
      </w:pPr>
      <w:r>
        <w:rPr>
          <w:rFonts w:ascii="Arial" w:cs="Arial" w:eastAsia="Arial" w:hAnsi="Arial"/>
          <w:sz w:val="12"/>
          <w:szCs w:val="12"/>
          <w:color w:val="auto"/>
        </w:rPr>
        <w:t xml:space="preserve">In June 2011, the FASB issued ASU No. 2011-05, </w:t>
      </w:r>
      <w:r>
        <w:rPr>
          <w:rFonts w:ascii="Arial" w:cs="Arial" w:eastAsia="Arial" w:hAnsi="Arial"/>
          <w:sz w:val="12"/>
          <w:szCs w:val="12"/>
          <w:i w:val="1"/>
          <w:iCs w:val="1"/>
          <w:color w:val="auto"/>
        </w:rPr>
        <w:t>Presentation of Comprehensive Income</w:t>
      </w:r>
      <w:r>
        <w:rPr>
          <w:rFonts w:ascii="Arial" w:cs="Arial" w:eastAsia="Arial" w:hAnsi="Arial"/>
          <w:sz w:val="12"/>
          <w:szCs w:val="12"/>
          <w:color w:val="auto"/>
        </w:rPr>
        <w:t xml:space="preserve"> (ASU No. 2011-05). ASU No. 2011-05 amended ASC 320, </w:t>
      </w:r>
      <w:r>
        <w:rPr>
          <w:rFonts w:ascii="Arial" w:cs="Arial" w:eastAsia="Arial" w:hAnsi="Arial"/>
          <w:sz w:val="12"/>
          <w:szCs w:val="12"/>
          <w:i w:val="1"/>
          <w:iCs w:val="1"/>
          <w:color w:val="auto"/>
        </w:rPr>
        <w:t>Comprehensive Income,</w:t>
      </w:r>
      <w:r>
        <w:rPr>
          <w:rFonts w:ascii="Arial" w:cs="Arial" w:eastAsia="Arial" w:hAnsi="Arial"/>
          <w:sz w:val="12"/>
          <w:szCs w:val="12"/>
          <w:color w:val="auto"/>
        </w:rPr>
        <w:t xml:space="preserve"> to converge the presentation of comprehensive income between U.S GAAP and IFRS. ASU No. 2011-05 requires that all nonowner changes in stockholders’ equity be presented in either a single continuous statement of comprehensive income or in two separate but consecutive statements and also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of changes in stockholders’ equity. ASU 2011-05 is effective for fiscal years, and interim periods within those years, beginning after December 15, 2011, which is our fiscal year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2013. The adoption of ASU No. 2011-05 will affect the presentation of comprehensive income but will not impact our financial condition or results of operations.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Intangibles — Goodwill and Other: Testing Goodwill for Impairment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September 2011, the FASB issued ASU No. 2011-08, </w:t>
      </w:r>
      <w:r>
        <w:rPr>
          <w:rFonts w:ascii="Arial" w:cs="Arial" w:eastAsia="Arial" w:hAnsi="Arial"/>
          <w:sz w:val="12"/>
          <w:szCs w:val="12"/>
          <w:i w:val="1"/>
          <w:iCs w:val="1"/>
          <w:color w:val="auto"/>
        </w:rPr>
        <w:t>Intangibles — Goodwill and Other (ASC Topic 350): Testing for Goodwill Impairment</w:t>
      </w:r>
      <w:r>
        <w:rPr>
          <w:rFonts w:ascii="Arial" w:cs="Arial" w:eastAsia="Arial" w:hAnsi="Arial"/>
          <w:sz w:val="12"/>
          <w:szCs w:val="12"/>
          <w:color w:val="auto"/>
        </w:rPr>
        <w:t xml:space="preserve"> (ASU No. 2011-08). ASU</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No. 2011-08 provides a company the option to first assess qualitative factors to determine whether the existence of certain conditions leads to a determination that it is more likely than not that the fair value of a reporting unit is less than its carrying amount. If, after assessing the totality of events or circumstances, a company determines it is not more likely than not that the fair value of a reporting unit is less than its carrying amount, then performing the two-step goodwill impairment test is unnecessary. However, if a company concludes otherwise, then it is required to perform the two-step goodwill impairment test. ASU No. 2011-08 is effective for fiscal years that begin after December 15, 2011, which is our fiscal year 2013. We are currently evaluating the impact, if any, that ASU No. 2011-08 may have on our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firstLine="399"/>
        <w:spacing w:after="0" w:line="310" w:lineRule="auto"/>
        <w:rPr>
          <w:sz w:val="20"/>
          <w:szCs w:val="20"/>
          <w:color w:val="auto"/>
        </w:rPr>
      </w:pPr>
      <w:r>
        <w:rPr>
          <w:rFonts w:ascii="Arial" w:cs="Arial" w:eastAsia="Arial" w:hAnsi="Arial"/>
          <w:sz w:val="11"/>
          <w:szCs w:val="11"/>
          <w:color w:val="auto"/>
        </w:rPr>
        <w:t>Management’s discussion and analysis of the financial condition and results of operations is based upon the consolidated financial statements, which have been prepared in accordance with U.S. generally accepted accounting principles.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Inventory Valuation</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Allowance for Doubtful Accounts</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 To date, our actual results have not been materially different than our estimates, and we do not expect them to be materially different in the future.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Long-Lived Assets</w:t>
      </w:r>
    </w:p>
    <w:p>
      <w:pPr>
        <w:spacing w:after="0" w:line="96"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We review property, plant, and equipment and finite lived intangible assets for impairment whenever events or changes in circumstances indicate that the carrying value of assets may not be recoverable. Recoverability of these assets is measured by comparison of their carrying value to future undiscounted cash flows that the assets are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1" w:name="page42"/>
    <w:bookmarkEnd w:id="41"/>
    <w:p>
      <w:pPr>
        <w:spacing w:after="0" w:line="279" w:lineRule="auto"/>
        <w:rPr>
          <w:sz w:val="20"/>
          <w:szCs w:val="20"/>
          <w:color w:val="auto"/>
        </w:rPr>
      </w:pPr>
      <w:r>
        <w:rPr>
          <w:rFonts w:ascii="Arial" w:cs="Arial" w:eastAsia="Arial" w:hAnsi="Arial"/>
          <w:sz w:val="12"/>
          <w:szCs w:val="12"/>
          <w:color w:val="auto"/>
        </w:rPr>
        <w:t>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 We review indefinite-lived intangible assets for impairment annually, on the first day of the fourth quarter (on or about August 1) or more frequently if indicators of impairment exist. The impairment test involves the comparison of the fair value of the intangible asset with its carrying amount.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Goodwill is subject to annual impairment tests or more frequently if indicators of potential impairment exist and suggest that the carrying value of goodwill may not be recoverable from estimated discounted future cash flows. We test goodwill for impairment at the reporting unit level (operating segment or one level below an operating segment) on an annual basis in the fourth quarter (on or about August 1) or more frequently if we believe indicators of impairment exist. For our latest annual impairment assessment that occurred on July 31, 2011, we identified our reporting units to be our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We generally determine the fair value of our reporting units using the income approach methodology of valuation that includes the discounted cash flow method as well as other generally accepted valuation methodologies, which requires significant judgment by management. If the carrying amount of a reporting unit exceeds the reporting unit’s fair value, we perform the second step of the goodwill impairment test to determine the amount of impairment loss. The second step of the goodwill impairment test involves comparing the implied fair value of the affected reporting unit’s goodwill with the carrying value of that goodwill. These impairment tests may result in impairment losses that could have a material adverse impact on our results of operations.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Value of Contingent Consideration related to Business Combination</w:t>
      </w:r>
    </w:p>
    <w:p>
      <w:pPr>
        <w:spacing w:after="0" w:line="96"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Accounting for Income Taxes</w:t>
      </w:r>
    </w:p>
    <w:p>
      <w:pPr>
        <w:spacing w:after="0" w:line="96" w:lineRule="exact"/>
        <w:rPr>
          <w:sz w:val="20"/>
          <w:szCs w:val="20"/>
          <w:color w:val="auto"/>
        </w:rPr>
      </w:pPr>
    </w:p>
    <w:p>
      <w:pPr>
        <w:jc w:val="both"/>
        <w:ind w:right="140" w:firstLine="399"/>
        <w:spacing w:after="0" w:line="289" w:lineRule="auto"/>
        <w:rPr>
          <w:sz w:val="20"/>
          <w:szCs w:val="20"/>
          <w:color w:val="auto"/>
        </w:rPr>
      </w:pPr>
      <w:r>
        <w:rPr>
          <w:rFonts w:ascii="Arial" w:cs="Arial" w:eastAsia="Arial" w:hAnsi="Arial"/>
          <w:sz w:val="12"/>
          <w:szCs w:val="12"/>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2" w:name="page43"/>
    <w:bookmarkEnd w:id="42"/>
    <w:p>
      <w:pPr>
        <w:ind w:right="40"/>
        <w:spacing w:after="0" w:line="258" w:lineRule="auto"/>
        <w:rPr>
          <w:sz w:val="20"/>
          <w:szCs w:val="20"/>
          <w:color w:val="auto"/>
        </w:rPr>
      </w:pPr>
      <w:r>
        <w:rPr>
          <w:rFonts w:ascii="Arial" w:cs="Arial" w:eastAsia="Arial" w:hAnsi="Arial"/>
          <w:sz w:val="13"/>
          <w:szCs w:val="13"/>
          <w:color w:val="auto"/>
        </w:rPr>
        <w:t>uncertainty of the timing and amount of the realization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71" w:lineRule="exact"/>
        <w:rPr>
          <w:sz w:val="20"/>
          <w:szCs w:val="20"/>
          <w:color w:val="auto"/>
        </w:rPr>
      </w:pPr>
    </w:p>
    <w:p>
      <w:pPr>
        <w:ind w:right="160" w:firstLine="399"/>
        <w:spacing w:after="0" w:line="256" w:lineRule="auto"/>
        <w:rPr>
          <w:sz w:val="20"/>
          <w:szCs w:val="20"/>
          <w:color w:val="auto"/>
        </w:rPr>
      </w:pPr>
      <w:r>
        <w:rPr>
          <w:rFonts w:ascii="Arial" w:cs="Arial" w:eastAsia="Arial" w:hAnsi="Arial"/>
          <w:sz w:val="13"/>
          <w:szCs w:val="13"/>
          <w:color w:val="auto"/>
        </w:rPr>
        <w:t>We account for uncertain tax positions by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A change in these factors would result in the recognition of a tax benefit or an additional charge to the tax provision.</w:t>
      </w:r>
    </w:p>
    <w:p>
      <w:pPr>
        <w:spacing w:after="0" w:line="73"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Stock-based compensation expense associated with stock options and related awards is recognized in the statement of income.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67"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are responsible for estimating volatility and have considered a number of factors, including third-party estimates, when estimating volatility. We currently</w:t>
      </w:r>
      <w:r>
        <w:rPr>
          <w:rFonts w:ascii="Arial" w:cs="Arial" w:eastAsia="Arial" w:hAnsi="Arial"/>
          <w:sz w:val="13"/>
          <w:szCs w:val="13"/>
          <w:i w:val="1"/>
          <w:iCs w:val="1"/>
          <w:color w:val="auto"/>
        </w:rPr>
        <w:t xml:space="preserve"> </w:t>
      </w:r>
      <w:r>
        <w:rPr>
          <w:rFonts w:ascii="Arial" w:cs="Arial" w:eastAsia="Arial" w:hAnsi="Arial"/>
          <w:sz w:val="13"/>
          <w:szCs w:val="13"/>
          <w:color w:val="auto"/>
        </w:rPr>
        <w:t>believe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we concluded that: (1) options in our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72"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use historical employee exercise and option expiration data to estimate the expected term assumption for the Black-Scholes grant-date valuation.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i w:val="1"/>
          <w:iCs w:val="1"/>
          <w:color w:val="auto"/>
        </w:rPr>
        <w:t xml:space="preserve">Risk-free interest rate </w:t>
      </w:r>
      <w:r>
        <w:rPr>
          <w:rFonts w:ascii="Arial" w:cs="Arial" w:eastAsia="Arial" w:hAnsi="Arial"/>
          <w:sz w:val="11"/>
          <w:szCs w:val="11"/>
          <w:color w:val="auto"/>
        </w:rPr>
        <w:t>— The yield on zero-coupon U.S. Treasury securities for a period that is commensurate with the expected term assumption is used as the risk-free interest rate.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43" w:name="page44"/>
    <w:bookmarkEnd w:id="43"/>
    <w:p>
      <w:pPr>
        <w:jc w:val="both"/>
        <w:ind w:right="100" w:firstLine="399"/>
        <w:spacing w:after="0" w:line="296" w:lineRule="auto"/>
        <w:rPr>
          <w:sz w:val="20"/>
          <w:szCs w:val="20"/>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 Expected dividend yield is calculated by annualizing the cash dividend declared by our Board of Directors for the current quarter and dividing that result</w:t>
      </w:r>
      <w:r>
        <w:rPr>
          <w:rFonts w:ascii="Arial" w:cs="Arial" w:eastAsia="Arial" w:hAnsi="Arial"/>
          <w:sz w:val="12"/>
          <w:szCs w:val="12"/>
          <w:i w:val="1"/>
          <w:iCs w:val="1"/>
          <w:color w:val="auto"/>
        </w:rPr>
        <w:t xml:space="preserve"> </w:t>
      </w:r>
      <w:r>
        <w:rPr>
          <w:rFonts w:ascii="Arial" w:cs="Arial" w:eastAsia="Arial" w:hAnsi="Arial"/>
          <w:sz w:val="12"/>
          <w:szCs w:val="12"/>
          <w:color w:val="auto"/>
        </w:rPr>
        <w:t>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50" w:lineRule="exact"/>
        <w:rPr>
          <w:sz w:val="20"/>
          <w:szCs w:val="20"/>
          <w:color w:val="auto"/>
        </w:rPr>
      </w:pPr>
    </w:p>
    <w:p>
      <w:pPr>
        <w:ind w:right="180" w:firstLine="399"/>
        <w:spacing w:after="0" w:line="285" w:lineRule="auto"/>
        <w:rPr>
          <w:sz w:val="20"/>
          <w:szCs w:val="20"/>
          <w:color w:val="auto"/>
        </w:rPr>
      </w:pPr>
      <w:r>
        <w:rPr>
          <w:rFonts w:ascii="Arial" w:cs="Arial" w:eastAsia="Arial" w:hAnsi="Arial"/>
          <w:sz w:val="12"/>
          <w:szCs w:val="12"/>
          <w:color w:val="auto"/>
        </w:rPr>
        <w:t>The amount of stock-based compensation expense recognized during a period is based on the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4.3% to all unvested stock-based awards as of October 29, 2011. The rate of 4.3% represents the portion that is expected to be forfeited each year over the vesting period. This analysis is re-evaluated quarterly and the forfeiture rate is adjusted as necessary. Ultimately, the actual expense recognized over the vesting period will only be for those awards that vest.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Contingencies</w:t>
      </w:r>
    </w:p>
    <w:p>
      <w:pPr>
        <w:spacing w:after="0" w:line="96"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color w:val="auto"/>
        </w:rPr>
        <w:t>From time to time, we receive demands from third parties alleging that our products or manufacturing processes infringe the patent or intellectual property rights of these parties.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148"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Exposure</w:t>
      </w:r>
    </w:p>
    <w:p>
      <w:pPr>
        <w:spacing w:after="0" w:line="96"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Our interest income and expense are sensitive to changes in the general level of interest rates. In this regard, changes in interest rates affect the interest earned on our marketable securities and short term investments, as well as the fair value of our investments, debt and interest-rate swap agreement.</w:t>
      </w:r>
    </w:p>
    <w:p>
      <w:pPr>
        <w:spacing w:after="0" w:line="59"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Based on our marketable securities and short-term investments outstanding as of October 29, 2011 and October 30, 2010, our annual interest income would change by approximately $38 million and $27 million, respectively, for each 100 basis point increase in interest rates.</w:t>
      </w:r>
    </w:p>
    <w:p>
      <w:pPr>
        <w:spacing w:after="0" w:line="59"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29, 2011 and October 30, 2010, a hypothetical 100 basis point increase in interest rates across all maturities would result in a $4 million decline in each year in the fair market value of the portfolio. Such losses would only be realized if we sold the investments prior to maturity.</w:t>
      </w:r>
    </w:p>
    <w:p>
      <w:pPr>
        <w:spacing w:after="0" w:line="7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As of October 29, 2011, we had $750 million in principal amount of senior unsecured notes outstanding, which consisted of $375 million 5% senior unsecured notes, due July 1, 2014 and $375 million 3% senior unsecured notes, due April 15, 2016. As of October 29, 2011, a hypothetical 100 basis point increase in market interest rates would reduce the fair value of our $375 million of 3% senior unsecured notes outstanding by approximately $16 million. As of October 29, 2011 and October 30, 2010 a similar increase in market interest rates would not change the fair value of our $375 million 5% senior unsecured notes which have been hedged by an interest rate swap agreement. Any changes to fair value of the 5% senior unsecured notes would be offset by the change in the fair value of the corresponding interest rate swap.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4" w:name="page45"/>
    <w:bookmarkEnd w:id="44"/>
    <w:p>
      <w:pPr>
        <w:ind w:right="120" w:firstLine="399"/>
        <w:spacing w:after="0" w:line="257" w:lineRule="auto"/>
        <w:rPr>
          <w:sz w:val="20"/>
          <w:szCs w:val="20"/>
          <w:color w:val="auto"/>
        </w:rPr>
      </w:pPr>
      <w:r>
        <w:rPr>
          <w:rFonts w:ascii="Arial" w:cs="Arial" w:eastAsia="Arial" w:hAnsi="Arial"/>
          <w:sz w:val="13"/>
          <w:szCs w:val="13"/>
          <w:color w:val="auto"/>
        </w:rPr>
        <w:t>We hold an interest rate swap agreement to hedge the benchmark interest rate of our $375 million 5.0% senior unsecured notes due July 1, 2014. The effect of the swap is to convert our 5.0% fixed interest rate to a variable interest rate based on the three-month LIBOR plus 2.05% (2.42% as of October 29, 2011). In addition, we have a term loan facility of $145 million that bears interest at a fluctuating rate for each period equal to the LIBOR rate corresponding with the tenor of the interest period plus a spread of 1.25% (1.61% as of October 29, 2011). If LIBOR increases by 100 basis points, our annual interest expense would increase by approximately $5 million. However, this hypothetical change in interest rates would not impact the interest expense on our $375 million of 3% fixed-rate debt, which is not hedged. As of October 30, 2010, a similar 100 basis point increase in LIBOR would have resulted in an increase of approximately $4 million to our annual interest expense.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Foreign Currency Exposure</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As more fully described in Note 2i in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month to twelve months. Currently, our largest foreign currency exposure is the Euro, primarily because our European operations have the highest proportion of our local currency denominated expenses. Relative to foreign currency exposures existing at October 29, 2011 and October 30, 2010, a 10% unfavorable movement in foreign currency exchange rates over the course of the year would expose us to approximately $6 million in losses in earnings or cash flows.</w:t>
      </w:r>
    </w:p>
    <w:p>
      <w:pPr>
        <w:spacing w:after="0" w:line="55"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29, 2011,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72"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following table illustrates the effect that a 10% unfavorable or favorable movement in foreign currency exchange rates, relative to the U.S. dollar, would have on the fair value of our forward exchange contracts as of October 29, 2011 and October 30, 2010: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38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0"/>
                <w:szCs w:val="10"/>
                <w:b w:val="1"/>
                <w:bCs w:val="1"/>
                <w:color w:val="auto"/>
              </w:rPr>
              <w:t>October 29, 2011</w:t>
            </w:r>
          </w:p>
        </w:tc>
        <w:tc>
          <w:tcPr>
            <w:tcW w:w="280" w:type="dxa"/>
            <w:vAlign w:val="bottom"/>
          </w:tcPr>
          <w:p>
            <w:pPr>
              <w:spacing w:after="0"/>
              <w:rPr>
                <w:sz w:val="10"/>
                <w:szCs w:val="10"/>
                <w:color w:val="auto"/>
              </w:rPr>
            </w:pPr>
          </w:p>
        </w:tc>
        <w:tc>
          <w:tcPr>
            <w:tcW w:w="13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0"/>
                <w:szCs w:val="10"/>
                <w:b w:val="1"/>
                <w:bCs w:val="1"/>
                <w:color w:val="auto"/>
              </w:rPr>
              <w:t>October 30, 2010</w:t>
            </w:r>
          </w:p>
        </w:tc>
      </w:tr>
      <w:tr>
        <w:trPr>
          <w:trHeight w:val="29"/>
        </w:trPr>
        <w:tc>
          <w:tcPr>
            <w:tcW w:w="7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asset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2,472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7,256</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Fair value of forward exchange contracts after a 10% unfavorable movement in foreign currency exchange rates asset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414"/>
              <w:spacing w:after="0"/>
              <w:rPr>
                <w:sz w:val="20"/>
                <w:szCs w:val="20"/>
                <w:color w:val="auto"/>
              </w:rPr>
            </w:pPr>
            <w:r>
              <w:rPr>
                <w:rFonts w:ascii="Arial" w:cs="Arial" w:eastAsia="Arial" w:hAnsi="Arial"/>
                <w:sz w:val="13"/>
                <w:szCs w:val="13"/>
                <w:color w:val="auto"/>
              </w:rPr>
              <w:t>17,859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22,062</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forward exchange contracts after a 10% favorable movement in foreign currency exchange rates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90"/>
              </w:rPr>
              <w:t>(13,332)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92"/>
              </w:rPr>
              <w:t>(7,396)</w:t>
            </w:r>
          </w:p>
        </w:tc>
      </w:tr>
    </w:tbl>
    <w:p>
      <w:pPr>
        <w:spacing w:after="0" w:line="80"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9"/>
        </w:trPr>
        <w:tc>
          <w:tcPr>
            <w:tcW w:w="8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6220" w:type="dxa"/>
            <w:vAlign w:val="bottom"/>
          </w:tcPr>
          <w:p>
            <w:pPr>
              <w:ind w:left="40"/>
              <w:spacing w:after="0"/>
              <w:rPr>
                <w:sz w:val="20"/>
                <w:szCs w:val="20"/>
                <w:color w:val="auto"/>
              </w:rPr>
            </w:pPr>
            <w:r>
              <w:rPr>
                <w:rFonts w:ascii="Arial" w:cs="Arial" w:eastAsia="Arial" w:hAnsi="Arial"/>
                <w:sz w:val="13"/>
                <w:szCs w:val="13"/>
                <w:b w:val="1"/>
                <w:bCs w:val="1"/>
                <w:color w:val="auto"/>
              </w:rPr>
              <w:t>FINANCIAL STATEMENTS AND SUPPLEMENTARY DATA</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880" w:type="dxa"/>
            <w:vAlign w:val="bottom"/>
          </w:tcPr>
          <w:p>
            <w:pPr>
              <w:spacing w:after="0"/>
              <w:rPr>
                <w:sz w:val="24"/>
                <w:szCs w:val="24"/>
                <w:color w:val="auto"/>
              </w:rPr>
            </w:pPr>
          </w:p>
        </w:tc>
        <w:tc>
          <w:tcPr>
            <w:tcW w:w="6220" w:type="dxa"/>
            <w:vAlign w:val="bottom"/>
          </w:tcPr>
          <w:p>
            <w:pPr>
              <w:jc w:val="center"/>
              <w:ind w:left="1954"/>
              <w:spacing w:after="0"/>
              <w:rPr>
                <w:sz w:val="20"/>
                <w:szCs w:val="20"/>
                <w:color w:val="auto"/>
              </w:rPr>
            </w:pPr>
            <w:r>
              <w:rPr>
                <w:rFonts w:ascii="Arial" w:cs="Arial" w:eastAsia="Arial" w:hAnsi="Arial"/>
                <w:sz w:val="13"/>
                <w:szCs w:val="13"/>
                <w:b w:val="1"/>
                <w:bCs w:val="1"/>
                <w:color w:val="auto"/>
              </w:rPr>
              <w:t>ANALOG DEVICES, INC.</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220" w:type="dxa"/>
            <w:vAlign w:val="bottom"/>
          </w:tcPr>
          <w:p>
            <w:pPr>
              <w:ind w:left="2720"/>
              <w:spacing w:after="0"/>
              <w:rPr>
                <w:sz w:val="20"/>
                <w:szCs w:val="20"/>
                <w:color w:val="auto"/>
              </w:rPr>
            </w:pPr>
            <w:r>
              <w:rPr>
                <w:rFonts w:ascii="Arial" w:cs="Arial" w:eastAsia="Arial" w:hAnsi="Arial"/>
                <w:sz w:val="13"/>
                <w:szCs w:val="13"/>
                <w:b w:val="1"/>
                <w:bCs w:val="1"/>
                <w:color w:val="auto"/>
              </w:rPr>
              <w:t>CONSOLIDATED STATEMENTS OF INCOME</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6220" w:type="dxa"/>
            <w:vAlign w:val="bottom"/>
          </w:tcPr>
          <w:p>
            <w:pPr>
              <w:jc w:val="center"/>
              <w:ind w:left="1954"/>
              <w:spacing w:after="0"/>
              <w:rPr>
                <w:sz w:val="20"/>
                <w:szCs w:val="20"/>
                <w:color w:val="auto"/>
              </w:rPr>
            </w:pPr>
            <w:r>
              <w:rPr>
                <w:rFonts w:ascii="Arial" w:cs="Arial" w:eastAsia="Arial" w:hAnsi="Arial"/>
                <w:sz w:val="13"/>
                <w:szCs w:val="13"/>
                <w:b w:val="1"/>
                <w:bCs w:val="1"/>
                <w:color w:val="auto"/>
                <w:w w:val="90"/>
              </w:rPr>
              <w:t>Years ended October 29, 2011, October 30, 2010 and October 31, 2009</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10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ind w:left="120"/>
              <w:spacing w:after="0"/>
              <w:rPr>
                <w:sz w:val="20"/>
                <w:szCs w:val="20"/>
                <w:color w:val="auto"/>
              </w:rPr>
            </w:pPr>
            <w:r>
              <w:rPr>
                <w:rFonts w:ascii="Arial" w:cs="Arial" w:eastAsia="Arial" w:hAnsi="Arial"/>
                <w:sz w:val="12"/>
                <w:szCs w:val="12"/>
                <w:color w:val="auto"/>
              </w:rPr>
              <w:t>Revenue</w:t>
            </w:r>
          </w:p>
        </w:tc>
        <w:tc>
          <w:tcPr>
            <w:tcW w:w="622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2,993,320</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2,761,503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2,014,908</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Costs and Expenses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ind w:left="120"/>
              <w:spacing w:after="0"/>
              <w:rPr>
                <w:sz w:val="20"/>
                <w:szCs w:val="20"/>
                <w:color w:val="auto"/>
              </w:rPr>
            </w:pPr>
            <w:r>
              <w:rPr>
                <w:rFonts w:ascii="Arial" w:cs="Arial" w:eastAsia="Arial" w:hAnsi="Arial"/>
                <w:sz w:val="12"/>
                <w:szCs w:val="12"/>
                <w:color w:val="auto"/>
                <w:w w:val="88"/>
              </w:rPr>
              <w:t>Cost of sales(1)</w:t>
            </w: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1,006,779</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962,081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896,271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Gross margin</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1,986,541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1,799,422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1,118,637</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Operating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Research and development(1)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505,570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492,305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446,980</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Selling, marketing, general and administrative(1)</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406,707</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390,560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333,184</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2,239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16,483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53,656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914,516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899,348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833,820</w:t>
            </w:r>
          </w:p>
        </w:tc>
        <w:tc>
          <w:tcPr>
            <w:tcW w:w="0" w:type="dxa"/>
            <w:vAlign w:val="bottom"/>
          </w:tcPr>
          <w:p>
            <w:pPr>
              <w:spacing w:after="0"/>
              <w:rPr>
                <w:sz w:val="1"/>
                <w:szCs w:val="1"/>
                <w:color w:val="auto"/>
              </w:rPr>
            </w:pPr>
          </w:p>
        </w:tc>
      </w:tr>
      <w:tr>
        <w:trPr>
          <w:trHeight w:val="150"/>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Operating income from continuing operations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1,072,025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900,074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284,817</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Nonoperating (income) expenses: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Interest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19,146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10,429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4,094</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Interest income</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(9,060)</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(9,837)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(15,621)</w:t>
            </w:r>
          </w:p>
        </w:tc>
        <w:tc>
          <w:tcPr>
            <w:tcW w:w="0" w:type="dxa"/>
            <w:vAlign w:val="bottom"/>
          </w:tcPr>
          <w:p>
            <w:pPr>
              <w:spacing w:after="0"/>
              <w:rPr>
                <w:sz w:val="1"/>
                <w:szCs w:val="1"/>
                <w:color w:val="auto"/>
              </w:rPr>
            </w:pPr>
          </w:p>
        </w:tc>
      </w:tr>
      <w:tr>
        <w:trPr>
          <w:trHeight w:val="147"/>
        </w:trPr>
        <w:tc>
          <w:tcPr>
            <w:tcW w:w="8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Other, net</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(2,183)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10,578</w:t>
            </w:r>
          </w:p>
        </w:tc>
        <w:tc>
          <w:tcPr>
            <w:tcW w:w="1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(1,591)</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(12,627)</w:t>
            </w:r>
          </w:p>
        </w:tc>
        <w:tc>
          <w:tcPr>
            <w:tcW w:w="0" w:type="dxa"/>
            <w:vAlign w:val="bottom"/>
          </w:tcPr>
          <w:p>
            <w:pPr>
              <w:spacing w:after="0"/>
              <w:rPr>
                <w:sz w:val="1"/>
                <w:szCs w:val="1"/>
                <w:color w:val="auto"/>
              </w:rPr>
            </w:pPr>
          </w:p>
        </w:tc>
      </w:tr>
      <w:tr>
        <w:trPr>
          <w:trHeight w:val="147"/>
        </w:trPr>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w:t>
            </w:r>
          </w:p>
        </w:tc>
        <w:tc>
          <w:tcPr>
            <w:tcW w:w="6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Income from continuing operations before income taxes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1,061,447</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901,665</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297,444</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Payable currently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198,849</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200,306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38,441</w:t>
            </w:r>
          </w:p>
        </w:tc>
        <w:tc>
          <w:tcPr>
            <w:tcW w:w="0" w:type="dxa"/>
            <w:vAlign w:val="bottom"/>
          </w:tcPr>
          <w:p>
            <w:pPr>
              <w:spacing w:after="0"/>
              <w:rPr>
                <w:sz w:val="1"/>
                <w:szCs w:val="1"/>
                <w:color w:val="auto"/>
              </w:rPr>
            </w:pPr>
          </w:p>
        </w:tc>
      </w:tr>
      <w:tr>
        <w:trPr>
          <w:trHeight w:val="147"/>
        </w:trPr>
        <w:tc>
          <w:tcPr>
            <w:tcW w:w="8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(9,866)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11,595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200,553</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190,440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50,036</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860,894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711,225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247,408</w:t>
            </w:r>
          </w:p>
        </w:tc>
        <w:tc>
          <w:tcPr>
            <w:tcW w:w="0" w:type="dxa"/>
            <w:vAlign w:val="bottom"/>
          </w:tcPr>
          <w:p>
            <w:pPr>
              <w:spacing w:after="0"/>
              <w:rPr>
                <w:sz w:val="1"/>
                <w:szCs w:val="1"/>
                <w:color w:val="auto"/>
              </w:rPr>
            </w:pPr>
          </w:p>
        </w:tc>
      </w:tr>
      <w:tr>
        <w:trPr>
          <w:trHeight w:val="144"/>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Discontinued operations, net of tax:</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Income from discontinued operations</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Gain on sale of discontinued operations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6,500</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859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income from discontinued operations, net of tax</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0" w:type="dxa"/>
            <w:vAlign w:val="bottom"/>
            <w:vMerge w:val="continue"/>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867,394</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712,084</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247,772</w:t>
            </w:r>
          </w:p>
        </w:tc>
        <w:tc>
          <w:tcPr>
            <w:tcW w:w="0" w:type="dxa"/>
            <w:vAlign w:val="bottom"/>
          </w:tcPr>
          <w:p>
            <w:pPr>
              <w:spacing w:after="0"/>
              <w:rPr>
                <w:sz w:val="1"/>
                <w:szCs w:val="1"/>
                <w:color w:val="auto"/>
              </w:rPr>
            </w:pPr>
          </w:p>
        </w:tc>
      </w:tr>
      <w:tr>
        <w:trPr>
          <w:trHeight w:val="35"/>
        </w:trPr>
        <w:tc>
          <w:tcPr>
            <w:tcW w:w="8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Shares used to compute earnings per share — Basic</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299,417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297,387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291,385</w:t>
            </w: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Shares used to compute earnings per share — Diluted</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308,236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305,861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292,698</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Earnings per share — Basic</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2.88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2.39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47"/>
        </w:trPr>
        <w:tc>
          <w:tcPr>
            <w:tcW w:w="8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47"/>
        </w:trPr>
        <w:tc>
          <w:tcPr>
            <w:tcW w:w="7100" w:type="dxa"/>
            <w:vAlign w:val="bottom"/>
            <w:gridSpan w:val="2"/>
          </w:tcPr>
          <w:p>
            <w:pPr>
              <w:spacing w:after="0"/>
              <w:rPr>
                <w:sz w:val="20"/>
                <w:szCs w:val="20"/>
                <w:color w:val="auto"/>
              </w:rPr>
            </w:pPr>
            <w:r>
              <w:rPr>
                <w:rFonts w:ascii="Arial" w:cs="Arial" w:eastAsia="Arial" w:hAnsi="Arial"/>
                <w:sz w:val="12"/>
                <w:szCs w:val="12"/>
                <w:b w:val="1"/>
                <w:bCs w:val="1"/>
                <w:color w:val="auto"/>
              </w:rPr>
              <w:t>Earnings per share — Diluted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Income from continuing operations, net of tax</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2.79</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47"/>
        </w:trPr>
        <w:tc>
          <w:tcPr>
            <w:tcW w:w="88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622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2.81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2.33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Dividends declared and paid per share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0.94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47"/>
        </w:trPr>
        <w:tc>
          <w:tcPr>
            <w:tcW w:w="7100" w:type="dxa"/>
            <w:vAlign w:val="bottom"/>
            <w:gridSpan w:val="2"/>
          </w:tcPr>
          <w:p>
            <w:pPr>
              <w:spacing w:after="0"/>
              <w:rPr>
                <w:sz w:val="20"/>
                <w:szCs w:val="20"/>
                <w:color w:val="auto"/>
              </w:rPr>
            </w:pPr>
            <w:r>
              <w:rPr>
                <w:rFonts w:ascii="Arial" w:cs="Arial" w:eastAsia="Arial" w:hAnsi="Arial"/>
                <w:sz w:val="12"/>
                <w:szCs w:val="12"/>
                <w:color w:val="auto"/>
              </w:rPr>
              <w:t>(1) Includes stock-based compensation expense as follows: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shd w:val="clear" w:color="auto" w:fill="CCEEFF"/>
          </w:tcPr>
          <w:p>
            <w:pPr>
              <w:ind w:left="260"/>
              <w:spacing w:after="0"/>
              <w:rPr>
                <w:sz w:val="20"/>
                <w:szCs w:val="20"/>
                <w:color w:val="auto"/>
              </w:rPr>
            </w:pPr>
            <w:r>
              <w:rPr>
                <w:rFonts w:ascii="Arial" w:cs="Arial" w:eastAsia="Arial" w:hAnsi="Arial"/>
                <w:sz w:val="12"/>
                <w:szCs w:val="12"/>
                <w:color w:val="auto"/>
                <w:w w:val="86"/>
              </w:rPr>
              <w:t>Cost of sales</w:t>
            </w:r>
          </w:p>
        </w:tc>
        <w:tc>
          <w:tcPr>
            <w:tcW w:w="6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7,294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7,333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7,469</w:t>
            </w:r>
          </w:p>
        </w:tc>
        <w:tc>
          <w:tcPr>
            <w:tcW w:w="0" w:type="dxa"/>
            <w:vAlign w:val="bottom"/>
          </w:tcPr>
          <w:p>
            <w:pPr>
              <w:spacing w:after="0"/>
              <w:rPr>
                <w:sz w:val="1"/>
                <w:szCs w:val="1"/>
                <w:color w:val="auto"/>
              </w:rPr>
            </w:pPr>
          </w:p>
        </w:tc>
      </w:tr>
      <w:tr>
        <w:trPr>
          <w:trHeight w:val="147"/>
        </w:trPr>
        <w:tc>
          <w:tcPr>
            <w:tcW w:w="7100" w:type="dxa"/>
            <w:vAlign w:val="bottom"/>
            <w:gridSpan w:val="2"/>
          </w:tcPr>
          <w:p>
            <w:pPr>
              <w:ind w:left="260"/>
              <w:spacing w:after="0"/>
              <w:rPr>
                <w:sz w:val="20"/>
                <w:szCs w:val="20"/>
                <w:color w:val="auto"/>
              </w:rPr>
            </w:pPr>
            <w:r>
              <w:rPr>
                <w:rFonts w:ascii="Arial" w:cs="Arial" w:eastAsia="Arial" w:hAnsi="Arial"/>
                <w:sz w:val="12"/>
                <w:szCs w:val="12"/>
                <w:color w:val="auto"/>
              </w:rPr>
              <w:t>Research and development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23,289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23,342</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22,666</w:t>
            </w:r>
          </w:p>
        </w:tc>
        <w:tc>
          <w:tcPr>
            <w:tcW w:w="0" w:type="dxa"/>
            <w:vAlign w:val="bottom"/>
          </w:tcPr>
          <w:p>
            <w:pPr>
              <w:spacing w:after="0"/>
              <w:rPr>
                <w:sz w:val="1"/>
                <w:szCs w:val="1"/>
                <w:color w:val="auto"/>
              </w:rPr>
            </w:pPr>
          </w:p>
        </w:tc>
      </w:tr>
      <w:tr>
        <w:trPr>
          <w:trHeight w:val="147"/>
        </w:trPr>
        <w:tc>
          <w:tcPr>
            <w:tcW w:w="71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Selling, marketing, general and administrative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21,775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21,077</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18,478</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6" w:name="page47"/>
    <w:bookmarkEnd w:id="46"/>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October 29, 2011 and October 30, 2010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gridSpan w:val="2"/>
          </w:tcPr>
          <w:p>
            <w:pPr>
              <w:spacing w:after="0"/>
              <w:rPr>
                <w:sz w:val="20"/>
                <w:szCs w:val="20"/>
                <w:color w:val="auto"/>
              </w:rPr>
            </w:pPr>
            <w:r>
              <w:rPr>
                <w:rFonts w:ascii="Arial" w:cs="Arial" w:eastAsia="Arial" w:hAnsi="Arial"/>
                <w:sz w:val="10"/>
                <w:szCs w:val="10"/>
                <w:b w:val="1"/>
                <w:bCs w:val="1"/>
                <w:color w:val="auto"/>
              </w:rPr>
              <w:t>(thousands, except per share amounts)</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2011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Current Assets</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1,405,100</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1,070,000</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Short-term investments</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2,187,362</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1,617,768</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Accounts receivable less allowances of $1,465 ($1,581 in 2010)</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348,416</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387,169</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Inventories(1)</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295,081</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277,478</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82,171</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74,710</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Prepaid income tax</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22,002</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46,216</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51,874</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current assets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4,386,348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3,478,999</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Property, Plant and Equipment, at Cost</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Land and buildings</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430,453</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401,277</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Machinery and equipment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1,606,150</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1,578,493</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Office equipment</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51,960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56,449</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Leasehold improvements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48,338</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65,326</w:t>
            </w:r>
          </w:p>
        </w:tc>
      </w:tr>
      <w:tr>
        <w:trPr>
          <w:trHeight w:val="108"/>
        </w:trPr>
        <w:tc>
          <w:tcPr>
            <w:tcW w:w="130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2,136,901</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2,101,545</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Less accumulated depreciation and amortization</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1,658,062</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1,628,880</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Net property, plant and equipment</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478,839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472,665</w:t>
            </w: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Other Assets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plan investments</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26,410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8,690</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investments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2,951</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1,317</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Goodwill</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275,087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255,580</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Intangible assets, net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12,200</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1,343</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tax assets</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37,645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52,765</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assets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58,155</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57,472</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Total other assets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412,448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377,167</w:t>
            </w:r>
          </w:p>
        </w:tc>
        <w:tc>
          <w:tcPr>
            <w:tcW w:w="100" w:type="dxa"/>
            <w:vAlign w:val="bottom"/>
          </w:tcPr>
          <w:p>
            <w:pPr>
              <w:spacing w:after="0"/>
              <w:rPr>
                <w:sz w:val="9"/>
                <w:szCs w:val="9"/>
                <w:color w:val="auto"/>
              </w:rPr>
            </w:pPr>
          </w:p>
        </w:tc>
      </w:tr>
      <w:tr>
        <w:trPr>
          <w:trHeight w:val="117"/>
        </w:trPr>
        <w:tc>
          <w:tcPr>
            <w:tcW w:w="1300" w:type="dxa"/>
            <w:vAlign w:val="bottom"/>
            <w:shd w:val="clear" w:color="auto" w:fill="CCEEFF"/>
          </w:tcPr>
          <w:p>
            <w:pPr>
              <w:spacing w:after="0"/>
              <w:rPr>
                <w:sz w:val="10"/>
                <w:szCs w:val="10"/>
                <w:color w:val="auto"/>
              </w:rPr>
            </w:pPr>
          </w:p>
        </w:tc>
        <w:tc>
          <w:tcPr>
            <w:tcW w:w="700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5,277,635</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4,328,831</w:t>
            </w:r>
          </w:p>
        </w:tc>
      </w:tr>
      <w:tr>
        <w:trPr>
          <w:trHeight w:val="236"/>
        </w:trPr>
        <w:tc>
          <w:tcPr>
            <w:tcW w:w="8300" w:type="dxa"/>
            <w:vAlign w:val="bottom"/>
            <w:gridSpan w:val="2"/>
          </w:tcPr>
          <w:p>
            <w:pPr>
              <w:spacing w:after="0"/>
              <w:rPr>
                <w:sz w:val="20"/>
                <w:szCs w:val="20"/>
                <w:color w:val="auto"/>
              </w:rPr>
            </w:pPr>
            <w:r>
              <w:rPr>
                <w:rFonts w:ascii="Arial" w:cs="Arial" w:eastAsia="Arial" w:hAnsi="Arial"/>
                <w:sz w:val="10"/>
                <w:szCs w:val="10"/>
                <w:b w:val="1"/>
                <w:bCs w:val="1"/>
                <w:color w:val="auto"/>
              </w:rPr>
              <w:t>LIABILITIES AND SHAREHOLDERS’ EQUITY</w:t>
            </w: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Current Liabilities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Accounts payable</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113,056</w:t>
            </w:r>
          </w:p>
        </w:tc>
        <w:tc>
          <w:tcPr>
            <w:tcW w:w="180" w:type="dxa"/>
            <w:vAlign w:val="bottom"/>
          </w:tcPr>
          <w:p>
            <w:pPr>
              <w:spacing w:after="0"/>
              <w:rPr>
                <w:sz w:val="9"/>
                <w:szCs w:val="9"/>
                <w:color w:val="auto"/>
              </w:rPr>
            </w:pPr>
          </w:p>
        </w:tc>
        <w:tc>
          <w:tcPr>
            <w:tcW w:w="140" w:type="dxa"/>
            <w:vAlign w:val="bottom"/>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133,111</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income on shipments to distributors, net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233,249</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242,848</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Income taxes payable</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6,584</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60,421</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Current portion of long-term debt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14,500</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Accrued liabilities</w:t>
            </w:r>
          </w:p>
        </w:tc>
        <w:tc>
          <w:tcPr>
            <w:tcW w:w="1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157,616</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207,087</w:t>
            </w:r>
          </w:p>
        </w:tc>
      </w:tr>
      <w:tr>
        <w:trPr>
          <w:trHeight w:val="20"/>
        </w:trPr>
        <w:tc>
          <w:tcPr>
            <w:tcW w:w="1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current liabilities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525,005</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643,467</w:t>
            </w:r>
          </w:p>
        </w:tc>
      </w:tr>
      <w:tr>
        <w:trPr>
          <w:trHeight w:val="108"/>
        </w:trPr>
        <w:tc>
          <w:tcPr>
            <w:tcW w:w="830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Non-current Liabilities</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Long-term debt</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871,876</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400,635</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1,260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1,800</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Deferred compensation plan liability</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26,428</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8,690</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Other non-current liabilities</w:t>
            </w:r>
          </w:p>
        </w:tc>
        <w:tc>
          <w:tcPr>
            <w:tcW w:w="1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0"/>
                <w:szCs w:val="10"/>
                <w:color w:val="auto"/>
              </w:rPr>
              <w:t>57,653</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74,522</w:t>
            </w:r>
          </w:p>
        </w:tc>
      </w:tr>
      <w:tr>
        <w:trPr>
          <w:trHeight w:val="20"/>
        </w:trPr>
        <w:tc>
          <w:tcPr>
            <w:tcW w:w="1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non-current liabilities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957,217</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485,647</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Commitments and contingencies (Note 12)</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3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Shareholders’ Equity</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Preferred stock, $1.00 par value, 471,934 shares authorized, none outstanding</w:t>
            </w:r>
          </w:p>
        </w:tc>
        <w:tc>
          <w:tcPr>
            <w:tcW w:w="160" w:type="dxa"/>
            <w:vAlign w:val="bottom"/>
          </w:tcPr>
          <w:p>
            <w:pPr>
              <w:spacing w:after="0"/>
              <w:rPr>
                <w:sz w:val="9"/>
                <w:szCs w:val="9"/>
                <w:color w:val="auto"/>
              </w:rPr>
            </w:pPr>
          </w:p>
        </w:tc>
        <w:tc>
          <w:tcPr>
            <w:tcW w:w="74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Common stock, $0.16</w:t>
            </w:r>
            <w:r>
              <w:rPr>
                <w:rFonts w:ascii="Arial" w:cs="Arial" w:eastAsia="Arial" w:hAnsi="Arial"/>
                <w:sz w:val="7"/>
                <w:szCs w:val="7"/>
                <w:color w:val="auto"/>
              </w:rPr>
              <w:t>2</w:t>
            </w:r>
            <w:r>
              <w:rPr>
                <w:rFonts w:ascii="Arial" w:cs="Arial" w:eastAsia="Arial" w:hAnsi="Arial"/>
                <w:sz w:val="10"/>
                <w:szCs w:val="10"/>
                <w:color w:val="auto"/>
              </w:rPr>
              <w:t>/</w:t>
            </w:r>
            <w:r>
              <w:rPr>
                <w:rFonts w:ascii="Arial" w:cs="Arial" w:eastAsia="Arial" w:hAnsi="Arial"/>
                <w:sz w:val="7"/>
                <w:szCs w:val="7"/>
                <w:color w:val="auto"/>
              </w:rPr>
              <w:t>3</w:t>
            </w:r>
            <w:r>
              <w:rPr>
                <w:rFonts w:ascii="Arial" w:cs="Arial" w:eastAsia="Arial" w:hAnsi="Arial"/>
                <w:sz w:val="10"/>
                <w:szCs w:val="10"/>
                <w:color w:val="auto"/>
              </w:rPr>
              <w:t xml:space="preserve"> par value, 1,200,000,000 shares authorized, 297,960,718 shares issued and outstanding (298,652,994 on October 30, 2010)</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49,661</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49,777</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Capital in excess of par value</w:t>
            </w:r>
          </w:p>
        </w:tc>
        <w:tc>
          <w:tcPr>
            <w:tcW w:w="1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289,587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286,969</w:t>
            </w: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Retained earnings</w:t>
            </w:r>
          </w:p>
        </w:tc>
        <w:tc>
          <w:tcPr>
            <w:tcW w:w="1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3,482,334</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2,896,566</w:t>
            </w:r>
          </w:p>
        </w:tc>
      </w:tr>
      <w:tr>
        <w:trPr>
          <w:trHeight w:val="108"/>
        </w:trPr>
        <w:tc>
          <w:tcPr>
            <w:tcW w:w="830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Accumulated other comprehensive loss</w:t>
            </w:r>
          </w:p>
        </w:tc>
        <w:tc>
          <w:tcPr>
            <w:tcW w:w="160" w:type="dxa"/>
            <w:vAlign w:val="bottom"/>
          </w:tcPr>
          <w:p>
            <w:pPr>
              <w:spacing w:after="0"/>
              <w:rPr>
                <w:sz w:val="9"/>
                <w:szCs w:val="9"/>
                <w:color w:val="auto"/>
              </w:rPr>
            </w:pPr>
          </w:p>
        </w:tc>
        <w:tc>
          <w:tcPr>
            <w:tcW w:w="74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(26,169)</w:t>
            </w:r>
          </w:p>
        </w:tc>
        <w:tc>
          <w:tcPr>
            <w:tcW w:w="140" w:type="dxa"/>
            <w:vAlign w:val="bottom"/>
          </w:tcPr>
          <w:p>
            <w:pPr>
              <w:spacing w:after="0"/>
              <w:rPr>
                <w:sz w:val="9"/>
                <w:szCs w:val="9"/>
                <w:color w:val="auto"/>
              </w:rPr>
            </w:pPr>
          </w:p>
        </w:tc>
        <w:tc>
          <w:tcPr>
            <w:tcW w:w="6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(33,595)</w:t>
            </w:r>
          </w:p>
        </w:tc>
      </w:tr>
      <w:tr>
        <w:trPr>
          <w:trHeight w:val="20"/>
        </w:trPr>
        <w:tc>
          <w:tcPr>
            <w:tcW w:w="13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3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shareholders’ equity</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3,795,413</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3,199,717</w:t>
            </w:r>
          </w:p>
        </w:tc>
      </w:tr>
      <w:tr>
        <w:trPr>
          <w:trHeight w:val="117"/>
        </w:trPr>
        <w:tc>
          <w:tcPr>
            <w:tcW w:w="13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5,277,635</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4,328,831</w:t>
            </w:r>
          </w:p>
        </w:tc>
        <w:tc>
          <w:tcPr>
            <w:tcW w:w="100" w:type="dxa"/>
            <w:vAlign w:val="bottom"/>
          </w:tcPr>
          <w:p>
            <w:pPr>
              <w:spacing w:after="0"/>
              <w:rPr>
                <w:sz w:val="10"/>
                <w:szCs w:val="10"/>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4320" w:right="3320" w:hanging="4259"/>
        <w:spacing w:after="0" w:line="355" w:lineRule="auto"/>
        <w:tabs>
          <w:tab w:leader="none" w:pos="314"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$2,431 and $2,534 related to stock-based compensation at October 29, 2011 and October 30, 2010, respectively. See accompanying Notes.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7" w:name="page48"/>
    <w:bookmarkEnd w:id="47"/>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040"/>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29, 2011, October 30, 2010 and October 31,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7"/>
              </w:rPr>
              <w:t>Capital 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2020" w:type="dxa"/>
            <w:vAlign w:val="bottom"/>
            <w:gridSpan w:val="5"/>
            <w:vMerge w:val="restart"/>
          </w:tcPr>
          <w:p>
            <w:pPr>
              <w:jc w:val="right"/>
              <w:ind w:right="86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Excess of</w:t>
            </w:r>
          </w:p>
        </w:tc>
        <w:tc>
          <w:tcPr>
            <w:tcW w:w="14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Comprehensive</w:t>
            </w:r>
          </w:p>
        </w:tc>
        <w:tc>
          <w:tcPr>
            <w:tcW w:w="0" w:type="dxa"/>
            <w:vAlign w:val="bottom"/>
          </w:tcPr>
          <w:p>
            <w:pPr>
              <w:spacing w:after="0"/>
              <w:rPr>
                <w:sz w:val="1"/>
                <w:szCs w:val="1"/>
                <w:color w:val="auto"/>
              </w:rPr>
            </w:pPr>
          </w:p>
        </w:tc>
      </w:tr>
      <w:tr>
        <w:trPr>
          <w:trHeight w:val="98"/>
        </w:trPr>
        <w:tc>
          <w:tcPr>
            <w:tcW w:w="4600" w:type="dxa"/>
            <w:vAlign w:val="bottom"/>
          </w:tcPr>
          <w:p>
            <w:pPr>
              <w:spacing w:after="0" w:line="98" w:lineRule="exact"/>
              <w:rPr>
                <w:sz w:val="20"/>
                <w:szCs w:val="20"/>
                <w:color w:val="auto"/>
              </w:rPr>
            </w:pPr>
            <w:r>
              <w:rPr>
                <w:rFonts w:ascii="Arial" w:cs="Arial" w:eastAsia="Arial" w:hAnsi="Arial"/>
                <w:sz w:val="10"/>
                <w:szCs w:val="10"/>
                <w:b w:val="1"/>
                <w:bCs w:val="1"/>
                <w:color w:val="auto"/>
              </w:rPr>
              <w:t>(thousands)</w:t>
            </w:r>
          </w:p>
        </w:tc>
        <w:tc>
          <w:tcPr>
            <w:tcW w:w="1020" w:type="dxa"/>
            <w:vAlign w:val="bottom"/>
            <w:tcBorders>
              <w:top w:val="single" w:sz="8" w:color="auto"/>
            </w:tcBorders>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500"/>
              <w:spacing w:after="0" w:line="98" w:lineRule="exact"/>
              <w:rPr>
                <w:sz w:val="20"/>
                <w:szCs w:val="20"/>
                <w:color w:val="auto"/>
              </w:rPr>
            </w:pPr>
            <w:r>
              <w:rPr>
                <w:rFonts w:ascii="Arial" w:cs="Arial" w:eastAsia="Arial" w:hAnsi="Arial"/>
                <w:sz w:val="10"/>
                <w:szCs w:val="10"/>
                <w:b w:val="1"/>
                <w:bCs w:val="1"/>
                <w:color w:val="auto"/>
                <w:w w:val="96"/>
              </w:rPr>
              <w:t>Par Value</w:t>
            </w:r>
          </w:p>
        </w:tc>
        <w:tc>
          <w:tcPr>
            <w:tcW w:w="140" w:type="dxa"/>
            <w:vAlign w:val="bottom"/>
          </w:tcPr>
          <w:p>
            <w:pPr>
              <w:spacing w:after="0"/>
              <w:rPr>
                <w:sz w:val="8"/>
                <w:szCs w:val="8"/>
                <w:color w:val="auto"/>
              </w:rPr>
            </w:pPr>
          </w:p>
        </w:tc>
        <w:tc>
          <w:tcPr>
            <w:tcW w:w="1060" w:type="dxa"/>
            <w:vAlign w:val="bottom"/>
            <w:gridSpan w:val="2"/>
          </w:tcPr>
          <w:p>
            <w:pPr>
              <w:jc w:val="right"/>
              <w:ind w:right="600"/>
              <w:spacing w:after="0" w:line="98"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1"/>
              </w:rPr>
              <w:t>(Loss) Income</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NOVEMBER 1, 2008</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48,533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2,419,908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(48,178)</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b w:val="1"/>
                <w:bCs w:val="1"/>
                <w:color w:val="auto"/>
              </w:rPr>
              <w:t>Activity in Fiscal 2009</w:t>
            </w: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Change in defined benefit plan measurement date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 2009</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247,772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(232,988)</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12,235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Tax deficit— stock options</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(810)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48,613</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37,930</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(3,732)</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OCTOBER 31, 2009</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291,862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48,645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56,306</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2,434,446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(10,248)</w:t>
            </w: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Arial" w:cs="Arial" w:eastAsia="Arial" w:hAnsi="Arial"/>
                <w:sz w:val="13"/>
                <w:szCs w:val="13"/>
                <w:b w:val="1"/>
                <w:bCs w:val="1"/>
                <w:color w:val="auto"/>
              </w:rPr>
              <w:t>Activity in Fiscal 2010</w:t>
            </w: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 — 2010</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712,084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(249,964)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8,066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214,803</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Tax benefit — stock options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3,744</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51,752</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(23,347)</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(39,636)</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BALANCE, OCTOBER 30, 2010</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vMerge w:val="continue"/>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298,653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49,777</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286,969</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2,896,566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(33,595)</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Activity in Fiscal 2011</w:t>
            </w: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 2011</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867,394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and paid</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(281,626)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Issuance of stock under stock plans and other, net of repurchases</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8,316</w:t>
            </w: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215,779</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Tax benefit — stock options</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63,236</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52,358</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7,426</w:t>
            </w:r>
          </w:p>
        </w:tc>
        <w:tc>
          <w:tcPr>
            <w:tcW w:w="0" w:type="dxa"/>
            <w:vAlign w:val="bottom"/>
          </w:tcPr>
          <w:p>
            <w:pPr>
              <w:spacing w:after="0"/>
              <w:rPr>
                <w:sz w:val="1"/>
                <w:szCs w:val="1"/>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Common stock repurchased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(9,008)</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(1,501)</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(328,755)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OCTOBER 29, 2011</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297,961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49,661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289,587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3,482,334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(26,169)</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48" w:name="page49"/>
    <w:bookmarkEnd w:id="48"/>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auto"/>
        </w:rPr>
        <w:t>CONSOLIDATED STATEMENTS OF COMPREHENSIVE INCOME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29, 2011, October 30, 2010 and October 31,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860,894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247,408</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(647)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6,085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14,840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tcPr>
          <w:p>
            <w:pPr>
              <w:ind w:left="140"/>
              <w:spacing w:after="0" w:line="149" w:lineRule="exact"/>
              <w:rPr>
                <w:sz w:val="20"/>
                <w:szCs w:val="20"/>
                <w:color w:val="auto"/>
              </w:rPr>
            </w:pPr>
            <w:r>
              <w:rPr>
                <w:rFonts w:ascii="Arial" w:cs="Arial" w:eastAsia="Arial" w:hAnsi="Arial"/>
                <w:sz w:val="13"/>
                <w:szCs w:val="13"/>
                <w:color w:val="auto"/>
                <w:w w:val="98"/>
              </w:rPr>
              <w:t>Net unrealized holding (losses) (net of taxes of $67 in 2011, $6 in 2010 and $347 in 2009) on available-for-sale securities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0" w:type="dxa"/>
            <w:vAlign w:val="bottom"/>
          </w:tcPr>
          <w:p>
            <w:pPr>
              <w:ind w:left="280"/>
              <w:spacing w:after="0"/>
              <w:rPr>
                <w:sz w:val="20"/>
                <w:szCs w:val="20"/>
                <w:color w:val="auto"/>
              </w:rPr>
            </w:pPr>
            <w:r>
              <w:rPr>
                <w:rFonts w:ascii="Arial" w:cs="Arial" w:eastAsia="Arial" w:hAnsi="Arial"/>
                <w:sz w:val="13"/>
                <w:szCs w:val="13"/>
                <w:color w:val="auto"/>
              </w:rPr>
              <w:t>classified as short-term investments</w:t>
            </w:r>
          </w:p>
        </w:tc>
        <w:tc>
          <w:tcPr>
            <w:tcW w:w="16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(459)</w:t>
            </w: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(2,456)</w:t>
            </w:r>
          </w:p>
        </w:tc>
        <w:tc>
          <w:tcPr>
            <w:tcW w:w="0" w:type="dxa"/>
            <w:vAlign w:val="bottom"/>
          </w:tcPr>
          <w:p>
            <w:pPr>
              <w:spacing w:after="0"/>
              <w:rPr>
                <w:sz w:val="1"/>
                <w:szCs w:val="1"/>
                <w:color w:val="auto"/>
              </w:rPr>
            </w:pPr>
          </w:p>
        </w:tc>
      </w:tr>
      <w:tr>
        <w:trPr>
          <w:trHeight w:val="149"/>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Net unrealized holding (losses) gains (net of taxes of $64 in 2011, $175 in 2010 and $197 in 2009) on securities classified as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investments</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unrealized (losses) gains on securities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(577)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(2,090)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Derivative instruments designated as cash flow hedges: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Changes in fair value of derivatives (net of taxes of $539 in 2011, $449 in 2010 and $2,278 in 2009)</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3,347</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(1,339)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16,215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 loss reclassification (net of taxes of $1,171 in 2011, $458 in 2010 and $1,609 in 2009)</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(7,793)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9,657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change in derivative instruments designated as cash flow hedges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(4,446)</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524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25,872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(loss) — pension plans: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Transition asset (obligation) (net of taxes of $1 in 2011, $34 in 2010 and $1 in 2009)</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actuarial gain (loss) (net of taxes of $1,770 in 2011, $4,594 in 2010 and $287 in 2009)</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13,084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(30,151)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Net prior service income (net of taxes of $0 in 2011, $0 in 2010 and $1 in 2009)</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70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4"/>
              </w:rPr>
              <w:t>Net change in accumulated other comprehensive income (loss) — pension plans (net of taxes of $1,771 in 2011, $4,560 in 2010</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$286 in 2009)</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13,096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(30,231)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7,426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(23,347)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37,930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 from continuing operations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868,320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687,878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285,338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859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874,820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688,737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285,702</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9" w:name="page50"/>
    <w:bookmarkEnd w:id="49"/>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Years ended October 29, 2011 October 30, 2010 and October 31,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1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2010</w:t>
            </w: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Operations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867,394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712,084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247,772</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Adjustments to reconcile net income to net cash provided by operations: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116,873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116,083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132,493</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Amortization of intangibles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1,346</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4,828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7,377</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52,358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51,752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48,613</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Gain on sale of business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(6,500)</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(859)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portion of special charges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15,468</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Other non-cash activity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833</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1,662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1,663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(44,936)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1,704</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(9,866)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11,595</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operating assets and liabilities: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accounts receivable</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40,025</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(82,380)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16,561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inventories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(17,603)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(24,274)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67,347</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prepaid expenses and other current assets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822</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(4,002)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deferred compensation plan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(17,720)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(747)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24,097</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in prepaid income tax</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(16,681)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increase in accounts payable, deferred income and accrued liabilities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(90,323)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190,043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(100,064)</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Increase (decrease) in deferred compensation plan liability</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17,738</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(24,801)</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 payments related to gain on sale of businesses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(4,105)</w:t>
            </w:r>
          </w:p>
        </w:tc>
        <w:tc>
          <w:tcPr>
            <w:tcW w:w="0" w:type="dxa"/>
            <w:vAlign w:val="bottom"/>
          </w:tcPr>
          <w:p>
            <w:pPr>
              <w:spacing w:after="0"/>
              <w:rPr>
                <w:sz w:val="1"/>
                <w:szCs w:val="1"/>
                <w:color w:val="auto"/>
              </w:rPr>
            </w:pPr>
          </w:p>
        </w:tc>
      </w:tr>
      <w:tr>
        <w:trPr>
          <w:trHeight w:val="147"/>
        </w:trPr>
        <w:tc>
          <w:tcPr>
            <w:tcW w:w="7100" w:type="dxa"/>
            <w:vAlign w:val="bottom"/>
          </w:tcPr>
          <w:p>
            <w:pPr>
              <w:ind w:left="240"/>
              <w:spacing w:after="0"/>
              <w:rPr>
                <w:sz w:val="20"/>
                <w:szCs w:val="20"/>
                <w:color w:val="auto"/>
              </w:rPr>
            </w:pPr>
            <w:r>
              <w:rPr>
                <w:rFonts w:ascii="Arial" w:cs="Arial" w:eastAsia="Arial" w:hAnsi="Arial"/>
                <w:sz w:val="12"/>
                <w:szCs w:val="12"/>
                <w:color w:val="auto"/>
              </w:rPr>
              <w:t>(Decrease) increase in income taxes payable</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893</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61,984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(24,909)</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(Decrease) increase in other liabilities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(5,694)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(26,053)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12,330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20"/>
              <w:spacing w:after="0"/>
              <w:rPr>
                <w:sz w:val="20"/>
                <w:szCs w:val="20"/>
                <w:color w:val="auto"/>
              </w:rPr>
            </w:pPr>
            <w:r>
              <w:rPr>
                <w:rFonts w:ascii="Arial" w:cs="Arial" w:eastAsia="Arial" w:hAnsi="Arial"/>
                <w:sz w:val="12"/>
                <w:szCs w:val="12"/>
                <w:color w:val="auto"/>
              </w:rPr>
              <w:t>Total adjustments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33,135</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279,091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184,376</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900,529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991,175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432,148</w:t>
            </w:r>
          </w:p>
        </w:tc>
        <w:tc>
          <w:tcPr>
            <w:tcW w:w="0" w:type="dxa"/>
            <w:vAlign w:val="bottom"/>
          </w:tcPr>
          <w:p>
            <w:pPr>
              <w:spacing w:after="0"/>
              <w:rPr>
                <w:sz w:val="1"/>
                <w:szCs w:val="1"/>
                <w:color w:val="auto"/>
              </w:rPr>
            </w:pPr>
          </w:p>
        </w:tc>
      </w:tr>
      <w:tr>
        <w:trPr>
          <w:trHeight w:val="144"/>
        </w:trPr>
        <w:tc>
          <w:tcPr>
            <w:tcW w:w="710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Purchases of short-term available-for-sale investments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(4,289,304)</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(3,478,025)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(2,812,094)</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Maturities of short-term available-for-sale investments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3,436,284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2,801,727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2,274,254</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Sales of short-term available-for-sale investments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282,861</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234,718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74,880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to property, plant and equipment, net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(122,996)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(111,557)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(56,095)</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Net proceeds (expenditures) related to sale of businesses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10,000</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63,036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(1,653)</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for acquisitions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(13,988)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(8,360)</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(Increase) decrease in other assets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(6,595)</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4,276</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(5,661)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for investing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(703,738)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(485,825)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(534,729)</w:t>
            </w:r>
          </w:p>
        </w:tc>
        <w:tc>
          <w:tcPr>
            <w:tcW w:w="0" w:type="dxa"/>
            <w:vAlign w:val="bottom"/>
          </w:tcPr>
          <w:p>
            <w:pPr>
              <w:spacing w:after="0"/>
              <w:rPr>
                <w:sz w:val="1"/>
                <w:szCs w:val="1"/>
                <w:color w:val="auto"/>
              </w:rPr>
            </w:pPr>
          </w:p>
        </w:tc>
      </w:tr>
      <w:tr>
        <w:trPr>
          <w:trHeight w:val="144"/>
        </w:trPr>
        <w:tc>
          <w:tcPr>
            <w:tcW w:w="710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Proceeds from long-term debt</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515,507</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370,350</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Term loan repayments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(28,392)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Dividend payments to shareholders</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(281,626)</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(249,964)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(232,988)</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(330,256)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(39,848)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(3,762)</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Net proceeds from employee stock plans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217,164</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216,147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12,377</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in other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100" w:type="dxa"/>
            <w:vAlign w:val="bottom"/>
          </w:tcPr>
          <w:p>
            <w:pPr>
              <w:ind w:left="120"/>
              <w:spacing w:after="0"/>
              <w:rPr>
                <w:sz w:val="20"/>
                <w:szCs w:val="20"/>
                <w:color w:val="auto"/>
              </w:rPr>
            </w:pPr>
            <w:r>
              <w:rPr>
                <w:rFonts w:ascii="Arial" w:cs="Arial" w:eastAsia="Arial" w:hAnsi="Arial"/>
                <w:sz w:val="12"/>
                <w:szCs w:val="12"/>
                <w:color w:val="auto"/>
              </w:rPr>
              <w:t>Excess tax benefit — stock options</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44,936</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317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for) financing activities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138,612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(72,638)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145,997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20"/>
              <w:spacing w:after="0"/>
              <w:rPr>
                <w:sz w:val="20"/>
                <w:szCs w:val="20"/>
                <w:color w:val="auto"/>
              </w:rPr>
            </w:pPr>
            <w:r>
              <w:rPr>
                <w:rFonts w:ascii="Arial" w:cs="Arial" w:eastAsia="Arial" w:hAnsi="Arial"/>
                <w:sz w:val="12"/>
                <w:szCs w:val="12"/>
                <w:color w:val="auto"/>
              </w:rPr>
              <w:t>Effect of exchange rate changes on cash</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(303)</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(2,441)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2,714</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increase in cash and cash equivalents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335,100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430,271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46,130</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1,070,000</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639,729</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593,599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1,405,100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1,070,000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639,729</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0" w:name="page51"/>
    <w:bookmarkEnd w:id="50"/>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October 29, 2011, October 30, 2010 and October 31, 2009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(all tabular amounts in thousands except per share amounts)</w:t>
      </w:r>
    </w:p>
    <w:p>
      <w:pPr>
        <w:spacing w:after="0" w:line="163"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firstLine="399"/>
        <w:spacing w:after="0" w:line="310" w:lineRule="auto"/>
        <w:rPr>
          <w:sz w:val="20"/>
          <w:szCs w:val="20"/>
          <w:color w:val="auto"/>
        </w:rPr>
      </w:pPr>
      <w:r>
        <w:rPr>
          <w:rFonts w:ascii="Arial" w:cs="Arial" w:eastAsia="Arial" w:hAnsi="Arial"/>
          <w:sz w:val="11"/>
          <w:szCs w:val="11"/>
          <w:color w:val="auto"/>
        </w:rPr>
        <w:t>Analog Devices, Inc. (“Analog Devices” or the “Company”) is a world leader in the design, manufacture and marketing of a broad portfolio of high-performance analog, mixed-signal and digital signal processing integrated circuits (ICs) used in virtually all types of electronic equipment. Since the Company’s inception in 1965, it has focused on solving the engineering challenges associated with signal processing in electronic equipment. The Company’s signal processing products play a fundamental role in converting, conditioning, and processing real-world phenomena such as temperature, pressure, sound, light, speed and motion into electrical signals to be used in a wide array of electronic devices. As new generations of digital applications evolve, new needs for high-performance analog signal processing and digital signal processing (DSP) technology are generated. As a result, the Company produces a wide range of innovative products — including data converters, amplifiers and linear products, radio frequency (RF) ICs, power management products, sensors based on micro-electro mechanical systems (MEMS) technology and other sensors, and processing products, including DSP and other processors — that are designed to meet the needs of a broad base of customers.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Company’s products are embedded inside many types of electronic equipment including: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00" w:type="dxa"/>
            <w:vAlign w:val="bottom"/>
            <w:gridSpan w:val="2"/>
          </w:tcPr>
          <w:p>
            <w:pPr>
              <w:spacing w:after="0"/>
              <w:rPr>
                <w:sz w:val="20"/>
                <w:szCs w:val="20"/>
                <w:color w:val="auto"/>
              </w:rPr>
            </w:pPr>
            <w:r>
              <w:rPr>
                <w:rFonts w:ascii="Arial" w:cs="Arial" w:eastAsia="Arial" w:hAnsi="Arial"/>
                <w:sz w:val="13"/>
                <w:szCs w:val="13"/>
                <w:color w:val="auto"/>
              </w:rPr>
              <w:t>•  Industrial process control systems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Medical imaging equipment</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700" w:type="dxa"/>
            <w:vAlign w:val="bottom"/>
          </w:tcPr>
          <w:p>
            <w:pPr>
              <w:ind w:left="60"/>
              <w:spacing w:after="0"/>
              <w:rPr>
                <w:sz w:val="20"/>
                <w:szCs w:val="20"/>
                <w:color w:val="auto"/>
              </w:rPr>
            </w:pPr>
            <w:r>
              <w:rPr>
                <w:rFonts w:ascii="Arial" w:cs="Arial" w:eastAsia="Arial" w:hAnsi="Arial"/>
                <w:sz w:val="13"/>
                <w:szCs w:val="13"/>
                <w:color w:val="auto"/>
              </w:rPr>
              <w:t>Factory automation systems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Patient monitoring devices</w:t>
            </w:r>
          </w:p>
        </w:tc>
      </w:tr>
      <w:tr>
        <w:trPr>
          <w:trHeight w:val="157"/>
        </w:trPr>
        <w:tc>
          <w:tcPr>
            <w:tcW w:w="3800" w:type="dxa"/>
            <w:vAlign w:val="bottom"/>
            <w:gridSpan w:val="2"/>
          </w:tcPr>
          <w:p>
            <w:pPr>
              <w:spacing w:after="0"/>
              <w:rPr>
                <w:sz w:val="20"/>
                <w:szCs w:val="20"/>
                <w:color w:val="auto"/>
              </w:rPr>
            </w:pPr>
            <w:r>
              <w:rPr>
                <w:rFonts w:ascii="Arial" w:cs="Arial" w:eastAsia="Arial" w:hAnsi="Arial"/>
                <w:sz w:val="13"/>
                <w:szCs w:val="13"/>
                <w:color w:val="auto"/>
              </w:rPr>
              <w:t>•  Instrumentation and measurement systems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w w:val="90"/>
              </w:rPr>
              <w:t>Wireless infrastructure equipment</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700" w:type="dxa"/>
            <w:vAlign w:val="bottom"/>
          </w:tcPr>
          <w:p>
            <w:pPr>
              <w:ind w:left="60"/>
              <w:spacing w:after="0"/>
              <w:rPr>
                <w:sz w:val="20"/>
                <w:szCs w:val="20"/>
                <w:color w:val="auto"/>
              </w:rPr>
            </w:pPr>
            <w:r>
              <w:rPr>
                <w:rFonts w:ascii="Arial" w:cs="Arial" w:eastAsia="Arial" w:hAnsi="Arial"/>
                <w:sz w:val="13"/>
                <w:szCs w:val="13"/>
                <w:color w:val="auto"/>
              </w:rPr>
              <w:t>Energy management systems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Networking equipment</w:t>
            </w:r>
          </w:p>
        </w:tc>
      </w:tr>
      <w:tr>
        <w:trPr>
          <w:trHeight w:val="157"/>
        </w:trPr>
        <w:tc>
          <w:tcPr>
            <w:tcW w:w="3800" w:type="dxa"/>
            <w:vAlign w:val="bottom"/>
            <w:gridSpan w:val="2"/>
          </w:tcPr>
          <w:p>
            <w:pPr>
              <w:spacing w:after="0"/>
              <w:rPr>
                <w:sz w:val="20"/>
                <w:szCs w:val="20"/>
                <w:color w:val="auto"/>
              </w:rPr>
            </w:pPr>
            <w:r>
              <w:rPr>
                <w:rFonts w:ascii="Arial" w:cs="Arial" w:eastAsia="Arial" w:hAnsi="Arial"/>
                <w:sz w:val="13"/>
                <w:szCs w:val="13"/>
                <w:color w:val="auto"/>
              </w:rPr>
              <w:t>•  Aerospace and defense electronics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Optical systems</w:t>
            </w:r>
          </w:p>
        </w:tc>
      </w:tr>
      <w:tr>
        <w:trPr>
          <w:trHeight w:val="157"/>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700" w:type="dxa"/>
            <w:vAlign w:val="bottom"/>
          </w:tcPr>
          <w:p>
            <w:pPr>
              <w:ind w:left="40"/>
              <w:spacing w:after="0"/>
              <w:rPr>
                <w:sz w:val="20"/>
                <w:szCs w:val="20"/>
                <w:color w:val="auto"/>
              </w:rPr>
            </w:pPr>
            <w:r>
              <w:rPr>
                <w:rFonts w:ascii="Arial" w:cs="Arial" w:eastAsia="Arial" w:hAnsi="Arial"/>
                <w:sz w:val="13"/>
                <w:szCs w:val="13"/>
                <w:color w:val="auto"/>
              </w:rPr>
              <w:t>Automobiles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Digital cameras</w:t>
            </w:r>
          </w:p>
        </w:tc>
      </w:tr>
      <w:tr>
        <w:trPr>
          <w:trHeight w:val="165"/>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700" w:type="dxa"/>
            <w:vAlign w:val="bottom"/>
          </w:tcPr>
          <w:p>
            <w:pPr>
              <w:ind w:left="60"/>
              <w:spacing w:after="0"/>
              <w:rPr>
                <w:sz w:val="20"/>
                <w:szCs w:val="20"/>
                <w:color w:val="auto"/>
              </w:rPr>
            </w:pPr>
            <w:r>
              <w:rPr>
                <w:rFonts w:ascii="Arial" w:cs="Arial" w:eastAsia="Arial" w:hAnsi="Arial"/>
                <w:sz w:val="13"/>
                <w:szCs w:val="13"/>
                <w:color w:val="auto"/>
              </w:rPr>
              <w:t>Digital televisions</w:t>
            </w:r>
          </w:p>
        </w:tc>
        <w:tc>
          <w:tcPr>
            <w:tcW w:w="1500" w:type="dxa"/>
            <w:vAlign w:val="bottom"/>
          </w:tcPr>
          <w:p>
            <w:pPr>
              <w:ind w:left="14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Portable electronic devices</w:t>
            </w:r>
          </w:p>
        </w:tc>
      </w:tr>
    </w:tbl>
    <w:p>
      <w:pPr>
        <w:spacing w:after="0" w:line="156"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fiscal 2011 presentation. Such reclassified amounts were immaterial. The Company’s fiscal year is the 52-week or 53-week period ending on the Saturday closest to the last day in October. Fiscal years 2011, 2010 and 2009 were 52-week periods.</w:t>
      </w:r>
    </w:p>
    <w:p>
      <w:pPr>
        <w:spacing w:after="0" w:line="50"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historical results of operations of these businesses have been segregated from the Company’s consolidated financial statements and are included in income from discontinued operations, net of tax, in the consolidated statements of income.</w:t>
      </w:r>
    </w:p>
    <w:p>
      <w:pPr>
        <w:spacing w:after="0" w:line="132"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Cash Equivalents and Short-term Investments</w:t>
      </w:r>
    </w:p>
    <w:p>
      <w:pPr>
        <w:spacing w:after="0" w:line="96" w:lineRule="exact"/>
        <w:rPr>
          <w:sz w:val="20"/>
          <w:szCs w:val="20"/>
          <w:color w:val="auto"/>
        </w:rPr>
      </w:pPr>
    </w:p>
    <w:p>
      <w:pPr>
        <w:ind w:right="220" w:firstLine="399"/>
        <w:spacing w:after="0" w:line="371" w:lineRule="auto"/>
        <w:rPr>
          <w:sz w:val="20"/>
          <w:szCs w:val="20"/>
          <w:color w:val="auto"/>
        </w:rPr>
      </w:pPr>
      <w:r>
        <w:rPr>
          <w:rFonts w:ascii="Arial" w:cs="Arial" w:eastAsia="Arial" w:hAnsi="Arial"/>
          <w:sz w:val="11"/>
          <w:szCs w:val="11"/>
          <w:color w:val="auto"/>
        </w:rPr>
        <w:t>Cash and cash equivalents are highly liquid investments with insignificant interest rate risk and maturities of three months or less at the time of acquisition. Cash, cash equivalents and short-term investments consist primarily of institutional money market funds and corporate obligations such as commercial paper and bonds. They also include bank time deposits.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and short-term investments are classified as available-for-sale. Available-for-sale securities are carried at fair value with unrealized gains and losses, net of related tax, reported in accumulated other comprehensive (loss) income.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Company’s deferred compensation plan investments are classified as trading. See Note 7 for additional information on the Company’s deferred compensation plan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There were no cash equivalents or short-term investments classified as trading at October 29, 2011 or October 30, 2010.</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Company periodically evaluates its investments for impairment. There were no other-than-temporary impairments of short-term investments in any of the fiscal years presented.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Realized gains or losses recognized in nonoperating income from the sales of available-for-sale securities were not material during any of the fiscal years presented.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Unrealized gains and losses on available-for-sale securities classified as short-term investments at October 29, 2011 and October 30, 2010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7"/>
              <w:spacing w:after="0"/>
              <w:rPr>
                <w:sz w:val="20"/>
                <w:szCs w:val="20"/>
                <w:color w:val="auto"/>
              </w:rPr>
            </w:pPr>
            <w:r>
              <w:rPr>
                <w:rFonts w:ascii="Arial" w:cs="Arial" w:eastAsia="Arial" w:hAnsi="Arial"/>
                <w:sz w:val="10"/>
                <w:szCs w:val="10"/>
                <w:b w:val="1"/>
                <w:bCs w:val="1"/>
                <w:color w:val="auto"/>
                <w:w w:val="89"/>
              </w:rPr>
              <w:t>2011</w:t>
            </w:r>
          </w:p>
        </w:tc>
        <w:tc>
          <w:tcPr>
            <w:tcW w:w="160" w:type="dxa"/>
            <w:vAlign w:val="bottom"/>
          </w:tcPr>
          <w:p>
            <w:pPr>
              <w:spacing w:after="0"/>
              <w:rPr>
                <w:sz w:val="10"/>
                <w:szCs w:val="10"/>
                <w:color w:val="auto"/>
              </w:rPr>
            </w:pPr>
          </w:p>
        </w:tc>
        <w:tc>
          <w:tcPr>
            <w:tcW w:w="620" w:type="dxa"/>
            <w:vAlign w:val="bottom"/>
            <w:gridSpan w:val="3"/>
          </w:tcPr>
          <w:p>
            <w:pPr>
              <w:jc w:val="right"/>
              <w:ind w:right="14"/>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on securities classified as short-term investments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22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Unrealized losses on securities classified as short-term investments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71"/>
              <w:spacing w:after="0"/>
              <w:rPr>
                <w:sz w:val="20"/>
                <w:szCs w:val="20"/>
                <w:color w:val="auto"/>
              </w:rPr>
            </w:pPr>
            <w:r>
              <w:rPr>
                <w:rFonts w:ascii="Arial" w:cs="Arial" w:eastAsia="Arial" w:hAnsi="Arial"/>
                <w:sz w:val="13"/>
                <w:szCs w:val="13"/>
                <w:color w:val="auto"/>
              </w:rPr>
              <w:t>(600)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(217)</w:t>
            </w:r>
          </w:p>
        </w:tc>
      </w:tr>
      <w:tr>
        <w:trPr>
          <w:trHeight w:val="20"/>
        </w:trPr>
        <w:tc>
          <w:tcPr>
            <w:tcW w:w="7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losses on securities classified as short-term investments</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(578)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Unrealized gains and losses in fiscal years 2011 and 2010 relate to corporate obligations.</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780" w:type="dxa"/>
            <w:vAlign w:val="bottom"/>
            <w:gridSpan w:val="4"/>
          </w:tcPr>
          <w:p>
            <w:pPr>
              <w:ind w:left="400"/>
              <w:spacing w:after="0"/>
              <w:rPr>
                <w:sz w:val="20"/>
                <w:szCs w:val="20"/>
                <w:color w:val="auto"/>
              </w:rPr>
            </w:pPr>
            <w:r>
              <w:rPr>
                <w:rFonts w:ascii="Arial" w:cs="Arial" w:eastAsia="Arial" w:hAnsi="Arial"/>
                <w:sz w:val="13"/>
                <w:szCs w:val="13"/>
                <w:color w:val="auto"/>
                <w:w w:val="94"/>
              </w:rPr>
              <w:t>The components of the Company’s cash and cash equivalents and short-term investments as of October 29, 2011 and October 30, 2010 were as follows: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9"/>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Cash</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17,857</w:t>
            </w:r>
          </w:p>
        </w:tc>
        <w:tc>
          <w:tcPr>
            <w:tcW w:w="48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37,460</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1,374,069</w:t>
            </w: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1,020,993</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Held-to-maturity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11,547</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1,405,100</w:t>
            </w:r>
          </w:p>
        </w:tc>
        <w:tc>
          <w:tcPr>
            <w:tcW w:w="8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1,070,000</w:t>
            </w:r>
          </w:p>
        </w:tc>
      </w:tr>
      <w:tr>
        <w:trPr>
          <w:trHeight w:val="166"/>
        </w:trPr>
        <w:tc>
          <w:tcPr>
            <w:tcW w:w="7900" w:type="dxa"/>
            <w:vAlign w:val="bottom"/>
          </w:tcPr>
          <w:p>
            <w:pPr>
              <w:spacing w:after="0"/>
              <w:rPr>
                <w:sz w:val="20"/>
                <w:szCs w:val="20"/>
                <w:color w:val="auto"/>
              </w:rPr>
            </w:pPr>
            <w:r>
              <w:rPr>
                <w:rFonts w:ascii="Arial" w:cs="Arial" w:eastAsia="Arial" w:hAnsi="Arial"/>
                <w:sz w:val="13"/>
                <w:szCs w:val="13"/>
                <w:b w:val="1"/>
                <w:bCs w:val="1"/>
                <w:color w:val="auto"/>
              </w:rPr>
              <w:t>Short-term investments:</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2,186,782</w:t>
            </w:r>
          </w:p>
        </w:tc>
        <w:tc>
          <w:tcPr>
            <w:tcW w:w="48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1,587,768</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Held-to-maturity (less than one year to maturity)</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3"/>
                <w:szCs w:val="13"/>
                <w:color w:val="auto"/>
              </w:rPr>
              <w:t>30,000</w:t>
            </w: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short-term investments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2,187,362</w:t>
            </w: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1,617,768</w:t>
            </w:r>
          </w:p>
        </w:tc>
      </w:tr>
      <w:tr>
        <w:trPr>
          <w:trHeight w:val="29"/>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Note 2j for additional information on the Company’s cash equivalents and short-term investments.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Supplemental Cash Flow Statement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2009</w:t>
            </w:r>
          </w:p>
        </w:tc>
      </w:tr>
      <w:tr>
        <w:trPr>
          <w:trHeight w:val="29"/>
        </w:trPr>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fiscal year for:</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7"/>
        </w:trPr>
        <w:tc>
          <w:tcPr>
            <w:tcW w:w="6560" w:type="dxa"/>
            <w:vAlign w:val="bottom"/>
          </w:tcPr>
          <w:p>
            <w:pPr>
              <w:ind w:left="140"/>
              <w:spacing w:after="0"/>
              <w:rPr>
                <w:sz w:val="20"/>
                <w:szCs w:val="20"/>
                <w:color w:val="auto"/>
              </w:rPr>
            </w:pPr>
            <w:r>
              <w:rPr>
                <w:rFonts w:ascii="Arial" w:cs="Arial" w:eastAsia="Arial" w:hAnsi="Arial"/>
                <w:sz w:val="13"/>
                <w:szCs w:val="13"/>
                <w:color w:val="auto"/>
              </w:rPr>
              <w:t>Income taxes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9"/>
              <w:spacing w:after="0"/>
              <w:rPr>
                <w:sz w:val="20"/>
                <w:szCs w:val="20"/>
                <w:color w:val="auto"/>
              </w:rPr>
            </w:pPr>
            <w:r>
              <w:rPr>
                <w:rFonts w:ascii="Arial" w:cs="Arial" w:eastAsia="Arial" w:hAnsi="Arial"/>
                <w:sz w:val="13"/>
                <w:szCs w:val="13"/>
                <w:color w:val="auto"/>
                <w:w w:val="85"/>
              </w:rPr>
              <w:t>223,716</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19"/>
              <w:spacing w:after="0"/>
              <w:rPr>
                <w:sz w:val="20"/>
                <w:szCs w:val="20"/>
                <w:color w:val="auto"/>
              </w:rPr>
            </w:pPr>
            <w:r>
              <w:rPr>
                <w:rFonts w:ascii="Arial" w:cs="Arial" w:eastAsia="Arial" w:hAnsi="Arial"/>
                <w:sz w:val="13"/>
                <w:szCs w:val="13"/>
                <w:color w:val="auto"/>
                <w:w w:val="85"/>
              </w:rPr>
              <w:t>137,149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w w:val="85"/>
              </w:rPr>
              <w:t>60,609</w:t>
            </w:r>
          </w:p>
        </w:tc>
      </w:tr>
      <w:tr>
        <w:trPr>
          <w:trHeight w:val="157"/>
        </w:trPr>
        <w:tc>
          <w:tcPr>
            <w:tcW w:w="6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16,492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9,199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rPr>
              <w:t>2,502</w:t>
            </w:r>
          </w:p>
        </w:tc>
      </w:tr>
    </w:tbl>
    <w:p>
      <w:pPr>
        <w:spacing w:after="0" w:line="158"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Inventories at October 29, 2011 and October 30, 2010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28,085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22,008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170,398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171,390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96,598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84,080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inventories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295,081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277,478</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jc w:val="both"/>
        <w:ind w:right="300" w:firstLine="399"/>
        <w:spacing w:after="0" w:line="296" w:lineRule="auto"/>
        <w:rPr>
          <w:sz w:val="20"/>
          <w:szCs w:val="20"/>
          <w:color w:val="auto"/>
        </w:rPr>
      </w:pPr>
      <w:r>
        <w:rPr>
          <w:rFonts w:ascii="Arial" w:cs="Arial" w:eastAsia="Arial" w:hAnsi="Arial"/>
          <w:sz w:val="12"/>
          <w:szCs w:val="12"/>
          <w:color w:val="auto"/>
        </w:rPr>
        <w:t>Property, plant and equipment is recorded at cost less allowances for depreciation. The straight-line method of depreciation is used for all classes of assets for financial statement purposes while both straight-line and accelerated methods are used for income tax purposes. Leasehold improvements are amortized based upon the lesser of the term of the lease or the useful life of the asset. Repairs and maintenance charges are expensed as incurred. Depreciation and amortization are based on the following useful lives:</w:t>
      </w:r>
    </w:p>
    <w:p>
      <w:pPr>
        <w:sectPr>
          <w:pgSz w:w="11900" w:h="16838" w:orient="portrait"/>
          <w:cols w:equalWidth="0" w:num="1">
            <w:col w:w="9980"/>
          </w:cols>
          <w:pgMar w:left="900" w:top="717" w:right="101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Buildings &amp; building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6335395" cy="996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Machinery &amp; equipment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Up to 25 years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3-8 years</w:t>
      </w:r>
    </w:p>
    <w:p>
      <w:pPr>
        <w:spacing w:after="0" w:line="89" w:lineRule="exact"/>
        <w:rPr>
          <w:sz w:val="20"/>
          <w:szCs w:val="20"/>
          <w:color w:val="auto"/>
        </w:rPr>
      </w:pPr>
    </w:p>
    <w:p>
      <w:pPr>
        <w:sectPr>
          <w:pgSz w:w="11900" w:h="16838" w:orient="portrait"/>
          <w:cols w:equalWidth="0" w:num="2">
            <w:col w:w="7980" w:space="720"/>
            <w:col w:w="1280"/>
          </w:cols>
          <w:pgMar w:left="900" w:top="717" w:right="1019" w:bottom="1440" w:gutter="0" w:footer="0" w:header="0"/>
          <w:type w:val="continuous"/>
        </w:sectPr>
      </w:pPr>
    </w:p>
    <w:p>
      <w:pPr>
        <w:ind w:left="400"/>
        <w:spacing w:after="0"/>
        <w:rPr>
          <w:sz w:val="20"/>
          <w:szCs w:val="20"/>
          <w:color w:val="auto"/>
        </w:rPr>
      </w:pPr>
      <w:r>
        <w:rPr>
          <w:rFonts w:ascii="Arial" w:cs="Arial" w:eastAsia="Arial" w:hAnsi="Arial"/>
          <w:sz w:val="12"/>
          <w:szCs w:val="12"/>
          <w:color w:val="auto"/>
        </w:rPr>
        <w:t>Depreciation expense from continuing operations of property, plant and equipment was $116.9 million, $116.1 million and $132.5 million in fiscal 2011, 2010 and 2009, respectively.</w:t>
      </w:r>
    </w:p>
    <w:p>
      <w:pPr>
        <w:spacing w:after="0" w:line="108"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amortized over the revised useful life.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type w:val="continuous"/>
        </w:sectPr>
      </w:pPr>
    </w:p>
    <w:bookmarkStart w:id="53" w:name="page54"/>
    <w:bookmarkEnd w:id="53"/>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left="680" w:right="800" w:firstLine="399"/>
        <w:spacing w:after="0" w:line="254" w:lineRule="auto"/>
        <w:rPr>
          <w:sz w:val="20"/>
          <w:szCs w:val="20"/>
          <w:color w:val="auto"/>
        </w:rPr>
      </w:pPr>
      <w:r>
        <w:rPr>
          <w:rFonts w:ascii="Arial" w:cs="Arial" w:eastAsia="Arial" w:hAnsi="Arial"/>
          <w:sz w:val="13"/>
          <w:szCs w:val="13"/>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our latest annual impairment assessment that occurred on July 31, 2011,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performed as of the first day of the fourth quarter of fiscal 2012 unless indicators arise that would require the Company to reevaluate at an earlier date. The following table presents the changes in goodwill during fiscal 2011 and 2010:</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255,580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250,881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Acquisition of Lyric Semiconductor (Note 6)</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18,865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4,699</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275,087</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255,580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Intangible Assets</w:t>
      </w:r>
    </w:p>
    <w:p>
      <w:pPr>
        <w:spacing w:after="0" w:line="96"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Indefinite-lived intangible assets are tested for impairment on an annual basis on the first day of the fourth quarter (on or about August 1) or more frequently if indicators of impairment exist. The impairment test involves the comparison of the fair value of the intangible asset with its carrying amount. No impairment of intangible assets resulted in any of the fiscal years presented.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4"/>
          </w:tcPr>
          <w:p>
            <w:pPr>
              <w:ind w:left="460"/>
              <w:spacing w:after="0"/>
              <w:rPr>
                <w:sz w:val="20"/>
                <w:szCs w:val="20"/>
                <w:color w:val="auto"/>
              </w:rPr>
            </w:pPr>
            <w:r>
              <w:rPr>
                <w:rFonts w:ascii="Arial" w:cs="Arial" w:eastAsia="Arial" w:hAnsi="Arial"/>
                <w:sz w:val="10"/>
                <w:szCs w:val="10"/>
                <w:b w:val="1"/>
                <w:bCs w:val="1"/>
                <w:color w:val="auto"/>
              </w:rPr>
              <w:t>October 29, 2011</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0"/>
                <w:szCs w:val="10"/>
                <w:b w:val="1"/>
                <w:bCs w:val="1"/>
                <w:color w:val="auto"/>
              </w:rPr>
              <w:t>October 30, 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90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2"/>
              </w:rPr>
              <w:t>Accumulated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Carrying</w:t>
            </w: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4"/>
              </w:rPr>
              <w:t>Amortization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Technology-based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7,166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Customer relationships</w:t>
            </w: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2,858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2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ind w:left="580"/>
              <w:spacing w:after="0"/>
              <w:rPr>
                <w:sz w:val="20"/>
                <w:szCs w:val="20"/>
                <w:color w:val="auto"/>
              </w:rPr>
            </w:pPr>
            <w:r>
              <w:rPr>
                <w:rFonts w:ascii="Arial" w:cs="Arial" w:eastAsia="Arial" w:hAnsi="Arial"/>
                <w:sz w:val="13"/>
                <w:szCs w:val="13"/>
                <w:color w:val="auto"/>
                <w:w w:val="91"/>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12,200</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10,024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60" w:type="dxa"/>
            <w:vAlign w:val="bottom"/>
          </w:tcPr>
          <w:p>
            <w:pPr>
              <w:jc w:val="right"/>
              <w:ind w:right="774"/>
              <w:spacing w:after="0"/>
              <w:rPr>
                <w:sz w:val="20"/>
                <w:szCs w:val="20"/>
                <w:color w:val="auto"/>
              </w:rPr>
            </w:pPr>
            <w:r>
              <w:rPr>
                <w:rFonts w:ascii="Arial" w:cs="Arial" w:eastAsia="Arial" w:hAnsi="Arial"/>
                <w:sz w:val="13"/>
                <w:szCs w:val="13"/>
                <w:color w:val="auto"/>
              </w:rPr>
              <w:t>53</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life. As of October 29, 2011, finite-lived intangible assets were fully amortized.</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Amortization expense related to intangibles was $1.3 million, $4.8 million and $7.4 million in fiscal 2011, 2010 and 2009, respectively.</w:t>
      </w:r>
    </w:p>
    <w:p>
      <w:pPr>
        <w:spacing w:after="0" w:line="175"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Grant Accounting</w:t>
      </w:r>
    </w:p>
    <w:p>
      <w:pPr>
        <w:spacing w:after="0" w:line="96"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Certain of the Company’s foreign subsidiaries have received grants from governmental agencies.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48"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functional currency for the Company’s foreign sales and research and development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included in other expenses, net, were not material in fiscal 2011, 2010 or 2009.</w:t>
      </w:r>
    </w:p>
    <w:p>
      <w:pPr>
        <w:spacing w:after="0" w:line="148"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Derivative Instruments and Hedging Agreements</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i w:val="1"/>
          <w:iCs w:val="1"/>
          <w:color w:val="auto"/>
        </w:rPr>
        <w:t xml:space="preserve">Foreign Exchange Exposure Management </w:t>
      </w:r>
      <w:r>
        <w:rPr>
          <w:rFonts w:ascii="Arial" w:cs="Arial" w:eastAsia="Arial" w:hAnsi="Arial"/>
          <w:sz w:val="12"/>
          <w:szCs w:val="12"/>
          <w:color w:val="auto"/>
        </w:rPr>
        <w:t>— The Company enters into forward foreign currency exchange contracts to offset certain operational and balance sheet exposures from the</w:t>
      </w:r>
      <w:r>
        <w:rPr>
          <w:rFonts w:ascii="Arial" w:cs="Arial" w:eastAsia="Arial" w:hAnsi="Arial"/>
          <w:sz w:val="12"/>
          <w:szCs w:val="12"/>
          <w:i w:val="1"/>
          <w:iCs w:val="1"/>
          <w:color w:val="auto"/>
        </w:rPr>
        <w:t xml:space="preserve"> </w:t>
      </w:r>
      <w:r>
        <w:rPr>
          <w:rFonts w:ascii="Arial" w:cs="Arial" w:eastAsia="Arial" w:hAnsi="Arial"/>
          <w:sz w:val="12"/>
          <w:szCs w:val="12"/>
          <w:color w:val="auto"/>
        </w:rPr>
        <w:t>impact of changes in foreign currency exchange rates. Such exposures result from the portion of the Company’s operations, assets and liabilities that are denominated in currencies other 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29, 2011 and October 30, 2010, the total notional amount of these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5" w:name="page56"/>
    <w:bookmarkEnd w:id="55"/>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undesignated hedges was $41.2 million and $42.1 million, respectively. The fair value of these hedging instruments in the Company’s consolidated balance sheets as of October 29, 2011 and October 30, 2010 was immaterial.</w:t>
      </w:r>
    </w:p>
    <w:p>
      <w:pPr>
        <w:spacing w:after="0" w:line="59" w:lineRule="exact"/>
        <w:rPr>
          <w:sz w:val="20"/>
          <w:szCs w:val="20"/>
          <w:color w:val="auto"/>
        </w:rPr>
      </w:pPr>
    </w:p>
    <w:p>
      <w:pPr>
        <w:ind w:right="120" w:firstLine="399"/>
        <w:spacing w:after="0" w:line="305" w:lineRule="auto"/>
        <w:rPr>
          <w:sz w:val="20"/>
          <w:szCs w:val="20"/>
          <w:color w:val="auto"/>
        </w:rPr>
      </w:pPr>
      <w:r>
        <w:rPr>
          <w:rFonts w:ascii="Arial" w:cs="Arial" w:eastAsia="Arial" w:hAnsi="Arial"/>
          <w:sz w:val="11"/>
          <w:szCs w:val="11"/>
          <w:i w:val="1"/>
          <w:iCs w:val="1"/>
          <w:color w:val="auto"/>
        </w:rPr>
        <w:t xml:space="preserve">Interest Rate Exposure Management </w:t>
      </w:r>
      <w:r>
        <w:rPr>
          <w:rFonts w:ascii="Arial" w:cs="Arial" w:eastAsia="Arial" w:hAnsi="Arial"/>
          <w:sz w:val="11"/>
          <w:szCs w:val="11"/>
          <w:color w:val="auto"/>
        </w:rPr>
        <w:t>— On June 30, 2009, the Company entered into interest rate swap transactions related to its outstanding 5.0% senior unsecured notes where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swapped the notional amount of its $375 million of fixed rate debt at 5.0% into floating interest rate debt through July 1, 2014. Under the terms of the swaps, the Company will</w:t>
      </w:r>
    </w:p>
    <w:p>
      <w:pPr>
        <w:spacing w:after="0" w:line="1" w:lineRule="exact"/>
        <w:rPr>
          <w:sz w:val="20"/>
          <w:szCs w:val="20"/>
          <w:color w:val="auto"/>
        </w:rPr>
      </w:pPr>
    </w:p>
    <w:p>
      <w:pPr>
        <w:ind w:firstLine="7"/>
        <w:spacing w:after="0" w:line="279" w:lineRule="auto"/>
        <w:tabs>
          <w:tab w:leader="none" w:pos="156"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receive on the $375 million notional amount a 5.0% annual interest payment that is paid in two installments on the 1st of every January and July, commencing January 1, 2010 through and ending on the maturity date; and (ii) pay on the $375 million notional amount an annual three month LIBOR plus 2.05% (2.42% as of October 29, 2011)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fiscal year 2011 and fiscal year 2010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620" w:type="dxa"/>
            <w:vAlign w:val="bottom"/>
            <w:gridSpan w:val="2"/>
          </w:tcPr>
          <w:p>
            <w:pPr>
              <w:spacing w:after="0"/>
              <w:rPr>
                <w:sz w:val="20"/>
                <w:szCs w:val="20"/>
                <w:color w:val="auto"/>
              </w:rPr>
            </w:pPr>
            <w:r>
              <w:rPr>
                <w:rFonts w:ascii="Arial" w:cs="Arial" w:eastAsia="Arial" w:hAnsi="Arial"/>
                <w:sz w:val="9"/>
                <w:szCs w:val="9"/>
                <w:b w:val="1"/>
                <w:bCs w:val="1"/>
                <w:color w:val="auto"/>
              </w:rPr>
              <w:t>Statement of Income</w:t>
            </w: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October 29, 2011</w:t>
            </w: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9"/>
                <w:szCs w:val="9"/>
                <w:b w:val="1"/>
                <w:bCs w:val="1"/>
                <w:color w:val="auto"/>
              </w:rPr>
              <w:t>October 30, 2010</w:t>
            </w: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88"/>
        </w:trPr>
        <w:tc>
          <w:tcPr>
            <w:tcW w:w="2460" w:type="dxa"/>
            <w:vAlign w:val="bottom"/>
            <w:tcBorders>
              <w:bottom w:val="single" w:sz="8" w:color="auto"/>
            </w:tcBorders>
          </w:tcPr>
          <w:p>
            <w:pPr>
              <w:spacing w:after="0" w:line="88" w:lineRule="exact"/>
              <w:rPr>
                <w:sz w:val="20"/>
                <w:szCs w:val="20"/>
                <w:color w:val="auto"/>
              </w:rPr>
            </w:pPr>
            <w:r>
              <w:rPr>
                <w:rFonts w:ascii="Arial" w:cs="Arial" w:eastAsia="Arial" w:hAnsi="Arial"/>
                <w:sz w:val="9"/>
                <w:szCs w:val="9"/>
                <w:b w:val="1"/>
                <w:bCs w:val="1"/>
                <w:color w:val="auto"/>
              </w:rPr>
              <w:t>Classification</w:t>
            </w:r>
          </w:p>
        </w:tc>
        <w:tc>
          <w:tcPr>
            <w:tcW w:w="160" w:type="dxa"/>
            <w:vAlign w:val="bottom"/>
          </w:tcPr>
          <w:p>
            <w:pPr>
              <w:spacing w:after="0"/>
              <w:rPr>
                <w:sz w:val="7"/>
                <w:szCs w:val="7"/>
                <w:color w:val="auto"/>
              </w:rPr>
            </w:pPr>
          </w:p>
        </w:tc>
        <w:tc>
          <w:tcPr>
            <w:tcW w:w="11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88"/>
              </w:rPr>
              <w:t>Loss on Swaps</w:t>
            </w:r>
          </w:p>
        </w:tc>
        <w:tc>
          <w:tcPr>
            <w:tcW w:w="240" w:type="dxa"/>
            <w:vAlign w:val="bottom"/>
          </w:tcPr>
          <w:p>
            <w:pPr>
              <w:spacing w:after="0"/>
              <w:rPr>
                <w:sz w:val="7"/>
                <w:szCs w:val="7"/>
                <w:color w:val="auto"/>
              </w:rPr>
            </w:pPr>
          </w:p>
        </w:tc>
        <w:tc>
          <w:tcPr>
            <w:tcW w:w="86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9"/>
                <w:szCs w:val="9"/>
                <w:b w:val="1"/>
                <w:bCs w:val="1"/>
                <w:color w:val="auto"/>
                <w:w w:val="92"/>
              </w:rPr>
              <w:t>Gain on Note</w:t>
            </w:r>
          </w:p>
        </w:tc>
        <w:tc>
          <w:tcPr>
            <w:tcW w:w="240" w:type="dxa"/>
            <w:vAlign w:val="bottom"/>
          </w:tcPr>
          <w:p>
            <w:pPr>
              <w:spacing w:after="0"/>
              <w:rPr>
                <w:sz w:val="7"/>
                <w:szCs w:val="7"/>
                <w:color w:val="auto"/>
              </w:rPr>
            </w:pPr>
          </w:p>
        </w:tc>
        <w:tc>
          <w:tcPr>
            <w:tcW w:w="1080" w:type="dxa"/>
            <w:vAlign w:val="bottom"/>
            <w:tcBorders>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Net Income Effect</w:t>
            </w:r>
          </w:p>
        </w:tc>
        <w:tc>
          <w:tcPr>
            <w:tcW w:w="240" w:type="dxa"/>
            <w:vAlign w:val="bottom"/>
          </w:tcPr>
          <w:p>
            <w:pPr>
              <w:spacing w:after="0"/>
              <w:rPr>
                <w:sz w:val="7"/>
                <w:szCs w:val="7"/>
                <w:color w:val="auto"/>
              </w:rPr>
            </w:pPr>
          </w:p>
        </w:tc>
        <w:tc>
          <w:tcPr>
            <w:tcW w:w="1100" w:type="dxa"/>
            <w:vAlign w:val="bottom"/>
            <w:tcBorders>
              <w:bottom w:val="single" w:sz="8" w:color="auto"/>
            </w:tcBorders>
          </w:tcPr>
          <w:p>
            <w:pPr>
              <w:jc w:val="right"/>
              <w:ind w:right="214"/>
              <w:spacing w:after="0" w:line="88" w:lineRule="exact"/>
              <w:rPr>
                <w:sz w:val="20"/>
                <w:szCs w:val="20"/>
                <w:color w:val="auto"/>
              </w:rPr>
            </w:pPr>
            <w:r>
              <w:rPr>
                <w:rFonts w:ascii="Arial" w:cs="Arial" w:eastAsia="Arial" w:hAnsi="Arial"/>
                <w:sz w:val="9"/>
                <w:szCs w:val="9"/>
                <w:b w:val="1"/>
                <w:bCs w:val="1"/>
                <w:color w:val="auto"/>
              </w:rPr>
              <w:t>Gain on Swaps</w:t>
            </w:r>
          </w:p>
        </w:tc>
        <w:tc>
          <w:tcPr>
            <w:tcW w:w="260" w:type="dxa"/>
            <w:vAlign w:val="bottom"/>
          </w:tcPr>
          <w:p>
            <w:pPr>
              <w:spacing w:after="0"/>
              <w:rPr>
                <w:sz w:val="7"/>
                <w:szCs w:val="7"/>
                <w:color w:val="auto"/>
              </w:rPr>
            </w:pPr>
          </w:p>
        </w:tc>
        <w:tc>
          <w:tcPr>
            <w:tcW w:w="920" w:type="dxa"/>
            <w:vAlign w:val="bottom"/>
            <w:tcBorders>
              <w:bottom w:val="single" w:sz="8" w:color="auto"/>
            </w:tcBorders>
          </w:tcPr>
          <w:p>
            <w:pPr>
              <w:jc w:val="right"/>
              <w:ind w:right="154"/>
              <w:spacing w:after="0" w:line="88" w:lineRule="exact"/>
              <w:rPr>
                <w:sz w:val="20"/>
                <w:szCs w:val="20"/>
                <w:color w:val="auto"/>
              </w:rPr>
            </w:pPr>
            <w:r>
              <w:rPr>
                <w:rFonts w:ascii="Arial" w:cs="Arial" w:eastAsia="Arial" w:hAnsi="Arial"/>
                <w:sz w:val="9"/>
                <w:szCs w:val="9"/>
                <w:b w:val="1"/>
                <w:bCs w:val="1"/>
                <w:color w:val="auto"/>
              </w:rPr>
              <w:t>Loss on Note</w:t>
            </w:r>
          </w:p>
        </w:tc>
        <w:tc>
          <w:tcPr>
            <w:tcW w:w="260" w:type="dxa"/>
            <w:vAlign w:val="bottom"/>
          </w:tcPr>
          <w:p>
            <w:pPr>
              <w:spacing w:after="0"/>
              <w:rPr>
                <w:sz w:val="7"/>
                <w:szCs w:val="7"/>
                <w:color w:val="auto"/>
              </w:rPr>
            </w:pPr>
          </w:p>
        </w:tc>
        <w:tc>
          <w:tcPr>
            <w:tcW w:w="1060" w:type="dxa"/>
            <w:vAlign w:val="bottom"/>
            <w:tcBorders>
              <w:bottom w:val="single" w:sz="8" w:color="auto"/>
            </w:tcBorders>
          </w:tcPr>
          <w:p>
            <w:pPr>
              <w:ind w:left="180"/>
              <w:spacing w:after="0" w:line="88" w:lineRule="exact"/>
              <w:rPr>
                <w:sz w:val="20"/>
                <w:szCs w:val="20"/>
                <w:color w:val="auto"/>
              </w:rPr>
            </w:pPr>
            <w:r>
              <w:rPr>
                <w:rFonts w:ascii="Arial" w:cs="Arial" w:eastAsia="Arial" w:hAnsi="Arial"/>
                <w:sz w:val="9"/>
                <w:szCs w:val="9"/>
                <w:b w:val="1"/>
                <w:bCs w:val="1"/>
                <w:color w:val="auto"/>
              </w:rPr>
              <w:t>Net Income Effect</w:t>
            </w:r>
          </w:p>
        </w:tc>
      </w:tr>
      <w:tr>
        <w:trPr>
          <w:trHeight w:val="185"/>
        </w:trPr>
        <w:tc>
          <w:tcPr>
            <w:tcW w:w="262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1100" w:type="dxa"/>
            <w:vAlign w:val="bottom"/>
          </w:tcPr>
          <w:p>
            <w:pPr>
              <w:jc w:val="right"/>
              <w:ind w:right="284"/>
              <w:spacing w:after="0"/>
              <w:rPr>
                <w:sz w:val="20"/>
                <w:szCs w:val="20"/>
                <w:color w:val="auto"/>
              </w:rPr>
            </w:pPr>
            <w:r>
              <w:rPr>
                <w:rFonts w:ascii="Arial" w:cs="Arial" w:eastAsia="Arial" w:hAnsi="Arial"/>
                <w:sz w:val="13"/>
                <w:szCs w:val="13"/>
                <w:color w:val="auto"/>
              </w:rPr>
              <w:t>$(4,614)</w:t>
            </w:r>
          </w:p>
        </w:tc>
        <w:tc>
          <w:tcPr>
            <w:tcW w:w="1100" w:type="dxa"/>
            <w:vAlign w:val="bottom"/>
            <w:gridSpan w:val="2"/>
          </w:tcPr>
          <w:p>
            <w:pPr>
              <w:jc w:val="right"/>
              <w:ind w:right="234"/>
              <w:spacing w:after="0"/>
              <w:rPr>
                <w:sz w:val="20"/>
                <w:szCs w:val="20"/>
                <w:color w:val="auto"/>
              </w:rPr>
            </w:pPr>
            <w:r>
              <w:rPr>
                <w:rFonts w:ascii="Arial" w:cs="Arial" w:eastAsia="Arial" w:hAnsi="Arial"/>
                <w:sz w:val="13"/>
                <w:szCs w:val="13"/>
                <w:color w:val="auto"/>
              </w:rPr>
              <w:t>$4,614</w:t>
            </w:r>
          </w:p>
        </w:tc>
        <w:tc>
          <w:tcPr>
            <w:tcW w:w="240" w:type="dxa"/>
            <w:vAlign w:val="bottom"/>
          </w:tcPr>
          <w:p>
            <w:pPr>
              <w:spacing w:after="0"/>
              <w:rPr>
                <w:sz w:val="16"/>
                <w:szCs w:val="16"/>
                <w:color w:val="auto"/>
              </w:rPr>
            </w:pPr>
          </w:p>
        </w:tc>
        <w:tc>
          <w:tcPr>
            <w:tcW w:w="1080" w:type="dxa"/>
            <w:vAlign w:val="bottom"/>
          </w:tcPr>
          <w:p>
            <w:pPr>
              <w:ind w:left="40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314"/>
              <w:spacing w:after="0"/>
              <w:rPr>
                <w:sz w:val="20"/>
                <w:szCs w:val="20"/>
                <w:color w:val="auto"/>
              </w:rPr>
            </w:pPr>
            <w:r>
              <w:rPr>
                <w:rFonts w:ascii="Arial" w:cs="Arial" w:eastAsia="Arial" w:hAnsi="Arial"/>
                <w:sz w:val="13"/>
                <w:szCs w:val="13"/>
                <w:color w:val="auto"/>
              </w:rPr>
              <w:t>$20,692</w:t>
            </w:r>
          </w:p>
        </w:tc>
        <w:tc>
          <w:tcPr>
            <w:tcW w:w="1180" w:type="dxa"/>
            <w:vAlign w:val="bottom"/>
            <w:gridSpan w:val="2"/>
          </w:tcPr>
          <w:p>
            <w:pPr>
              <w:jc w:val="right"/>
              <w:ind w:right="154"/>
              <w:spacing w:after="0"/>
              <w:rPr>
                <w:sz w:val="20"/>
                <w:szCs w:val="20"/>
                <w:color w:val="auto"/>
              </w:rPr>
            </w:pPr>
            <w:r>
              <w:rPr>
                <w:rFonts w:ascii="Arial" w:cs="Arial" w:eastAsia="Arial" w:hAnsi="Arial"/>
                <w:sz w:val="13"/>
                <w:szCs w:val="13"/>
                <w:color w:val="auto"/>
              </w:rPr>
              <w:t>$(20,692)</w:t>
            </w:r>
          </w:p>
        </w:tc>
        <w:tc>
          <w:tcPr>
            <w:tcW w:w="260" w:type="dxa"/>
            <w:vAlign w:val="bottom"/>
          </w:tcPr>
          <w:p>
            <w:pPr>
              <w:spacing w:after="0"/>
              <w:rPr>
                <w:sz w:val="16"/>
                <w:szCs w:val="16"/>
                <w:color w:val="auto"/>
              </w:rPr>
            </w:pPr>
          </w:p>
        </w:tc>
        <w:tc>
          <w:tcPr>
            <w:tcW w:w="1060" w:type="dxa"/>
            <w:vAlign w:val="bottom"/>
          </w:tcPr>
          <w:p>
            <w:pPr>
              <w:ind w:left="400"/>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amounts earned and owed under the swap agreements are accrued each period and are reported in interest expense. There was no ineffectiveness recognized in any of the periods presented.</w:t>
      </w:r>
    </w:p>
    <w:p>
      <w:pPr>
        <w:spacing w:after="0" w:line="59"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our counterparties as of October 29, 2011, we do not believe that there is significant risk of nonperformance by them.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59"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53" w:lineRule="exact"/>
        <w:rPr>
          <w:sz w:val="20"/>
          <w:szCs w:val="20"/>
          <w:color w:val="auto"/>
        </w:rPr>
      </w:pPr>
    </w:p>
    <w:p>
      <w:pPr>
        <w:ind w:right="520" w:firstLine="399"/>
        <w:spacing w:after="0" w:line="320" w:lineRule="auto"/>
        <w:rPr>
          <w:sz w:val="20"/>
          <w:szCs w:val="20"/>
          <w:color w:val="auto"/>
        </w:rPr>
      </w:pPr>
      <w:r>
        <w:rPr>
          <w:rFonts w:ascii="Arial" w:cs="Arial" w:eastAsia="Arial" w:hAnsi="Arial"/>
          <w:sz w:val="12"/>
          <w:szCs w:val="12"/>
          <w:color w:val="auto"/>
        </w:rPr>
        <w:t>The total notional amounts of derivative instruments designated as hedging instruments as of October 29, 2011 and October 30, 2010 were $375 million of interest rate swap agreements accounted for as fair value hedges and $153.7 million and $139.9 million, respectively, of cash flow hedges denominated in Euros, British Pounds and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Philippine Pesos. The fair values of these hedging instruments in the Company’s consolidated balance sheets as of October 29, 2011 and October 30, 2010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3020" w:type="dxa"/>
            <w:vAlign w:val="bottom"/>
            <w:vMerge w:val="restart"/>
          </w:tcPr>
          <w:p>
            <w:pPr>
              <w:spacing w:after="0"/>
              <w:rPr>
                <w:sz w:val="20"/>
                <w:szCs w:val="20"/>
                <w:color w:val="auto"/>
              </w:rPr>
            </w:pPr>
            <w:r>
              <w:rPr>
                <w:rFonts w:ascii="Arial" w:cs="Arial" w:eastAsia="Arial" w:hAnsi="Arial"/>
                <w:sz w:val="10"/>
                <w:szCs w:val="10"/>
                <w:b w:val="1"/>
                <w:bCs w:val="1"/>
                <w:color w:val="auto"/>
              </w:rPr>
              <w:t>Balance Sheet Location</w:t>
            </w:r>
          </w:p>
        </w:tc>
        <w:tc>
          <w:tcPr>
            <w:tcW w:w="280" w:type="dxa"/>
            <w:vAlign w:val="bottom"/>
          </w:tcPr>
          <w:p>
            <w:pPr>
              <w:spacing w:after="0"/>
              <w:rPr>
                <w:sz w:val="10"/>
                <w:szCs w:val="10"/>
                <w:color w:val="auto"/>
              </w:rPr>
            </w:pPr>
          </w:p>
        </w:tc>
        <w:tc>
          <w:tcPr>
            <w:tcW w:w="1340" w:type="dxa"/>
            <w:vAlign w:val="bottom"/>
            <w:gridSpan w:val="2"/>
          </w:tcPr>
          <w:p>
            <w:pPr>
              <w:jc w:val="right"/>
              <w:ind w:right="314"/>
              <w:spacing w:after="0"/>
              <w:rPr>
                <w:sz w:val="20"/>
                <w:szCs w:val="20"/>
                <w:color w:val="auto"/>
              </w:rPr>
            </w:pPr>
            <w:r>
              <w:rPr>
                <w:rFonts w:ascii="Arial" w:cs="Arial" w:eastAsia="Arial" w:hAnsi="Arial"/>
                <w:sz w:val="10"/>
                <w:szCs w:val="10"/>
                <w:b w:val="1"/>
                <w:bCs w:val="1"/>
                <w:color w:val="auto"/>
              </w:rPr>
              <w:t>Fair Value at</w:t>
            </w:r>
          </w:p>
        </w:tc>
        <w:tc>
          <w:tcPr>
            <w:tcW w:w="280" w:type="dxa"/>
            <w:vAlign w:val="bottom"/>
          </w:tcPr>
          <w:p>
            <w:pPr>
              <w:spacing w:after="0"/>
              <w:rPr>
                <w:sz w:val="10"/>
                <w:szCs w:val="10"/>
                <w:color w:val="auto"/>
              </w:rPr>
            </w:pPr>
          </w:p>
        </w:tc>
        <w:tc>
          <w:tcPr>
            <w:tcW w:w="1320" w:type="dxa"/>
            <w:vAlign w:val="bottom"/>
            <w:gridSpan w:val="2"/>
          </w:tcPr>
          <w:p>
            <w:pPr>
              <w:jc w:val="right"/>
              <w:ind w:right="294"/>
              <w:spacing w:after="0"/>
              <w:rPr>
                <w:sz w:val="20"/>
                <w:szCs w:val="20"/>
                <w:color w:val="auto"/>
              </w:rPr>
            </w:pPr>
            <w:r>
              <w:rPr>
                <w:rFonts w:ascii="Arial" w:cs="Arial" w:eastAsia="Arial" w:hAnsi="Arial"/>
                <w:sz w:val="10"/>
                <w:szCs w:val="10"/>
                <w:b w:val="1"/>
                <w:bCs w:val="1"/>
                <w:color w:val="auto"/>
              </w:rPr>
              <w:t>Fair Value at</w:t>
            </w: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302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0"/>
                <w:szCs w:val="10"/>
                <w:b w:val="1"/>
                <w:bCs w:val="1"/>
                <w:color w:val="auto"/>
              </w:rPr>
              <w:t>October 29, 2011</w:t>
            </w:r>
          </w:p>
        </w:tc>
        <w:tc>
          <w:tcPr>
            <w:tcW w:w="280" w:type="dxa"/>
            <w:vAlign w:val="bottom"/>
          </w:tcPr>
          <w:p>
            <w:pPr>
              <w:spacing w:after="0"/>
              <w:rPr>
                <w:sz w:val="10"/>
                <w:szCs w:val="10"/>
                <w:color w:val="auto"/>
              </w:rPr>
            </w:pPr>
          </w:p>
        </w:tc>
        <w:tc>
          <w:tcPr>
            <w:tcW w:w="13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0"/>
                <w:szCs w:val="10"/>
                <w:b w:val="1"/>
                <w:bCs w:val="1"/>
                <w:color w:val="auto"/>
              </w:rPr>
              <w:t>October 30, 2010</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20"/>
                <w:szCs w:val="20"/>
                <w:color w:val="auto"/>
              </w:rPr>
            </w:pPr>
            <w:r>
              <w:rPr>
                <w:rFonts w:ascii="Arial" w:cs="Arial" w:eastAsia="Arial" w:hAnsi="Arial"/>
                <w:sz w:val="13"/>
                <w:szCs w:val="13"/>
                <w:color w:val="auto"/>
              </w:rPr>
              <w:t>Interest rate swap agreements</w:t>
            </w:r>
          </w:p>
        </w:tc>
        <w:tc>
          <w:tcPr>
            <w:tcW w:w="3020" w:type="dxa"/>
            <w:vAlign w:val="bottom"/>
          </w:tcPr>
          <w:p>
            <w:pPr>
              <w:spacing w:after="0"/>
              <w:rPr>
                <w:sz w:val="20"/>
                <w:szCs w:val="20"/>
                <w:color w:val="auto"/>
              </w:rPr>
            </w:pPr>
            <w:r>
              <w:rPr>
                <w:rFonts w:ascii="Arial" w:cs="Arial" w:eastAsia="Arial" w:hAnsi="Arial"/>
                <w:sz w:val="13"/>
                <w:szCs w:val="13"/>
                <w:color w:val="auto"/>
              </w:rPr>
              <w:t>Other assets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14"/>
              <w:spacing w:after="0"/>
              <w:rPr>
                <w:sz w:val="20"/>
                <w:szCs w:val="20"/>
                <w:color w:val="auto"/>
              </w:rPr>
            </w:pPr>
            <w:r>
              <w:rPr>
                <w:rFonts w:ascii="Arial" w:cs="Arial" w:eastAsia="Arial" w:hAnsi="Arial"/>
                <w:sz w:val="13"/>
                <w:szCs w:val="13"/>
                <w:color w:val="auto"/>
                <w:w w:val="90"/>
              </w:rPr>
              <w:t>22,187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26,801</w:t>
            </w:r>
          </w:p>
        </w:tc>
        <w:tc>
          <w:tcPr>
            <w:tcW w:w="0" w:type="dxa"/>
            <w:vAlign w:val="bottom"/>
          </w:tcPr>
          <w:p>
            <w:pPr>
              <w:spacing w:after="0"/>
              <w:rPr>
                <w:sz w:val="1"/>
                <w:szCs w:val="1"/>
                <w:color w:val="auto"/>
              </w:rPr>
            </w:pPr>
          </w:p>
        </w:tc>
      </w:tr>
      <w:tr>
        <w:trPr>
          <w:trHeight w:val="165"/>
        </w:trPr>
        <w:tc>
          <w:tcPr>
            <w:tcW w:w="3740" w:type="dxa"/>
            <w:vAlign w:val="bottom"/>
          </w:tcPr>
          <w:p>
            <w:pPr>
              <w:spacing w:after="0"/>
              <w:rPr>
                <w:sz w:val="20"/>
                <w:szCs w:val="20"/>
                <w:color w:val="auto"/>
              </w:rPr>
            </w:pPr>
            <w:r>
              <w:rPr>
                <w:rFonts w:ascii="Arial" w:cs="Arial" w:eastAsia="Arial" w:hAnsi="Arial"/>
                <w:sz w:val="13"/>
                <w:szCs w:val="13"/>
                <w:color w:val="auto"/>
              </w:rPr>
              <w:t>Forward foreign currency exchange contracts</w:t>
            </w:r>
          </w:p>
        </w:tc>
        <w:tc>
          <w:tcPr>
            <w:tcW w:w="302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14"/>
              <w:spacing w:after="0"/>
              <w:rPr>
                <w:sz w:val="20"/>
                <w:szCs w:val="20"/>
                <w:color w:val="auto"/>
              </w:rPr>
            </w:pPr>
            <w:r>
              <w:rPr>
                <w:rFonts w:ascii="Arial" w:cs="Arial" w:eastAsia="Arial" w:hAnsi="Arial"/>
                <w:sz w:val="13"/>
                <w:szCs w:val="13"/>
                <w:color w:val="auto"/>
              </w:rPr>
              <w:t>2,038</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rPr>
              <w:t>7,542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effects of derivative instruments designated as cash flow hedges on the consolidated statements of income for fiscal 2011 and fiscal 2010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October 29, 2011</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b w:val="1"/>
                <w:bCs w:val="1"/>
                <w:color w:val="auto"/>
              </w:rPr>
              <w:t>October 30, 2010</w:t>
            </w:r>
          </w:p>
        </w:tc>
      </w:tr>
      <w:tr>
        <w:trPr>
          <w:trHeight w:val="178"/>
        </w:trPr>
        <w:tc>
          <w:tcPr>
            <w:tcW w:w="7040" w:type="dxa"/>
            <w:vAlign w:val="bottom"/>
          </w:tcPr>
          <w:p>
            <w:pPr>
              <w:spacing w:after="0"/>
              <w:rPr>
                <w:sz w:val="20"/>
                <w:szCs w:val="20"/>
                <w:color w:val="auto"/>
              </w:rPr>
            </w:pPr>
            <w:r>
              <w:rPr>
                <w:rFonts w:ascii="Arial" w:cs="Arial" w:eastAsia="Arial" w:hAnsi="Arial"/>
                <w:sz w:val="13"/>
                <w:szCs w:val="13"/>
                <w:color w:val="auto"/>
              </w:rPr>
              <w:t>Gain (loss) recognized in OCI on derivative (net of tax of $539 in 2011 and $449 in 2010)</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$ 3,347</w:t>
            </w:r>
          </w:p>
        </w:tc>
        <w:tc>
          <w:tcPr>
            <w:tcW w:w="1600" w:type="dxa"/>
            <w:vAlign w:val="bottom"/>
            <w:gridSpan w:val="4"/>
          </w:tcPr>
          <w:p>
            <w:pPr>
              <w:jc w:val="right"/>
              <w:ind w:right="388"/>
              <w:spacing w:after="0"/>
              <w:rPr>
                <w:sz w:val="20"/>
                <w:szCs w:val="20"/>
                <w:color w:val="auto"/>
              </w:rPr>
            </w:pPr>
            <w:r>
              <w:rPr>
                <w:rFonts w:ascii="Arial" w:cs="Arial" w:eastAsia="Arial" w:hAnsi="Arial"/>
                <w:sz w:val="13"/>
                <w:szCs w:val="13"/>
                <w:color w:val="auto"/>
              </w:rPr>
              <w:t>$(1,339)</w:t>
            </w:r>
          </w:p>
        </w:tc>
      </w:tr>
      <w:tr>
        <w:trPr>
          <w:trHeight w:val="165"/>
        </w:trPr>
        <w:tc>
          <w:tcPr>
            <w:tcW w:w="7040" w:type="dxa"/>
            <w:vAlign w:val="bottom"/>
          </w:tcPr>
          <w:p>
            <w:pPr>
              <w:spacing w:after="0"/>
              <w:rPr>
                <w:sz w:val="20"/>
                <w:szCs w:val="20"/>
                <w:color w:val="auto"/>
              </w:rPr>
            </w:pPr>
            <w:r>
              <w:rPr>
                <w:rFonts w:ascii="Arial" w:cs="Arial" w:eastAsia="Arial" w:hAnsi="Arial"/>
                <w:sz w:val="13"/>
                <w:szCs w:val="13"/>
                <w:color w:val="auto"/>
              </w:rPr>
              <w:t>(Gain) loss reclassified from OCI into income (net of tax of $1,171 in 2011 and $458 in 2010)</w:t>
            </w:r>
          </w:p>
        </w:tc>
        <w:tc>
          <w:tcPr>
            <w:tcW w:w="1340" w:type="dxa"/>
            <w:vAlign w:val="bottom"/>
            <w:gridSpan w:val="2"/>
          </w:tcPr>
          <w:p>
            <w:pPr>
              <w:ind w:left="440"/>
              <w:spacing w:after="0"/>
              <w:rPr>
                <w:sz w:val="20"/>
                <w:szCs w:val="20"/>
                <w:color w:val="auto"/>
              </w:rPr>
            </w:pPr>
            <w:r>
              <w:rPr>
                <w:rFonts w:ascii="Arial" w:cs="Arial" w:eastAsia="Arial" w:hAnsi="Arial"/>
                <w:sz w:val="13"/>
                <w:szCs w:val="13"/>
                <w:color w:val="auto"/>
              </w:rPr>
              <w:t>$(7,793)</w:t>
            </w:r>
          </w:p>
        </w:tc>
        <w:tc>
          <w:tcPr>
            <w:tcW w:w="1600" w:type="dxa"/>
            <w:vAlign w:val="bottom"/>
            <w:gridSpan w:val="4"/>
          </w:tcPr>
          <w:p>
            <w:pPr>
              <w:jc w:val="right"/>
              <w:ind w:right="428"/>
              <w:spacing w:after="0"/>
              <w:rPr>
                <w:sz w:val="20"/>
                <w:szCs w:val="20"/>
                <w:color w:val="auto"/>
              </w:rPr>
            </w:pPr>
            <w:r>
              <w:rPr>
                <w:rFonts w:ascii="Arial" w:cs="Arial" w:eastAsia="Arial" w:hAnsi="Arial"/>
                <w:sz w:val="13"/>
                <w:szCs w:val="13"/>
                <w:color w:val="auto"/>
              </w:rPr>
              <w:t>$ 1,863</w:t>
            </w:r>
          </w:p>
        </w:tc>
      </w:tr>
      <w:tr>
        <w:trPr>
          <w:trHeight w:val="246"/>
        </w:trPr>
        <w:tc>
          <w:tcPr>
            <w:tcW w:w="8380" w:type="dxa"/>
            <w:vAlign w:val="bottom"/>
            <w:gridSpan w:val="3"/>
          </w:tcPr>
          <w:p>
            <w:pPr>
              <w:ind w:left="400"/>
              <w:spacing w:after="0"/>
              <w:rPr>
                <w:sz w:val="20"/>
                <w:szCs w:val="20"/>
                <w:color w:val="auto"/>
              </w:rPr>
            </w:pPr>
            <w:r>
              <w:rPr>
                <w:rFonts w:ascii="Arial" w:cs="Arial" w:eastAsia="Arial" w:hAnsi="Arial"/>
                <w:sz w:val="13"/>
                <w:szCs w:val="13"/>
                <w:color w:val="auto"/>
                <w:w w:val="90"/>
              </w:rPr>
              <w:t>The amounts reclassified into earnings before tax are recognized in cost of sales and operating expenses for fiscal 2011 and fiscal 2010 were as follows: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8"/>
        </w:trPr>
        <w:tc>
          <w:tcPr>
            <w:tcW w:w="7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October 29, 2011</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b w:val="1"/>
                <w:bCs w:val="1"/>
                <w:color w:val="auto"/>
              </w:rPr>
              <w:t>October 30, 2010</w:t>
            </w:r>
          </w:p>
        </w:tc>
      </w:tr>
      <w:tr>
        <w:trPr>
          <w:trHeight w:val="29"/>
        </w:trPr>
        <w:tc>
          <w:tcPr>
            <w:tcW w:w="7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57"/>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Cost of sales</w:t>
            </w:r>
          </w:p>
        </w:tc>
        <w:tc>
          <w:tcPr>
            <w:tcW w:w="13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$(4,363)</w:t>
            </w:r>
          </w:p>
        </w:tc>
        <w:tc>
          <w:tcPr>
            <w:tcW w:w="1600" w:type="dxa"/>
            <w:vAlign w:val="bottom"/>
            <w:gridSpan w:val="4"/>
            <w:shd w:val="clear" w:color="auto" w:fill="CCEEFF"/>
          </w:tcPr>
          <w:p>
            <w:pPr>
              <w:jc w:val="right"/>
              <w:ind w:right="388"/>
              <w:spacing w:after="0"/>
              <w:rPr>
                <w:sz w:val="20"/>
                <w:szCs w:val="20"/>
                <w:color w:val="auto"/>
              </w:rPr>
            </w:pPr>
            <w:r>
              <w:rPr>
                <w:rFonts w:ascii="Arial" w:cs="Arial" w:eastAsia="Arial" w:hAnsi="Arial"/>
                <w:sz w:val="13"/>
                <w:szCs w:val="13"/>
                <w:color w:val="auto"/>
              </w:rPr>
              <w:t>$ (112)</w:t>
            </w:r>
          </w:p>
        </w:tc>
      </w:tr>
      <w:tr>
        <w:trPr>
          <w:trHeight w:val="157"/>
        </w:trPr>
        <w:tc>
          <w:tcPr>
            <w:tcW w:w="70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340" w:type="dxa"/>
            <w:vAlign w:val="bottom"/>
            <w:gridSpan w:val="2"/>
          </w:tcPr>
          <w:p>
            <w:pPr>
              <w:jc w:val="center"/>
              <w:ind w:left="14"/>
              <w:spacing w:after="0"/>
              <w:rPr>
                <w:sz w:val="20"/>
                <w:szCs w:val="20"/>
                <w:color w:val="auto"/>
              </w:rPr>
            </w:pPr>
            <w:r>
              <w:rPr>
                <w:rFonts w:ascii="Arial" w:cs="Arial" w:eastAsia="Arial" w:hAnsi="Arial"/>
                <w:sz w:val="13"/>
                <w:szCs w:val="13"/>
                <w:color w:val="auto"/>
                <w:w w:val="94"/>
              </w:rPr>
              <w:t>$(2,264)</w:t>
            </w:r>
          </w:p>
        </w:tc>
        <w:tc>
          <w:tcPr>
            <w:tcW w:w="1600" w:type="dxa"/>
            <w:vAlign w:val="bottom"/>
            <w:gridSpan w:val="4"/>
          </w:tcPr>
          <w:p>
            <w:pPr>
              <w:jc w:val="right"/>
              <w:ind w:right="428"/>
              <w:spacing w:after="0"/>
              <w:rPr>
                <w:sz w:val="20"/>
                <w:szCs w:val="20"/>
                <w:color w:val="auto"/>
              </w:rPr>
            </w:pPr>
            <w:r>
              <w:rPr>
                <w:rFonts w:ascii="Arial" w:cs="Arial" w:eastAsia="Arial" w:hAnsi="Arial"/>
                <w:sz w:val="13"/>
                <w:szCs w:val="13"/>
                <w:color w:val="auto"/>
              </w:rPr>
              <w:t>$1,259</w:t>
            </w:r>
          </w:p>
        </w:tc>
      </w:tr>
      <w:tr>
        <w:trPr>
          <w:trHeight w:val="157"/>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Selling, marketing, general and administrative</w:t>
            </w:r>
          </w:p>
        </w:tc>
        <w:tc>
          <w:tcPr>
            <w:tcW w:w="13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4"/>
              </w:rPr>
              <w:t>$(2,337)</w:t>
            </w:r>
          </w:p>
        </w:tc>
        <w:tc>
          <w:tcPr>
            <w:tcW w:w="1600" w:type="dxa"/>
            <w:vAlign w:val="bottom"/>
            <w:gridSpan w:val="4"/>
            <w:shd w:val="clear" w:color="auto" w:fill="CCEEFF"/>
          </w:tcPr>
          <w:p>
            <w:pPr>
              <w:jc w:val="right"/>
              <w:ind w:right="428"/>
              <w:spacing w:after="0"/>
              <w:rPr>
                <w:sz w:val="20"/>
                <w:szCs w:val="20"/>
                <w:color w:val="auto"/>
              </w:rPr>
            </w:pPr>
            <w:r>
              <w:rPr>
                <w:rFonts w:ascii="Arial" w:cs="Arial" w:eastAsia="Arial" w:hAnsi="Arial"/>
                <w:sz w:val="13"/>
                <w:szCs w:val="13"/>
                <w:color w:val="auto"/>
              </w:rPr>
              <w:t>$1,174</w:t>
            </w:r>
          </w:p>
        </w:tc>
      </w:tr>
    </w:tbl>
    <w:p>
      <w:pPr>
        <w:spacing w:after="0" w:line="8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All derivative gains and losses included in OCI will be reclassified into earnings within the next twelve months. There was no ineffectiveness during fiscal year ended October 29, 2011 or October 30, 2010.</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Accumulated Derivative Gains or Losses</w:t>
      </w:r>
    </w:p>
    <w:p>
      <w:pPr>
        <w:spacing w:after="0" w:line="100"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following table summarizes activity in accumulated other comprehensive (loss) income related to derivatives classified as cash flow hedges held by the Company during the period from November 1, 2009 through October 29, 2011: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Changes in fair value of derivatives — gain (loss), net of tax</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(1,339)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(Gain) loss reclassified into earnings from other comprehensive income (loss), net of tax</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(7,793)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1,863</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Balance at end of year</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1,687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6,133</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Fair Value</w:t>
      </w:r>
    </w:p>
    <w:p>
      <w:pPr>
        <w:spacing w:after="0" w:line="96"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Level 1 inputs are quoted prices (unadjusted) in active markets for identical assets or liabilities that the reporting entity has the ability to access at the measurement date.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 Level 2 inputs are inputs other than quoted prices included within Level 1 that are observable for the asset or liability, either directly or indirectly. If the asset or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has a specified (contractual) term, a Level 2 input must be observable for substantially the full term of the asset or liability.</w:t>
      </w:r>
    </w:p>
    <w:p>
      <w:pPr>
        <w:spacing w:after="0" w:line="59"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Level 3 inputs are unobservable inputs for the asset or liability in which there is little, if any, market activity for the asset or liability at the measurement date. As of</w:t>
      </w:r>
      <w:r>
        <w:rPr>
          <w:rFonts w:ascii="Arial" w:cs="Arial" w:eastAsia="Arial" w:hAnsi="Arial"/>
          <w:sz w:val="13"/>
          <w:szCs w:val="13"/>
          <w:i w:val="1"/>
          <w:iCs w:val="1"/>
          <w:color w:val="auto"/>
        </w:rPr>
        <w:t xml:space="preserve"> </w:t>
      </w:r>
      <w:r>
        <w:rPr>
          <w:rFonts w:ascii="Arial" w:cs="Arial" w:eastAsia="Arial" w:hAnsi="Arial"/>
          <w:sz w:val="13"/>
          <w:szCs w:val="13"/>
          <w:color w:val="auto"/>
        </w:rPr>
        <w:t>October 30, 2010, the Company held no assets or liabilities measured on a recurring basis using Level 3 inputs.</w:t>
      </w:r>
    </w:p>
    <w:p>
      <w:pPr>
        <w:spacing w:after="0" w:line="59" w:lineRule="exact"/>
        <w:rPr>
          <w:sz w:val="20"/>
          <w:szCs w:val="20"/>
          <w:color w:val="auto"/>
        </w:rPr>
      </w:pPr>
    </w:p>
    <w:p>
      <w:pPr>
        <w:ind w:right="100" w:firstLine="399"/>
        <w:spacing w:after="0" w:line="320" w:lineRule="auto"/>
        <w:rPr>
          <w:sz w:val="20"/>
          <w:szCs w:val="20"/>
          <w:color w:val="auto"/>
        </w:rPr>
      </w:pPr>
      <w:r>
        <w:rPr>
          <w:rFonts w:ascii="Arial" w:cs="Arial" w:eastAsia="Arial" w:hAnsi="Arial"/>
          <w:sz w:val="12"/>
          <w:szCs w:val="12"/>
          <w:color w:val="auto"/>
        </w:rPr>
        <w:t>The table below sets forth by level the Company’s financial assets and liabilities, excluding accrued interest components, that were accounted for at fair value on a recurring basis as of October 29, 2011 and October 30, 2010. The table excludes cash on hand and assets and liabilities that are measured at historical cost or any basis other than fair value.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940" w:type="dxa"/>
            <w:vAlign w:val="bottom"/>
            <w:gridSpan w:val="5"/>
            <w:vMerge w:val="restart"/>
          </w:tcPr>
          <w:p>
            <w:pPr>
              <w:jc w:val="right"/>
              <w:ind w:right="840"/>
              <w:spacing w:after="0"/>
              <w:rPr>
                <w:sz w:val="20"/>
                <w:szCs w:val="20"/>
                <w:color w:val="auto"/>
              </w:rPr>
            </w:pPr>
            <w:r>
              <w:rPr>
                <w:rFonts w:ascii="Arial" w:cs="Arial" w:eastAsia="Arial" w:hAnsi="Arial"/>
                <w:sz w:val="9"/>
                <w:szCs w:val="9"/>
                <w:b w:val="1"/>
                <w:bCs w:val="1"/>
                <w:color w:val="auto"/>
              </w:rPr>
              <w:t>October 29, 2011</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9"/>
                <w:szCs w:val="9"/>
                <w:b w:val="1"/>
                <w:bCs w:val="1"/>
                <w:color w:val="auto"/>
                <w:w w:val="88"/>
              </w:rPr>
              <w:t>October 30, 2010</w:t>
            </w: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gridSpan w:val="5"/>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5"/>
          </w:tcPr>
          <w:p>
            <w:pPr>
              <w:jc w:val="center"/>
              <w:ind w:right="480"/>
              <w:spacing w:after="0" w:line="88" w:lineRule="exact"/>
              <w:rPr>
                <w:sz w:val="20"/>
                <w:szCs w:val="20"/>
                <w:color w:val="auto"/>
              </w:rPr>
            </w:pPr>
            <w:r>
              <w:rPr>
                <w:rFonts w:ascii="Arial" w:cs="Arial" w:eastAsia="Arial" w:hAnsi="Arial"/>
                <w:sz w:val="9"/>
                <w:szCs w:val="9"/>
                <w:b w:val="1"/>
                <w:bCs w:val="1"/>
                <w:color w:val="auto"/>
                <w:w w:val="97"/>
              </w:rPr>
              <w:t>Fair Value</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5"/>
          </w:tcPr>
          <w:p>
            <w:pPr>
              <w:jc w:val="right"/>
              <w:ind w:right="54"/>
              <w:spacing w:after="0" w:line="75" w:lineRule="exact"/>
              <w:rPr>
                <w:sz w:val="20"/>
                <w:szCs w:val="20"/>
                <w:color w:val="auto"/>
              </w:rPr>
            </w:pPr>
            <w:r>
              <w:rPr>
                <w:rFonts w:ascii="Arial" w:cs="Arial" w:eastAsia="Arial" w:hAnsi="Arial"/>
                <w:sz w:val="8"/>
                <w:szCs w:val="8"/>
                <w:b w:val="1"/>
                <w:bCs w:val="1"/>
                <w:color w:val="auto"/>
              </w:rPr>
              <w:t>Fair Value measurement at</w:t>
            </w: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gridSpan w:val="5"/>
          </w:tcPr>
          <w:p>
            <w:pPr>
              <w:jc w:val="center"/>
              <w:ind w:right="480"/>
              <w:spacing w:after="0" w:line="75" w:lineRule="exact"/>
              <w:rPr>
                <w:sz w:val="20"/>
                <w:szCs w:val="20"/>
                <w:color w:val="auto"/>
              </w:rPr>
            </w:pPr>
            <w:r>
              <w:rPr>
                <w:rFonts w:ascii="Arial" w:cs="Arial" w:eastAsia="Arial" w:hAnsi="Arial"/>
                <w:sz w:val="8"/>
                <w:szCs w:val="8"/>
                <w:b w:val="1"/>
                <w:bCs w:val="1"/>
                <w:color w:val="auto"/>
              </w:rPr>
              <w:t>measurement at</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9"/>
                <w:szCs w:val="9"/>
                <w:b w:val="1"/>
                <w:bCs w:val="1"/>
                <w:color w:val="auto"/>
              </w:rPr>
              <w:t>Reporting Date using:</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5"/>
          </w:tcPr>
          <w:p>
            <w:pPr>
              <w:jc w:val="center"/>
              <w:ind w:right="480"/>
              <w:spacing w:after="0"/>
              <w:rPr>
                <w:sz w:val="20"/>
                <w:szCs w:val="20"/>
                <w:color w:val="auto"/>
              </w:rPr>
            </w:pPr>
            <w:r>
              <w:rPr>
                <w:rFonts w:ascii="Arial" w:cs="Arial" w:eastAsia="Arial" w:hAnsi="Arial"/>
                <w:sz w:val="9"/>
                <w:szCs w:val="9"/>
                <w:b w:val="1"/>
                <w:bCs w:val="1"/>
                <w:color w:val="auto"/>
                <w:w w:val="91"/>
              </w:rPr>
              <w:t>Reporting Date using:</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3"/>
          </w:tcPr>
          <w:p>
            <w:pPr>
              <w:jc w:val="center"/>
              <w:ind w:right="180"/>
              <w:spacing w:after="0" w:line="75" w:lineRule="exact"/>
              <w:rPr>
                <w:sz w:val="20"/>
                <w:szCs w:val="20"/>
                <w:color w:val="auto"/>
              </w:rPr>
            </w:pPr>
            <w:r>
              <w:rPr>
                <w:rFonts w:ascii="Arial" w:cs="Arial" w:eastAsia="Arial" w:hAnsi="Arial"/>
                <w:sz w:val="8"/>
                <w:szCs w:val="8"/>
                <w:b w:val="1"/>
                <w:bCs w:val="1"/>
                <w:color w:val="auto"/>
                <w:w w:val="99"/>
              </w:rPr>
              <w:t>Quoted</w:t>
            </w:r>
          </w:p>
        </w:tc>
        <w:tc>
          <w:tcPr>
            <w:tcW w:w="2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2"/>
          </w:tcPr>
          <w:p>
            <w:pPr>
              <w:jc w:val="center"/>
              <w:ind w:right="380"/>
              <w:spacing w:after="0" w:line="75" w:lineRule="exact"/>
              <w:rPr>
                <w:sz w:val="20"/>
                <w:szCs w:val="20"/>
                <w:color w:val="auto"/>
              </w:rPr>
            </w:pPr>
            <w:r>
              <w:rPr>
                <w:rFonts w:ascii="Arial" w:cs="Arial" w:eastAsia="Arial" w:hAnsi="Arial"/>
                <w:sz w:val="8"/>
                <w:szCs w:val="8"/>
                <w:b w:val="1"/>
                <w:bCs w:val="1"/>
                <w:color w:val="auto"/>
              </w:rPr>
              <w:t>Quoted</w:t>
            </w: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200"/>
              <w:spacing w:after="0" w:line="98" w:lineRule="exact"/>
              <w:rPr>
                <w:sz w:val="20"/>
                <w:szCs w:val="20"/>
                <w:color w:val="auto"/>
              </w:rPr>
            </w:pPr>
            <w:r>
              <w:rPr>
                <w:rFonts w:ascii="Arial" w:cs="Arial" w:eastAsia="Arial" w:hAnsi="Arial"/>
                <w:sz w:val="9"/>
                <w:szCs w:val="9"/>
                <w:b w:val="1"/>
                <w:bCs w:val="1"/>
                <w:color w:val="auto"/>
                <w:w w:val="90"/>
              </w:rPr>
              <w:t>Prices in</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0"/>
              </w:rPr>
              <w:t>Prices in</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88"/>
              </w:rPr>
              <w:t>Active</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6"/>
              </w:rPr>
              <w:t>Active</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93"/>
              </w:rPr>
              <w:t>Markets</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1"/>
              </w:rPr>
              <w:t>Significant</w:t>
            </w:r>
          </w:p>
        </w:tc>
        <w:tc>
          <w:tcPr>
            <w:tcW w:w="80" w:type="dxa"/>
            <w:vAlign w:val="bottom"/>
          </w:tcPr>
          <w:p>
            <w:pPr>
              <w:spacing w:after="0"/>
              <w:rPr>
                <w:sz w:val="8"/>
                <w:szCs w:val="8"/>
                <w:color w:val="auto"/>
              </w:rPr>
            </w:pPr>
          </w:p>
        </w:tc>
        <w:tc>
          <w:tcPr>
            <w:tcW w:w="10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1"/>
              </w:rPr>
              <w:t>Significant</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9"/>
              </w:rPr>
              <w:t>Markets</w:t>
            </w:r>
          </w:p>
        </w:tc>
        <w:tc>
          <w:tcPr>
            <w:tcW w:w="60" w:type="dxa"/>
            <w:vAlign w:val="bottom"/>
          </w:tcPr>
          <w:p>
            <w:pPr>
              <w:spacing w:after="0"/>
              <w:rPr>
                <w:sz w:val="8"/>
                <w:szCs w:val="8"/>
                <w:color w:val="auto"/>
              </w:rPr>
            </w:pPr>
          </w:p>
        </w:tc>
        <w:tc>
          <w:tcPr>
            <w:tcW w:w="9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1"/>
              </w:rPr>
              <w:t>Significant</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99"/>
              </w:rPr>
              <w:t>for</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10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9"/>
              </w:rPr>
              <w:t>for</w:t>
            </w:r>
          </w:p>
        </w:tc>
        <w:tc>
          <w:tcPr>
            <w:tcW w:w="60" w:type="dxa"/>
            <w:vAlign w:val="bottom"/>
          </w:tcPr>
          <w:p>
            <w:pPr>
              <w:spacing w:after="0"/>
              <w:rPr>
                <w:sz w:val="8"/>
                <w:szCs w:val="8"/>
                <w:color w:val="auto"/>
              </w:rPr>
            </w:pPr>
          </w:p>
        </w:tc>
        <w:tc>
          <w:tcPr>
            <w:tcW w:w="9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98"/>
              </w:rPr>
              <w:t>Identical</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89"/>
              </w:rPr>
              <w:t>Observable</w:t>
            </w:r>
          </w:p>
        </w:tc>
        <w:tc>
          <w:tcPr>
            <w:tcW w:w="80" w:type="dxa"/>
            <w:vAlign w:val="bottom"/>
          </w:tcPr>
          <w:p>
            <w:pPr>
              <w:spacing w:after="0"/>
              <w:rPr>
                <w:sz w:val="8"/>
                <w:szCs w:val="8"/>
                <w:color w:val="auto"/>
              </w:rPr>
            </w:pPr>
          </w:p>
        </w:tc>
        <w:tc>
          <w:tcPr>
            <w:tcW w:w="10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0"/>
              </w:rPr>
              <w:t>Unobservable</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2"/>
              </w:rPr>
              <w:t>Identical</w:t>
            </w:r>
          </w:p>
        </w:tc>
        <w:tc>
          <w:tcPr>
            <w:tcW w:w="60" w:type="dxa"/>
            <w:vAlign w:val="bottom"/>
          </w:tcPr>
          <w:p>
            <w:pPr>
              <w:spacing w:after="0"/>
              <w:rPr>
                <w:sz w:val="8"/>
                <w:szCs w:val="8"/>
                <w:color w:val="auto"/>
              </w:rPr>
            </w:pPr>
          </w:p>
        </w:tc>
        <w:tc>
          <w:tcPr>
            <w:tcW w:w="9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3"/>
              </w:rPr>
              <w:t>Observable</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3"/>
          </w:tcPr>
          <w:p>
            <w:pPr>
              <w:jc w:val="center"/>
              <w:ind w:right="180"/>
              <w:spacing w:after="0" w:line="98" w:lineRule="exact"/>
              <w:rPr>
                <w:sz w:val="20"/>
                <w:szCs w:val="20"/>
                <w:color w:val="auto"/>
              </w:rPr>
            </w:pPr>
            <w:r>
              <w:rPr>
                <w:rFonts w:ascii="Arial" w:cs="Arial" w:eastAsia="Arial" w:hAnsi="Arial"/>
                <w:sz w:val="9"/>
                <w:szCs w:val="9"/>
                <w:b w:val="1"/>
                <w:bCs w:val="1"/>
                <w:color w:val="auto"/>
                <w:w w:val="81"/>
              </w:rPr>
              <w:t>Assets</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88"/>
              </w:rPr>
              <w:t>Inputs</w:t>
            </w:r>
          </w:p>
        </w:tc>
        <w:tc>
          <w:tcPr>
            <w:tcW w:w="80" w:type="dxa"/>
            <w:vAlign w:val="bottom"/>
          </w:tcPr>
          <w:p>
            <w:pPr>
              <w:spacing w:after="0"/>
              <w:rPr>
                <w:sz w:val="8"/>
                <w:szCs w:val="8"/>
                <w:color w:val="auto"/>
              </w:rPr>
            </w:pPr>
          </w:p>
        </w:tc>
        <w:tc>
          <w:tcPr>
            <w:tcW w:w="1000" w:type="dxa"/>
            <w:vAlign w:val="bottom"/>
            <w:gridSpan w:val="2"/>
          </w:tcPr>
          <w:p>
            <w:pPr>
              <w:jc w:val="center"/>
              <w:ind w:right="380"/>
              <w:spacing w:after="0" w:line="98" w:lineRule="exact"/>
              <w:rPr>
                <w:sz w:val="20"/>
                <w:szCs w:val="20"/>
                <w:color w:val="auto"/>
              </w:rPr>
            </w:pPr>
            <w:r>
              <w:rPr>
                <w:rFonts w:ascii="Arial" w:cs="Arial" w:eastAsia="Arial" w:hAnsi="Arial"/>
                <w:sz w:val="9"/>
                <w:szCs w:val="9"/>
                <w:b w:val="1"/>
                <w:bCs w:val="1"/>
                <w:color w:val="auto"/>
                <w:w w:val="96"/>
              </w:rPr>
              <w:t>Inputs</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1"/>
              </w:rPr>
              <w:t>Assets</w:t>
            </w:r>
          </w:p>
        </w:tc>
        <w:tc>
          <w:tcPr>
            <w:tcW w:w="60" w:type="dxa"/>
            <w:vAlign w:val="bottom"/>
          </w:tcPr>
          <w:p>
            <w:pPr>
              <w:spacing w:after="0"/>
              <w:rPr>
                <w:sz w:val="8"/>
                <w:szCs w:val="8"/>
                <w:color w:val="auto"/>
              </w:rPr>
            </w:pPr>
          </w:p>
        </w:tc>
        <w:tc>
          <w:tcPr>
            <w:tcW w:w="920" w:type="dxa"/>
            <w:vAlign w:val="bottom"/>
            <w:gridSpan w:val="2"/>
          </w:tcPr>
          <w:p>
            <w:pPr>
              <w:jc w:val="center"/>
              <w:ind w:right="460"/>
              <w:spacing w:after="0" w:line="98" w:lineRule="exact"/>
              <w:rPr>
                <w:sz w:val="20"/>
                <w:szCs w:val="20"/>
                <w:color w:val="auto"/>
              </w:rPr>
            </w:pPr>
            <w:r>
              <w:rPr>
                <w:rFonts w:ascii="Arial" w:cs="Arial" w:eastAsia="Arial" w:hAnsi="Arial"/>
                <w:sz w:val="9"/>
                <w:szCs w:val="9"/>
                <w:b w:val="1"/>
                <w:bCs w:val="1"/>
                <w:color w:val="auto"/>
                <w:w w:val="96"/>
              </w:rPr>
              <w:t>Inputs</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8"/>
              </w:rPr>
              <w:t>(Level 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2"/>
              </w:rPr>
              <w:t>(Level 2)</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2"/>
              </w:rPr>
              <w:t>(Level 3)</w:t>
            </w:r>
          </w:p>
        </w:tc>
        <w:tc>
          <w:tcPr>
            <w:tcW w:w="120" w:type="dxa"/>
            <w:vAlign w:val="bottom"/>
          </w:tcPr>
          <w:p>
            <w:pPr>
              <w:spacing w:after="0"/>
              <w:rPr>
                <w:sz w:val="9"/>
                <w:szCs w:val="9"/>
                <w:color w:val="auto"/>
              </w:rPr>
            </w:pP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2"/>
              </w:rPr>
              <w:t>(Level 1)</w:t>
            </w:r>
          </w:p>
        </w:tc>
        <w:tc>
          <w:tcPr>
            <w:tcW w:w="60" w:type="dxa"/>
            <w:vAlign w:val="bottom"/>
          </w:tcPr>
          <w:p>
            <w:pPr>
              <w:spacing w:after="0"/>
              <w:rPr>
                <w:sz w:val="9"/>
                <w:szCs w:val="9"/>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Cash equivalents:</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Available-for-sale:</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Institutional money market funds</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1,278,121</w:t>
            </w:r>
          </w:p>
        </w:tc>
        <w:tc>
          <w:tcPr>
            <w:tcW w:w="80" w:type="dxa"/>
            <w:vAlign w:val="bottom"/>
          </w:tcPr>
          <w:p>
            <w:pPr>
              <w:spacing w:after="0"/>
              <w:rPr>
                <w:sz w:val="9"/>
                <w:szCs w:val="9"/>
                <w:color w:val="auto"/>
              </w:rPr>
            </w:pP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1,278,121</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921,034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921,034</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Corporate obligations(1)</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95,948</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95,948</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99,959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99,959</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Short — term investments:</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Available-for-sale:</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Securities with one year or less to maturity:</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420"/>
              <w:spacing w:after="0" w:line="108" w:lineRule="exact"/>
              <w:rPr>
                <w:sz w:val="20"/>
                <w:szCs w:val="20"/>
                <w:color w:val="auto"/>
              </w:rPr>
            </w:pPr>
            <w:r>
              <w:rPr>
                <w:rFonts w:ascii="Arial" w:cs="Arial" w:eastAsia="Arial" w:hAnsi="Arial"/>
                <w:sz w:val="10"/>
                <w:szCs w:val="10"/>
                <w:color w:val="auto"/>
              </w:rPr>
              <w:t>Corporate obligations(1)</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2,169,078</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2,169,078</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1,520,220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1,520,220</w:t>
            </w:r>
          </w:p>
        </w:tc>
        <w:tc>
          <w:tcPr>
            <w:tcW w:w="0" w:type="dxa"/>
            <w:vAlign w:val="bottom"/>
          </w:tcPr>
          <w:p>
            <w:pPr>
              <w:spacing w:after="0"/>
              <w:rPr>
                <w:sz w:val="1"/>
                <w:szCs w:val="1"/>
                <w:color w:val="auto"/>
              </w:rPr>
            </w:pPr>
          </w:p>
        </w:tc>
      </w:tr>
      <w:tr>
        <w:trPr>
          <w:trHeight w:val="108"/>
        </w:trPr>
        <w:tc>
          <w:tcPr>
            <w:tcW w:w="3720" w:type="dxa"/>
            <w:vAlign w:val="bottom"/>
            <w:gridSpan w:val="2"/>
          </w:tcPr>
          <w:p>
            <w:pPr>
              <w:ind w:left="420"/>
              <w:spacing w:after="0" w:line="108" w:lineRule="exact"/>
              <w:rPr>
                <w:sz w:val="20"/>
                <w:szCs w:val="20"/>
                <w:color w:val="auto"/>
              </w:rPr>
            </w:pPr>
            <w:r>
              <w:rPr>
                <w:rFonts w:ascii="Arial" w:cs="Arial" w:eastAsia="Arial" w:hAnsi="Arial"/>
                <w:sz w:val="10"/>
                <w:szCs w:val="10"/>
                <w:color w:val="auto"/>
              </w:rPr>
              <w:t>Floating rate notes, issued at par</w:t>
            </w:r>
          </w:p>
        </w:tc>
        <w:tc>
          <w:tcPr>
            <w:tcW w:w="80" w:type="dxa"/>
            <w:vAlign w:val="bottom"/>
          </w:tcPr>
          <w:p>
            <w:pPr>
              <w:spacing w:after="0"/>
              <w:rPr>
                <w:sz w:val="9"/>
                <w:szCs w:val="9"/>
                <w:color w:val="auto"/>
              </w:rPr>
            </w:pPr>
          </w:p>
        </w:tc>
        <w:tc>
          <w:tcPr>
            <w:tcW w:w="62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9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50,000</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50,000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420"/>
              <w:spacing w:after="0" w:line="108" w:lineRule="exact"/>
              <w:rPr>
                <w:sz w:val="20"/>
                <w:szCs w:val="20"/>
                <w:color w:val="auto"/>
              </w:rPr>
            </w:pPr>
            <w:r>
              <w:rPr>
                <w:rFonts w:ascii="Arial" w:cs="Arial" w:eastAsia="Arial" w:hAnsi="Arial"/>
                <w:sz w:val="10"/>
                <w:szCs w:val="10"/>
                <w:color w:val="auto"/>
              </w:rPr>
              <w:t>Floating rate notes(1)</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17,704</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17,704</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Securities with greater than one year to maturity:</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420"/>
              <w:spacing w:after="0" w:line="108" w:lineRule="exact"/>
              <w:rPr>
                <w:sz w:val="20"/>
                <w:szCs w:val="20"/>
                <w:color w:val="auto"/>
              </w:rPr>
            </w:pPr>
            <w:r>
              <w:rPr>
                <w:rFonts w:ascii="Arial" w:cs="Arial" w:eastAsia="Arial" w:hAnsi="Arial"/>
                <w:sz w:val="10"/>
                <w:szCs w:val="10"/>
                <w:color w:val="auto"/>
              </w:rPr>
              <w:t>Floating rate notes(1)</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17,548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17,548</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Other assets:</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Forward foreign currency exchange contracts(2)</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2,472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2,472</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7,256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7,256</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Deferred compensation investments</w:t>
            </w:r>
          </w:p>
        </w:tc>
        <w:tc>
          <w:tcPr>
            <w:tcW w:w="80" w:type="dxa"/>
            <w:vAlign w:val="bottom"/>
          </w:tcPr>
          <w:p>
            <w:pPr>
              <w:spacing w:after="0"/>
              <w:rPr>
                <w:sz w:val="9"/>
                <w:szCs w:val="9"/>
                <w:color w:val="auto"/>
              </w:rPr>
            </w:pPr>
          </w:p>
        </w:tc>
        <w:tc>
          <w:tcPr>
            <w:tcW w:w="62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26,410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26,410</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8,690</w:t>
            </w:r>
          </w:p>
        </w:tc>
        <w:tc>
          <w:tcPr>
            <w:tcW w:w="60" w:type="dxa"/>
            <w:vAlign w:val="bottom"/>
          </w:tcPr>
          <w:p>
            <w:pPr>
              <w:spacing w:after="0"/>
              <w:rPr>
                <w:sz w:val="9"/>
                <w:szCs w:val="9"/>
                <w:color w:val="auto"/>
              </w:rPr>
            </w:pPr>
          </w:p>
        </w:tc>
        <w:tc>
          <w:tcPr>
            <w:tcW w:w="9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8,690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Other investments</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1,135</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1,135</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1,317</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1,317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Interest rate swap agreements</w:t>
            </w:r>
          </w:p>
        </w:tc>
        <w:tc>
          <w:tcPr>
            <w:tcW w:w="80" w:type="dxa"/>
            <w:vAlign w:val="bottom"/>
          </w:tcPr>
          <w:p>
            <w:pPr>
              <w:spacing w:after="0"/>
              <w:rPr>
                <w:sz w:val="9"/>
                <w:szCs w:val="9"/>
                <w:color w:val="auto"/>
              </w:rPr>
            </w:pPr>
          </w:p>
        </w:tc>
        <w:tc>
          <w:tcPr>
            <w:tcW w:w="62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22,187</w:t>
            </w:r>
          </w:p>
        </w:tc>
        <w:tc>
          <w:tcPr>
            <w:tcW w:w="80" w:type="dxa"/>
            <w:vAlign w:val="bottom"/>
          </w:tcPr>
          <w:p>
            <w:pPr>
              <w:spacing w:after="0"/>
              <w:rPr>
                <w:sz w:val="9"/>
                <w:szCs w:val="9"/>
                <w:color w:val="auto"/>
              </w:rPr>
            </w:pP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22,187</w:t>
            </w:r>
          </w:p>
        </w:tc>
        <w:tc>
          <w:tcPr>
            <w:tcW w:w="8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9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26,801</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26,801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Total assets measured at fair value</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1,305,666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2,307,389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3,613,055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931,041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1,721,784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2,652,825</w:t>
            </w:r>
          </w:p>
        </w:tc>
        <w:tc>
          <w:tcPr>
            <w:tcW w:w="0" w:type="dxa"/>
            <w:vAlign w:val="bottom"/>
          </w:tcPr>
          <w:p>
            <w:pPr>
              <w:spacing w:after="0"/>
              <w:rPr>
                <w:sz w:val="1"/>
                <w:szCs w:val="1"/>
                <w:color w:val="auto"/>
              </w:rPr>
            </w:pPr>
          </w:p>
        </w:tc>
      </w:tr>
      <w:tr>
        <w:trPr>
          <w:trHeight w:val="118"/>
        </w:trPr>
        <w:tc>
          <w:tcPr>
            <w:tcW w:w="3720" w:type="dxa"/>
            <w:vAlign w:val="bottom"/>
            <w:gridSpan w:val="2"/>
          </w:tcPr>
          <w:p>
            <w:pPr>
              <w:spacing w:after="0"/>
              <w:rPr>
                <w:sz w:val="20"/>
                <w:szCs w:val="20"/>
                <w:color w:val="auto"/>
              </w:rPr>
            </w:pPr>
            <w:r>
              <w:rPr>
                <w:rFonts w:ascii="Arial" w:cs="Arial" w:eastAsia="Arial" w:hAnsi="Arial"/>
                <w:sz w:val="10"/>
                <w:szCs w:val="10"/>
                <w:b w:val="1"/>
                <w:bCs w:val="1"/>
                <w:color w:val="auto"/>
              </w:rPr>
              <w:t>Liabilities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Long-term debt</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$375 million aggregate principle 5.0% debt(3)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2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396,337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76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396,337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400,635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400,635</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Contingent consideration</w:t>
            </w:r>
          </w:p>
        </w:tc>
        <w:tc>
          <w:tcPr>
            <w:tcW w:w="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13,973</w:t>
            </w:r>
          </w:p>
        </w:tc>
        <w:tc>
          <w:tcPr>
            <w:tcW w:w="12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13,973</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37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Total liabilities measured at fair value</w:t>
            </w: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396,337</w:t>
            </w:r>
          </w:p>
        </w:tc>
        <w:tc>
          <w:tcPr>
            <w:tcW w:w="3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13,973</w:t>
            </w:r>
          </w:p>
        </w:tc>
        <w:tc>
          <w:tcPr>
            <w:tcW w:w="3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410,310</w:t>
            </w: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400,635</w:t>
            </w:r>
          </w:p>
        </w:tc>
        <w:tc>
          <w:tcPr>
            <w:tcW w:w="4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400,635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left="4940" w:right="40" w:hanging="4879"/>
        <w:spacing w:after="0" w:line="734" w:lineRule="auto"/>
        <w:tabs>
          <w:tab w:leader="none" w:pos="321"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amortized cost of the Company’s investments classified as available-for-sale as of October 29, 2011 and October 30, 2010 was $2,284.9 million and $1,639.1 million, respectively.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-97155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320" w:right="180" w:hanging="259"/>
        <w:spacing w:after="0" w:line="276" w:lineRule="auto"/>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 has a master netting arrangement by counterparty with respect to derivative contracts. As of October 29, 2011 and October 30, 2010, contracts in a liability position of $0.8 million in each year, were netted against contracts in an asset position in the consolidated balance sheets.</w:t>
      </w:r>
    </w:p>
    <w:p>
      <w:pPr>
        <w:spacing w:after="0" w:line="10" w:lineRule="exact"/>
        <w:rPr>
          <w:rFonts w:ascii="Arial" w:cs="Arial" w:eastAsia="Arial" w:hAnsi="Arial"/>
          <w:sz w:val="13"/>
          <w:szCs w:val="13"/>
          <w:color w:val="auto"/>
        </w:rPr>
      </w:pPr>
    </w:p>
    <w:p>
      <w:pPr>
        <w:ind w:left="320" w:right="100" w:hanging="259"/>
        <w:spacing w:after="0" w:line="276" w:lineRule="auto"/>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Equal to the accreted notional value of the debt plus the fair value of the interest rate component of the long-term debt. The fair value of the long-term debt as of October 29, 2011 and October 30, 2010 was $413.4 million and $416.3 million, respectively.</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methods and assumptions were used by the Company in estimating its fair value disclosures for financial instruments:</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Cash equivalents and short-term investments </w:t>
      </w:r>
      <w:r>
        <w:rPr>
          <w:rFonts w:ascii="Arial" w:cs="Arial" w:eastAsia="Arial" w:hAnsi="Arial"/>
          <w:sz w:val="13"/>
          <w:szCs w:val="13"/>
          <w:color w:val="auto"/>
        </w:rPr>
        <w:t>— These investments are adjusted to fair value based on quoted market prices or are determined using a yield curve model based 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market rates.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1"/>
          <w:szCs w:val="11"/>
          <w:b w:val="1"/>
          <w:bCs w:val="1"/>
          <w:i w:val="1"/>
          <w:iCs w:val="1"/>
          <w:color w:val="auto"/>
        </w:rPr>
        <w:t xml:space="preserve">Deferred compensation plan investments and other investments </w:t>
      </w:r>
      <w:r>
        <w:rPr>
          <w:rFonts w:ascii="Arial" w:cs="Arial" w:eastAsia="Arial" w:hAnsi="Arial"/>
          <w:sz w:val="11"/>
          <w:szCs w:val="11"/>
          <w:color w:val="auto"/>
        </w:rPr>
        <w:t>— The fair value of these mutual fund, money market fund and equity investments are based on quoted market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prices.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 xml:space="preserve">Long-term debt </w:t>
      </w:r>
      <w:r>
        <w:rPr>
          <w:rFonts w:ascii="Arial" w:cs="Arial" w:eastAsia="Arial" w:hAnsi="Arial"/>
          <w:sz w:val="13"/>
          <w:szCs w:val="13"/>
          <w:color w:val="auto"/>
        </w:rPr>
        <w:t>— The fair value of long-term debt is based on quotes received from third-party banks.</w:t>
      </w:r>
    </w:p>
    <w:p>
      <w:pPr>
        <w:spacing w:after="0" w:line="96" w:lineRule="exact"/>
        <w:rPr>
          <w:sz w:val="20"/>
          <w:szCs w:val="20"/>
          <w:color w:val="auto"/>
        </w:rPr>
      </w:pPr>
    </w:p>
    <w:p>
      <w:pPr>
        <w:ind w:right="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Interest rate swap agreements </w:t>
      </w:r>
      <w:r>
        <w:rPr>
          <w:rFonts w:ascii="Arial" w:cs="Arial" w:eastAsia="Arial" w:hAnsi="Arial"/>
          <w:sz w:val="12"/>
          <w:szCs w:val="12"/>
          <w:color w:val="auto"/>
        </w:rPr>
        <w:t>— The fair value of interest rate swap agreements is based on quotes received from third-party banks. These values represent the estimated amount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would receive or pay to terminate the agreements taking into consideration current interest rates as well as the creditworthiness of the counterparty.</w:t>
      </w:r>
    </w:p>
    <w:p>
      <w:pPr>
        <w:spacing w:after="0" w:line="35"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b w:val="1"/>
          <w:bCs w:val="1"/>
          <w:i w:val="1"/>
          <w:iCs w:val="1"/>
          <w:color w:val="auto"/>
        </w:rPr>
        <w:t xml:space="preserve">Forward foreign currency exchange contracts </w:t>
      </w:r>
      <w:r>
        <w:rPr>
          <w:rFonts w:ascii="Arial" w:cs="Arial" w:eastAsia="Arial" w:hAnsi="Arial"/>
          <w:sz w:val="12"/>
          <w:szCs w:val="12"/>
          <w:color w:val="auto"/>
        </w:rPr>
        <w:t>— The estimated fair value of forward foreign currency exchange contracts, which includes derivatives that are accounted for as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50"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Contingent consideration </w:t>
      </w:r>
      <w:r>
        <w:rPr>
          <w:rFonts w:ascii="Arial" w:cs="Arial" w:eastAsia="Arial" w:hAnsi="Arial"/>
          <w:sz w:val="13"/>
          <w:szCs w:val="13"/>
          <w:color w:val="auto"/>
        </w:rPr>
        <w:t>— The fair value of contingent consideration was estimated utilizing the income approach and is based upon significant inputs not observable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 Changes in the fair value of the contingent consideration subsequent to the acquisition date that are primarily driven by assumptions pertaining to the achievement of the defined milestones will be recognized in operating income in the period of the estimated fair value change.</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change in the fair value of the contingent consideration measured using significant unobservable inputs (Level 3) for fiscal 2011:</w:t>
      </w:r>
    </w:p>
    <w:p>
      <w:pPr>
        <w:spacing w:after="0" w:line="98"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Contingent</w:t>
      </w:r>
    </w:p>
    <w:p>
      <w:pPr>
        <w:spacing w:after="0" w:line="5"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-635</wp:posOffset>
            </wp:positionV>
            <wp:extent cx="56769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October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6335395" cy="996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Contingent consideration liability recorded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Balance as of October 29, 2011</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Financial Instruments Not Recorded at Fair Value on a Recurring Basis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768" w:hanging="768"/>
        <w:spacing w:after="0"/>
        <w:tabs>
          <w:tab w:leader="none" w:pos="768" w:val="left"/>
        </w:tabs>
        <w:numPr>
          <w:ilvl w:val="0"/>
          <w:numId w:val="32"/>
        </w:numPr>
        <w:rPr>
          <w:rFonts w:ascii="Arial" w:cs="Arial" w:eastAsia="Arial" w:hAnsi="Arial"/>
          <w:sz w:val="12"/>
          <w:szCs w:val="12"/>
          <w:color w:val="auto"/>
        </w:rPr>
      </w:pPr>
      <w:r>
        <w:rPr>
          <w:rFonts w:ascii="Arial" w:cs="Arial" w:eastAsia="Arial" w:hAnsi="Arial"/>
          <w:sz w:val="12"/>
          <w:szCs w:val="12"/>
          <w:color w:val="auto"/>
        </w:rPr>
        <w:t>—</w:t>
      </w:r>
    </w:p>
    <w:p>
      <w:pPr>
        <w:spacing w:after="0" w:line="26" w:lineRule="exact"/>
        <w:rPr>
          <w:rFonts w:ascii="Arial" w:cs="Arial" w:eastAsia="Arial" w:hAnsi="Arial"/>
          <w:sz w:val="12"/>
          <w:szCs w:val="12"/>
          <w:color w:val="auto"/>
        </w:rPr>
      </w:pPr>
    </w:p>
    <w:p>
      <w:pPr>
        <w:ind w:left="528"/>
        <w:spacing w:after="0"/>
        <w:rPr>
          <w:rFonts w:ascii="Arial" w:cs="Arial" w:eastAsia="Arial" w:hAnsi="Arial"/>
          <w:sz w:val="12"/>
          <w:szCs w:val="12"/>
          <w:color w:val="auto"/>
        </w:rPr>
      </w:pPr>
      <w:r>
        <w:rPr>
          <w:rFonts w:ascii="Arial" w:cs="Arial" w:eastAsia="Arial" w:hAnsi="Arial"/>
          <w:sz w:val="11"/>
          <w:szCs w:val="11"/>
          <w:color w:val="auto"/>
        </w:rPr>
        <w:t>13,790</w:t>
      </w:r>
    </w:p>
    <w:p>
      <w:pPr>
        <w:spacing w:after="0" w:line="30" w:lineRule="exact"/>
        <w:rPr>
          <w:rFonts w:ascii="Arial" w:cs="Arial" w:eastAsia="Arial" w:hAnsi="Arial"/>
          <w:sz w:val="12"/>
          <w:szCs w:val="12"/>
          <w:color w:val="auto"/>
        </w:rPr>
      </w:pPr>
    </w:p>
    <w:p>
      <w:pPr>
        <w:ind w:left="708"/>
        <w:spacing w:after="0"/>
        <w:rPr>
          <w:rFonts w:ascii="Arial" w:cs="Arial" w:eastAsia="Arial" w:hAnsi="Arial"/>
          <w:sz w:val="12"/>
          <w:szCs w:val="12"/>
          <w:color w:val="auto"/>
        </w:rPr>
      </w:pPr>
      <w:r>
        <w:rPr>
          <w:rFonts w:ascii="Arial" w:cs="Arial" w:eastAsia="Arial" w:hAnsi="Arial"/>
          <w:sz w:val="10"/>
          <w:szCs w:val="1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56769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34" w:lineRule="exact"/>
        <w:rPr>
          <w:sz w:val="20"/>
          <w:szCs w:val="20"/>
          <w:color w:val="auto"/>
        </w:rPr>
      </w:pPr>
    </w:p>
    <w:p>
      <w:pPr>
        <w:ind w:left="528" w:hanging="528"/>
        <w:spacing w:after="0"/>
        <w:tabs>
          <w:tab w:leader="none" w:pos="528" w:val="left"/>
        </w:tabs>
        <w:numPr>
          <w:ilvl w:val="0"/>
          <w:numId w:val="33"/>
        </w:numPr>
        <w:rPr>
          <w:rFonts w:ascii="Arial" w:cs="Arial" w:eastAsia="Arial" w:hAnsi="Arial"/>
          <w:sz w:val="11"/>
          <w:szCs w:val="11"/>
          <w:color w:val="auto"/>
        </w:rPr>
      </w:pPr>
      <w:r>
        <w:rPr>
          <w:rFonts w:ascii="Arial" w:cs="Arial" w:eastAsia="Arial" w:hAnsi="Arial"/>
          <w:sz w:val="11"/>
          <w:szCs w:val="11"/>
          <w:color w:val="auto"/>
        </w:rPr>
        <w:t>13,973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8272" w:space="720"/>
            <w:col w:w="988"/>
          </w:cols>
          <w:pgMar w:left="900" w:top="716" w:right="1019" w:bottom="1440" w:gutter="0" w:footer="0" w:header="0"/>
          <w:type w:val="continuous"/>
        </w:sectPr>
      </w:pPr>
    </w:p>
    <w:p>
      <w:pPr>
        <w:ind w:firstLine="399"/>
        <w:spacing w:after="0" w:line="264" w:lineRule="auto"/>
        <w:rPr>
          <w:sz w:val="20"/>
          <w:szCs w:val="20"/>
          <w:color w:val="auto"/>
        </w:rPr>
      </w:pPr>
      <w:r>
        <w:rPr>
          <w:rFonts w:ascii="Arial" w:cs="Arial" w:eastAsia="Arial" w:hAnsi="Arial"/>
          <w:sz w:val="13"/>
          <w:szCs w:val="13"/>
          <w:color w:val="auto"/>
        </w:rPr>
        <w:t>On April 4, 2011, the Company issued $375 million aggregate principal amount of 3.0% senior unsecured notes due April 15, 2016 (the 3.0% Notes) with semi-annual fixed interest payments due on April 15 and October 15 of each year, commencing October 15, 2011. The fair value of the 3.0% Notes as of October 29, 2011 was $392.8 million, based on quotes received from third-party banks.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type w:val="continuous"/>
        </w:sectPr>
      </w:pPr>
    </w:p>
    <w:bookmarkStart w:id="59" w:name="page60"/>
    <w:bookmarkEnd w:id="59"/>
    <w:p>
      <w:pPr>
        <w:jc w:val="center"/>
        <w:ind w:right="-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accrued taxes, deferred tax valuation allowances, assumptions pertaining to share-based payments and other reserves. Actual results could differ from those estimates and such differences may be material to the financial statements.</w:t>
      </w:r>
    </w:p>
    <w:p>
      <w:pPr>
        <w:spacing w:after="0" w:line="134"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Concentrations of Risk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investments and trade accounts receivable.</w:t>
      </w:r>
    </w:p>
    <w:p>
      <w:pPr>
        <w:spacing w:after="0" w:line="96"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The Company maintains cash, cash equivalents and short-term investments and long-term investments with high credit quality counterparties, continually monitors the amount of credit exposure to any one issuer and diversifies its investments in order to minimize its credit risk.</w:t>
      </w:r>
    </w:p>
    <w:p>
      <w:pPr>
        <w:spacing w:after="0" w:line="59" w:lineRule="exact"/>
        <w:rPr>
          <w:sz w:val="20"/>
          <w:szCs w:val="20"/>
          <w:color w:val="auto"/>
        </w:rPr>
      </w:pPr>
    </w:p>
    <w:p>
      <w:pPr>
        <w:ind w:right="200" w:firstLine="399"/>
        <w:spacing w:after="0" w:line="322" w:lineRule="auto"/>
        <w:rPr>
          <w:sz w:val="20"/>
          <w:szCs w:val="20"/>
          <w:color w:val="auto"/>
        </w:rPr>
      </w:pPr>
      <w:r>
        <w:rPr>
          <w:rFonts w:ascii="Arial" w:cs="Arial" w:eastAsia="Arial" w:hAnsi="Arial"/>
          <w:sz w:val="11"/>
          <w:szCs w:val="11"/>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117" w:lineRule="exact"/>
        <w:rPr>
          <w:sz w:val="20"/>
          <w:szCs w:val="20"/>
          <w:color w:val="auto"/>
        </w:rPr>
      </w:pPr>
    </w:p>
    <w:p>
      <w:pPr>
        <w:ind w:left="400" w:hanging="393"/>
        <w:spacing w:after="0"/>
        <w:tabs>
          <w:tab w:leader="none" w:pos="400" w:val="left"/>
        </w:tabs>
        <w:numPr>
          <w:ilvl w:val="0"/>
          <w:numId w:val="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Concentration of Other Risks</w:t>
      </w:r>
    </w:p>
    <w:p>
      <w:pPr>
        <w:spacing w:after="0" w:line="96"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primarily Taiwan Semiconductor Manufacturing Company (TSMC). If TSMC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Although the Company has experienced shortages of components, materials and external foundry services from time to time, these items have generally been available to the Company as needed.</w:t>
      </w:r>
    </w:p>
    <w:p>
      <w:pPr>
        <w:spacing w:after="0" w:line="151" w:lineRule="exact"/>
        <w:rPr>
          <w:sz w:val="20"/>
          <w:szCs w:val="20"/>
          <w:color w:val="auto"/>
        </w:rPr>
      </w:pPr>
    </w:p>
    <w:p>
      <w:pPr>
        <w:ind w:left="320" w:hanging="313"/>
        <w:spacing w:after="0"/>
        <w:tabs>
          <w:tab w:leader="none" w:pos="320" w:val="left"/>
        </w:tabs>
        <w:numPr>
          <w:ilvl w:val="0"/>
          <w:numId w:val="3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60" w:name="page61"/>
    <w:bookmarkEnd w:id="60"/>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55"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Distributors are granted price-adjustment credits related to many of their sales to their customers. Price-adjustment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71"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67" w:lineRule="exact"/>
        <w:rPr>
          <w:sz w:val="20"/>
          <w:szCs w:val="20"/>
          <w:color w:val="auto"/>
        </w:rPr>
      </w:pPr>
    </w:p>
    <w:p>
      <w:pPr>
        <w:ind w:right="420" w:firstLine="399"/>
        <w:spacing w:after="0" w:line="264" w:lineRule="auto"/>
        <w:rPr>
          <w:sz w:val="20"/>
          <w:szCs w:val="20"/>
          <w:color w:val="auto"/>
        </w:rPr>
      </w:pPr>
      <w:r>
        <w:rPr>
          <w:rFonts w:ascii="Arial" w:cs="Arial" w:eastAsia="Arial" w:hAnsi="Arial"/>
          <w:sz w:val="13"/>
          <w:szCs w:val="13"/>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67"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5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of October 29, 2011 and October 30, 2010, the Company had gross deferred revenue of $311.3 million and $327.2 million, respectively, and gross deferred cost of sales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$78.1 million and $84.4 million, respectively. Deferred income on shipments to distributors decreased by approximately $9.6 million in fiscal 2011 primarily as a result of the distributors’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sales to their customers in fiscal 2011 exceeding the Company’s shipments to its distributors during this same time period.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Shipping costs are charged to cost of sales as incurred.</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Company generally offers a 12-month warranty for its products. The Company’s warranty policy provides for replacement of the defective product. Specific accruals are recorded for known product warranty issues. Product warranty expenses during fiscal 2011, 2010 or 2009 were not material.</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85"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Accumulated Other Comprehensive (Loss) Income</w:t>
      </w:r>
    </w:p>
    <w:p>
      <w:pPr>
        <w:spacing w:after="0" w:line="96"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Other comprehensive (loss) income includes certain transactions that have generally been reported in the consolidated statement of shareholders’ equity. The components of accumulated other comprehensive (loss) at October 29, 2011 and October 30, 2010 consisted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Unrealized gains on derivative instruments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6,133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on available-for-sale securities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Unrealized losses on available-for-sale securities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(641)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 — pension plans: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Transition obligation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actuarial loss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(25,755)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(38,839)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accumulated other comprehensive loss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w w:val="99"/>
              </w:rPr>
              <w:t>(26,169)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(33,595)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aggregate fair value of investments with unrealized losses as of October 29, 2011 and October 30, 2010 was $1,899.4 million and $731.0 million, respectively. These unrealized losses were primarily related to commercial paper that earns lower interest rates than current market rates. None of these investments have been in a loss position for more than twelve months.</w:t>
      </w:r>
    </w:p>
    <w:p>
      <w:pPr>
        <w:spacing w:after="0" w:line="146"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Advertising Expense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Advertising costs are expensed as incurred. Advertising expense was $4.1 million in fiscal 2011, $3.7 million in fiscal 2010 and $5.2 million in fiscal 2009.</w:t>
      </w:r>
    </w:p>
    <w:p>
      <w:pPr>
        <w:spacing w:after="0" w:line="175"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46"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Earnings Per Share of Common Stock</w:t>
      </w:r>
    </w:p>
    <w:p>
      <w:pPr>
        <w:spacing w:after="0" w:line="96"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the computation of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860,894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711,225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247,408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859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867,394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712,084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247,772</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Basic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299,417</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297,387</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291,385</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Earnings per share-basic:</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Diluted shares: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299,417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297,387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291,385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Assumed exercise of common stock equivalents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8,819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8,474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common and common equivalent shares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308,236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305,861</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292,698</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Earnings per share-diluted:</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continuing operations, net of tax</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income from discontinued operations, net of tax</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0.85</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b w:val="1"/>
                <w:bCs w:val="1"/>
                <w:color w:val="auto"/>
              </w:rPr>
              <w:t>Weighted average anti-dilutive shares related to:</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Outstanding stock options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7,298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18,206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55,827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generally three years for restricted stock units. Determining the amount of stock-based compensation to be recorded requires the Company to develop estimates used in calculating the grant-date fair value of stock options. The Company calculates the grant-date fair value using the Black-Scholes valuation model. The use of valuation models requires the Company to make estimates and assumptions such as expected volatility, expected term, risk-free interest rate, expected dividend yield and forfeiture rates.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Note 3 for additional information relating to stock-based compensation.</w:t>
      </w:r>
    </w:p>
    <w:p>
      <w:pPr>
        <w:spacing w:after="0" w:line="175"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New Accounting Pronouncements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Standards Implemented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Multiple-Deliverable Revenue Arrangements</w:t>
      </w:r>
    </w:p>
    <w:p>
      <w:pPr>
        <w:spacing w:after="0" w:line="96"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 xml:space="preserve">In October 2009, the Financial Accounting Standards Board (FASB) issued Accounting Standards Update No. 2009-13 — </w:t>
      </w:r>
      <w:r>
        <w:rPr>
          <w:rFonts w:ascii="Arial" w:cs="Arial" w:eastAsia="Arial" w:hAnsi="Arial"/>
          <w:sz w:val="13"/>
          <w:szCs w:val="13"/>
          <w:i w:val="1"/>
          <w:iCs w:val="1"/>
          <w:color w:val="auto"/>
        </w:rPr>
        <w:t>Revenue Recognition (Topic 605): Multiple-Deliverable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Revenue Arrangements </w:t>
      </w:r>
      <w:r>
        <w:rPr>
          <w:rFonts w:ascii="Arial" w:cs="Arial" w:eastAsia="Arial" w:hAnsi="Arial"/>
          <w:sz w:val="13"/>
          <w:szCs w:val="13"/>
          <w:color w:val="auto"/>
        </w:rPr>
        <w:t>(formerly EITF Issue No. 08-1) (ASU No. 2009-13). This standard modifies the revenue recognition guidance for arrangements that involve the delivery of multiple</w:t>
      </w:r>
      <w:r>
        <w:rPr>
          <w:rFonts w:ascii="Arial" w:cs="Arial" w:eastAsia="Arial" w:hAnsi="Arial"/>
          <w:sz w:val="13"/>
          <w:szCs w:val="13"/>
          <w:i w:val="1"/>
          <w:iCs w:val="1"/>
          <w:color w:val="auto"/>
        </w:rPr>
        <w:t xml:space="preserve"> </w:t>
      </w:r>
      <w:r>
        <w:rPr>
          <w:rFonts w:ascii="Arial" w:cs="Arial" w:eastAsia="Arial" w:hAnsi="Arial"/>
          <w:sz w:val="13"/>
          <w:szCs w:val="13"/>
          <w:color w:val="auto"/>
        </w:rPr>
        <w:t>elements, such as product, software, services or support, to a customer at different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the Company’s fiscal year 2011. The adoption of ASU 2009-13 in the first quarter of fiscal 2011 did not have a material impact on the Company’s financial condition and results of operations.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Standards to be Implemented</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Business Combinations</w:t>
      </w:r>
    </w:p>
    <w:p>
      <w:pPr>
        <w:spacing w:after="0" w:line="96"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 xml:space="preserve">In December 2010, the FASB issued ASU No. 2010-29, </w:t>
      </w:r>
      <w:r>
        <w:rPr>
          <w:rFonts w:ascii="Arial" w:cs="Arial" w:eastAsia="Arial" w:hAnsi="Arial"/>
          <w:sz w:val="12"/>
          <w:szCs w:val="12"/>
          <w:i w:val="1"/>
          <w:iCs w:val="1"/>
          <w:color w:val="auto"/>
        </w:rPr>
        <w:t>Business Combinations (ASC Topic 805) — Disclosure of Supplementary Pro Forma Information for Business Combinations</w:t>
      </w:r>
      <w:r>
        <w:rPr>
          <w:rFonts w:ascii="Arial" w:cs="Arial" w:eastAsia="Arial" w:hAnsi="Arial"/>
          <w:sz w:val="12"/>
          <w:szCs w:val="12"/>
          <w:color w:val="auto"/>
        </w:rPr>
        <w:t xml:space="preserve"> (ASU No. 2010-29). ASU No. 2010-29 requires a public entity to disclose revenue and earnings of the combined entity as though 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the Company’s first quarter of fiscal year 2012. The adoption of ASU No. 2010-29 will require additional disclosure in the event of a business combination but will not have a material impact on the Company’s financial condition and results of operations.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Intangibles — Goodwill and Other</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 xml:space="preserve">In December 2010, the FASB issued ASU No. 2010-28, </w:t>
      </w:r>
      <w:r>
        <w:rPr>
          <w:rFonts w:ascii="Arial" w:cs="Arial" w:eastAsia="Arial" w:hAnsi="Arial"/>
          <w:sz w:val="12"/>
          <w:szCs w:val="12"/>
          <w:i w:val="1"/>
          <w:iCs w:val="1"/>
          <w:color w:val="auto"/>
        </w:rPr>
        <w:t>Intangibles — Goodwill and Other (ASC Topic 350)</w:t>
      </w:r>
      <w:r>
        <w:rPr>
          <w:rFonts w:ascii="Arial" w:cs="Arial" w:eastAsia="Arial" w:hAnsi="Arial"/>
          <w:sz w:val="12"/>
          <w:szCs w:val="12"/>
          <w:color w:val="auto"/>
        </w:rPr>
        <w:t xml:space="preserve"> (ASU No. 2010-28). ASU 210-28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the Company’s fiscal year 2012. The Company does not expect the adoption of ASU No. 2010-28 to impact the Company’s financial condition and results of operations.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Fair Value Measurement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May 2011, the FASB issued ASU No. 2011-04, </w:t>
      </w:r>
      <w:r>
        <w:rPr>
          <w:rFonts w:ascii="Arial" w:cs="Arial" w:eastAsia="Arial" w:hAnsi="Arial"/>
          <w:sz w:val="12"/>
          <w:szCs w:val="12"/>
          <w:i w:val="1"/>
          <w:iCs w:val="1"/>
          <w:color w:val="auto"/>
        </w:rPr>
        <w:t>Amendments to Achieve Common Fair Value Measurements and Disclosure Requirements in U.S. GAAP and IFRSs</w:t>
      </w:r>
      <w:r>
        <w:rPr>
          <w:rFonts w:ascii="Arial" w:cs="Arial" w:eastAsia="Arial" w:hAnsi="Arial"/>
          <w:sz w:val="12"/>
          <w:szCs w:val="12"/>
          <w:color w:val="auto"/>
        </w:rPr>
        <w:t xml:space="preserve"> (ASU</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 xml:space="preserve">No. 2011-04). ASU No. 2011-04 amended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to converge the fair value measurement guidance in U.S. GAAP and International Financial Reporting Standards (IFRSs). Some of the amendments clarify the application of existing fair value measurement requirements, while other amendments change a particular principle in ASC 820. In addition, ASU No. 2011-04 requires additional fair value disclosures. The amendments are to be applied prospectively and are effective for interim and annual periods beginning after December 15, 2011, which is the Company’s second quarter of fiscal year 2012. The Company is currently evaluating the impact, if any, that ASU No. 2011-04 may have on the Company’s financial condition and results of operations.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Comprehensive Income</w:t>
      </w:r>
    </w:p>
    <w:p>
      <w:pPr>
        <w:spacing w:after="0" w:line="96" w:lineRule="exact"/>
        <w:rPr>
          <w:sz w:val="20"/>
          <w:szCs w:val="20"/>
          <w:color w:val="auto"/>
        </w:rPr>
      </w:pPr>
    </w:p>
    <w:p>
      <w:pPr>
        <w:jc w:val="both"/>
        <w:ind w:right="180" w:firstLine="399"/>
        <w:spacing w:after="0" w:line="289" w:lineRule="auto"/>
        <w:rPr>
          <w:sz w:val="20"/>
          <w:szCs w:val="20"/>
          <w:color w:val="auto"/>
        </w:rPr>
      </w:pPr>
      <w:r>
        <w:rPr>
          <w:rFonts w:ascii="Arial" w:cs="Arial" w:eastAsia="Arial" w:hAnsi="Arial"/>
          <w:sz w:val="12"/>
          <w:szCs w:val="12"/>
          <w:color w:val="auto"/>
        </w:rPr>
        <w:t xml:space="preserve">In June 2011, the FASB issued ASU No. 2011-05, </w:t>
      </w:r>
      <w:r>
        <w:rPr>
          <w:rFonts w:ascii="Arial" w:cs="Arial" w:eastAsia="Arial" w:hAnsi="Arial"/>
          <w:sz w:val="12"/>
          <w:szCs w:val="12"/>
          <w:i w:val="1"/>
          <w:iCs w:val="1"/>
          <w:color w:val="auto"/>
        </w:rPr>
        <w:t>Presentation of Comprehensive Income</w:t>
      </w:r>
      <w:r>
        <w:rPr>
          <w:rFonts w:ascii="Arial" w:cs="Arial" w:eastAsia="Arial" w:hAnsi="Arial"/>
          <w:sz w:val="12"/>
          <w:szCs w:val="12"/>
          <w:color w:val="auto"/>
        </w:rPr>
        <w:t xml:space="preserve"> (ASU No. 2011-05). ASU No. 2011-05 amended ASC 320, </w:t>
      </w:r>
      <w:r>
        <w:rPr>
          <w:rFonts w:ascii="Arial" w:cs="Arial" w:eastAsia="Arial" w:hAnsi="Arial"/>
          <w:sz w:val="12"/>
          <w:szCs w:val="12"/>
          <w:i w:val="1"/>
          <w:iCs w:val="1"/>
          <w:color w:val="auto"/>
        </w:rPr>
        <w:t>Comprehensive Income,</w:t>
      </w:r>
      <w:r>
        <w:rPr>
          <w:rFonts w:ascii="Arial" w:cs="Arial" w:eastAsia="Arial" w:hAnsi="Arial"/>
          <w:sz w:val="12"/>
          <w:szCs w:val="12"/>
          <w:color w:val="auto"/>
        </w:rPr>
        <w:t xml:space="preserve"> to converge the presentation of comprehensive income between U.S GAAP and IFRS. ASU No. 2011-05 requires that all non-owner changes in stockholders’ equity be presented in either a single continuous statement of comprehensive income or in two separate but consecutive statements and also requires reclassification adjustments for items that are reclassified from other comprehensive income to net income in the statement(s) where the components of net income and the components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20"/>
        <w:spacing w:after="0" w:line="296" w:lineRule="auto"/>
        <w:rPr>
          <w:sz w:val="20"/>
          <w:szCs w:val="20"/>
          <w:color w:val="auto"/>
        </w:rPr>
      </w:pPr>
      <w:r>
        <w:rPr>
          <w:rFonts w:ascii="Arial" w:cs="Arial" w:eastAsia="Arial" w:hAnsi="Arial"/>
          <w:sz w:val="12"/>
          <w:szCs w:val="12"/>
          <w:color w:val="auto"/>
        </w:rPr>
        <w:t>of other comprehensive income are presented. ASU No. 2011-05 eliminates the option to present the components of other comprehensive income as part of the statement of changes in stockholders’ equity. ASU 2011-05 is effective for fiscal years, and interim periods within those years, beginning after December 15, 2011, which is the Company’s fiscal year 2013. The adoption of ASU No. 2011-05 will affect the presentation of comprehensive income but will not impact the Company’s financial condition or results of operations.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Intangibles — Goodwill and Other: Testing Goodwill for Impairment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September 2011, the FASB issued ASU No. 2011-08, </w:t>
      </w:r>
      <w:r>
        <w:rPr>
          <w:rFonts w:ascii="Arial" w:cs="Arial" w:eastAsia="Arial" w:hAnsi="Arial"/>
          <w:sz w:val="12"/>
          <w:szCs w:val="12"/>
          <w:i w:val="1"/>
          <w:iCs w:val="1"/>
          <w:color w:val="auto"/>
        </w:rPr>
        <w:t>Intangibles — Goodwill and Other (ASC Topic 350): Testing for Goodwill Impairment</w:t>
      </w:r>
      <w:r>
        <w:rPr>
          <w:rFonts w:ascii="Arial" w:cs="Arial" w:eastAsia="Arial" w:hAnsi="Arial"/>
          <w:sz w:val="12"/>
          <w:szCs w:val="12"/>
          <w:color w:val="auto"/>
        </w:rPr>
        <w:t xml:space="preserve"> (ASU No. 2011-08). ASU</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No. 2011-08 provides a company the option to first assess qualitative factors to determine whether the existence of certain conditions leads to a determination that it is more likely than not that the fair value of a reporting unit is less than its carrying amount. If, after assessing the totality of events or circumstances, a company determines it is not more likely than not that the fair value of a reporting unit is less than its carrying amount, then performing the two-step goodwill impairment test is unnecessary. However, if a company concludes otherwise, then it is required to perform the two-step goodwill impairment test. ASU No. 2011-08 is effective for fiscal years that begin after December 15, 2011, which is the Company’s fiscal year 2013. The Company is currently evaluating the impact, if any, that ASU No. 2011-08 may have on the Company’s financial condition and results of operations.</w:t>
      </w:r>
    </w:p>
    <w:p>
      <w:pPr>
        <w:spacing w:after="0" w:line="138" w:lineRule="exact"/>
        <w:rPr>
          <w:sz w:val="20"/>
          <w:szCs w:val="20"/>
          <w:color w:val="auto"/>
        </w:rPr>
      </w:pPr>
    </w:p>
    <w:p>
      <w:pPr>
        <w:ind w:left="320" w:hanging="313"/>
        <w:spacing w:after="0"/>
        <w:tabs>
          <w:tab w:leader="none" w:pos="320" w:val="left"/>
        </w:tabs>
        <w:numPr>
          <w:ilvl w:val="0"/>
          <w:numId w:val="4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During fiscal 2008, the Company completed the sale of this business. In the first quarter of fiscal 2010, proceeds of $1 million were released from escrow and $0.6 million net of tax was recorded as additional gain from the sale of discontinued operations. The Company does not expect any additional proceeds from this sale.</w:t>
      </w:r>
    </w:p>
    <w:p>
      <w:pPr>
        <w:spacing w:after="0" w:line="71"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During fiscal 2008 the Company completed the sale of its Baseband Chipset Business for net cash proceeds of $269 million. The Company made cash payments of $1.7 million during fiscal 2009 related to retention payments for employees who transferred to MediaTek Inc. and for the reimbursement of intellectual property license fees incurred by MediaTek. During fiscal 2010, the Company received cash proceeds of $62 million as a result of the receipt of a refundable withholding tax and also recorded an additional gain on sale of $0.3 million, or $0.2 million net of tax, due to the settlement of certain items at less than the amounts accrued. In fiscal 2011, additional proceeds of $10 million were released from escrow and $6.5 million net of tax was recorded as additional gain from the sale of discontinued operations. The Company does not expect any additional proceeds from this sale.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a manufacturing supply agreement between the Company and a subsidiary of ON Semiconductor Corporation, which terminated during the first quarter of fiscal year 2009.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10,332</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Cost of sales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10,847</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Gain on sale of discontinued operations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1,316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1,316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3,500</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income from discontinued operations, net of tax</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hanging="313"/>
        <w:spacing w:after="0"/>
        <w:tabs>
          <w:tab w:leader="none" w:pos="32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 and Shareholders’ Equity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Equity Compensation Plans</w:t>
      </w:r>
    </w:p>
    <w:p>
      <w:pPr>
        <w:spacing w:after="0" w:line="96"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The Company grants, or has granted, stock options and other stock and stock-based awards under The 2006 Stock Incentive Plan (2006 Plan). The 2006 Plan was approved by the Company’s Board of Directors on January 23, 2006 and was approved by shareholders on March 14, 2006 and subsequently amended in March 2006, June 2009, September 2009, December 2009, December 2010 and June 2011. The 2006 Plan provides for the grant of up to 15 million shares of the Company’s common stock, plus such number of additional shares that were subject to outstanding options under the Company’s previous plans that are not issued because the applicable option award subsequently terminates or expires without being exercised. The 2006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2006 Plan. No award may be made under the 2006 Plan after March 13, 2016, but awards previously granted may extend beyond that date. The Company will not grant further options under any previous plans.</w:t>
      </w:r>
    </w:p>
    <w:p>
      <w:pPr>
        <w:spacing w:after="0" w:line="59" w:lineRule="exact"/>
        <w:rPr>
          <w:sz w:val="20"/>
          <w:szCs w:val="20"/>
          <w:color w:val="auto"/>
        </w:rPr>
      </w:pPr>
    </w:p>
    <w:p>
      <w:pPr>
        <w:ind w:firstLine="399"/>
        <w:spacing w:after="0" w:line="236" w:lineRule="auto"/>
        <w:rPr>
          <w:sz w:val="20"/>
          <w:szCs w:val="20"/>
          <w:color w:val="auto"/>
        </w:rPr>
      </w:pPr>
      <w:r>
        <w:rPr>
          <w:rFonts w:ascii="Arial" w:cs="Arial" w:eastAsia="Arial" w:hAnsi="Arial"/>
          <w:sz w:val="13"/>
          <w:szCs w:val="13"/>
          <w:color w:val="auto"/>
        </w:rPr>
        <w:t>While the Company may grant to employees options that become exercisable at different times or within different periods, the Company has generally granted to employees options that vest over five years and become exercisable in annual installments of 20% on each of the first, second, third, fourth and fifth anniversaries of the date of grant;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on each of the third, fourth, and fifth anniversaries of the date of grant; or in annual installments of 25% on each of the second, third, fourth and fifth anniversaries of the date of grant. The maximum contractual term of all options is ten years. In addition, the Company has granted to employees restricted stock units that generally vest in one installment on the third anniversary of the grant date.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of October 29, 2011, a total of 10,803,862 common shares were available for future grant and 47,007,728 common shares were reserved for issuance under the 2006 Plan.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Grant-Date Fair Value</w:t>
      </w:r>
    </w:p>
    <w:p>
      <w:pPr>
        <w:spacing w:after="0" w:line="96" w:lineRule="exact"/>
        <w:rPr>
          <w:sz w:val="20"/>
          <w:szCs w:val="20"/>
          <w:color w:val="auto"/>
        </w:rPr>
      </w:pPr>
    </w:p>
    <w:p>
      <w:pPr>
        <w:ind w:right="140" w:firstLine="399"/>
        <w:spacing w:after="0" w:line="371" w:lineRule="auto"/>
        <w:rPr>
          <w:sz w:val="20"/>
          <w:szCs w:val="20"/>
          <w:color w:val="auto"/>
        </w:rPr>
      </w:pPr>
      <w:r>
        <w:rPr>
          <w:rFonts w:ascii="Arial" w:cs="Arial" w:eastAsia="Arial" w:hAnsi="Arial"/>
          <w:sz w:val="11"/>
          <w:szCs w:val="11"/>
          <w:color w:val="auto"/>
        </w:rPr>
        <w:t>The Company uses the Black-Scholes option pricing model to calculate the grant-date fair value of stock option awards. The grant date fair value of restricted stock units represents the value of the Company’s common stock on the date of grant, reduced by the present value of dividends expected to be paid on the Company’s common stock prior to vesting.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Information pertaining to the Company’s stock option awards and the related estimated weighted-average assumptions to calculate the fair value of stock options granted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3"/>
              </w:rPr>
              <w:t>2009 Excluding</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9"/>
              </w:rPr>
              <w:t>Option</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restart"/>
          </w:tcPr>
          <w:p>
            <w:pPr>
              <w:jc w:val="right"/>
              <w:ind w:right="156"/>
              <w:spacing w:after="0"/>
              <w:rPr>
                <w:sz w:val="20"/>
                <w:szCs w:val="20"/>
                <w:color w:val="auto"/>
              </w:rPr>
            </w:pPr>
            <w:r>
              <w:rPr>
                <w:rFonts w:ascii="Arial" w:cs="Arial" w:eastAsia="Arial" w:hAnsi="Arial"/>
                <w:sz w:val="10"/>
                <w:szCs w:val="10"/>
                <w:b w:val="1"/>
                <w:bCs w:val="1"/>
                <w:color w:val="auto"/>
              </w:rPr>
              <w:t>2011</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restart"/>
          </w:tcPr>
          <w:p>
            <w:pPr>
              <w:jc w:val="right"/>
              <w:ind w:right="176"/>
              <w:spacing w:after="0"/>
              <w:rPr>
                <w:sz w:val="20"/>
                <w:szCs w:val="20"/>
                <w:color w:val="auto"/>
              </w:rPr>
            </w:pPr>
            <w:r>
              <w:rPr>
                <w:rFonts w:ascii="Arial" w:cs="Arial" w:eastAsia="Arial" w:hAnsi="Arial"/>
                <w:sz w:val="10"/>
                <w:szCs w:val="10"/>
                <w:b w:val="1"/>
                <w:bCs w:val="1"/>
                <w:color w:val="auto"/>
                <w:w w:val="98"/>
              </w:rPr>
              <w:t>2010</w:t>
            </w:r>
          </w:p>
        </w:tc>
        <w:tc>
          <w:tcPr>
            <w:tcW w:w="280" w:type="dxa"/>
            <w:vAlign w:val="bottom"/>
          </w:tcPr>
          <w:p>
            <w:pPr>
              <w:spacing w:after="0"/>
              <w:rPr>
                <w:sz w:val="9"/>
                <w:szCs w:val="9"/>
                <w:color w:val="auto"/>
              </w:rPr>
            </w:pPr>
          </w:p>
        </w:tc>
        <w:tc>
          <w:tcPr>
            <w:tcW w:w="12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3"/>
              </w:rPr>
              <w:t>Exchange</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2009*</w:t>
            </w: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Program</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Options granted (in thousands)</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5"/>
              </w:rPr>
              <w:t>1,990</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79"/>
              </w:rPr>
              <w:t>1,866</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5,675</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20,873</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Weighted-average exercise price-stock options</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16"/>
              <w:spacing w:after="0"/>
              <w:rPr>
                <w:sz w:val="20"/>
                <w:szCs w:val="20"/>
                <w:color w:val="auto"/>
              </w:rPr>
            </w:pPr>
            <w:r>
              <w:rPr>
                <w:rFonts w:ascii="Arial" w:cs="Arial" w:eastAsia="Arial" w:hAnsi="Arial"/>
                <w:sz w:val="13"/>
                <w:szCs w:val="13"/>
                <w:color w:val="auto"/>
                <w:w w:val="85"/>
              </w:rPr>
              <w:t>37.59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6"/>
              <w:spacing w:after="0"/>
              <w:rPr>
                <w:sz w:val="20"/>
                <w:szCs w:val="20"/>
                <w:color w:val="auto"/>
              </w:rPr>
            </w:pPr>
            <w:r>
              <w:rPr>
                <w:rFonts w:ascii="Arial" w:cs="Arial" w:eastAsia="Arial" w:hAnsi="Arial"/>
                <w:sz w:val="13"/>
                <w:szCs w:val="13"/>
                <w:color w:val="auto"/>
                <w:w w:val="79"/>
              </w:rPr>
              <w:t>31.49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w w:val="85"/>
              </w:rPr>
              <w:t>19.63</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25.74</w:t>
            </w: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grant date fair value-stock options</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7.77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7.42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Assumptions: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expected volatility</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29.3%</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31.4%</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58.8%</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20"/>
                <w:szCs w:val="20"/>
                <w:color w:val="auto"/>
              </w:rPr>
            </w:pPr>
            <w:r>
              <w:rPr>
                <w:rFonts w:ascii="Arial" w:cs="Arial" w:eastAsia="Arial" w:hAnsi="Arial"/>
                <w:sz w:val="13"/>
                <w:szCs w:val="13"/>
                <w:color w:val="auto"/>
              </w:rPr>
              <w:t>Weighted-average expected term (in years)</w:t>
            </w:r>
          </w:p>
        </w:tc>
        <w:tc>
          <w:tcPr>
            <w:tcW w:w="200" w:type="dxa"/>
            <w:vAlign w:val="bottom"/>
          </w:tcPr>
          <w:p>
            <w:pPr>
              <w:spacing w:after="0"/>
              <w:rPr>
                <w:sz w:val="13"/>
                <w:szCs w:val="13"/>
                <w:color w:val="auto"/>
              </w:rPr>
            </w:pPr>
          </w:p>
        </w:tc>
        <w:tc>
          <w:tcPr>
            <w:tcW w:w="480" w:type="dxa"/>
            <w:vAlign w:val="bottom"/>
          </w:tcPr>
          <w:p>
            <w:pPr>
              <w:jc w:val="right"/>
              <w:ind w:right="116"/>
              <w:spacing w:after="0"/>
              <w:rPr>
                <w:sz w:val="20"/>
                <w:szCs w:val="20"/>
                <w:color w:val="auto"/>
              </w:rPr>
            </w:pPr>
            <w:r>
              <w:rPr>
                <w:rFonts w:ascii="Arial" w:cs="Arial" w:eastAsia="Arial" w:hAnsi="Arial"/>
                <w:sz w:val="13"/>
                <w:szCs w:val="13"/>
                <w:color w:val="auto"/>
              </w:rPr>
              <w:t>5.3</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5.3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1.7%</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562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20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2.6%</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3"/>
                <w:szCs w:val="13"/>
                <w:color w:val="auto"/>
              </w:rPr>
              <w:t>4.1%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220" w:hanging="213"/>
        <w:spacing w:after="0"/>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options granted under the stock option exchange program which is described below.</w:t>
      </w:r>
    </w:p>
    <w:p>
      <w:pPr>
        <w:spacing w:after="0" w:line="96"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i w:val="1"/>
          <w:iCs w:val="1"/>
          <w:color w:val="auto"/>
        </w:rPr>
        <w:t xml:space="preserve">Expected volatility — </w:t>
      </w:r>
      <w:r>
        <w:rPr>
          <w:rFonts w:ascii="Arial" w:cs="Arial" w:eastAsia="Arial" w:hAnsi="Arial"/>
          <w:sz w:val="12"/>
          <w:szCs w:val="12"/>
          <w:color w:val="auto"/>
        </w:rPr>
        <w:t>The Company is responsible for estimating volatility and has considered a number of factors, including third-party estimates, when estimating volatility.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i w:val="1"/>
          <w:iCs w:val="1"/>
          <w:color w:val="auto"/>
        </w:rPr>
        <w:t xml:space="preserve">Expected term — </w:t>
      </w:r>
      <w:r>
        <w:rPr>
          <w:rFonts w:ascii="Arial" w:cs="Arial" w:eastAsia="Arial" w:hAnsi="Arial"/>
          <w:sz w:val="12"/>
          <w:szCs w:val="12"/>
          <w:color w:val="auto"/>
        </w:rPr>
        <w:t>The Company uses historical employee exercise and option expiration data to estimate the expected term assumption for the Black-Scholes grant-date valuation.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this historical data is currently the best estimate of the expected term of a new option, and that generally its employees exhibit similar exercise behavior.</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1"/>
          <w:szCs w:val="11"/>
          <w:i w:val="1"/>
          <w:iCs w:val="1"/>
          <w:color w:val="auto"/>
        </w:rPr>
        <w:t xml:space="preserve">Risk-free interest rate — </w:t>
      </w:r>
      <w:r>
        <w:rPr>
          <w:rFonts w:ascii="Arial" w:cs="Arial" w:eastAsia="Arial" w:hAnsi="Arial"/>
          <w:sz w:val="11"/>
          <w:szCs w:val="11"/>
          <w:color w:val="auto"/>
        </w:rPr>
        <w:t>The yield on zero-coupon U.S. Treasury securities for a period that is commensurate with the expected term assumption is used as the risk-free interest rate.</w:t>
      </w:r>
    </w:p>
    <w:p>
      <w:pPr>
        <w:spacing w:after="0" w:line="119"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i w:val="1"/>
          <w:iCs w:val="1"/>
          <w:color w:val="auto"/>
        </w:rPr>
        <w:t xml:space="preserve">Expected dividend yield — </w:t>
      </w:r>
      <w:r>
        <w:rPr>
          <w:rFonts w:ascii="Arial" w:cs="Arial" w:eastAsia="Arial" w:hAnsi="Arial"/>
          <w:sz w:val="12"/>
          <w:szCs w:val="12"/>
          <w:color w:val="auto"/>
        </w:rPr>
        <w:t>Expected dividend yield is calculated by annualizing the cash dividend declared by the Company’s Board of Directors for the current quarter and dividing</w:t>
      </w:r>
      <w:r>
        <w:rPr>
          <w:rFonts w:ascii="Arial" w:cs="Arial" w:eastAsia="Arial" w:hAnsi="Arial"/>
          <w:sz w:val="12"/>
          <w:szCs w:val="12"/>
          <w:i w:val="1"/>
          <w:iCs w:val="1"/>
          <w:color w:val="auto"/>
        </w:rPr>
        <w:t xml:space="preserve"> </w:t>
      </w:r>
      <w:r>
        <w:rPr>
          <w:rFonts w:ascii="Arial" w:cs="Arial" w:eastAsia="Arial" w:hAnsi="Arial"/>
          <w:sz w:val="12"/>
          <w:szCs w:val="12"/>
          <w:color w:val="auto"/>
        </w:rPr>
        <w:t>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Stock-Based Compensation Expense</w:t>
      </w:r>
    </w:p>
    <w:p>
      <w:pPr>
        <w:spacing w:after="0" w:line="96" w:lineRule="exact"/>
        <w:rPr>
          <w:sz w:val="20"/>
          <w:szCs w:val="20"/>
          <w:color w:val="auto"/>
        </w:rPr>
      </w:pPr>
    </w:p>
    <w:p>
      <w:pPr>
        <w:ind w:right="80" w:firstLine="399"/>
        <w:spacing w:after="0" w:line="316" w:lineRule="auto"/>
        <w:rPr>
          <w:sz w:val="20"/>
          <w:szCs w:val="20"/>
          <w:color w:val="auto"/>
        </w:rPr>
      </w:pPr>
      <w:r>
        <w:rPr>
          <w:rFonts w:ascii="Arial" w:cs="Arial" w:eastAsia="Arial" w:hAnsi="Arial"/>
          <w:sz w:val="11"/>
          <w:szCs w:val="11"/>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October 29, 2011.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Additional paid-in-capital (APIC) Pool</w:t>
      </w:r>
    </w:p>
    <w:p>
      <w:pPr>
        <w:spacing w:after="0" w:line="67" w:lineRule="exact"/>
        <w:rPr>
          <w:sz w:val="20"/>
          <w:szCs w:val="20"/>
          <w:color w:val="auto"/>
        </w:rPr>
      </w:pPr>
    </w:p>
    <w:p>
      <w:pPr>
        <w:ind w:right="200" w:firstLine="399"/>
        <w:spacing w:after="0" w:line="289" w:lineRule="auto"/>
        <w:rPr>
          <w:sz w:val="20"/>
          <w:szCs w:val="20"/>
          <w:color w:val="auto"/>
        </w:rPr>
      </w:pPr>
      <w:r>
        <w:rPr>
          <w:rFonts w:ascii="Arial" w:cs="Arial" w:eastAsia="Arial" w:hAnsi="Arial"/>
          <w:sz w:val="12"/>
          <w:szCs w:val="12"/>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consolidated statements of income. For fiscal years 2009 and 2010, the Company had a sufficient APIC pool to cover any tax deficiencies recorded and as a result, these deficiencies did not affect its results of operations. During fiscal 2011, the Company recognized an immaterial amount of income tax expense resulting from tax shortfalls related to share-based compensation in its consolidated statement of income.</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Stock-option Exchange</w:t>
      </w:r>
    </w:p>
    <w:p>
      <w:pPr>
        <w:spacing w:after="0" w:line="77" w:lineRule="exact"/>
        <w:rPr>
          <w:sz w:val="20"/>
          <w:szCs w:val="20"/>
          <w:color w:val="auto"/>
        </w:rPr>
      </w:pPr>
    </w:p>
    <w:p>
      <w:pPr>
        <w:ind w:right="160" w:firstLine="399"/>
        <w:spacing w:after="0" w:line="264" w:lineRule="auto"/>
        <w:rPr>
          <w:sz w:val="20"/>
          <w:szCs w:val="20"/>
          <w:color w:val="auto"/>
        </w:rPr>
      </w:pPr>
      <w:r>
        <w:rPr>
          <w:rFonts w:ascii="Arial" w:cs="Arial" w:eastAsia="Arial" w:hAnsi="Arial"/>
          <w:sz w:val="13"/>
          <w:szCs w:val="13"/>
          <w:color w:val="auto"/>
        </w:rPr>
        <w:t>During fiscal 2009, shareholders approved and the Company completed an employee stock option exchange program (Option Exchange). The Option Exchange provided eligible employees of the Company, except named executive officers and directors, the opportunity to exchange eligible stock option grants for a smaller number of new stock options with a lower exercise price, or in some instances cash, that had approximately the same fair value as the options surrendered.</w:t>
      </w:r>
    </w:p>
    <w:p>
      <w:pPr>
        <w:spacing w:after="0" w:line="37"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On September 28, 2009 the Company granted stock options for approximately 15.2 million shares in the aggregate to approximately 3,100 employees who elected to participate in the Option Exchange. The new stock options issued were subject to a new vesting period and a new contractual term based on the grant date of the original options. In addition, the Company made cash payments of approximately $2.6 million to approximately 5,100 employees whose exchanged options would each have resulted in a new stock option for fewer than 100 shares. As a result of the exchange, employees elected to surrender options for approximately 33.6 million options, which were cancelled upon the grant of the new options on September 28, 2009.</w:t>
      </w:r>
    </w:p>
    <w:p>
      <w:pPr>
        <w:spacing w:after="0" w:line="9" w:lineRule="exact"/>
        <w:rPr>
          <w:sz w:val="20"/>
          <w:szCs w:val="20"/>
          <w:color w:val="auto"/>
        </w:rPr>
      </w:pPr>
    </w:p>
    <w:p>
      <w:pPr>
        <w:jc w:val="both"/>
        <w:ind w:right="260" w:firstLine="399"/>
        <w:spacing w:after="0" w:line="334" w:lineRule="auto"/>
        <w:rPr>
          <w:sz w:val="20"/>
          <w:szCs w:val="20"/>
          <w:color w:val="auto"/>
        </w:rPr>
      </w:pPr>
      <w:r>
        <w:rPr>
          <w:rFonts w:ascii="Arial" w:cs="Arial" w:eastAsia="Arial" w:hAnsi="Arial"/>
          <w:sz w:val="11"/>
          <w:szCs w:val="11"/>
          <w:color w:val="auto"/>
        </w:rPr>
        <w:t>The exchange of options in this Option Exchange is treated as a modification of the existing stock options for accounting purposes. Accordingly, any unrecognized compensation expense from the surrendered stock options will be recognized over the original service period of the surrendered option. Because the exchange ratios were calculated to result in the fair value of surrendered eligible stock options that was approximately equal to the fair value of the new stock options replacing them, the amount of incremental expense was immaterial.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3"/>
          <w:szCs w:val="13"/>
          <w:i w:val="1"/>
          <w:iCs w:val="1"/>
          <w:u w:val="single" w:color="auto"/>
          <w:color w:val="auto"/>
        </w:rPr>
        <w:t>Stock-Based Compensation Activity</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activity under the Company’s stock option plans as of October 29, 2011 and changes during the fiscal year then ended is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Average</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00" w:type="dxa"/>
            <w:vAlign w:val="bottom"/>
          </w:tcPr>
          <w:p>
            <w:pPr>
              <w:spacing w:after="0"/>
              <w:rPr>
                <w:sz w:val="9"/>
                <w:szCs w:val="9"/>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Per Share</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Term in Years</w:t>
            </w:r>
          </w:p>
        </w:tc>
        <w:tc>
          <w:tcPr>
            <w:tcW w:w="1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outstanding at October 30, 2010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29.87</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1,990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37.59</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26.32</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Options 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(450)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27.71</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expired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44.08</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b w:val="1"/>
                <w:bCs w:val="1"/>
                <w:color w:val="auto"/>
              </w:rPr>
              <w:t>Options outstanding October 29, 2011</w:t>
            </w: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30.27</w:t>
            </w: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4.5</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274,486</w:t>
            </w: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34,116</w:t>
            </w:r>
          </w:p>
        </w:tc>
        <w:tc>
          <w:tcPr>
            <w:tcW w:w="10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Options exercisable at October 29, 2011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31.44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155,665</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20"/>
                <w:szCs w:val="20"/>
                <w:color w:val="auto"/>
              </w:rPr>
            </w:pPr>
            <w:r>
              <w:rPr>
                <w:rFonts w:ascii="Arial" w:cs="Arial" w:eastAsia="Arial" w:hAnsi="Arial"/>
                <w:sz w:val="13"/>
                <w:szCs w:val="13"/>
                <w:b w:val="1"/>
                <w:bCs w:val="1"/>
                <w:color w:val="auto"/>
              </w:rPr>
              <w:t>Options vested or expected to vest October 29, 2011(1)</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33,507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30.29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269,320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7" w:lineRule="exact"/>
        <w:rPr>
          <w:sz w:val="20"/>
          <w:szCs w:val="20"/>
          <w:color w:val="auto"/>
        </w:rPr>
      </w:pPr>
    </w:p>
    <w:p>
      <w:pPr>
        <w:ind w:left="320" w:right="400" w:hanging="259"/>
        <w:spacing w:after="0" w:line="276" w:lineRule="auto"/>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The total intrinsic value of options exercised (i.e. the difference between the market price at exercise and the price paid by the employee to exercise the options) during fiscal 2011, 2010 and 2009 was $96.5 million, $29.6 million and $4.7 million, respectively. The total amount of proceeds received by the Company from exercise of these options during fiscal 2011, 2010 and 2009 was $217.4 million, $240.4 million and $15.1 million, respectively.</w:t>
      </w:r>
    </w:p>
    <w:p>
      <w:pPr>
        <w:spacing w:after="0" w:line="67"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Proceeds from stock option exercises pursuant to employee stock plans in the Company’s statement of cash flows of $217.2 million, $216.1 million and $12.4 million for fiscal 2011, 2010 and 2009, respectively, are net of the value of shares surrendered by employees in certain limited circumstances to satisfy the exercise price of options, and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Company’s restricted stock unit award activity as of October 29, 2011 and changes during the year then ended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10"/>
                <w:szCs w:val="1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Weighted-</w:t>
            </w:r>
          </w:p>
        </w:tc>
      </w:tr>
      <w:tr>
        <w:trPr>
          <w:trHeight w:val="108"/>
        </w:trPr>
        <w:tc>
          <w:tcPr>
            <w:tcW w:w="76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 Grant-</w:t>
            </w:r>
          </w:p>
        </w:tc>
      </w:tr>
      <w:tr>
        <w:trPr>
          <w:trHeight w:val="108"/>
        </w:trPr>
        <w:tc>
          <w:tcPr>
            <w:tcW w:w="76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Units</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Date Fair Value</w:t>
            </w:r>
          </w:p>
        </w:tc>
      </w:tr>
      <w:tr>
        <w:trPr>
          <w:trHeight w:val="125"/>
        </w:trPr>
        <w:tc>
          <w:tcPr>
            <w:tcW w:w="76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w:t>
            </w:r>
          </w:p>
        </w:tc>
      </w:tr>
      <w:tr>
        <w:trPr>
          <w:trHeight w:val="29"/>
        </w:trPr>
        <w:tc>
          <w:tcPr>
            <w:tcW w:w="76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stock units outstanding at October 30, 2010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28.21</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Units granted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898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34.93</w:t>
            </w: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Restrictions lapsed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24.28</w:t>
            </w: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Units forfeited</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31.39</w:t>
            </w:r>
          </w:p>
        </w:tc>
      </w:tr>
      <w:tr>
        <w:trPr>
          <w:trHeight w:val="20"/>
        </w:trPr>
        <w:tc>
          <w:tcPr>
            <w:tcW w:w="7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Restricted stock units outstanding at October 29, 2011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31.10</w:t>
            </w:r>
          </w:p>
        </w:tc>
      </w:tr>
      <w:tr>
        <w:trPr>
          <w:trHeight w:val="29"/>
        </w:trPr>
        <w:tc>
          <w:tcPr>
            <w:tcW w:w="7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As of October 29, 2011, there was $88.6 million of total unrecognized compensation cost related to unvested share-based awards comprised of stock options and restricted stock units. That cost is expected to be recognized over a weighted-average period of 1.3 years. The total grant-date fair value of shares that vested during fiscal 2011, 2010 and 2009 was approximately $49.6 million, $67.7 million and $74.4 million, respectively.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Common Stock Repurchase Program</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Company’s common stock repurchase program has been in place since August 2004. In the aggregate, the Board of Directors has authorized the Company to repurchase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$5 billion of the Company’s common stock under the program. Under the program, the Company may repurchase outstanding shares of its common stock from time to time in the open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market and through privately negotiated transactions. Unless terminated earlier by resolution of the Company’s Board of Directors, the repurchase program will expire when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has repurchased all shares authorized under the program. As of October 29, 2011, the Company had repurchased a total of approximately 125.0 million shares of its common stock for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approximately $4,278.5 million under this program. An additional $721.5 million remains available for repurchase of shares under the current authorized program. The repurchased shares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are held as authorized but unissued shares of common stock. Any future common stock repurchases will be dependent upon several factors, including the amount of cash available to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Company in the United States and the Company’s financial performance, outlook and liquidity. The Company also from time to time repurchases shares in settlement of employee tax</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withholding obligations due upon the vesting of restricted stock units, or in certain limited circumstances to satisfy the exercise price of options granted to the Company’s employees under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Company’s equity compensation plans.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9" w:name="page70"/>
    <w:bookmarkEnd w:id="69"/>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Preferred Stock</w:t>
      </w:r>
    </w:p>
    <w:p>
      <w:pPr>
        <w:spacing w:after="0" w:line="96"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34"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Industry, Segment and Geographic Information</w:t>
      </w:r>
    </w:p>
    <w:p>
      <w:pPr>
        <w:spacing w:after="0" w:line="100"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End Market</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 During fiscal year 2011, the Company consolidated the computer end market, which represented approximately 1% of fiscal 2011 revenue, into the consumer end market, and reclassified handset revenue, which represented approximately 3% of fiscal 2011 revenue, from the communications end market to the consumer end market, for all periods presented.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389"/>
              <w:spacing w:after="0"/>
              <w:rPr>
                <w:sz w:val="20"/>
                <w:szCs w:val="20"/>
                <w:color w:val="auto"/>
              </w:rPr>
            </w:pPr>
            <w:r>
              <w:rPr>
                <w:rFonts w:ascii="Arial" w:cs="Arial" w:eastAsia="Arial" w:hAnsi="Arial"/>
                <w:sz w:val="10"/>
                <w:szCs w:val="10"/>
                <w:b w:val="1"/>
                <w:bCs w:val="1"/>
                <w:color w:val="auto"/>
              </w:rPr>
              <w:t>2011</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rPr>
              <w:t>2010</w:t>
            </w: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0"/>
                <w:szCs w:val="10"/>
                <w:b w:val="1"/>
                <w:bCs w:val="1"/>
                <w:color w:val="auto"/>
              </w:rPr>
              <w:t>2009</w:t>
            </w: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Revenue</w:t>
            </w:r>
          </w:p>
        </w:tc>
        <w:tc>
          <w:tcPr>
            <w:tcW w:w="220" w:type="dxa"/>
            <w:vAlign w:val="bottom"/>
          </w:tcPr>
          <w:p>
            <w:pPr>
              <w:spacing w:after="0"/>
              <w:rPr>
                <w:sz w:val="9"/>
                <w:szCs w:val="9"/>
                <w:color w:val="auto"/>
              </w:rPr>
            </w:pPr>
          </w:p>
        </w:tc>
        <w:tc>
          <w:tcPr>
            <w:tcW w:w="10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Product</w:t>
            </w:r>
          </w:p>
        </w:tc>
        <w:tc>
          <w:tcPr>
            <w:tcW w:w="76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Y/Y%</w:t>
            </w:r>
          </w:p>
        </w:tc>
        <w:tc>
          <w:tcPr>
            <w:tcW w:w="12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Revenue</w:t>
            </w:r>
          </w:p>
        </w:tc>
        <w:tc>
          <w:tcPr>
            <w:tcW w:w="9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Revenue</w:t>
            </w:r>
          </w:p>
        </w:tc>
        <w:tc>
          <w:tcPr>
            <w:tcW w:w="6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Revenue*</w:t>
            </w: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1,397,634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47%</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1,267,736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860,696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3160" w:type="dxa"/>
            <w:vAlign w:val="bottom"/>
            <w:gridSpan w:val="2"/>
          </w:tcPr>
          <w:p>
            <w:pPr>
              <w:spacing w:after="0"/>
              <w:rPr>
                <w:sz w:val="20"/>
                <w:szCs w:val="20"/>
                <w:color w:val="auto"/>
              </w:rPr>
            </w:pPr>
            <w:r>
              <w:rPr>
                <w:rFonts w:ascii="Arial" w:cs="Arial" w:eastAsia="Arial" w:hAnsi="Arial"/>
                <w:sz w:val="13"/>
                <w:szCs w:val="13"/>
                <w:color w:val="auto"/>
              </w:rPr>
              <w:t>Automotive</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415,444</w:t>
            </w:r>
          </w:p>
        </w:tc>
        <w:tc>
          <w:tcPr>
            <w:tcW w:w="1220" w:type="dxa"/>
            <w:vAlign w:val="bottom"/>
            <w:gridSpan w:val="3"/>
          </w:tcPr>
          <w:p>
            <w:pPr>
              <w:jc w:val="right"/>
              <w:ind w:right="300"/>
              <w:spacing w:after="0"/>
              <w:rPr>
                <w:sz w:val="20"/>
                <w:szCs w:val="20"/>
                <w:color w:val="auto"/>
              </w:rPr>
            </w:pPr>
            <w:r>
              <w:rPr>
                <w:rFonts w:ascii="Arial" w:cs="Arial" w:eastAsia="Arial" w:hAnsi="Arial"/>
                <w:sz w:val="13"/>
                <w:szCs w:val="13"/>
                <w:color w:val="auto"/>
              </w:rPr>
              <w:t>14%</w:t>
            </w: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333,644</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200,329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586,945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626,565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508,848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160" w:type="dxa"/>
            <w:vAlign w:val="bottom"/>
            <w:gridSpan w:val="2"/>
          </w:tcPr>
          <w:p>
            <w:pPr>
              <w:spacing w:after="0"/>
              <w:rPr>
                <w:sz w:val="20"/>
                <w:szCs w:val="20"/>
                <w:color w:val="auto"/>
              </w:rPr>
            </w:pPr>
            <w:r>
              <w:rPr>
                <w:rFonts w:ascii="Arial" w:cs="Arial" w:eastAsia="Arial" w:hAnsi="Arial"/>
                <w:sz w:val="13"/>
                <w:szCs w:val="13"/>
                <w:color w:val="auto"/>
              </w:rPr>
              <w:t>Communications</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593,297</w:t>
            </w:r>
          </w:p>
        </w:tc>
        <w:tc>
          <w:tcPr>
            <w:tcW w:w="1220" w:type="dxa"/>
            <w:vAlign w:val="bottom"/>
            <w:gridSpan w:val="3"/>
          </w:tcPr>
          <w:p>
            <w:pPr>
              <w:jc w:val="right"/>
              <w:ind w:right="300"/>
              <w:spacing w:after="0"/>
              <w:rPr>
                <w:sz w:val="20"/>
                <w:szCs w:val="20"/>
                <w:color w:val="auto"/>
              </w:rPr>
            </w:pPr>
            <w:r>
              <w:rPr>
                <w:rFonts w:ascii="Arial" w:cs="Arial" w:eastAsia="Arial" w:hAnsi="Arial"/>
                <w:sz w:val="13"/>
                <w:szCs w:val="13"/>
                <w:color w:val="auto"/>
              </w:rPr>
              <w:t>20%</w:t>
            </w: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533,558</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445,035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Revenue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2,993,320</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2,761,503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2,014,908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Trends by Product</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Such reclassifications typically do not materially change the sizing of, or the underlying trends of results within, each product category.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2011</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2010</w:t>
            </w: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2009</w:t>
            </w: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rPr>
              <w:t>Total</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Total</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Revenue</w:t>
            </w:r>
          </w:p>
        </w:tc>
        <w:tc>
          <w:tcPr>
            <w:tcW w:w="280" w:type="dxa"/>
            <w:vAlign w:val="bottom"/>
          </w:tcPr>
          <w:p>
            <w:pPr>
              <w:spacing w:after="0"/>
              <w:rPr>
                <w:sz w:val="9"/>
                <w:szCs w:val="9"/>
                <w:color w:val="auto"/>
              </w:rPr>
            </w:pP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Y/Y%</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8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Product</w:t>
            </w:r>
          </w:p>
        </w:tc>
        <w:tc>
          <w:tcPr>
            <w:tcW w:w="140" w:type="dxa"/>
            <w:vAlign w:val="bottom"/>
          </w:tcPr>
          <w:p>
            <w:pPr>
              <w:spacing w:after="0"/>
              <w:rPr>
                <w:sz w:val="9"/>
                <w:szCs w:val="9"/>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Revenue</w:t>
            </w:r>
          </w:p>
        </w:tc>
        <w:tc>
          <w:tcPr>
            <w:tcW w:w="7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Product</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Revenue</w:t>
            </w: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Revenue</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Revenue*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1,343,492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45%</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1,295,678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1,005,004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3740" w:type="dxa"/>
            <w:vAlign w:val="bottom"/>
            <w:gridSpan w:val="2"/>
          </w:tcPr>
          <w:p>
            <w:pPr>
              <w:spacing w:after="0"/>
              <w:rPr>
                <w:sz w:val="20"/>
                <w:szCs w:val="20"/>
                <w:color w:val="auto"/>
              </w:rPr>
            </w:pPr>
            <w:r>
              <w:rPr>
                <w:rFonts w:ascii="Arial" w:cs="Arial" w:eastAsia="Arial" w:hAnsi="Arial"/>
                <w:sz w:val="13"/>
                <w:szCs w:val="13"/>
                <w:color w:val="auto"/>
              </w:rPr>
              <w:t>Amplifiers/Radio frequency</w:t>
            </w: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788,498</w:t>
            </w:r>
          </w:p>
        </w:tc>
        <w:tc>
          <w:tcPr>
            <w:tcW w:w="1080" w:type="dxa"/>
            <w:vAlign w:val="bottom"/>
            <w:gridSpan w:val="3"/>
          </w:tcPr>
          <w:p>
            <w:pPr>
              <w:jc w:val="right"/>
              <w:ind w:right="200"/>
              <w:spacing w:after="0"/>
              <w:rPr>
                <w:sz w:val="20"/>
                <w:szCs w:val="20"/>
                <w:color w:val="auto"/>
              </w:rPr>
            </w:pPr>
            <w:r>
              <w:rPr>
                <w:rFonts w:ascii="Arial" w:cs="Arial" w:eastAsia="Arial" w:hAnsi="Arial"/>
                <w:sz w:val="13"/>
                <w:szCs w:val="13"/>
                <w:color w:val="auto"/>
              </w:rPr>
              <w:t>26%</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701,634</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501,942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analog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410,233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334,649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216,473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Subtotal analog signal processing</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9%</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2,542,223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85%</w:t>
            </w: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2,331,961</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1,723,419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Power management &amp; reference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217,501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194,699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118,148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analog products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9%</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2,759,724</w:t>
            </w:r>
          </w:p>
        </w:tc>
        <w:tc>
          <w:tcPr>
            <w:tcW w:w="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92%</w:t>
            </w:r>
          </w:p>
        </w:tc>
        <w:tc>
          <w:tcPr>
            <w:tcW w:w="640" w:type="dxa"/>
            <w:vAlign w:val="bottom"/>
            <w:gridSpan w:val="2"/>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2,526,660</w:t>
            </w:r>
          </w:p>
        </w:tc>
        <w:tc>
          <w:tcPr>
            <w:tcW w:w="300" w:type="dxa"/>
            <w:vAlign w:val="bottom"/>
            <w:vMerge w:val="continue"/>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91%</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1,841,567</w:t>
            </w:r>
          </w:p>
        </w:tc>
        <w:tc>
          <w:tcPr>
            <w:tcW w:w="300" w:type="dxa"/>
            <w:vAlign w:val="bottom"/>
            <w:vMerge w:val="continue"/>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Digital signal processing</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233,596</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234,843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173,341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Revenue</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8%</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4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2,993,320</w:t>
            </w:r>
          </w:p>
        </w:tc>
        <w:tc>
          <w:tcPr>
            <w:tcW w:w="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64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2,761,503</w:t>
            </w:r>
          </w:p>
        </w:tc>
        <w:tc>
          <w:tcPr>
            <w:tcW w:w="300" w:type="dxa"/>
            <w:vAlign w:val="bottom"/>
            <w:vMerge w:val="continue"/>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2,014,908</w:t>
            </w:r>
          </w:p>
        </w:tc>
        <w:tc>
          <w:tcPr>
            <w:tcW w:w="300" w:type="dxa"/>
            <w:vAlign w:val="bottom"/>
            <w:vMerge w:val="continue"/>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20" w:hanging="213"/>
        <w:spacing w:after="0"/>
        <w:tabs>
          <w:tab w:leader="none" w:pos="2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sum of the individual percentages do not equal the total due to rounding.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Geographic Information</w:t>
      </w:r>
    </w:p>
    <w:p>
      <w:pPr>
        <w:spacing w:after="0" w:line="96" w:lineRule="exact"/>
        <w:rPr>
          <w:sz w:val="20"/>
          <w:szCs w:val="20"/>
          <w:color w:val="auto"/>
        </w:rPr>
      </w:pPr>
    </w:p>
    <w:p>
      <w:pPr>
        <w:ind w:right="320" w:firstLine="399"/>
        <w:spacing w:after="0" w:line="296" w:lineRule="auto"/>
        <w:rPr>
          <w:sz w:val="20"/>
          <w:szCs w:val="20"/>
          <w:color w:val="auto"/>
        </w:rPr>
      </w:pPr>
      <w:r>
        <w:rPr>
          <w:rFonts w:ascii="Arial" w:cs="Arial" w:eastAsia="Arial" w:hAnsi="Arial"/>
          <w:sz w:val="12"/>
          <w:szCs w:val="12"/>
          <w:color w:val="auto"/>
        </w:rPr>
        <w:t>The Company operates in the following major geographic areas. Revenue data is based upon customer location and property, plant and equipment data is based upon physical location. In fiscal years 2011, 2010 and 2009,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 from continuing operations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532,011</w:t>
            </w:r>
          </w:p>
        </w:tc>
        <w:tc>
          <w:tcPr>
            <w:tcW w:w="4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508,187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401,608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North and South America</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164,079</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153,962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92,954</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Europe</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838,719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703,717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502,602</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Japan</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400,456</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441,826</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349,907</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China</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596,433</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508,489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376,080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Asia</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461,622</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445,322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291,757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0"/>
              <w:spacing w:after="0"/>
              <w:rPr>
                <w:sz w:val="20"/>
                <w:szCs w:val="20"/>
                <w:color w:val="auto"/>
              </w:rPr>
            </w:pPr>
            <w:r>
              <w:rPr>
                <w:rFonts w:ascii="Arial" w:cs="Arial" w:eastAsia="Arial" w:hAnsi="Arial"/>
                <w:sz w:val="13"/>
                <w:szCs w:val="13"/>
                <w:color w:val="auto"/>
              </w:rPr>
              <w:t>Subtotal all foreign countries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2,461,309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2,253,316</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1,613,300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2,993,320</w:t>
            </w:r>
          </w:p>
        </w:tc>
        <w:tc>
          <w:tcPr>
            <w:tcW w:w="4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2,761,503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2,014,908</w:t>
            </w:r>
          </w:p>
        </w:tc>
        <w:tc>
          <w:tcPr>
            <w:tcW w:w="0" w:type="dxa"/>
            <w:vAlign w:val="bottom"/>
          </w:tcPr>
          <w:p>
            <w:pPr>
              <w:spacing w:after="0"/>
              <w:rPr>
                <w:sz w:val="1"/>
                <w:szCs w:val="1"/>
                <w:color w:val="auto"/>
              </w:rPr>
            </w:pPr>
          </w:p>
        </w:tc>
      </w:tr>
      <w:tr>
        <w:trPr>
          <w:trHeight w:val="166"/>
        </w:trPr>
        <w:tc>
          <w:tcPr>
            <w:tcW w:w="6400" w:type="dxa"/>
            <w:vAlign w:val="bottom"/>
          </w:tcPr>
          <w:p>
            <w:pPr>
              <w:ind w:left="140"/>
              <w:spacing w:after="0"/>
              <w:rPr>
                <w:sz w:val="20"/>
                <w:szCs w:val="20"/>
                <w:color w:val="auto"/>
              </w:rPr>
            </w:pPr>
            <w:r>
              <w:rPr>
                <w:rFonts w:ascii="Arial" w:cs="Arial" w:eastAsia="Arial" w:hAnsi="Arial"/>
                <w:sz w:val="13"/>
                <w:szCs w:val="13"/>
                <w:b w:val="1"/>
                <w:bCs w:val="1"/>
                <w:color w:val="auto"/>
              </w:rPr>
              <w:t>Property, plant and equipment</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187,013</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188,776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204,758</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Ireland</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128,660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139,165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155,428</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Philippines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149,098</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131,963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103,209</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All other countries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14,068</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12,761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13,121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 all foreign countries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291,826</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283,889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271,758</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80"/>
              <w:spacing w:after="0"/>
              <w:rPr>
                <w:sz w:val="20"/>
                <w:szCs w:val="20"/>
                <w:color w:val="auto"/>
              </w:rPr>
            </w:pPr>
            <w:r>
              <w:rPr>
                <w:rFonts w:ascii="Arial" w:cs="Arial" w:eastAsia="Arial" w:hAnsi="Arial"/>
                <w:sz w:val="13"/>
                <w:szCs w:val="13"/>
                <w:color w:val="auto"/>
              </w:rPr>
              <w:t>Total property, plant and equipment</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478,839</w:t>
            </w:r>
          </w:p>
        </w:tc>
        <w:tc>
          <w:tcPr>
            <w:tcW w:w="4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472,665</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476,516</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Special Charges</w:t>
      </w:r>
    </w:p>
    <w:p>
      <w:pPr>
        <w:spacing w:after="0" w:line="100"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color w:val="auto"/>
        </w:rPr>
        <w:t>On an on-going basis, the Company monitors global macro-economic conditions, and continues to assess opportunities for improved operational effectiveness and efficiency and better alignment of expenses with revenues. As a result of these assessments, the Company has undertaken various restructuring actions over the past several years. These actions are described below.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2" w:name="page73"/>
    <w:bookmarkEnd w:id="72"/>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20" w:firstLine="399"/>
        <w:spacing w:after="0" w:line="276" w:lineRule="auto"/>
        <w:rPr>
          <w:sz w:val="20"/>
          <w:szCs w:val="20"/>
          <w:color w:val="auto"/>
        </w:rPr>
      </w:pPr>
      <w:r>
        <w:rPr>
          <w:rFonts w:ascii="Arial" w:cs="Arial" w:eastAsia="Arial" w:hAnsi="Arial"/>
          <w:sz w:val="13"/>
          <w:szCs w:val="13"/>
          <w:color w:val="auto"/>
        </w:rPr>
        <w:t>The following table displays the special charges taken related to these actions and a roll-forward from November 1, 2008 to October 29, 2011 of the employee separation and exit cost accruals established related to these actions.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center"/>
              <w:ind w:left="148"/>
              <w:spacing w:after="0"/>
              <w:rPr>
                <w:sz w:val="20"/>
                <w:szCs w:val="20"/>
                <w:color w:val="auto"/>
              </w:rPr>
            </w:pPr>
            <w:r>
              <w:rPr>
                <w:rFonts w:ascii="Arial" w:cs="Arial" w:eastAsia="Arial" w:hAnsi="Arial"/>
                <w:sz w:val="10"/>
                <w:szCs w:val="10"/>
                <w:b w:val="1"/>
                <w:bCs w:val="1"/>
                <w:color w:val="auto"/>
                <w:w w:val="94"/>
              </w:rPr>
              <w:t>Closure of Wafer</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7"/>
              </w:rPr>
              <w:t>Closure of Wafer</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9"/>
              </w:rPr>
              <w:t>of a Wafer</w:t>
            </w: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Reduction of</w:t>
            </w: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1"/>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center"/>
              <w:ind w:left="148"/>
              <w:spacing w:after="0" w:line="108" w:lineRule="exact"/>
              <w:rPr>
                <w:sz w:val="20"/>
                <w:szCs w:val="20"/>
                <w:color w:val="auto"/>
              </w:rPr>
            </w:pPr>
            <w:r>
              <w:rPr>
                <w:rFonts w:ascii="Arial" w:cs="Arial" w:eastAsia="Arial" w:hAnsi="Arial"/>
                <w:sz w:val="10"/>
                <w:szCs w:val="10"/>
                <w:b w:val="1"/>
                <w:bCs w:val="1"/>
                <w:color w:val="auto"/>
                <w:w w:val="96"/>
              </w:rPr>
              <w:t>Fabrication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Fabrication</w:t>
            </w: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Statement of Income</w:t>
            </w:r>
          </w:p>
        </w:tc>
        <w:tc>
          <w:tcPr>
            <w:tcW w:w="220" w:type="dxa"/>
            <w:vAlign w:val="bottom"/>
          </w:tcPr>
          <w:p>
            <w:pPr>
              <w:spacing w:after="0"/>
              <w:rPr>
                <w:sz w:val="9"/>
                <w:szCs w:val="9"/>
                <w:color w:val="auto"/>
              </w:rPr>
            </w:pPr>
          </w:p>
        </w:tc>
        <w:tc>
          <w:tcPr>
            <w:tcW w:w="1000" w:type="dxa"/>
            <w:vAlign w:val="bottom"/>
          </w:tcPr>
          <w:p>
            <w:pPr>
              <w:jc w:val="center"/>
              <w:ind w:left="148"/>
              <w:spacing w:after="0" w:line="108" w:lineRule="exact"/>
              <w:rPr>
                <w:sz w:val="20"/>
                <w:szCs w:val="20"/>
                <w:color w:val="auto"/>
              </w:rPr>
            </w:pPr>
            <w:r>
              <w:rPr>
                <w:rFonts w:ascii="Arial" w:cs="Arial" w:eastAsia="Arial" w:hAnsi="Arial"/>
                <w:sz w:val="10"/>
                <w:szCs w:val="10"/>
                <w:b w:val="1"/>
                <w:bCs w:val="1"/>
                <w:color w:val="auto"/>
                <w:w w:val="92"/>
              </w:rPr>
              <w:t>Facility</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Facility in</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Facility</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center"/>
              <w:ind w:left="148"/>
              <w:spacing w:after="0"/>
              <w:rPr>
                <w:sz w:val="20"/>
                <w:szCs w:val="20"/>
                <w:color w:val="auto"/>
              </w:rPr>
            </w:pPr>
            <w:r>
              <w:rPr>
                <w:rFonts w:ascii="Arial" w:cs="Arial" w:eastAsia="Arial" w:hAnsi="Arial"/>
                <w:sz w:val="10"/>
                <w:szCs w:val="10"/>
                <w:b w:val="1"/>
                <w:bCs w:val="1"/>
                <w:color w:val="auto"/>
                <w:w w:val="90"/>
              </w:rPr>
              <w:t>in Sunnyvale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Limerick</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Costs</w:t>
            </w: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in Cambridge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Charges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Workforce reductions</w:t>
            </w:r>
          </w:p>
        </w:tc>
        <w:tc>
          <w:tcPr>
            <w:tcW w:w="122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Change in estimate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1,461</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Fiscal 2008 Charges</w:t>
            </w:r>
          </w:p>
        </w:tc>
        <w:tc>
          <w:tcPr>
            <w:tcW w:w="122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26,583</w:t>
            </w:r>
          </w:p>
        </w:tc>
        <w:tc>
          <w:tcPr>
            <w:tcW w:w="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7,446</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34,029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2,411</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839</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14,629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Other items</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Total Fiscal 2009 Charges</w:t>
            </w: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220" w:type="dxa"/>
            <w:vAlign w:val="bottom"/>
            <w:gridSpan w:val="2"/>
          </w:tcPr>
          <w:p>
            <w:pPr>
              <w:jc w:val="right"/>
              <w:ind w:right="888"/>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30,333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22,132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53,656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10,908</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375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487</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items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Fiscal 2010 Charges</w:t>
            </w:r>
          </w:p>
        </w:tc>
        <w:tc>
          <w:tcPr>
            <w:tcW w:w="122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375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11,419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Arial" w:cs="Arial" w:eastAsia="Arial" w:hAnsi="Arial"/>
                <w:sz w:val="13"/>
                <w:szCs w:val="13"/>
                <w:color w:val="auto"/>
              </w:rPr>
              <w:t>Workforce reductions</w:t>
            </w: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2,239</w:t>
            </w:r>
          </w:p>
        </w:tc>
        <w:tc>
          <w:tcPr>
            <w:tcW w:w="1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Fiscal 2011 Charges</w:t>
            </w:r>
          </w:p>
        </w:tc>
        <w:tc>
          <w:tcPr>
            <w:tcW w:w="1220" w:type="dxa"/>
            <w:vAlign w:val="bottom"/>
            <w:gridSpan w:val="2"/>
            <w:shd w:val="clear" w:color="auto" w:fill="CCEEFF"/>
          </w:tcPr>
          <w:p>
            <w:pPr>
              <w:jc w:val="right"/>
              <w:ind w:right="888"/>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14"/>
              <w:spacing w:after="0"/>
              <w:rPr>
                <w:sz w:val="20"/>
                <w:szCs w:val="20"/>
                <w:color w:val="auto"/>
              </w:rPr>
            </w:pPr>
            <w:r>
              <w:rPr>
                <w:rFonts w:ascii="Arial" w:cs="Arial" w:eastAsia="Arial" w:hAnsi="Arial"/>
                <w:sz w:val="13"/>
                <w:szCs w:val="13"/>
                <w:color w:val="auto"/>
              </w:rPr>
              <w:t>72</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4"/>
              </w:rPr>
              <w:t>Closure of Wafer</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Consolidation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7"/>
              </w:rPr>
              <w:t>Closure of Wafer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9"/>
              </w:rPr>
              <w:t>of a Wafer</w:t>
            </w: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Reduction of</w:t>
            </w:r>
          </w:p>
        </w:tc>
        <w:tc>
          <w:tcPr>
            <w:tcW w:w="14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Fabrication</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Fabrication</w:t>
            </w: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Accrued Restructuring</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Facility</w:t>
            </w:r>
          </w:p>
        </w:tc>
        <w:tc>
          <w:tcPr>
            <w:tcW w:w="100" w:type="dxa"/>
            <w:vAlign w:val="bottom"/>
          </w:tcPr>
          <w:p>
            <w:pPr>
              <w:spacing w:after="0"/>
              <w:rPr>
                <w:sz w:val="9"/>
                <w:szCs w:val="9"/>
                <w:color w:val="auto"/>
              </w:rPr>
            </w:pPr>
          </w:p>
        </w:tc>
        <w:tc>
          <w:tcPr>
            <w:tcW w:w="11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9"/>
              </w:rPr>
              <w:t>Facility in</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40" w:type="dxa"/>
            <w:vAlign w:val="bottom"/>
          </w:tcPr>
          <w:p>
            <w:pPr>
              <w:spacing w:after="0"/>
              <w:rPr>
                <w:sz w:val="9"/>
                <w:szCs w:val="9"/>
                <w:color w:val="auto"/>
              </w:rPr>
            </w:pPr>
          </w:p>
        </w:tc>
        <w:tc>
          <w:tcPr>
            <w:tcW w:w="14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Facility</w:t>
            </w:r>
          </w:p>
        </w:tc>
        <w:tc>
          <w:tcPr>
            <w:tcW w:w="100" w:type="dxa"/>
            <w:vAlign w:val="bottom"/>
          </w:tcPr>
          <w:p>
            <w:pPr>
              <w:spacing w:after="0"/>
              <w:rPr>
                <w:sz w:val="9"/>
                <w:szCs w:val="9"/>
                <w:color w:val="auto"/>
              </w:rPr>
            </w:pPr>
          </w:p>
        </w:tc>
        <w:tc>
          <w:tcPr>
            <w:tcW w:w="580" w:type="dxa"/>
            <w:vAlign w:val="bottom"/>
            <w:gridSpan w:val="2"/>
          </w:tcPr>
          <w:p>
            <w:pPr>
              <w:jc w:val="right"/>
              <w:ind w:right="220"/>
              <w:spacing w:after="0" w:line="108" w:lineRule="exact"/>
              <w:rPr>
                <w:sz w:val="20"/>
                <w:szCs w:val="20"/>
                <w:color w:val="auto"/>
              </w:rPr>
            </w:pPr>
            <w:r>
              <w:rPr>
                <w:rFonts w:ascii="Arial" w:cs="Arial" w:eastAsia="Arial" w:hAnsi="Arial"/>
                <w:sz w:val="10"/>
                <w:szCs w:val="10"/>
                <w:b w:val="1"/>
                <w:bCs w:val="1"/>
                <w:color w:val="auto"/>
                <w:w w:val="96"/>
              </w:rPr>
              <w:t>Special</w:t>
            </w:r>
          </w:p>
        </w:tc>
        <w:tc>
          <w:tcPr>
            <w:tcW w:w="0" w:type="dxa"/>
            <w:vAlign w:val="bottom"/>
          </w:tcPr>
          <w:p>
            <w:pPr>
              <w:spacing w:after="0"/>
              <w:rPr>
                <w:sz w:val="1"/>
                <w:szCs w:val="1"/>
                <w:color w:val="auto"/>
              </w:rPr>
            </w:pPr>
          </w:p>
        </w:tc>
      </w:tr>
      <w:tr>
        <w:trPr>
          <w:trHeight w:val="125"/>
        </w:trPr>
        <w:tc>
          <w:tcPr>
            <w:tcW w:w="3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0"/>
              </w:rPr>
              <w:t>in Sunnyvale</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Limerick</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Costs</w:t>
            </w:r>
          </w:p>
        </w:tc>
        <w:tc>
          <w:tcPr>
            <w:tcW w:w="14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in Cambridge</w:t>
            </w: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8"/>
              </w:rPr>
              <w:t>Charge</w:t>
            </w:r>
          </w:p>
        </w:tc>
        <w:tc>
          <w:tcPr>
            <w:tcW w:w="0" w:type="dxa"/>
            <w:vAlign w:val="bottom"/>
          </w:tcPr>
          <w:p>
            <w:pPr>
              <w:spacing w:after="0"/>
              <w:rPr>
                <w:sz w:val="1"/>
                <w:szCs w:val="1"/>
                <w:color w:val="auto"/>
              </w:rPr>
            </w:pPr>
          </w:p>
        </w:tc>
      </w:tr>
      <w:tr>
        <w:trPr>
          <w:trHeight w:val="29"/>
        </w:trPr>
        <w:tc>
          <w:tcPr>
            <w:tcW w:w="3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November 1, 2008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15,002</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color w:val="auto"/>
              </w:rPr>
              <w:t>Fiscal 2009 special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30,333</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22,132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53,656</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Severance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(11,802)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(21,156)</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(33,714)</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color w:val="auto"/>
              </w:rPr>
              <w:t>(1,578)</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(1,195)</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(839)</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(14,629)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(15,468)</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Other payments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(503)</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Balance at October 31, 2009</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169</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8,161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6,690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15,332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Fiscal 2010 special charges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11,419</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16,483</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Severance payments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(12,223)</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(5,337)</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(17,862)</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(1,216)</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(4,079)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Non-cash impairment charge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(487)</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Other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(84)</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October 30, 2010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5,546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color w:val="auto"/>
              </w:rPr>
              <w:t>Fiscal 2011 special charges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2,239</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15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Severance payments</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(3,913)</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(5,265)</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Facility closure costs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(611)</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Effect of foreign currency on accrual</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Balance at October 29, 2011</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3,876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3,876</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Wafer Fabrication Facility in Sunnyvale</w:t>
      </w:r>
    </w:p>
    <w:p>
      <w:pPr>
        <w:spacing w:after="0" w:line="96" w:lineRule="exact"/>
        <w:rPr>
          <w:sz w:val="20"/>
          <w:szCs w:val="20"/>
          <w:color w:val="auto"/>
        </w:rPr>
      </w:pPr>
    </w:p>
    <w:p>
      <w:pPr>
        <w:ind w:right="220" w:firstLine="399"/>
        <w:spacing w:after="0" w:line="264" w:lineRule="auto"/>
        <w:rPr>
          <w:sz w:val="20"/>
          <w:szCs w:val="20"/>
          <w:color w:val="auto"/>
        </w:rPr>
      </w:pPr>
      <w:r>
        <w:rPr>
          <w:rFonts w:ascii="Arial" w:cs="Arial" w:eastAsia="Arial" w:hAnsi="Arial"/>
          <w:sz w:val="13"/>
          <w:szCs w:val="13"/>
          <w:color w:val="auto"/>
        </w:rPr>
        <w:t>The Company ceased production at its California wafer fabrication facility in November 2006. The Company paid the related lease obligation costs on a monthly basis over the remaining lease term, which expired in March 2010. The Company recorded a one-time settlement charge of $0.4 million in fiscal 2010 related to the termination of the lease. This action was completed during fiscal 2010.</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Consolidation of a Wafer Fabrication Facility in Limerick</w:t>
      </w:r>
    </w:p>
    <w:p>
      <w:pPr>
        <w:spacing w:after="0" w:line="9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During fiscal 2007 through fiscal 2010, the Company recorded special charges of $16.4 million as a result of its decision to only use eight-inch technology at its wafer fabrication facility in Limerick. These special charges included $14.9 million for severance and fringe benefit costs in accordance with the Company’s ongoing benefit plan for 150 manufacturing employees and $1.5 million for clean-up and closure costs that were expensed as incurred. The production in the six-inch wafer fabrication facility ceased during the fourth quarter of fiscal 2009. This action was completed during fiscal 2010.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Reduction of Operating Costs</w:t>
      </w:r>
    </w:p>
    <w:p>
      <w:pPr>
        <w:spacing w:after="0" w:line="96" w:lineRule="exact"/>
        <w:rPr>
          <w:sz w:val="20"/>
          <w:szCs w:val="20"/>
          <w:color w:val="auto"/>
        </w:rPr>
      </w:pPr>
    </w:p>
    <w:p>
      <w:pPr>
        <w:ind w:right="160" w:firstLine="399"/>
        <w:spacing w:after="0" w:line="303" w:lineRule="auto"/>
        <w:rPr>
          <w:sz w:val="20"/>
          <w:szCs w:val="20"/>
          <w:color w:val="auto"/>
        </w:rPr>
      </w:pPr>
      <w:r>
        <w:rPr>
          <w:rFonts w:ascii="Arial" w:cs="Arial" w:eastAsia="Arial" w:hAnsi="Arial"/>
          <w:sz w:val="11"/>
          <w:szCs w:val="11"/>
          <w:color w:val="auto"/>
        </w:rPr>
        <w:t>During fiscal 2008 through fiscal 2010, in order to further reduce its operating cost structure, the Company recorded special charges of approximately $43.3 million. These special charges included: $39.1 million for severance and fringe benefit costs in accordance with its ongoing benefit plan or statutory requirements at foreign locations for 245 manufacturing employees and 470 engineering and SMG&amp;A employees; $2.1 million for lease obligation costs for facilities that the Company ceased using during the first quarter of fiscal 2009;</w:t>
      </w:r>
    </w:p>
    <w:p>
      <w:pPr>
        <w:jc w:val="both"/>
        <w:spacing w:after="0" w:line="258" w:lineRule="auto"/>
        <w:rPr>
          <w:sz w:val="20"/>
          <w:szCs w:val="20"/>
          <w:color w:val="auto"/>
        </w:rPr>
      </w:pPr>
      <w:r>
        <w:rPr>
          <w:rFonts w:ascii="Arial" w:cs="Arial" w:eastAsia="Arial" w:hAnsi="Arial"/>
          <w:sz w:val="13"/>
          <w:szCs w:val="13"/>
          <w:color w:val="auto"/>
        </w:rPr>
        <w:t>$0.8 million for the write-off of property, plant and equipment; $0.5 million for contract termination costs and $0.3 million for clean-up and closure costs that were expensed as incurred; and $0.5 million related to the impairment of intellectual property. The Company terminated the employment of all employees associated with this action and is paying amounts owed to them as income continuance.</w:t>
      </w:r>
    </w:p>
    <w:p>
      <w:pPr>
        <w:spacing w:after="0" w:line="71"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During fiscal 2011, in order to further reduce its operating cost structure, the Company recorded a special charge of approximately $2.2 million for severance and fringe benefit costs in accordance with its ongoing benefit plan or statutory requirements at foreign locations for 25 engineering and SMG&amp;A employees. As of October 29, 2011, the Company still employed 13 of the 25 employees included in this cost reduction action. These employees must continue to be employed by the Company until their employment is involuntarily terminated in order to receive the severance benefit.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Closure of a Wafer Fabrication Facility in Cambridge</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During fiscal 2009 and fiscal 2010, the Company recorded special charges of $26.8 million as a result of its decision to consolidate its Cambridge, Massachusetts wafer fabrication facility into its existing Wilmington, Massachusetts facility. These special charges included: $7.4 million for severance and fringe benefit costs recorded in accordance with the Company’s ongoing benefit plan for 124 manufacturing employees and 9 SMG&amp;A employees; $14.6 million for the impairment of manufacturing assets; $3.4 million for lease obligation costs for the Cambridge wafer fabrication facility, which the Company ceased using in the first quarter of fiscal 2010; and $1.4 million for clean-up and closure costs that were expensed as incurred. This action was completed during the third quarter of fiscal 2011.</w:t>
      </w:r>
    </w:p>
    <w:p>
      <w:pPr>
        <w:spacing w:after="0" w:line="146" w:lineRule="exact"/>
        <w:rPr>
          <w:sz w:val="20"/>
          <w:szCs w:val="20"/>
          <w:color w:val="auto"/>
        </w:rPr>
      </w:pPr>
    </w:p>
    <w:p>
      <w:pPr>
        <w:ind w:left="320" w:hanging="313"/>
        <w:spacing w:after="0"/>
        <w:tabs>
          <w:tab w:leader="none" w:pos="32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color w:val="auto"/>
        </w:rPr>
        <w:t>In fiscal 2006, the Company acquired substantially all the outstanding stock of privately-held Integrant Technologies, Inc. (Integrant) of Seoul, Korea. The acquisition enabled the Company to enter the mobile TV market and strengthened its presence in the Asian region. The Company paid $8.4 million related to the purchase of shares from the founder of Integrant during the period from July 2007 through July 2009. The Company recorded these payments as additional goodwill.</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fiscal 2006, the Company acquired all the outstanding stock of privately-held AudioAsics A/S (AudioAsics) of Roskilde, Denmark. The acquisition of AudioAsics allowed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Company to continue developing low-power audio solutions, while expanding its presence in the Nordic and Eastern European regions. The Company paid additional cash payments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$3.1 million during fiscal 2009 for the achievement of revenue-based milestones during the period from October 2006 through January 2009, which were recorded as additional goodwill. In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addition, the Company paid $3.2 million during fiscal 2009 based on the achievement of technological milestones during the period from October 2006 through January 2009, which were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recorded as compensation expense in fiscal 2008. All revenue and technological milestones related to this acquisition have been met and no additional payments will be made.</w:t>
      </w:r>
    </w:p>
    <w:p>
      <w:pPr>
        <w:spacing w:after="0" w:line="10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On June 9, 2011, the Company acquired privately-held Lyric Semiconductor, Inc. (Lyric) of Cambridge, Massachusetts. The acquisition of Lyric gives the Company the potential to achieve an order of magnitude improvement in power efficiency in mixed signal processing. The acquisition-date fair value of the consideration transferred totaled $27.8 million, which consisted of $14.0 million in initial cash payments at closing and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color w:val="auto"/>
        </w:rPr>
        <w:t>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October 29, 2011, no contingent payments have been made and the fair value of the contingent consideration was approximately $14.0 million. The Company allocated the purchase price to the tangible and intangible assets acquired and liabilities assumed based on their estimated fair values at the date of acquisition, resulting in the recognition of $12.2 million of IPR&amp;D, $18.9 million of goodwill and</w:t>
      </w:r>
    </w:p>
    <w:p>
      <w:pPr>
        <w:spacing w:after="0" w:line="2"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In addition, the Company will be obligated to pay royalties to the former equity holders of Lyric on revenue recognized from the sale of Lyric products and licenses through the earlier of 20 years or the accrual of a maximum of $25 million. Royalty payments to Lyric employees require post-acquisition services to be rendered and, as such, the Company will record these amounts as compensation expense in the related periods. As of October 29, 2011, no royalty payments have been made. The Company recognized $0.2 million of acquisition-related costs that were expensed in the third quarter of fiscal 2011. These costs are included in operating expenses in the consolidated statement of income.</w:t>
      </w:r>
    </w:p>
    <w:p>
      <w:pPr>
        <w:spacing w:after="0" w:line="59"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The Company has not provided pro forma results of operations for Integrant, AudioAsics and Lyric herein as they were not material to the Company on either an individual or an aggregate basis. The Company included the results of operations of each acquisition in its consolidated statement of income from the date of such acquisition.</w:t>
      </w:r>
    </w:p>
    <w:p>
      <w:pPr>
        <w:spacing w:after="0" w:line="110" w:lineRule="exact"/>
        <w:rPr>
          <w:sz w:val="20"/>
          <w:szCs w:val="20"/>
          <w:color w:val="auto"/>
        </w:rPr>
      </w:pPr>
    </w:p>
    <w:p>
      <w:pPr>
        <w:ind w:left="320" w:hanging="313"/>
        <w:spacing w:after="0"/>
        <w:tabs>
          <w:tab w:leader="none" w:pos="32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Investments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Investments in The Analog Devices, Inc. Deferred Compensation Plan (the Deferred Compensation Plan) are classified as trading. The components of the investments as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October 29, 2011 and October 30, 2010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$ 1,840</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Mutual funds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9,223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6,850</w:t>
            </w:r>
          </w:p>
        </w:tc>
      </w:tr>
      <w:tr>
        <w:trPr>
          <w:trHeight w:val="20"/>
        </w:trPr>
        <w:tc>
          <w:tcPr>
            <w:tcW w:w="8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Compensation Plan investments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26,410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$ 8,690</w:t>
            </w:r>
          </w:p>
        </w:tc>
      </w:tr>
      <w:tr>
        <w:trPr>
          <w:trHeight w:val="29"/>
        </w:trPr>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fair values of these investments are based on published market quotes on October 29, 2011 and October 30, 2010, respectively. Adjustments to the fair value of, and income pertaining to, Deferred Compensation Plan investments are recorded in operating expenses. Gross realized and unrealized gains and losses from trading securities were not material in fiscal 2011, 2010 or 2009.</w:t>
      </w:r>
    </w:p>
    <w:p>
      <w:pPr>
        <w:spacing w:after="0" w:line="67"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The Company has recorded a corresponding liability for amounts owed to the Deferred Compensation Plan participants (see Note 10). These investments are specifically designated as available to the Company solely for the purpose of paying benefits under the Deferred Compensation Plan. However, in the event the Company became insolvent, the investments would be available to all unsecured general creditors.</w:t>
      </w:r>
    </w:p>
    <w:p>
      <w:pPr>
        <w:spacing w:after="0" w:line="142" w:lineRule="exact"/>
        <w:rPr>
          <w:sz w:val="20"/>
          <w:szCs w:val="20"/>
          <w:color w:val="auto"/>
        </w:rPr>
      </w:pPr>
    </w:p>
    <w:p>
      <w:pPr>
        <w:ind w:left="320" w:hanging="313"/>
        <w:spacing w:after="0"/>
        <w:tabs>
          <w:tab w:leader="none" w:pos="32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Other Investments</w:t>
      </w:r>
    </w:p>
    <w:p>
      <w:pPr>
        <w:spacing w:after="0" w:line="100" w:lineRule="exact"/>
        <w:rPr>
          <w:sz w:val="20"/>
          <w:szCs w:val="20"/>
          <w:color w:val="auto"/>
        </w:rPr>
      </w:pPr>
    </w:p>
    <w:p>
      <w:pPr>
        <w:ind w:right="80" w:firstLine="399"/>
        <w:spacing w:after="0" w:line="320" w:lineRule="auto"/>
        <w:rPr>
          <w:sz w:val="20"/>
          <w:szCs w:val="20"/>
          <w:color w:val="auto"/>
        </w:rPr>
      </w:pPr>
      <w:r>
        <w:rPr>
          <w:rFonts w:ascii="Arial" w:cs="Arial" w:eastAsia="Arial" w:hAnsi="Arial"/>
          <w:sz w:val="12"/>
          <w:szCs w:val="12"/>
          <w:color w:val="auto"/>
        </w:rPr>
        <w:t>Other investments consist of equity securities and other long-term investments. Investments are stated at fair value, which is based on market quotes or on a cost-basis, dependent on the nature of the investment, as appropriate. Adjustments to the fair value of investments classified as available-for-sale are recorded as an increase or decrease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color w:val="auto"/>
        </w:rPr>
        <w:t>in accumulated other comprehensive (loss) income, unless the adjustment is considered an other-than-temporary impairment, in which case the adjustment is recorded as a charge in the statement of income.</w:t>
      </w:r>
    </w:p>
    <w:p>
      <w:pPr>
        <w:spacing w:after="0" w:line="59"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During fiscal 2010, the Company recognized an other-than-temporary impairment of $0.7 million. The investment impairment was related to the decline in fair value of a publicly-traded equity investment below cost basis that was determined to be other-than-temporary.</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realized gains or losses recorded in fiscal 2011, 2010 or 2009.</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Unrealized gains and losses on securities classified as other investments as of October 29, 2011 and October 30, 2010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4"/>
          </w:tcPr>
          <w:p>
            <w:pPr>
              <w:jc w:val="right"/>
              <w:ind w:right="34"/>
              <w:spacing w:after="0"/>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Unrealized gains</w:t>
            </w:r>
          </w:p>
        </w:tc>
        <w:tc>
          <w:tcPr>
            <w:tcW w:w="160" w:type="dxa"/>
            <w:vAlign w:val="bottom"/>
            <w:shd w:val="clear" w:color="auto" w:fill="CCEEFF"/>
          </w:tcPr>
          <w:p>
            <w:pPr>
              <w:spacing w:after="0"/>
              <w:rPr>
                <w:sz w:val="13"/>
                <w:szCs w:val="13"/>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$ 1,038</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$ 1,041</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Unrealized losses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(179)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gains on securities classified as other investments</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$ 1,041</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Accrued Liabilities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Accrued liabilities at October 29, 2011 and October 30, 2010 consisted of the following:</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91,918</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128,113</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Special charges</w:t>
            </w:r>
          </w:p>
        </w:tc>
        <w:tc>
          <w:tcPr>
            <w:tcW w:w="1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3,876</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7,509</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61,822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71,465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vMerge w:val="restart"/>
          </w:tcPr>
          <w:p>
            <w:pPr>
              <w:ind w:left="20"/>
              <w:spacing w:after="0"/>
              <w:rPr>
                <w:sz w:val="20"/>
                <w:szCs w:val="20"/>
                <w:color w:val="auto"/>
              </w:rPr>
            </w:pPr>
            <w:r>
              <w:rPr>
                <w:rFonts w:ascii="Arial" w:cs="Arial" w:eastAsia="Arial" w:hAnsi="Arial"/>
                <w:sz w:val="13"/>
                <w:szCs w:val="13"/>
                <w:color w:val="auto"/>
              </w:rPr>
              <w:t>Total accrued liabilities</w:t>
            </w: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157,616</w:t>
            </w:r>
          </w:p>
        </w:tc>
        <w:tc>
          <w:tcPr>
            <w:tcW w:w="4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3"/>
                <w:szCs w:val="13"/>
                <w:color w:val="auto"/>
              </w:rPr>
              <w:t>207,087</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Deferred Compensation Plan Liability</w:t>
      </w:r>
    </w:p>
    <w:p>
      <w:pPr>
        <w:spacing w:after="0" w:line="10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deferred compensation plan liability relates to obligations due under the Deferred Compensation Plan. The Deferred Compensation Plan allows certain members of management and other highly-compensated employees and non-employee directors to defer receipt of all or any portion of their compensation. The balance represents Deferred Compensation Plan participant accumulated deferrals and earnings thereon since the inception of the Deferred Compensation Plan net of withdrawals. The Company’s liability under the Deferred Compensation Plan is an unsecured general obligation of the Company.</w:t>
      </w:r>
    </w:p>
    <w:p>
      <w:pPr>
        <w:spacing w:after="0" w:line="144" w:lineRule="exact"/>
        <w:rPr>
          <w:sz w:val="20"/>
          <w:szCs w:val="20"/>
          <w:color w:val="auto"/>
        </w:rPr>
      </w:pPr>
    </w:p>
    <w:p>
      <w:pPr>
        <w:ind w:left="500" w:hanging="493"/>
        <w:spacing w:after="0"/>
        <w:tabs>
          <w:tab w:leader="none" w:pos="50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Lease Commitments</w:t>
      </w:r>
    </w:p>
    <w:p>
      <w:pPr>
        <w:spacing w:after="0" w:line="10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Company leases certain of its facilities, equipment and software under various operating leases that expire at various dates through 2022. The lease agreements frequently include renewal and escalation clauses and require the Company to pay taxes, insurance and maintenance costs. Total rental expense under operating leases was approximately $45 million in fiscal 2011, $40 million in fiscal 2010 and $40 million in fiscal 2009.</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9"/>
        </w:trPr>
        <w:tc>
          <w:tcPr>
            <w:tcW w:w="9080" w:type="dxa"/>
            <w:vAlign w:val="bottom"/>
          </w:tcPr>
          <w:p>
            <w:pPr>
              <w:ind w:left="4240"/>
              <w:spacing w:after="0"/>
              <w:rPr>
                <w:sz w:val="20"/>
                <w:szCs w:val="20"/>
                <w:color w:val="auto"/>
              </w:rPr>
            </w:pPr>
            <w:r>
              <w:rPr>
                <w:rFonts w:ascii="Arial" w:cs="Arial" w:eastAsia="Arial" w:hAnsi="Arial"/>
                <w:sz w:val="13"/>
                <w:szCs w:val="13"/>
                <w:b w:val="1"/>
                <w:bCs w:val="1"/>
                <w:color w:val="auto"/>
              </w:rPr>
              <w:t>ANALOG DEVICES, INC.</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908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9080" w:type="dxa"/>
            <w:vAlign w:val="bottom"/>
          </w:tcPr>
          <w:p>
            <w:pPr>
              <w:ind w:left="400"/>
              <w:spacing w:after="0"/>
              <w:rPr>
                <w:sz w:val="20"/>
                <w:szCs w:val="20"/>
                <w:color w:val="auto"/>
              </w:rPr>
            </w:pPr>
            <w:r>
              <w:rPr>
                <w:rFonts w:ascii="Arial" w:cs="Arial" w:eastAsia="Arial" w:hAnsi="Arial"/>
                <w:sz w:val="13"/>
                <w:szCs w:val="13"/>
                <w:color w:val="auto"/>
              </w:rPr>
              <w:t>The following is a schedule of future minimum rental payments required under long-term operating leases at October 29, 2011: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080" w:type="dxa"/>
            <w:vAlign w:val="bottom"/>
            <w:vMerge w:val="restart"/>
          </w:tcPr>
          <w:p>
            <w:pPr>
              <w:spacing w:after="0"/>
              <w:rPr>
                <w:sz w:val="20"/>
                <w:szCs w:val="20"/>
                <w:color w:val="auto"/>
              </w:rPr>
            </w:pPr>
            <w:r>
              <w:rPr>
                <w:rFonts w:ascii="Arial" w:cs="Arial" w:eastAsia="Arial" w:hAnsi="Arial"/>
                <w:sz w:val="10"/>
                <w:szCs w:val="10"/>
                <w:b w:val="1"/>
                <w:bCs w:val="1"/>
                <w:color w:val="auto"/>
              </w:rPr>
              <w:t>Fiscal Years</w:t>
            </w:r>
          </w:p>
        </w:tc>
        <w:tc>
          <w:tcPr>
            <w:tcW w:w="2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3"/>
              </w:rPr>
              <w:t>Operating</w:t>
            </w:r>
          </w:p>
        </w:tc>
        <w:tc>
          <w:tcPr>
            <w:tcW w:w="0" w:type="dxa"/>
            <w:vAlign w:val="bottom"/>
          </w:tcPr>
          <w:p>
            <w:pPr>
              <w:spacing w:after="0"/>
              <w:rPr>
                <w:sz w:val="1"/>
                <w:szCs w:val="1"/>
                <w:color w:val="auto"/>
              </w:rPr>
            </w:pPr>
          </w:p>
        </w:tc>
      </w:tr>
      <w:tr>
        <w:trPr>
          <w:trHeight w:val="125"/>
        </w:trPr>
        <w:tc>
          <w:tcPr>
            <w:tcW w:w="9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Leases</w:t>
            </w:r>
          </w:p>
        </w:tc>
        <w:tc>
          <w:tcPr>
            <w:tcW w:w="0" w:type="dxa"/>
            <w:vAlign w:val="bottom"/>
          </w:tcPr>
          <w:p>
            <w:pPr>
              <w:spacing w:after="0"/>
              <w:rPr>
                <w:sz w:val="1"/>
                <w:szCs w:val="1"/>
                <w:color w:val="auto"/>
              </w:rPr>
            </w:pPr>
          </w:p>
        </w:tc>
      </w:tr>
      <w:tr>
        <w:trPr>
          <w:trHeight w:val="29"/>
        </w:trPr>
        <w:tc>
          <w:tcPr>
            <w:tcW w:w="90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17,590</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2013</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12,724</w:t>
            </w:r>
          </w:p>
        </w:tc>
        <w:tc>
          <w:tcPr>
            <w:tcW w:w="0" w:type="dxa"/>
            <w:vAlign w:val="bottom"/>
          </w:tcPr>
          <w:p>
            <w:pPr>
              <w:spacing w:after="0"/>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2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6,951</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2015</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5,649</w:t>
            </w:r>
          </w:p>
        </w:tc>
        <w:tc>
          <w:tcPr>
            <w:tcW w:w="0" w:type="dxa"/>
            <w:vAlign w:val="bottom"/>
          </w:tcPr>
          <w:p>
            <w:pPr>
              <w:spacing w:after="0"/>
              <w:rPr>
                <w:sz w:val="1"/>
                <w:szCs w:val="1"/>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2016</w:t>
            </w:r>
          </w:p>
        </w:tc>
        <w:tc>
          <w:tcPr>
            <w:tcW w:w="2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3,669</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Later Years</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19,472</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66,055</w:t>
            </w:r>
          </w:p>
        </w:tc>
        <w:tc>
          <w:tcPr>
            <w:tcW w:w="0" w:type="dxa"/>
            <w:vAlign w:val="bottom"/>
          </w:tcPr>
          <w:p>
            <w:pPr>
              <w:spacing w:after="0"/>
              <w:rPr>
                <w:sz w:val="1"/>
                <w:szCs w:val="1"/>
                <w:color w:val="auto"/>
              </w:rPr>
            </w:pPr>
          </w:p>
        </w:tc>
      </w:tr>
      <w:tr>
        <w:trPr>
          <w:trHeight w:val="29"/>
        </w:trPr>
        <w:tc>
          <w:tcPr>
            <w:tcW w:w="90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500" w:hanging="493"/>
        <w:spacing w:after="0"/>
        <w:tabs>
          <w:tab w:leader="none" w:pos="5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144" w:lineRule="exact"/>
        <w:rPr>
          <w:sz w:val="20"/>
          <w:szCs w:val="20"/>
          <w:color w:val="auto"/>
        </w:rPr>
      </w:pPr>
    </w:p>
    <w:p>
      <w:pPr>
        <w:ind w:left="500" w:hanging="493"/>
        <w:spacing w:after="0"/>
        <w:tabs>
          <w:tab w:leader="none" w:pos="50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The Company and its subsidiaries have various savings and retirement plans covering substantially all employees. 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for U.S. employees was $21.9 million in fiscal 2011, $20.5 million in fiscal 2010 and $21.5 million in fiscal 2009.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$21.4 million in fiscal 2011, $11.7 million in fiscal 2010 and $10.9 million in fiscal 2009.</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Non-U.S. Plan Disclosures</w:t>
      </w:r>
    </w:p>
    <w:p>
      <w:pPr>
        <w:spacing w:after="0" w:line="96"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October 29, 2011 and October 30, 2010.</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Components of Net Periodic Benefit Cost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Net annual periodic pension cost of non-U.S. plans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9,175</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6,368</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Interest cost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11,395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9,594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9,525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(10,938)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9"/>
              </w:rPr>
              <w:t>(11,079)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(10,703)</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Amortization of prior service cost</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transition obligation (asset)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Recognized actuarial loss (gain)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(519)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11,277</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4,636</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Settlement impact</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Special termination benefits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periodic pension cost</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11,277</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4,250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5,124</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special termination benefits presented relate to certain early retirement benefits provided in certain jurisdictions.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9" w:name="page80"/>
    <w:bookmarkEnd w:id="79"/>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Benefit Obligations and Plan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Obligation and asset data of the Company’s non-U.S. plans at each fiscal year end is presented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Benefit Obligation</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Benefit obligation at beginning of year</w:t>
            </w:r>
          </w:p>
        </w:tc>
        <w:tc>
          <w:tcPr>
            <w:tcW w:w="4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215,012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165,047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9,175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11,395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Premiums paid</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(192)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(gain) loss</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(27,544)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(2,625)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Exchange rate adjustment</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3"/>
                <w:szCs w:val="13"/>
                <w:color w:val="auto"/>
              </w:rPr>
              <w:t>Benefit obligation at end of year</w:t>
            </w: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4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210,913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215,012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 in Plan Assets</w:t>
            </w:r>
          </w:p>
        </w:tc>
        <w:tc>
          <w:tcPr>
            <w:tcW w:w="44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Fair value of plan assets at beginning of year</w:t>
            </w:r>
          </w:p>
        </w:tc>
        <w:tc>
          <w:tcPr>
            <w:tcW w:w="4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176,220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135,643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Actual return on plan assets</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(2,938)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Employer contributions</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9,233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28,433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Participant contributions</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Premiums paid</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(192)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(2,625)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ind w:left="140"/>
              <w:spacing w:after="0"/>
              <w:rPr>
                <w:sz w:val="20"/>
                <w:szCs w:val="20"/>
                <w:color w:val="auto"/>
              </w:rPr>
            </w:pPr>
            <w:r>
              <w:rPr>
                <w:rFonts w:ascii="Arial" w:cs="Arial" w:eastAsia="Arial" w:hAnsi="Arial"/>
                <w:sz w:val="13"/>
                <w:szCs w:val="13"/>
                <w:color w:val="auto"/>
              </w:rPr>
              <w:t>Exchange rate adjustment</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2,755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at end of year</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184,754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176,220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3"/>
                <w:szCs w:val="13"/>
                <w:b w:val="1"/>
                <w:bCs w:val="1"/>
                <w:color w:val="auto"/>
              </w:rPr>
              <w:t>Reconciliation of Funded Status</w:t>
            </w:r>
          </w:p>
        </w:tc>
        <w:tc>
          <w:tcPr>
            <w:tcW w:w="4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Funded status</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(26,159)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(38,792)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3"/>
                <w:szCs w:val="13"/>
                <w:b w:val="1"/>
                <w:bCs w:val="1"/>
                <w:color w:val="auto"/>
              </w:rPr>
              <w:t>Amounts Recognized in the Balance Sheet</w:t>
            </w:r>
          </w:p>
        </w:tc>
        <w:tc>
          <w:tcPr>
            <w:tcW w:w="4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Current liabilities</w:t>
            </w: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(573)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4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(28,327)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w:t>
            </w:r>
          </w:p>
        </w:tc>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4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(26,159)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(38,792)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tcPr>
          <w:p>
            <w:pPr>
              <w:jc w:val="right"/>
              <w:ind w:right="2974"/>
              <w:spacing w:after="0"/>
              <w:rPr>
                <w:sz w:val="20"/>
                <w:szCs w:val="20"/>
                <w:color w:val="auto"/>
              </w:rPr>
            </w:pPr>
            <w:r>
              <w:rPr>
                <w:rFonts w:ascii="Arial" w:cs="Arial" w:eastAsia="Arial" w:hAnsi="Arial"/>
                <w:sz w:val="13"/>
                <w:szCs w:val="13"/>
                <w:color w:val="auto"/>
              </w:rPr>
              <w:t>79</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0" w:name="page81"/>
    <w:bookmarkEnd w:id="80"/>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Reconciliation of Amounts Recognized in the Statement of Financial Position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obligation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(30,613)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(45,467)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(30,738)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(45,605)</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Accumulated contributions in excess of net periodic benefit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(26,159)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(38,792)</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Changes Recognized in Other Comprehensive Income</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i w:val="1"/>
                <w:iCs w:val="1"/>
                <w:color w:val="auto"/>
              </w:rPr>
              <w:t>Changes in plan assets and benefit obligations recognized in other comprehensive income</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(gain) loss arising during the year (includes curtailment gains not recognized as a component of net periodic cost)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(13,667)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33,828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Effect of exchange rates on amounts included in accumulated other comprehensive income</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Amounts recognized as a component of net periodic benefit cost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settlement or curtailment recognition of net transition (obligation) asset</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or curtailment recognition of prior service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 or settlement recognition of net (loss) gain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(1,630)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recognized in other comprehensive (income) loss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(14,867)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34,791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recognized in net periodic cost and other comprehensive (income) loss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(3,590)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39,041</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Estimated amounts that will be amortized from accumulated other comprehensive (loss) income over the next fiscal year</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Initial net obligation</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(1,625)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(386)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(1,640)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benefit obligation for non-U.S. pension plans was $169.0 million and $168.9 million at October 29, 2011 and October 30, 2010, respectively.</w:t>
      </w:r>
    </w:p>
    <w:p>
      <w:pPr>
        <w:spacing w:after="0" w:line="96"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Information relating to the Company’s non-U.S. plans with projected benefit obligations in excess of plan assets and accumulated benefit obligations in excess of plan assets at each fiscal year end is presented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Plans with projected benefit obligations in excess of plan assets:</w:t>
            </w:r>
          </w:p>
        </w:tc>
        <w:tc>
          <w:tcPr>
            <w:tcW w:w="3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Projected benefit obligation</w:t>
            </w:r>
          </w:p>
        </w:tc>
        <w:tc>
          <w:tcPr>
            <w:tcW w:w="3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180,182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188,741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151,281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145,789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auto"/>
              </w:rPr>
              <w:t>Plans with accumulated benefit obligations in excess of plan assets:</w:t>
            </w: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Projected benefit obligation</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25,236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23,278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Accumulated benefit obligation</w:t>
            </w:r>
          </w:p>
        </w:tc>
        <w:tc>
          <w:tcPr>
            <w:tcW w:w="3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21,022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19,360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w:t>
            </w:r>
          </w:p>
        </w:tc>
        <w:tc>
          <w:tcPr>
            <w:tcW w:w="3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w:t>
            </w:r>
          </w:p>
        </w:tc>
        <w:tc>
          <w:tcPr>
            <w:tcW w:w="800" w:type="dxa"/>
            <w:vAlign w:val="bottom"/>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760" w:type="dxa"/>
            <w:vAlign w:val="bottom"/>
          </w:tcPr>
          <w:p>
            <w:pPr>
              <w:jc w:val="right"/>
              <w:ind w:right="2974"/>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Assumptions</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 range of assumptions used for the non-U.S. defined benefit plans reflects the different economic environments within the various countries. The projected benefit obligation was determined using the following weighted-average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78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r>
      <w:tr>
        <w:trPr>
          <w:trHeight w:val="29"/>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5.33%</w:t>
            </w:r>
          </w:p>
        </w:tc>
      </w:tr>
      <w:tr>
        <w:trPr>
          <w:trHeight w:val="165"/>
        </w:trPr>
        <w:tc>
          <w:tcPr>
            <w:tcW w:w="8780" w:type="dxa"/>
            <w:vAlign w:val="bottom"/>
          </w:tcPr>
          <w:p>
            <w:pPr>
              <w:spacing w:after="0"/>
              <w:rPr>
                <w:sz w:val="20"/>
                <w:szCs w:val="20"/>
                <w:color w:val="auto"/>
              </w:rPr>
            </w:pPr>
            <w:r>
              <w:rPr>
                <w:rFonts w:ascii="Arial" w:cs="Arial" w:eastAsia="Arial" w:hAnsi="Arial"/>
                <w:sz w:val="13"/>
                <w:szCs w:val="13"/>
                <w:color w:val="auto"/>
              </w:rPr>
              <w:t>Rate of increase in compensation levels</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3.07%</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3.40%</w:t>
            </w:r>
          </w:p>
        </w:tc>
      </w:tr>
      <w:tr>
        <w:trPr>
          <w:trHeight w:val="237"/>
        </w:trPr>
        <w:tc>
          <w:tcPr>
            <w:tcW w:w="8780" w:type="dxa"/>
            <w:vAlign w:val="bottom"/>
          </w:tcPr>
          <w:p>
            <w:pPr>
              <w:ind w:left="400"/>
              <w:spacing w:after="0"/>
              <w:rPr>
                <w:sz w:val="20"/>
                <w:szCs w:val="20"/>
                <w:color w:val="auto"/>
              </w:rPr>
            </w:pPr>
            <w:r>
              <w:rPr>
                <w:rFonts w:ascii="Arial" w:cs="Arial" w:eastAsia="Arial" w:hAnsi="Arial"/>
                <w:sz w:val="13"/>
                <w:szCs w:val="13"/>
                <w:color w:val="auto"/>
              </w:rPr>
              <w:t>Net annual periodic pension cost was determined using the following weighted average assumptions: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878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8"/>
                <w:szCs w:val="18"/>
                <w:color w:val="auto"/>
              </w:rPr>
            </w:pPr>
          </w:p>
        </w:tc>
      </w:tr>
      <w:tr>
        <w:trPr>
          <w:trHeight w:val="29"/>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w:t>
            </w:r>
          </w:p>
        </w:tc>
      </w:tr>
      <w:tr>
        <w:trPr>
          <w:trHeight w:val="157"/>
        </w:trPr>
        <w:tc>
          <w:tcPr>
            <w:tcW w:w="8780" w:type="dxa"/>
            <w:vAlign w:val="bottom"/>
          </w:tcPr>
          <w:p>
            <w:pPr>
              <w:spacing w:after="0"/>
              <w:rPr>
                <w:sz w:val="20"/>
                <w:szCs w:val="20"/>
                <w:color w:val="auto"/>
              </w:rPr>
            </w:pPr>
            <w:r>
              <w:rPr>
                <w:rFonts w:ascii="Arial" w:cs="Arial" w:eastAsia="Arial" w:hAnsi="Arial"/>
                <w:sz w:val="13"/>
                <w:szCs w:val="13"/>
                <w:color w:val="auto"/>
              </w:rPr>
              <w:t>Expected long-term return on plan assets</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6.15%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6.73%</w:t>
            </w:r>
          </w:p>
        </w:tc>
      </w:tr>
      <w:tr>
        <w:trPr>
          <w:trHeight w:val="157"/>
        </w:trPr>
        <w:tc>
          <w:tcPr>
            <w:tcW w:w="8780" w:type="dxa"/>
            <w:vAlign w:val="bottom"/>
            <w:shd w:val="clear" w:color="auto" w:fill="CCEEFF"/>
          </w:tcPr>
          <w:p>
            <w:pPr>
              <w:spacing w:after="0"/>
              <w:rPr>
                <w:sz w:val="20"/>
                <w:szCs w:val="20"/>
                <w:color w:val="auto"/>
              </w:rPr>
            </w:pPr>
            <w:r>
              <w:rPr>
                <w:rFonts w:ascii="Arial" w:cs="Arial" w:eastAsia="Arial" w:hAnsi="Arial"/>
                <w:sz w:val="13"/>
                <w:szCs w:val="13"/>
                <w:color w:val="auto"/>
              </w:rPr>
              <w:t>Rate of increase in compensation levels</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w:t>
            </w:r>
          </w:p>
        </w:tc>
      </w:tr>
    </w:tbl>
    <w:p>
      <w:pPr>
        <w:spacing w:after="0" w:line="80" w:lineRule="exact"/>
        <w:rPr>
          <w:sz w:val="20"/>
          <w:szCs w:val="20"/>
          <w:color w:val="auto"/>
        </w:rPr>
      </w:pPr>
    </w:p>
    <w:p>
      <w:pPr>
        <w:ind w:right="20" w:firstLine="399"/>
        <w:spacing w:after="0" w:line="322" w:lineRule="auto"/>
        <w:rPr>
          <w:sz w:val="20"/>
          <w:szCs w:val="20"/>
          <w:color w:val="auto"/>
        </w:rPr>
      </w:pPr>
      <w:r>
        <w:rPr>
          <w:rFonts w:ascii="Arial" w:cs="Arial" w:eastAsia="Arial" w:hAnsi="Arial"/>
          <w:sz w:val="11"/>
          <w:szCs w:val="11"/>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3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Company establishes strategic asset allocation percentage targets and appropriate benchmarks for each significant asset class to obtain a prudent balance between return and risk.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interaction between plan assets and benefit obligations is periodically studied by the Company and its actuaries to assist in the establishment of strategic asset allocation targets.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Fair value of plan assets</w:t>
      </w:r>
    </w:p>
    <w:p>
      <w:pPr>
        <w:spacing w:after="0" w:line="96"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following table presents plan assets measured at fair value on a recurring basis by investment categories as of October 29, 2011 and October 30, 2010 using the same three-level hierarchy described in Note 2j:</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1"/>
              </w:rPr>
              <w:t>October 29, 2011</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w w:val="88"/>
              </w:rPr>
              <w:t>October 30, 2010</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1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560" w:type="dxa"/>
            <w:vAlign w:val="bottom"/>
            <w:gridSpan w:val="9"/>
          </w:tcPr>
          <w:p>
            <w:pPr>
              <w:jc w:val="center"/>
              <w:ind w:right="260"/>
              <w:spacing w:after="0"/>
              <w:rPr>
                <w:sz w:val="20"/>
                <w:szCs w:val="20"/>
                <w:color w:val="auto"/>
              </w:rPr>
            </w:pPr>
            <w:r>
              <w:rPr>
                <w:rFonts w:ascii="Arial" w:cs="Arial" w:eastAsia="Arial" w:hAnsi="Arial"/>
                <w:sz w:val="9"/>
                <w:szCs w:val="9"/>
                <w:b w:val="1"/>
                <w:bCs w:val="1"/>
                <w:color w:val="auto"/>
                <w:w w:val="93"/>
              </w:rPr>
              <w:t>Fair Value Measurement at Reporting Date Using:</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520" w:type="dxa"/>
            <w:vAlign w:val="bottom"/>
            <w:gridSpan w:val="8"/>
          </w:tcPr>
          <w:p>
            <w:pPr>
              <w:ind w:left="140"/>
              <w:spacing w:after="0"/>
              <w:rPr>
                <w:sz w:val="20"/>
                <w:szCs w:val="20"/>
                <w:color w:val="auto"/>
              </w:rPr>
            </w:pPr>
            <w:r>
              <w:rPr>
                <w:rFonts w:ascii="Arial" w:cs="Arial" w:eastAsia="Arial" w:hAnsi="Arial"/>
                <w:sz w:val="9"/>
                <w:szCs w:val="9"/>
                <w:b w:val="1"/>
                <w:bCs w:val="1"/>
                <w:color w:val="auto"/>
              </w:rPr>
              <w:t>Fair Value Measurement at Reporting Date Using:</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3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3"/>
          </w:tcPr>
          <w:p>
            <w:pPr>
              <w:jc w:val="center"/>
              <w:ind w:right="280"/>
              <w:spacing w:after="0" w:line="75" w:lineRule="exact"/>
              <w:rPr>
                <w:sz w:val="20"/>
                <w:szCs w:val="20"/>
                <w:color w:val="auto"/>
              </w:rPr>
            </w:pPr>
            <w:r>
              <w:rPr>
                <w:rFonts w:ascii="Arial" w:cs="Arial" w:eastAsia="Arial" w:hAnsi="Arial"/>
                <w:sz w:val="8"/>
                <w:szCs w:val="8"/>
                <w:b w:val="1"/>
                <w:bCs w:val="1"/>
                <w:color w:val="auto"/>
                <w:w w:val="99"/>
              </w:rPr>
              <w:t>Quoted</w:t>
            </w:r>
          </w:p>
        </w:tc>
        <w:tc>
          <w:tcPr>
            <w:tcW w:w="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gridSpan w:val="2"/>
          </w:tcPr>
          <w:p>
            <w:pPr>
              <w:jc w:val="center"/>
              <w:ind w:right="260"/>
              <w:spacing w:after="0" w:line="75" w:lineRule="exact"/>
              <w:rPr>
                <w:sz w:val="20"/>
                <w:szCs w:val="20"/>
                <w:color w:val="auto"/>
              </w:rPr>
            </w:pPr>
            <w:r>
              <w:rPr>
                <w:rFonts w:ascii="Arial" w:cs="Arial" w:eastAsia="Arial" w:hAnsi="Arial"/>
                <w:sz w:val="8"/>
                <w:szCs w:val="8"/>
                <w:b w:val="1"/>
                <w:bCs w:val="1"/>
                <w:color w:val="auto"/>
                <w:w w:val="99"/>
              </w:rPr>
              <w:t>Quoted</w:t>
            </w: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60"/>
              <w:spacing w:after="0" w:line="98" w:lineRule="exact"/>
              <w:rPr>
                <w:sz w:val="20"/>
                <w:szCs w:val="20"/>
                <w:color w:val="auto"/>
              </w:rPr>
            </w:pPr>
            <w:r>
              <w:rPr>
                <w:rFonts w:ascii="Arial" w:cs="Arial" w:eastAsia="Arial" w:hAnsi="Arial"/>
                <w:sz w:val="9"/>
                <w:szCs w:val="9"/>
                <w:b w:val="1"/>
                <w:bCs w:val="1"/>
                <w:color w:val="auto"/>
                <w:w w:val="90"/>
              </w:rPr>
              <w:t>Prices in</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0"/>
              </w:rPr>
              <w:t>Prices in</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88"/>
              </w:rPr>
              <w:t>Active</w:t>
            </w: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1"/>
              </w:rPr>
              <w:t>Significant</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88"/>
              </w:rPr>
              <w:t>Active</w:t>
            </w: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1"/>
              </w:rPr>
              <w:t>Significant</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98"/>
              </w:rPr>
              <w:t>Markets for</w:t>
            </w: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8"/>
              </w:rPr>
              <w:t>Markets for</w:t>
            </w: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98"/>
              </w:rPr>
              <w:t>Identical</w:t>
            </w: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3"/>
              </w:rPr>
              <w:t>Observable</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Unobservable</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2"/>
              </w:rPr>
              <w:t>Identical</w:t>
            </w: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3"/>
              </w:rPr>
              <w:t>Observable</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Unobservable</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80"/>
              <w:spacing w:after="0" w:line="98" w:lineRule="exact"/>
              <w:rPr>
                <w:sz w:val="20"/>
                <w:szCs w:val="20"/>
                <w:color w:val="auto"/>
              </w:rPr>
            </w:pPr>
            <w:r>
              <w:rPr>
                <w:rFonts w:ascii="Arial" w:cs="Arial" w:eastAsia="Arial" w:hAnsi="Arial"/>
                <w:sz w:val="9"/>
                <w:szCs w:val="9"/>
                <w:b w:val="1"/>
                <w:bCs w:val="1"/>
                <w:color w:val="auto"/>
                <w:w w:val="81"/>
              </w:rPr>
              <w:t>Assets</w:t>
            </w:r>
          </w:p>
        </w:tc>
        <w:tc>
          <w:tcPr>
            <w:tcW w:w="60" w:type="dxa"/>
            <w:vAlign w:val="bottom"/>
          </w:tcPr>
          <w:p>
            <w:pPr>
              <w:spacing w:after="0"/>
              <w:rPr>
                <w:sz w:val="8"/>
                <w:szCs w:val="8"/>
                <w:color w:val="auto"/>
              </w:rPr>
            </w:pPr>
          </w:p>
        </w:tc>
        <w:tc>
          <w:tcPr>
            <w:tcW w:w="74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6"/>
              </w:rPr>
              <w:t>Inputs</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6"/>
              </w:rPr>
              <w:t>Inputs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81"/>
              </w:rPr>
              <w:t>Assets</w:t>
            </w: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6"/>
              </w:rPr>
              <w:t>Inputs</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8"/>
              </w:rPr>
              <w:t>Inputs</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13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9"/>
                <w:szCs w:val="9"/>
                <w:b w:val="1"/>
                <w:bCs w:val="1"/>
                <w:color w:val="auto"/>
                <w:w w:val="92"/>
              </w:rPr>
              <w:t>(Level 1)</w:t>
            </w:r>
          </w:p>
        </w:tc>
        <w:tc>
          <w:tcPr>
            <w:tcW w:w="60" w:type="dxa"/>
            <w:vAlign w:val="bottom"/>
          </w:tcPr>
          <w:p>
            <w:pPr>
              <w:spacing w:after="0"/>
              <w:rPr>
                <w:sz w:val="9"/>
                <w:szCs w:val="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(Level 3)</w:t>
            </w:r>
          </w:p>
        </w:tc>
        <w:tc>
          <w:tcPr>
            <w:tcW w:w="100" w:type="dxa"/>
            <w:vAlign w:val="bottom"/>
          </w:tcPr>
          <w:p>
            <w:pPr>
              <w:spacing w:after="0"/>
              <w:rPr>
                <w:sz w:val="9"/>
                <w:szCs w:val="9"/>
                <w:color w:val="auto"/>
              </w:rPr>
            </w:pP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Total</w:t>
            </w:r>
          </w:p>
        </w:tc>
        <w:tc>
          <w:tcPr>
            <w:tcW w:w="60" w:type="dxa"/>
            <w:vAlign w:val="bottom"/>
          </w:tcPr>
          <w:p>
            <w:pPr>
              <w:spacing w:after="0"/>
              <w:rPr>
                <w:sz w:val="9"/>
                <w:szCs w:val="9"/>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(Level 1)</w:t>
            </w:r>
          </w:p>
        </w:tc>
        <w:tc>
          <w:tcPr>
            <w:tcW w:w="6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8"/>
              </w:rPr>
              <w:t>(Level 3)</w:t>
            </w:r>
          </w:p>
        </w:tc>
        <w:tc>
          <w:tcPr>
            <w:tcW w:w="100" w:type="dxa"/>
            <w:vAlign w:val="bottom"/>
          </w:tcPr>
          <w:p>
            <w:pPr>
              <w:spacing w:after="0"/>
              <w:rPr>
                <w:sz w:val="9"/>
                <w:szCs w:val="9"/>
                <w:color w:val="auto"/>
              </w:rPr>
            </w:pPr>
          </w:p>
        </w:tc>
        <w:tc>
          <w:tcPr>
            <w:tcW w:w="480" w:type="dxa"/>
            <w:vAlign w:val="bottom"/>
            <w:gridSpan w:val="2"/>
          </w:tcPr>
          <w:p>
            <w:pPr>
              <w:ind w:left="4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35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Unit trust funds(1)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3"/>
            <w:shd w:val="clear" w:color="auto" w:fill="CCEEFF"/>
          </w:tcPr>
          <w:p>
            <w:pPr>
              <w:ind w:left="4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100,161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100,161</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131,650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9"/>
              </w:rPr>
              <w:t>131,650</w:t>
            </w:r>
          </w:p>
        </w:tc>
      </w:tr>
      <w:tr>
        <w:trPr>
          <w:trHeight w:val="108"/>
        </w:trPr>
        <w:tc>
          <w:tcPr>
            <w:tcW w:w="35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Equities(1)</w:t>
            </w:r>
          </w:p>
        </w:tc>
        <w:tc>
          <w:tcPr>
            <w:tcW w:w="60" w:type="dxa"/>
            <w:vAlign w:val="bottom"/>
          </w:tcPr>
          <w:p>
            <w:pPr>
              <w:spacing w:after="0"/>
              <w:rPr>
                <w:sz w:val="9"/>
                <w:szCs w:val="9"/>
                <w:color w:val="auto"/>
              </w:rPr>
            </w:pPr>
          </w:p>
        </w:tc>
        <w:tc>
          <w:tcPr>
            <w:tcW w:w="5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2,003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56,163</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614</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58,780</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1,589</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19,356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607</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21,552</w:t>
            </w:r>
          </w:p>
        </w:tc>
      </w:tr>
      <w:tr>
        <w:trPr>
          <w:trHeight w:val="108"/>
        </w:trPr>
        <w:tc>
          <w:tcPr>
            <w:tcW w:w="35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Fixed income securities(2)</w:t>
            </w:r>
          </w:p>
        </w:tc>
        <w:tc>
          <w:tcPr>
            <w:tcW w:w="60" w:type="dxa"/>
            <w:vAlign w:val="bottom"/>
            <w:shd w:val="clear" w:color="auto" w:fill="CCEEFF"/>
          </w:tcPr>
          <w:p>
            <w:pPr>
              <w:spacing w:after="0"/>
              <w:rPr>
                <w:sz w:val="9"/>
                <w:szCs w:val="9"/>
                <w:color w:val="auto"/>
              </w:rPr>
            </w:pPr>
          </w:p>
        </w:tc>
        <w:tc>
          <w:tcPr>
            <w:tcW w:w="760" w:type="dxa"/>
            <w:vAlign w:val="bottom"/>
            <w:gridSpan w:val="3"/>
            <w:shd w:val="clear" w:color="auto" w:fill="CCEEFF"/>
          </w:tcPr>
          <w:p>
            <w:pPr>
              <w:ind w:left="44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21,984</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21,984</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19,214</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19,214</w:t>
            </w:r>
          </w:p>
        </w:tc>
      </w:tr>
      <w:tr>
        <w:trPr>
          <w:trHeight w:val="108"/>
        </w:trPr>
        <w:tc>
          <w:tcPr>
            <w:tcW w:w="35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Property(3)</w:t>
            </w:r>
          </w:p>
        </w:tc>
        <w:tc>
          <w:tcPr>
            <w:tcW w:w="60" w:type="dxa"/>
            <w:vAlign w:val="bottom"/>
          </w:tcPr>
          <w:p>
            <w:pPr>
              <w:spacing w:after="0"/>
              <w:rPr>
                <w:sz w:val="9"/>
                <w:szCs w:val="9"/>
                <w:color w:val="auto"/>
              </w:rPr>
            </w:pPr>
          </w:p>
        </w:tc>
        <w:tc>
          <w:tcPr>
            <w:tcW w:w="760" w:type="dxa"/>
            <w:vAlign w:val="bottom"/>
            <w:gridSpan w:val="3"/>
          </w:tcPr>
          <w:p>
            <w:pPr>
              <w:ind w:left="44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3,166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3,166</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3,186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3,186</w:t>
            </w:r>
          </w:p>
        </w:tc>
      </w:tr>
      <w:tr>
        <w:trPr>
          <w:trHeight w:val="108"/>
        </w:trPr>
        <w:tc>
          <w:tcPr>
            <w:tcW w:w="35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Cash and cash equivalents</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663</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663</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618</w:t>
            </w:r>
          </w:p>
        </w:tc>
      </w:tr>
      <w:tr>
        <w:trPr>
          <w:trHeight w:val="117"/>
        </w:trPr>
        <w:tc>
          <w:tcPr>
            <w:tcW w:w="3520" w:type="dxa"/>
            <w:vAlign w:val="bottom"/>
            <w:gridSpan w:val="2"/>
          </w:tcPr>
          <w:p>
            <w:pPr>
              <w:spacing w:after="0" w:line="108" w:lineRule="exact"/>
              <w:rPr>
                <w:sz w:val="20"/>
                <w:szCs w:val="20"/>
                <w:color w:val="auto"/>
              </w:rPr>
            </w:pPr>
            <w:r>
              <w:rPr>
                <w:rFonts w:ascii="Arial" w:cs="Arial" w:eastAsia="Arial" w:hAnsi="Arial"/>
                <w:sz w:val="10"/>
                <w:szCs w:val="10"/>
                <w:b w:val="1"/>
                <w:bCs w:val="1"/>
                <w:color w:val="auto"/>
              </w:rPr>
              <w:t>Total assets measured at fair value</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2,666</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178,308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3,780</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184,754</w:t>
            </w: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2,207</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170,220</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3,793</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ind w:left="40"/>
              <w:spacing w:after="0" w:line="108" w:lineRule="exact"/>
              <w:rPr>
                <w:sz w:val="20"/>
                <w:szCs w:val="20"/>
                <w:color w:val="auto"/>
              </w:rPr>
            </w:pPr>
            <w:r>
              <w:rPr>
                <w:rFonts w:ascii="Arial" w:cs="Arial" w:eastAsia="Arial" w:hAnsi="Arial"/>
                <w:sz w:val="10"/>
                <w:szCs w:val="10"/>
                <w:color w:val="auto"/>
                <w:w w:val="88"/>
              </w:rPr>
              <w:t>176,220</w:t>
            </w:r>
          </w:p>
        </w:tc>
        <w:tc>
          <w:tcPr>
            <w:tcW w:w="100" w:type="dxa"/>
            <w:vAlign w:val="bottom"/>
          </w:tcPr>
          <w:p>
            <w:pPr>
              <w:spacing w:after="0"/>
              <w:rPr>
                <w:sz w:val="10"/>
                <w:szCs w:val="10"/>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320" w:right="40" w:hanging="259"/>
        <w:spacing w:after="0" w:line="282"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 Level 3 securities are valued at book value per share based upon the financial statements of the investment.</w:t>
      </w:r>
    </w:p>
    <w:p>
      <w:pPr>
        <w:spacing w:after="0" w:line="10" w:lineRule="exact"/>
        <w:rPr>
          <w:rFonts w:ascii="Arial" w:cs="Arial" w:eastAsia="Arial" w:hAnsi="Arial"/>
          <w:sz w:val="12"/>
          <w:szCs w:val="12"/>
          <w:color w:val="auto"/>
        </w:rPr>
      </w:pPr>
    </w:p>
    <w:p>
      <w:pPr>
        <w:ind w:left="320" w:right="40" w:hanging="259"/>
        <w:spacing w:after="0" w:line="276" w:lineRule="auto"/>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majority of the assets in this category are invested in funds primarily concentrated in non-U.S. debt instruments. The funds are valued using the net asset value method in which an average of the market prices for underlying investments is used to value the fund.</w:t>
      </w:r>
    </w:p>
    <w:p>
      <w:pPr>
        <w:spacing w:after="0" w:line="10" w:lineRule="exact"/>
        <w:rPr>
          <w:rFonts w:ascii="Arial" w:cs="Arial" w:eastAsia="Arial" w:hAnsi="Arial"/>
          <w:sz w:val="13"/>
          <w:szCs w:val="13"/>
          <w:color w:val="auto"/>
        </w:rPr>
      </w:pPr>
    </w:p>
    <w:p>
      <w:pPr>
        <w:ind w:left="320" w:right="120" w:hanging="259"/>
        <w:spacing w:after="0" w:line="276" w:lineRule="auto"/>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majority of the assets in this category are invested in properties in Ireland, the UK, Europe and established international markets. Investments in properties are stated at estimated fair values based upon valuations by external independent property values.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3" w:name="page84"/>
    <w:bookmarkEnd w:id="83"/>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presents a reconciliation of the plan assets measured at fair value on a recurring basis using significant unobservable inputs (Level 3) for fiscal years 2010 and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2"/>
              </w:rPr>
              <w:t>Properties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7"/>
              </w:rPr>
              <w:t>Equities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October 31, 2009</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left="117"/>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2,340</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color w:val="auto"/>
              </w:rPr>
              <w:t>Purchases, sales, and settlements, net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899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Realized and unrealized return on plan assets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color w:val="auto"/>
              </w:rPr>
              <w:t>Effect on conversion to United States dollar</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October 30, 2010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3,186</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980" w:type="dxa"/>
            <w:vAlign w:val="bottom"/>
            <w:gridSpan w:val="2"/>
            <w:vMerge w:val="restart"/>
          </w:tcPr>
          <w:p>
            <w:pPr>
              <w:spacing w:after="0"/>
              <w:rPr>
                <w:sz w:val="20"/>
                <w:szCs w:val="20"/>
                <w:color w:val="auto"/>
              </w:rPr>
            </w:pPr>
            <w:r>
              <w:rPr>
                <w:rFonts w:ascii="Arial" w:cs="Arial" w:eastAsia="Arial" w:hAnsi="Arial"/>
                <w:sz w:val="13"/>
                <w:szCs w:val="13"/>
                <w:color w:val="auto"/>
              </w:rPr>
              <w:t>Purchases, sales, and settlements, net</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Realized and unrealized return on plan assets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color w:val="auto"/>
              </w:rPr>
              <w:t>Effect on conversion to United States dollar</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October 29, 2011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3,166</w:t>
            </w: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3"/>
                <w:szCs w:val="13"/>
                <w:i w:val="1"/>
                <w:iCs w:val="1"/>
                <w:color w:val="auto"/>
              </w:rPr>
              <w:t>Estimated future cash flows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3"/>
                <w:szCs w:val="13"/>
                <w:color w:val="auto"/>
              </w:rPr>
              <w:t>Expected fiscal 2012 Company contributions and estimated future benefit payments are as follows: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69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Expected Company Contributions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10,342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3,673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2015</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2016</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4,673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 through 2021</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w w:val="88"/>
              </w:rPr>
              <w:t>14.</w:t>
            </w:r>
          </w:p>
        </w:tc>
        <w:tc>
          <w:tcPr>
            <w:tcW w:w="6800" w:type="dxa"/>
            <w:vAlign w:val="bottom"/>
          </w:tcPr>
          <w:p>
            <w:pPr>
              <w:ind w:left="32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3"/>
                <w:szCs w:val="13"/>
                <w:color w:val="auto"/>
              </w:rPr>
              <w:t>The reconciliation of income tax computed at the U.S. federal statutory rates to income tax expense is as follows:</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0"/>
                <w:szCs w:val="10"/>
                <w:b w:val="1"/>
                <w:bCs w:val="1"/>
                <w:color w:val="auto"/>
                <w:w w:val="89"/>
              </w:rPr>
              <w:t>2010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federal statutory tax rate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35.0%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spacing w:after="0"/>
              <w:rPr>
                <w:sz w:val="20"/>
                <w:szCs w:val="20"/>
                <w:color w:val="auto"/>
              </w:rPr>
            </w:pPr>
            <w:r>
              <w:rPr>
                <w:rFonts w:ascii="Arial" w:cs="Arial" w:eastAsia="Arial" w:hAnsi="Arial"/>
                <w:sz w:val="13"/>
                <w:szCs w:val="13"/>
                <w:b w:val="1"/>
                <w:bCs w:val="1"/>
                <w:color w:val="auto"/>
              </w:rPr>
              <w:t>Income tax provision reconciliation:</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 at statutory rate: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371,506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4"/>
            <w:shd w:val="clear" w:color="auto" w:fill="CCEEFF"/>
          </w:tcPr>
          <w:p>
            <w:pPr>
              <w:jc w:val="right"/>
              <w:ind w:right="174"/>
              <w:spacing w:after="0"/>
              <w:rPr>
                <w:sz w:val="20"/>
                <w:szCs w:val="20"/>
                <w:color w:val="auto"/>
              </w:rPr>
            </w:pPr>
            <w:r>
              <w:rPr>
                <w:rFonts w:ascii="Arial" w:cs="Arial" w:eastAsia="Arial" w:hAnsi="Arial"/>
                <w:sz w:val="13"/>
                <w:szCs w:val="13"/>
                <w:color w:val="auto"/>
              </w:rPr>
              <w:t>315,583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104,105</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ind w:left="140"/>
              <w:spacing w:after="0"/>
              <w:rPr>
                <w:sz w:val="20"/>
                <w:szCs w:val="20"/>
                <w:color w:val="auto"/>
              </w:rPr>
            </w:pPr>
            <w:r>
              <w:rPr>
                <w:rFonts w:ascii="Arial" w:cs="Arial" w:eastAsia="Arial" w:hAnsi="Arial"/>
                <w:sz w:val="13"/>
                <w:szCs w:val="13"/>
                <w:color w:val="auto"/>
              </w:rPr>
              <w:t>Irish income subject to lower tax rate</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(143,938)</w:t>
            </w:r>
          </w:p>
        </w:tc>
        <w:tc>
          <w:tcPr>
            <w:tcW w:w="140" w:type="dxa"/>
            <w:vAlign w:val="bottom"/>
          </w:tcPr>
          <w:p>
            <w:pPr>
              <w:spacing w:after="0"/>
              <w:rPr>
                <w:sz w:val="13"/>
                <w:szCs w:val="13"/>
                <w:color w:val="auto"/>
              </w:rPr>
            </w:pPr>
          </w:p>
        </w:tc>
        <w:tc>
          <w:tcPr>
            <w:tcW w:w="780" w:type="dxa"/>
            <w:vAlign w:val="bottom"/>
            <w:gridSpan w:val="4"/>
          </w:tcPr>
          <w:p>
            <w:pPr>
              <w:jc w:val="right"/>
              <w:ind w:right="134"/>
              <w:spacing w:after="0"/>
              <w:rPr>
                <w:sz w:val="20"/>
                <w:szCs w:val="20"/>
                <w:color w:val="auto"/>
              </w:rPr>
            </w:pPr>
            <w:r>
              <w:rPr>
                <w:rFonts w:ascii="Arial" w:cs="Arial" w:eastAsia="Arial" w:hAnsi="Arial"/>
                <w:sz w:val="13"/>
                <w:szCs w:val="13"/>
                <w:color w:val="auto"/>
              </w:rPr>
              <w:t>(129,741)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(50,972)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 income taxes, net of federal benefit</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1,162</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74"/>
              <w:spacing w:after="0"/>
              <w:rPr>
                <w:sz w:val="20"/>
                <w:szCs w:val="20"/>
                <w:color w:val="auto"/>
              </w:rPr>
            </w:pPr>
            <w:r>
              <w:rPr>
                <w:rFonts w:ascii="Arial" w:cs="Arial" w:eastAsia="Arial" w:hAnsi="Arial"/>
                <w:sz w:val="13"/>
                <w:szCs w:val="13"/>
                <w:color w:val="auto"/>
                <w:w w:val="85"/>
              </w:rPr>
              <w:t>2,622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ind w:left="140"/>
              <w:spacing w:after="0"/>
              <w:rPr>
                <w:sz w:val="20"/>
                <w:szCs w:val="20"/>
                <w:color w:val="auto"/>
              </w:rPr>
            </w:pPr>
            <w:r>
              <w:rPr>
                <w:rFonts w:ascii="Arial" w:cs="Arial" w:eastAsia="Arial" w:hAnsi="Arial"/>
                <w:sz w:val="13"/>
                <w:szCs w:val="13"/>
                <w:color w:val="auto"/>
              </w:rPr>
              <w:t>Valuation reserve</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(6,700)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 tax credits</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(14,681)</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rPr>
              <w:t>(1,045)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ind w:left="140"/>
              <w:spacing w:after="0"/>
              <w:rPr>
                <w:sz w:val="20"/>
                <w:szCs w:val="20"/>
                <w:color w:val="auto"/>
              </w:rPr>
            </w:pPr>
            <w:r>
              <w:rPr>
                <w:rFonts w:ascii="Arial" w:cs="Arial" w:eastAsia="Arial" w:hAnsi="Arial"/>
                <w:sz w:val="13"/>
                <w:szCs w:val="13"/>
                <w:color w:val="auto"/>
              </w:rPr>
              <w:t>Settlement of tax examination</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(10,804)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foreign tax in excess of U.S. federal statutory tax rate</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74"/>
              <w:spacing w:after="0"/>
              <w:rPr>
                <w:sz w:val="20"/>
                <w:szCs w:val="20"/>
                <w:color w:val="auto"/>
              </w:rPr>
            </w:pPr>
            <w:r>
              <w:rPr>
                <w:rFonts w:ascii="Arial" w:cs="Arial" w:eastAsia="Arial" w:hAnsi="Arial"/>
                <w:sz w:val="13"/>
                <w:szCs w:val="13"/>
                <w:color w:val="auto"/>
                <w:w w:val="85"/>
              </w:rPr>
              <w:t>1,315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980" w:type="dxa"/>
            <w:vAlign w:val="bottom"/>
            <w:gridSpan w:val="2"/>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3,670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174"/>
              <w:spacing w:after="0"/>
              <w:rPr>
                <w:sz w:val="20"/>
                <w:szCs w:val="20"/>
                <w:color w:val="auto"/>
              </w:rPr>
            </w:pPr>
            <w:r>
              <w:rPr>
                <w:rFonts w:ascii="Arial" w:cs="Arial" w:eastAsia="Arial" w:hAnsi="Arial"/>
                <w:sz w:val="13"/>
                <w:szCs w:val="13"/>
                <w:color w:val="auto"/>
                <w:w w:val="85"/>
              </w:rPr>
              <w:t>1,706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income tax provision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200,553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80" w:type="dxa"/>
            <w:vAlign w:val="bottom"/>
            <w:gridSpan w:val="4"/>
            <w:shd w:val="clear" w:color="auto" w:fill="CCEEFF"/>
          </w:tcPr>
          <w:p>
            <w:pPr>
              <w:jc w:val="right"/>
              <w:ind w:right="174"/>
              <w:spacing w:after="0"/>
              <w:rPr>
                <w:sz w:val="20"/>
                <w:szCs w:val="20"/>
                <w:color w:val="auto"/>
              </w:rPr>
            </w:pPr>
            <w:r>
              <w:rPr>
                <w:rFonts w:ascii="Arial" w:cs="Arial" w:eastAsia="Arial" w:hAnsi="Arial"/>
                <w:sz w:val="13"/>
                <w:szCs w:val="13"/>
                <w:color w:val="auto"/>
              </w:rPr>
              <w:t>190,440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50,036</w:t>
            </w:r>
          </w:p>
        </w:tc>
        <w:tc>
          <w:tcPr>
            <w:tcW w:w="12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tcPr>
          <w:p>
            <w:pPr>
              <w:ind w:left="4760"/>
              <w:spacing w:after="0"/>
              <w:rPr>
                <w:sz w:val="20"/>
                <w:szCs w:val="20"/>
                <w:color w:val="auto"/>
              </w:rPr>
            </w:pPr>
            <w:r>
              <w:rPr>
                <w:rFonts w:ascii="Arial" w:cs="Arial" w:eastAsia="Arial" w:hAnsi="Arial"/>
                <w:sz w:val="13"/>
                <w:szCs w:val="13"/>
                <w:color w:val="auto"/>
              </w:rPr>
              <w:t>83</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financial reporting purposes, income before income taxes includes the following components: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w w:val="98"/>
              </w:rPr>
              <w:t>2011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Pretax income: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Domestic</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355,819</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289,748</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1,133</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705,628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611,917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296,311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80"/>
              <w:spacing w:after="0"/>
              <w:rPr>
                <w:sz w:val="20"/>
                <w:szCs w:val="20"/>
                <w:color w:val="auto"/>
              </w:rPr>
            </w:pPr>
            <w:r>
              <w:rPr>
                <w:rFonts w:ascii="Arial" w:cs="Arial" w:eastAsia="Arial" w:hAnsi="Arial"/>
                <w:sz w:val="13"/>
                <w:szCs w:val="13"/>
                <w:color w:val="auto"/>
              </w:rPr>
              <w:t>Income from continuing operations before income taxes</w:t>
            </w: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1,061,447</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901,665</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297,444</w:t>
            </w:r>
          </w:p>
        </w:tc>
        <w:tc>
          <w:tcPr>
            <w:tcW w:w="0" w:type="dxa"/>
            <w:vAlign w:val="bottom"/>
          </w:tcPr>
          <w:p>
            <w:pPr>
              <w:spacing w:after="0"/>
              <w:rPr>
                <w:sz w:val="1"/>
                <w:szCs w:val="1"/>
                <w:color w:val="auto"/>
              </w:rPr>
            </w:pPr>
          </w:p>
        </w:tc>
      </w:tr>
      <w:tr>
        <w:trPr>
          <w:trHeight w:val="254"/>
        </w:trPr>
        <w:tc>
          <w:tcPr>
            <w:tcW w:w="6900" w:type="dxa"/>
            <w:vAlign w:val="bottom"/>
          </w:tcPr>
          <w:p>
            <w:pPr>
              <w:ind w:left="400"/>
              <w:spacing w:after="0"/>
              <w:rPr>
                <w:sz w:val="20"/>
                <w:szCs w:val="20"/>
                <w:color w:val="auto"/>
              </w:rPr>
            </w:pPr>
            <w:r>
              <w:rPr>
                <w:rFonts w:ascii="Arial" w:cs="Arial" w:eastAsia="Arial" w:hAnsi="Arial"/>
                <w:sz w:val="13"/>
                <w:szCs w:val="13"/>
                <w:color w:val="auto"/>
              </w:rPr>
              <w:t>The components of the provision for income taxes are as follows:</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1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Federal tax (benefit)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3"/>
                <w:szCs w:val="13"/>
                <w:color w:val="auto"/>
              </w:rPr>
              <w:t>92,103</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117,097</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(5,191)</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104,959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79,055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43,007</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1,787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3"/>
                <w:szCs w:val="13"/>
                <w:color w:val="auto"/>
              </w:rPr>
              <w:t>4,154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198,849</w:t>
            </w:r>
          </w:p>
        </w:tc>
        <w:tc>
          <w:tcPr>
            <w:tcW w:w="3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200,306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38,441</w:t>
            </w:r>
          </w:p>
        </w:tc>
        <w:tc>
          <w:tcPr>
            <w:tcW w:w="0" w:type="dxa"/>
            <w:vAlign w:val="bottom"/>
          </w:tcPr>
          <w:p>
            <w:pPr>
              <w:spacing w:after="0"/>
              <w:rPr>
                <w:sz w:val="1"/>
                <w:szCs w:val="1"/>
                <w:color w:val="auto"/>
              </w:rPr>
            </w:pPr>
          </w:p>
        </w:tc>
      </w:tr>
      <w:tr>
        <w:trPr>
          <w:trHeight w:val="166"/>
        </w:trPr>
        <w:tc>
          <w:tcPr>
            <w:tcW w:w="6900" w:type="dxa"/>
            <w:vAlign w:val="bottom"/>
          </w:tcPr>
          <w:p>
            <w:pPr>
              <w:spacing w:after="0"/>
              <w:rPr>
                <w:sz w:val="20"/>
                <w:szCs w:val="20"/>
                <w:color w:val="auto"/>
              </w:rPr>
            </w:pPr>
            <w:r>
              <w:rPr>
                <w:rFonts w:ascii="Arial" w:cs="Arial" w:eastAsia="Arial" w:hAnsi="Arial"/>
                <w:sz w:val="13"/>
                <w:szCs w:val="13"/>
                <w:b w:val="1"/>
                <w:bCs w:val="1"/>
                <w:color w:val="auto"/>
              </w:rPr>
              <w:t>Deferred (prepaid):</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9,399</w:t>
            </w:r>
          </w:p>
        </w:tc>
        <w:tc>
          <w:tcPr>
            <w:tcW w:w="3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(6,159)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16,718</w:t>
            </w:r>
          </w:p>
        </w:tc>
        <w:tc>
          <w:tcPr>
            <w:tcW w:w="0" w:type="dxa"/>
            <w:vAlign w:val="bottom"/>
          </w:tcPr>
          <w:p>
            <w:pPr>
              <w:spacing w:after="0"/>
              <w:rPr>
                <w:sz w:val="1"/>
                <w:szCs w:val="1"/>
                <w:color w:val="auto"/>
              </w:rPr>
            </w:pPr>
          </w:p>
        </w:tc>
      </w:tr>
      <w:tr>
        <w:trPr>
          <w:trHeight w:val="157"/>
        </w:trPr>
        <w:tc>
          <w:tcPr>
            <w:tcW w:w="6900" w:type="dxa"/>
            <w:vAlign w:val="bottom"/>
          </w:tcPr>
          <w:p>
            <w:pPr>
              <w:ind w:left="1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3"/>
                <w:szCs w:val="13"/>
                <w:color w:val="auto"/>
              </w:rPr>
              <w:t>(5,762)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(1,933)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(3,534)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80"/>
              <w:spacing w:after="0"/>
              <w:rPr>
                <w:sz w:val="20"/>
                <w:szCs w:val="20"/>
                <w:color w:val="auto"/>
              </w:rPr>
            </w:pPr>
            <w:r>
              <w:rPr>
                <w:rFonts w:ascii="Arial" w:cs="Arial" w:eastAsia="Arial" w:hAnsi="Arial"/>
                <w:sz w:val="13"/>
                <w:szCs w:val="13"/>
                <w:color w:val="auto"/>
              </w:rPr>
              <w:t>Total deferred (prepaid)</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1,704</w:t>
            </w:r>
          </w:p>
        </w:tc>
        <w:tc>
          <w:tcPr>
            <w:tcW w:w="30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(9,866)</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11,595</w:t>
            </w: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The Company continues to intend to reinvest certain of its foreign earnings indefinitely. Accordingly, no U.S. income taxes have been provided for approximately $2,805 million of unremitted earnings of international subsidiaries. As of October 29, 2011, the amount of unrecognized deferred tax liability on these earnings was $736 million.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significant components of the Company’s deferred tax assets and liabilities for the fiscal years ended October 29, 2011 and October 30, 2010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Inventory reserves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23,503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24,495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on shipments to distributors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32,870</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Reserves for compensation and benefits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21,164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26,199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credit carryovers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41,468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50,384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91,417</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75,827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(592)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gross deferred tax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215,802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215,579</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Valuation allowance</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(34,768)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(50,384)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deferred tax assets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181,034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165,195</w:t>
            </w:r>
          </w:p>
        </w:tc>
        <w:tc>
          <w:tcPr>
            <w:tcW w:w="0" w:type="dxa"/>
            <w:vAlign w:val="bottom"/>
          </w:tcPr>
          <w:p>
            <w:pPr>
              <w:spacing w:after="0"/>
              <w:rPr>
                <w:sz w:val="1"/>
                <w:szCs w:val="1"/>
                <w:color w:val="auto"/>
              </w:rPr>
            </w:pPr>
          </w:p>
        </w:tc>
      </w:tr>
      <w:tr>
        <w:trPr>
          <w:trHeight w:val="156"/>
        </w:trPr>
        <w:tc>
          <w:tcPr>
            <w:tcW w:w="810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(36,624)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(12,185)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Undistributed earnings of foreign subsidiaries</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(24,025)</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(24,229)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(1,829)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(3,106)</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gross deferred tax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(62,478)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(39,520)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deferred tax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118,556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125,675</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valuation allowances of $34.8 million and $50.4 million at October 29, 2011 and October 30, 2010, respectively, are a valuation allowance for the Company’s state credit carryovers that began expiring in 2008.</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1"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As of October 29, 2011 and October 30, 2010, the Company had a liability of $9.7 million and $18.4 million, respectively, for gross unrealized tax benefits, all of which, if settled in the Company’s favor, would lower the Company’s effective tax rate in the period recorded. In addition, as of October 29, 2011 and October 30, 2010, the Company had a liability of approximately $11.1 million and $9.9 million, respectively, for interest and penalties. The Company includes interest and penalties related to unrecognized tax benefits within the provision for taxes in the consolidated statements of income. The total liability as of October 29, 2011 and October 30, 2010 of $20.8 million and $28.3 million, respectively, for uncertain tax positions is classified as non-current, and is included in other non-current liabilities, because the Company believes that the ultimate payment or settlement of these liabilities may not occur within the next twelve months. The consolidated statements of income for fiscal years 2011, 2010 and 2009 include $0.9 million, $1.8 million and $1.7 million, respectively, of interest and penalties related to these uncertain tax positions. Over the next fiscal year, the Company anticipates the liability to be reduced by $5.2 million for a tax settlement payment and the possible expiration of income tax statute of limitations.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9"/>
        </w:trPr>
        <w:tc>
          <w:tcPr>
            <w:tcW w:w="9200" w:type="dxa"/>
            <w:vAlign w:val="bottom"/>
          </w:tcPr>
          <w:p>
            <w:pPr>
              <w:ind w:left="4240"/>
              <w:spacing w:after="0"/>
              <w:rPr>
                <w:sz w:val="20"/>
                <w:szCs w:val="20"/>
                <w:color w:val="auto"/>
              </w:rPr>
            </w:pPr>
            <w:r>
              <w:rPr>
                <w:rFonts w:ascii="Arial" w:cs="Arial" w:eastAsia="Arial" w:hAnsi="Arial"/>
                <w:sz w:val="13"/>
                <w:szCs w:val="13"/>
                <w:b w:val="1"/>
                <w:bCs w:val="1"/>
                <w:color w:val="auto"/>
              </w:rPr>
              <w:t>ANALOG DEVICES, INC.</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92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9200" w:type="dxa"/>
            <w:vAlign w:val="bottom"/>
          </w:tcPr>
          <w:p>
            <w:pPr>
              <w:ind w:left="400"/>
              <w:spacing w:after="0"/>
              <w:rPr>
                <w:sz w:val="20"/>
                <w:szCs w:val="20"/>
                <w:color w:val="auto"/>
              </w:rPr>
            </w:pPr>
            <w:r>
              <w:rPr>
                <w:rFonts w:ascii="Arial" w:cs="Arial" w:eastAsia="Arial" w:hAnsi="Arial"/>
                <w:sz w:val="13"/>
                <w:szCs w:val="13"/>
                <w:color w:val="auto"/>
              </w:rPr>
              <w:t>The following table summarizes the changes in the total amounts of unrealized tax benefits for fiscal 2009 through fiscal 2011.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9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Balance, November 1, 2008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13,750</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Additions for tax positions of 2009</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4,411</w:t>
            </w:r>
          </w:p>
        </w:tc>
      </w:tr>
      <w:tr>
        <w:trPr>
          <w:trHeight w:val="20"/>
        </w:trPr>
        <w:tc>
          <w:tcPr>
            <w:tcW w:w="9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Balance, October 31, 2009</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18,161</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Additions for tax positions of 2010</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r>
      <w:tr>
        <w:trPr>
          <w:trHeight w:val="20"/>
        </w:trPr>
        <w:tc>
          <w:tcPr>
            <w:tcW w:w="9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Balance, October 30, 2010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18,447</w:t>
            </w:r>
          </w:p>
        </w:tc>
      </w:tr>
      <w:tr>
        <w:trPr>
          <w:trHeight w:val="20"/>
        </w:trPr>
        <w:tc>
          <w:tcPr>
            <w:tcW w:w="9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980"/>
          </w:cols>
          <w:pgMar w:left="900" w:top="716" w:right="1019" w:bottom="1440" w:gutter="0" w:footer="0" w:header="0"/>
        </w:sectPr>
      </w:pPr>
    </w:p>
    <w:p>
      <w:pPr>
        <w:spacing w:after="0"/>
        <w:rPr>
          <w:sz w:val="20"/>
          <w:szCs w:val="20"/>
          <w:color w:val="auto"/>
        </w:rPr>
      </w:pPr>
      <w:r>
        <w:rPr>
          <w:rFonts w:ascii="Arial" w:cs="Arial" w:eastAsia="Arial" w:hAnsi="Arial"/>
          <w:sz w:val="12"/>
          <w:szCs w:val="12"/>
          <w:color w:val="auto"/>
        </w:rPr>
        <w:t>Additions for tax positions related to prior years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6335395" cy="99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Settlements with taxing authorities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Balance, October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3"/>
          <w:szCs w:val="13"/>
          <w:color w:val="auto"/>
        </w:rPr>
        <w:t>9,265</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(17,677)</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43688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ind w:left="401" w:hanging="401"/>
        <w:spacing w:after="0"/>
        <w:tabs>
          <w:tab w:leader="none" w:pos="401" w:val="left"/>
        </w:tabs>
        <w:numPr>
          <w:ilvl w:val="0"/>
          <w:numId w:val="60"/>
        </w:numPr>
        <w:rPr>
          <w:rFonts w:ascii="Arial" w:cs="Arial" w:eastAsia="Arial" w:hAnsi="Arial"/>
          <w:sz w:val="13"/>
          <w:szCs w:val="13"/>
          <w:color w:val="auto"/>
        </w:rPr>
      </w:pPr>
      <w:r>
        <w:rPr>
          <w:rFonts w:ascii="Arial" w:cs="Arial" w:eastAsia="Arial" w:hAnsi="Arial"/>
          <w:sz w:val="13"/>
          <w:szCs w:val="13"/>
          <w:color w:val="auto"/>
        </w:rPr>
        <w:t>9,665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43688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436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9" w:space="720"/>
            <w:col w:w="781"/>
          </w:cols>
          <w:pgMar w:left="900" w:top="716" w:right="10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Years 2004 and 2005 IRS Examination</w:t>
      </w:r>
    </w:p>
    <w:p>
      <w:pPr>
        <w:spacing w:after="0" w:line="96"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During the fourth quarter of fiscal 2007, the Internal Revenue Service (IRS) completed its field examination of the Company’s fiscal years 2004 and 2005. On January 2, 2008, the IRS issued its report for fiscal 2004 and 2005, which included four proposed adjustments related to these two fiscal years that the Company protested to the IRS Appeals Office. Two of the unresolved matters were one-time issues that pertain to Section 965 of the Internal Revenue Code related to the beneficial tax treatment of dividends paid from foreign owned companies under The American Jobs Creation Act. The other matters pertained to the computation of the research and development (R&amp;D) tax credit and certain profits earned from manufacturing activities carried on outside the United States. The Company recorded a tax liability for a portion of the proposed R&amp;D tax credit adjustment. These four items had an additional potential tax liability of $46 million. The Company concluded, based on discussions with its tax advisors, that these items were not likely to result in any additional tax liability. Therefore, the Company did not record a tax liability for these items.</w:t>
      </w:r>
    </w:p>
    <w:p>
      <w:pPr>
        <w:spacing w:after="0" w:line="73" w:lineRule="exact"/>
        <w:rPr>
          <w:sz w:val="20"/>
          <w:szCs w:val="20"/>
          <w:color w:val="auto"/>
        </w:rPr>
      </w:pPr>
    </w:p>
    <w:p>
      <w:pPr>
        <w:jc w:val="both"/>
        <w:ind w:right="60" w:firstLine="399"/>
        <w:spacing w:after="0" w:line="322" w:lineRule="auto"/>
        <w:rPr>
          <w:sz w:val="20"/>
          <w:szCs w:val="20"/>
          <w:color w:val="auto"/>
        </w:rPr>
      </w:pPr>
      <w:r>
        <w:rPr>
          <w:rFonts w:ascii="Arial" w:cs="Arial" w:eastAsia="Arial" w:hAnsi="Arial"/>
          <w:sz w:val="11"/>
          <w:szCs w:val="11"/>
          <w:color w:val="auto"/>
        </w:rPr>
        <w:t>During the second quarter of fiscal 2011, the Company reached settlement with the IRS Appeals Office on three of the four items under protest. The remaining unresolved matter is a one-time issue pertaining to Section 965 of the Internal Revenue Code related to the beneficial tax treatment of dividends from foreign owned companies under The American Jobs Creation Act. The Company will file a petition with the Tax Court with respect to this open matter.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Years 2006 and 2007 IRS Examination</w:t>
      </w:r>
    </w:p>
    <w:p>
      <w:pPr>
        <w:spacing w:after="0" w:line="96"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During the third quarter of fiscal 2009, the IRS completed its field examination of the Company’s fiscal years 2006 and 2007. The IRS and the Company agreed on the treatment of a number of issues that have been included in an Issue Resolutions Agreement related to the 2006 and 2007 tax returns. However, no agreement was reached on the tax treatment of a number of issues for the fiscal 2006 and fiscal 2007 years, including the same R&amp;D tax credit and foreign manufacturing issues mentioned above related to fiscal 2004 and 2005, the pricing of intercompany sales (transfer pricing) and the deductibility of certain stock option compensation expenses. The Company recorded taxes related to a portion of the proposed R&amp;D tax credit adjustment. These four items had an additional potential total tax liability of $195 million. The Company concluded, based on discussions with its tax advisors that these items were not likely to result in any additional tax liability. Therefore, the Company did not record any additional tax liability for these items and appealed these proposed adjustments through the normal processes for the resolution of differences between the IRS and taxpayers.</w:t>
      </w:r>
    </w:p>
    <w:p>
      <w:pPr>
        <w:spacing w:after="0" w:line="58" w:lineRule="exact"/>
        <w:rPr>
          <w:sz w:val="20"/>
          <w:szCs w:val="20"/>
          <w:color w:val="auto"/>
        </w:rPr>
      </w:pPr>
    </w:p>
    <w:p>
      <w:pPr>
        <w:ind w:right="240" w:firstLine="399"/>
        <w:spacing w:after="0" w:line="320" w:lineRule="auto"/>
        <w:rPr>
          <w:sz w:val="20"/>
          <w:szCs w:val="20"/>
          <w:color w:val="auto"/>
        </w:rPr>
      </w:pPr>
      <w:r>
        <w:rPr>
          <w:rFonts w:ascii="Arial" w:cs="Arial" w:eastAsia="Arial" w:hAnsi="Arial"/>
          <w:sz w:val="12"/>
          <w:szCs w:val="12"/>
          <w:color w:val="auto"/>
        </w:rPr>
        <w:t>During the second quarter of fiscal 2011, the Company reached an agreement with the IRS Appeals Office on three of the four protested items, two of which were the same issues settled relating to the 2004 and 2005 fiscal years. Transfer pricing remained as the only item under protest with the IRS Appeals Office related to the fiscal</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2006 and fiscal 2007 years. The potential U.S. tax liability for this matter would have been $157.5 million. The Company concluded, based on discussions with its tax advisors, that this item was not likely to result in any additional tax liability. Therefore, the Company did not record a tax liability for this issue.</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During the third quarter of fiscal 2011, the Company reached an agreement with the IRS Appeals Office on transfer pricing, the remaining item under protest related to the fiscal 2006 and fiscal 2007 years. Under this agreement, there is no tax owed on the transfer pricing issue for those years.</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As a result of settling all but the one-time issue pertaining to Section 965 of the Internal Revenue Code related to the beneficial tax treatment of dividends from foreign owned companies under The American Jobs Creation Act for the fiscal 2004 through fiscal 2007 years at the IRS Appeals Office, the Company recorded a net $10.8 million tax benefit in the second quarter of fiscal 2011. The Company will file a petition with the Tax Court for the open matter.</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Years 2008 through 2010</w:t>
      </w:r>
    </w:p>
    <w:p>
      <w:pPr>
        <w:spacing w:after="0" w:line="96"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Company files U.S. federal, U.S. state and non-U.S. tax returns. The following major jurisdictions are no longer subject to examination: U.S. federal prior to fiscal year 2008 and Ireland prior to fiscal year 2007.</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44" w:lineRule="exact"/>
        <w:rPr>
          <w:sz w:val="20"/>
          <w:szCs w:val="20"/>
          <w:color w:val="auto"/>
        </w:rPr>
      </w:pPr>
    </w:p>
    <w:p>
      <w:pPr>
        <w:ind w:left="500" w:hanging="493"/>
        <w:spacing w:after="0"/>
        <w:tabs>
          <w:tab w:leader="none" w:pos="5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Revolving Credit Facility</w:t>
      </w:r>
    </w:p>
    <w:p>
      <w:pPr>
        <w:spacing w:after="0" w:line="100"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As of October 29, 2011, the Company had $3,592.5 million of cash and cash equivalents and short-term investments, of which $1,170.5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the facility impose restrictions on the Company’s ability to undertake certain transactions, to create certain liens on assets and to incur certain subsidiary indebtedness. The terms of this facility also include financial covenants that require the Company to maintain a minimum interest coverage ratio and not exceed a maximum leverage ratio. As of October 29, 2011, the Company was compliant with these covenants.</w:t>
      </w:r>
    </w:p>
    <w:p>
      <w:pPr>
        <w:spacing w:after="0" w:line="135" w:lineRule="exact"/>
        <w:rPr>
          <w:sz w:val="20"/>
          <w:szCs w:val="20"/>
          <w:color w:val="auto"/>
        </w:rPr>
      </w:pPr>
    </w:p>
    <w:p>
      <w:pPr>
        <w:ind w:left="500" w:hanging="493"/>
        <w:spacing w:after="0"/>
        <w:tabs>
          <w:tab w:leader="none" w:pos="50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color w:val="auto"/>
        </w:rPr>
        <w:t>On June 30, 2009, the Company issued $375 million aggregate principal amount of 5.0% senior unsecured notes due July 1, 2014 (the 5.0% Notes) with semi-annual fixed interest payments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29, 2011, the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Company was compliant with these covenants. The notes are subordinated to any future secured debt and to the other liabilities of our subsidiaries.</w:t>
      </w:r>
    </w:p>
    <w:p>
      <w:pPr>
        <w:spacing w:after="0" w:line="96"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 month LIBOR plus 2.05% (2.42% as of October 29, 2011) interest payment, payable in four installments on the 1st business day of every January, April, July and October, commencing on October 1, 2009 and ending on the maturity date. The LIBOR-based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58"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 million, which matures on December 22, 2013. The terms of the agreement provide for a three year principle amortization schedule with $3.6 million payable quarterly every March, June, September and December with the balance payable upon the maturity date. During the third quarter of fiscal 2011 the Company made an additional principal payment of $17.5 million. The loan will bear interest at a fluctuating rate for each period equal to the LIBOR rate corresponding with the tenor of the interest period plus a spread of 1.25% (1.61% as of October 29, 2011).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October 29, 2011, the Company was compliant with these covenants. As of October 29, 2011, $14.5 million of this debt was classified as short-term.</w:t>
      </w:r>
    </w:p>
    <w:p>
      <w:pPr>
        <w:spacing w:after="0" w:line="76"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On April 4, 2011, the Company issued $375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29, 2011, the Company was compliant with these covenants. The notes are subordinated to any future secured debt and to the other liabilities of our subsidiaries.</w:t>
      </w:r>
    </w:p>
    <w:p>
      <w:pPr>
        <w:spacing w:after="0" w:line="76"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The Company’s principle payments related to its long-term debt obligations are as follows: $14.5 million in fiscal years 2012 and 2013; $462.6 million in fiscal year 2014; and $375 million in fiscal year 2016.</w:t>
      </w:r>
    </w:p>
    <w:p>
      <w:pPr>
        <w:spacing w:after="0" w:line="134" w:lineRule="exact"/>
        <w:rPr>
          <w:sz w:val="20"/>
          <w:szCs w:val="20"/>
          <w:color w:val="auto"/>
        </w:rPr>
      </w:pPr>
    </w:p>
    <w:p>
      <w:pPr>
        <w:ind w:left="500" w:hanging="493"/>
        <w:spacing w:after="0"/>
        <w:tabs>
          <w:tab w:leader="none" w:pos="50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right="760" w:firstLine="399"/>
        <w:spacing w:after="0" w:line="276" w:lineRule="auto"/>
        <w:rPr>
          <w:sz w:val="20"/>
          <w:szCs w:val="20"/>
          <w:color w:val="auto"/>
        </w:rPr>
      </w:pPr>
      <w:r>
        <w:rPr>
          <w:rFonts w:ascii="Arial" w:cs="Arial" w:eastAsia="Arial" w:hAnsi="Arial"/>
          <w:sz w:val="13"/>
          <w:szCs w:val="13"/>
          <w:color w:val="auto"/>
        </w:rPr>
        <w:t>On November 18, 2011, the Board of Directors of the Company declared a cash dividend of $0.25 per outstanding share of common stock. The dividend will be paid on December 21, 2011 to all shareholders of record at the close of business on December 2, 2011.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Analog Devices, Inc. as of October 29, 2011 and October 30, 2010, and the related consolidated statements of income, shareholders’ equity, comprehensive income, and cash flows for each of the three years in the period ended October 29, 2011. Our audits also included the financial statement schedule listed in the Index at Item 15(b).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Analog Devices, Inc. at October 29, 2011 and October 30, 2010, and the consolidated results of its operations and its cash flows for each of the three years in the period ended October 29,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Analog Devices, Inc.’s internal control over financial reporting as of October 29, 2011, based on criteria established in Internal Control-Integrated Framework issued by the Committee of Sponsoring Organizations of the Treadway Commission and our report dated November 22,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198120</wp:posOffset>
            </wp:positionV>
            <wp:extent cx="1017270" cy="2495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1727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22, 2011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0" w:name="page91"/>
    <w:bookmarkEnd w:id="90"/>
    <w:p>
      <w:pPr>
        <w:ind w:left="4240"/>
        <w:spacing w:after="0"/>
        <w:rPr>
          <w:sz w:val="20"/>
          <w:szCs w:val="20"/>
          <w:color w:val="auto"/>
        </w:rPr>
      </w:pPr>
      <w:r>
        <w:rPr>
          <w:rFonts w:ascii="Arial" w:cs="Arial" w:eastAsia="Arial" w:hAnsi="Arial"/>
          <w:sz w:val="13"/>
          <w:szCs w:val="13"/>
          <w:b w:val="1"/>
          <w:bCs w:val="1"/>
          <w:color w:val="auto"/>
        </w:rPr>
        <w:t>ANALOG DEVICES,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SUPPLEMENTARY FINANCIAL INFORMATION</w:t>
      </w:r>
    </w:p>
    <w:p>
      <w:pPr>
        <w:spacing w:after="0" w:line="19"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(Unaudited)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Quarterly financial information for fiscal 2011 and fiscal 2010 (thousands, except per share amounts and as noted):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820" w:type="dxa"/>
            <w:vAlign w:val="bottom"/>
          </w:tcPr>
          <w:p>
            <w:pPr>
              <w:spacing w:after="0"/>
              <w:rPr>
                <w:sz w:val="9"/>
                <w:szCs w:val="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4Q11</w:t>
            </w:r>
          </w:p>
        </w:tc>
        <w:tc>
          <w:tcPr>
            <w:tcW w:w="820" w:type="dxa"/>
            <w:vAlign w:val="bottom"/>
            <w:gridSpan w:val="2"/>
          </w:tcPr>
          <w:p>
            <w:pPr>
              <w:jc w:val="right"/>
              <w:ind w:right="460"/>
              <w:spacing w:after="0"/>
              <w:rPr>
                <w:sz w:val="20"/>
                <w:szCs w:val="20"/>
                <w:color w:val="auto"/>
              </w:rPr>
            </w:pPr>
            <w:r>
              <w:rPr>
                <w:rFonts w:ascii="Arial" w:cs="Arial" w:eastAsia="Arial" w:hAnsi="Arial"/>
                <w:sz w:val="9"/>
                <w:szCs w:val="9"/>
                <w:b w:val="1"/>
                <w:bCs w:val="1"/>
                <w:color w:val="auto"/>
              </w:rPr>
              <w:t>3Q11</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2Q11</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1Q11</w:t>
            </w:r>
          </w:p>
        </w:tc>
        <w:tc>
          <w:tcPr>
            <w:tcW w:w="78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4Q10</w:t>
            </w:r>
          </w:p>
        </w:tc>
        <w:tc>
          <w:tcPr>
            <w:tcW w:w="78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3Q10</w:t>
            </w:r>
          </w:p>
        </w:tc>
        <w:tc>
          <w:tcPr>
            <w:tcW w:w="8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2Q10</w:t>
            </w:r>
          </w:p>
        </w:tc>
        <w:tc>
          <w:tcPr>
            <w:tcW w:w="5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1Q10</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716,134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757,902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790,780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728,504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769,990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720,290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668,240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602,983</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Cost of sales</w:t>
            </w:r>
          </w:p>
        </w:tc>
        <w:tc>
          <w:tcPr>
            <w:tcW w:w="500" w:type="dxa"/>
            <w:vAlign w:val="bottom"/>
          </w:tcPr>
          <w:p>
            <w:pPr>
              <w:jc w:val="right"/>
              <w:spacing w:after="0"/>
              <w:rPr>
                <w:sz w:val="20"/>
                <w:szCs w:val="20"/>
                <w:color w:val="auto"/>
              </w:rPr>
            </w:pPr>
            <w:r>
              <w:rPr>
                <w:rFonts w:ascii="Arial" w:cs="Arial" w:eastAsia="Arial" w:hAnsi="Arial"/>
                <w:sz w:val="12"/>
                <w:szCs w:val="12"/>
                <w:color w:val="auto"/>
              </w:rPr>
              <w:t>255,620</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248,262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256,566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246,331</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253,761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240,088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233,725</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234,507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460,514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509,640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534,214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482,173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516,229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480,202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434,515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368,476</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64.3%</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67.2%</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67.6%</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66.2%</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67.0%</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66.7%</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61.1%</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123,889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128,476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130,460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122,745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128,140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126,987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122,780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114,398</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Selling, marketing, general and administrative</w:t>
            </w:r>
          </w:p>
        </w:tc>
        <w:tc>
          <w:tcPr>
            <w:tcW w:w="500" w:type="dxa"/>
            <w:vAlign w:val="bottom"/>
          </w:tcPr>
          <w:p>
            <w:pPr>
              <w:jc w:val="right"/>
              <w:spacing w:after="0"/>
              <w:rPr>
                <w:sz w:val="20"/>
                <w:szCs w:val="20"/>
                <w:color w:val="auto"/>
              </w:rPr>
            </w:pPr>
            <w:r>
              <w:rPr>
                <w:rFonts w:ascii="Arial" w:cs="Arial" w:eastAsia="Arial" w:hAnsi="Arial"/>
                <w:sz w:val="12"/>
                <w:szCs w:val="12"/>
                <w:color w:val="auto"/>
              </w:rPr>
              <w:t>99,094</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102,323</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105,268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100,022</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102,349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102,070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97,660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88,481</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Special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16,483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225,222</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230,799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235,728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222,767</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230,489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229,057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220,440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219,362</w:t>
            </w: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235,292</w:t>
            </w:r>
          </w:p>
        </w:tc>
        <w:tc>
          <w:tcPr>
            <w:tcW w:w="3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278,841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298,486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259,406</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285,740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251,145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214,075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149,114</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33%</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37%</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38%</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36%</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37%</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35%</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Nonoperating (income) expenses:</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500" w:type="dxa"/>
            <w:vAlign w:val="bottom"/>
          </w:tcPr>
          <w:p>
            <w:pPr>
              <w:jc w:val="right"/>
              <w:spacing w:after="0"/>
              <w:rPr>
                <w:sz w:val="20"/>
                <w:szCs w:val="20"/>
                <w:color w:val="auto"/>
              </w:rPr>
            </w:pPr>
            <w:r>
              <w:rPr>
                <w:rFonts w:ascii="Arial" w:cs="Arial" w:eastAsia="Arial" w:hAnsi="Arial"/>
                <w:sz w:val="12"/>
                <w:szCs w:val="12"/>
                <w:color w:val="auto"/>
              </w:rPr>
              <w:t>6,079</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6,159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4,078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2,830</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2,709</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2,614</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2,568</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2,538</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(2,183)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(2,395)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(2,285)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(2,426)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(3,206)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(2,025)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(2,180)</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Other, net</w:t>
            </w:r>
          </w:p>
        </w:tc>
        <w:tc>
          <w:tcPr>
            <w:tcW w:w="500" w:type="dxa"/>
            <w:vAlign w:val="bottom"/>
          </w:tcPr>
          <w:p>
            <w:pPr>
              <w:jc w:val="right"/>
              <w:spacing w:after="0"/>
              <w:rPr>
                <w:sz w:val="20"/>
                <w:szCs w:val="20"/>
                <w:color w:val="auto"/>
              </w:rPr>
            </w:pPr>
            <w:r>
              <w:rPr>
                <w:rFonts w:ascii="Arial" w:cs="Arial" w:eastAsia="Arial" w:hAnsi="Arial"/>
                <w:sz w:val="12"/>
                <w:szCs w:val="12"/>
                <w:color w:val="auto"/>
              </w:rPr>
              <w:t>396</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206</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(151)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41</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(2,600)</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416</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(488)</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489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Total nonoperating (income)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4,292</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3,970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1,730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586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(2,317)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Income from continuing operations before income taxes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231,000</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274,871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296,756</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258,820</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288,057</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251,321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214,020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148,267</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of Revenue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500" w:type="dxa"/>
            <w:vAlign w:val="bottom"/>
          </w:tcPr>
          <w:p>
            <w:pPr>
              <w:jc w:val="right"/>
              <w:spacing w:after="0"/>
              <w:rPr>
                <w:sz w:val="20"/>
                <w:szCs w:val="20"/>
                <w:color w:val="auto"/>
              </w:rPr>
            </w:pPr>
            <w:r>
              <w:rPr>
                <w:rFonts w:ascii="Arial" w:cs="Arial" w:eastAsia="Arial" w:hAnsi="Arial"/>
                <w:sz w:val="12"/>
                <w:szCs w:val="12"/>
                <w:color w:val="auto"/>
              </w:rPr>
              <w:t>47,473</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54,936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54,930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43,214</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63,063</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51,830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46,880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28,667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Net 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183,527</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219,935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241,826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215,606</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224,994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199,491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167,140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119,600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2"/>
                <w:szCs w:val="12"/>
                <w:color w:val="auto"/>
              </w:rPr>
              <w:t>Gain on sale of discontinued operations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20" w:type="dxa"/>
            <w:vAlign w:val="bottom"/>
            <w:vMerge w:val="continue"/>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6,500</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859</w:t>
            </w: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183,527</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219,935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241,826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222,106</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224,994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199,491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167,140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120,459</w:t>
            </w:r>
          </w:p>
        </w:tc>
        <w:tc>
          <w:tcPr>
            <w:tcW w:w="0" w:type="dxa"/>
            <w:vAlign w:val="bottom"/>
          </w:tcPr>
          <w:p>
            <w:pPr>
              <w:spacing w:after="0"/>
              <w:rPr>
                <w:sz w:val="1"/>
                <w:szCs w:val="1"/>
                <w:color w:val="auto"/>
              </w:rPr>
            </w:pPr>
          </w:p>
        </w:tc>
      </w:tr>
      <w:tr>
        <w:trPr>
          <w:trHeight w:val="29"/>
        </w:trPr>
        <w:tc>
          <w:tcPr>
            <w:tcW w:w="3820" w:type="dxa"/>
            <w:vAlign w:val="bottom"/>
            <w:vMerge w:val="restart"/>
          </w:tcPr>
          <w:p>
            <w:pPr>
              <w:ind w:left="120"/>
              <w:spacing w:after="0"/>
              <w:rPr>
                <w:sz w:val="20"/>
                <w:szCs w:val="20"/>
                <w:color w:val="auto"/>
              </w:rPr>
            </w:pPr>
            <w:r>
              <w:rPr>
                <w:rFonts w:ascii="Arial" w:cs="Arial" w:eastAsia="Arial" w:hAnsi="Arial"/>
                <w:sz w:val="12"/>
                <w:szCs w:val="12"/>
                <w:color w:val="auto"/>
              </w:rPr>
              <w:t>% of Revenue</w:t>
            </w: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26%</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29%</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31%</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30%</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29%</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28%</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25%</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50"/>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per share — basic</w:t>
            </w: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Income from continuing operations</w:t>
            </w:r>
          </w:p>
        </w:tc>
        <w:tc>
          <w:tcPr>
            <w:tcW w:w="500" w:type="dxa"/>
            <w:vAlign w:val="bottom"/>
          </w:tcPr>
          <w:p>
            <w:pPr>
              <w:jc w:val="right"/>
              <w:spacing w:after="0"/>
              <w:rPr>
                <w:sz w:val="20"/>
                <w:szCs w:val="20"/>
                <w:color w:val="auto"/>
              </w:rPr>
            </w:pPr>
            <w:r>
              <w:rPr>
                <w:rFonts w:ascii="Arial" w:cs="Arial" w:eastAsia="Arial" w:hAnsi="Arial"/>
                <w:sz w:val="12"/>
                <w:szCs w:val="12"/>
                <w:color w:val="auto"/>
              </w:rPr>
              <w:t>0.61</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0.73</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0.81</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0.72</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0.75</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0.67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0.56</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0.61</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0.73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0.81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0.74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0.75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0.56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Earnings per share — diluted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0.71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0.78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0.70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0.73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0.55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147"/>
        </w:trPr>
        <w:tc>
          <w:tcPr>
            <w:tcW w:w="3820" w:type="dxa"/>
            <w:vAlign w:val="bottom"/>
          </w:tcPr>
          <w:p>
            <w:pPr>
              <w:ind w:left="260"/>
              <w:spacing w:after="0"/>
              <w:rPr>
                <w:sz w:val="20"/>
                <w:szCs w:val="20"/>
                <w:color w:val="auto"/>
              </w:rPr>
            </w:pPr>
            <w:r>
              <w:rPr>
                <w:rFonts w:ascii="Arial" w:cs="Arial" w:eastAsia="Arial" w:hAnsi="Arial"/>
                <w:sz w:val="12"/>
                <w:szCs w:val="12"/>
                <w:color w:val="auto"/>
              </w:rPr>
              <w:t>Net income</w:t>
            </w:r>
          </w:p>
        </w:tc>
        <w:tc>
          <w:tcPr>
            <w:tcW w:w="500" w:type="dxa"/>
            <w:vAlign w:val="bottom"/>
          </w:tcPr>
          <w:p>
            <w:pPr>
              <w:jc w:val="right"/>
              <w:spacing w:after="0"/>
              <w:rPr>
                <w:sz w:val="20"/>
                <w:szCs w:val="20"/>
                <w:color w:val="auto"/>
              </w:rPr>
            </w:pPr>
            <w:r>
              <w:rPr>
                <w:rFonts w:ascii="Arial" w:cs="Arial" w:eastAsia="Arial" w:hAnsi="Arial"/>
                <w:sz w:val="12"/>
                <w:szCs w:val="12"/>
                <w:color w:val="auto"/>
              </w:rPr>
              <w:t>0.60</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0.71</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0.78</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0.72</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0.73</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0.65</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0.55</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Shares used to compute earnings per share (in thousands):</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20" w:type="dxa"/>
            <w:vAlign w:val="bottom"/>
          </w:tcPr>
          <w:p>
            <w:pPr>
              <w:ind w:left="120"/>
              <w:spacing w:after="0"/>
              <w:rPr>
                <w:sz w:val="20"/>
                <w:szCs w:val="20"/>
                <w:color w:val="auto"/>
              </w:rPr>
            </w:pPr>
            <w:r>
              <w:rPr>
                <w:rFonts w:ascii="Arial" w:cs="Arial" w:eastAsia="Arial" w:hAnsi="Arial"/>
                <w:sz w:val="12"/>
                <w:szCs w:val="12"/>
                <w:color w:val="auto"/>
              </w:rPr>
              <w:t>Basic</w:t>
            </w:r>
          </w:p>
        </w:tc>
        <w:tc>
          <w:tcPr>
            <w:tcW w:w="500" w:type="dxa"/>
            <w:vAlign w:val="bottom"/>
          </w:tcPr>
          <w:p>
            <w:pPr>
              <w:jc w:val="right"/>
              <w:spacing w:after="0"/>
              <w:rPr>
                <w:sz w:val="20"/>
                <w:szCs w:val="20"/>
                <w:color w:val="auto"/>
              </w:rPr>
            </w:pPr>
            <w:r>
              <w:rPr>
                <w:rFonts w:ascii="Arial" w:cs="Arial" w:eastAsia="Arial" w:hAnsi="Arial"/>
                <w:sz w:val="12"/>
                <w:szCs w:val="12"/>
                <w:color w:val="auto"/>
              </w:rPr>
              <w:t>298,910</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299,616</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299,923</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299,218</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298,228</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298,027</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297,825</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295,469</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305,734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308,744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309,619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308,848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306,711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306,168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305,836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304,730</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Dividends declared per share</w:t>
            </w:r>
          </w:p>
        </w:tc>
        <w:tc>
          <w:tcPr>
            <w:tcW w:w="500" w:type="dxa"/>
            <w:vAlign w:val="bottom"/>
          </w:tcPr>
          <w:p>
            <w:pPr>
              <w:jc w:val="right"/>
              <w:spacing w:after="0"/>
              <w:rPr>
                <w:sz w:val="20"/>
                <w:szCs w:val="20"/>
                <w:color w:val="auto"/>
              </w:rPr>
            </w:pPr>
            <w:r>
              <w:rPr>
                <w:rFonts w:ascii="Arial" w:cs="Arial" w:eastAsia="Arial" w:hAnsi="Arial"/>
                <w:sz w:val="12"/>
                <w:szCs w:val="12"/>
                <w:color w:val="auto"/>
              </w:rPr>
              <w:t>0.25</w:t>
            </w:r>
          </w:p>
        </w:tc>
        <w:tc>
          <w:tcPr>
            <w:tcW w:w="32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0.25</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0.22</w:t>
            </w:r>
          </w:p>
        </w:tc>
        <w:tc>
          <w:tcPr>
            <w:tcW w:w="780" w:type="dxa"/>
            <w:vAlign w:val="bottom"/>
            <w:gridSpan w:val="2"/>
          </w:tcPr>
          <w:p>
            <w:pPr>
              <w:jc w:val="right"/>
              <w:ind w:right="300"/>
              <w:spacing w:after="0"/>
              <w:rPr>
                <w:sz w:val="20"/>
                <w:szCs w:val="20"/>
                <w:color w:val="auto"/>
              </w:rPr>
            </w:pPr>
            <w:r>
              <w:rPr>
                <w:rFonts w:ascii="Arial" w:cs="Arial" w:eastAsia="Arial" w:hAnsi="Arial"/>
                <w:sz w:val="12"/>
                <w:szCs w:val="12"/>
                <w:color w:val="auto"/>
              </w:rPr>
              <w:t>0.22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0.22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0.20</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893" w:right="1019" w:bottom="1440" w:gutter="0" w:footer="0" w:header="0"/>
        </w:sectPr>
      </w:pPr>
    </w:p>
    <w:bookmarkStart w:id="91" w:name="page92"/>
    <w:bookmarkEnd w:id="91"/>
    <w:p>
      <w:pPr>
        <w:spacing w:after="0"/>
        <w:tabs>
          <w:tab w:leader="none" w:pos="9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12"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81" w:lineRule="exact"/>
        <w:rPr>
          <w:sz w:val="20"/>
          <w:szCs w:val="20"/>
          <w:color w:val="auto"/>
        </w:rPr>
      </w:pPr>
    </w:p>
    <w:p>
      <w:pPr>
        <w:ind w:firstLine="406"/>
        <w:spacing w:after="0" w:line="278" w:lineRule="auto"/>
        <w:tabs>
          <w:tab w:leader="none" w:pos="577" w:val="left"/>
        </w:tabs>
        <w:numPr>
          <w:ilvl w:val="0"/>
          <w:numId w:val="64"/>
        </w:numPr>
        <w:rPr>
          <w:rFonts w:ascii="Arial" w:cs="Arial" w:eastAsia="Arial" w:hAnsi="Arial"/>
          <w:sz w:val="12"/>
          <w:szCs w:val="12"/>
          <w:color w:val="auto"/>
        </w:rPr>
      </w:pPr>
      <w:r>
        <w:rPr>
          <w:rFonts w:ascii="Arial" w:cs="Arial" w:eastAsia="Arial" w:hAnsi="Arial"/>
          <w:sz w:val="12"/>
          <w:szCs w:val="12"/>
          <w:i w:val="1"/>
          <w:iCs w:val="1"/>
          <w:color w:val="auto"/>
        </w:rPr>
        <w:t xml:space="preserve">Evaluation of Disclosure Controls and Procedures. </w:t>
      </w:r>
      <w:r>
        <w:rPr>
          <w:rFonts w:ascii="Arial" w:cs="Arial" w:eastAsia="Arial" w:hAnsi="Arial"/>
          <w:sz w:val="12"/>
          <w:szCs w:val="12"/>
          <w:color w:val="auto"/>
        </w:rPr>
        <w:t>Our management, with the participation of our Chief Executive Officer and Chief Financial Officer, evaluated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Analog’s disclosure controls and procedures as of October 29, 2011.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29, 2011, our Chief Executive Officer and Chief Financial Officer concluded that, as of such date, our disclosure controls and procedures were effective at the reasonable assurance level.</w:t>
      </w:r>
    </w:p>
    <w:p>
      <w:pPr>
        <w:spacing w:after="0" w:line="33" w:lineRule="exact"/>
        <w:rPr>
          <w:rFonts w:ascii="Arial" w:cs="Arial" w:eastAsia="Arial" w:hAnsi="Arial"/>
          <w:sz w:val="12"/>
          <w:szCs w:val="12"/>
          <w:color w:val="auto"/>
        </w:rPr>
      </w:pPr>
    </w:p>
    <w:p>
      <w:pPr>
        <w:ind w:left="600" w:hanging="194"/>
        <w:spacing w:after="0"/>
        <w:tabs>
          <w:tab w:leader="none" w:pos="600" w:val="left"/>
        </w:tabs>
        <w:numPr>
          <w:ilvl w:val="0"/>
          <w:numId w:val="64"/>
        </w:numPr>
        <w:rPr>
          <w:rFonts w:ascii="Arial" w:cs="Arial" w:eastAsia="Arial" w:hAnsi="Arial"/>
          <w:sz w:val="13"/>
          <w:szCs w:val="13"/>
          <w:color w:val="auto"/>
        </w:rPr>
      </w:pPr>
      <w:r>
        <w:rPr>
          <w:rFonts w:ascii="Arial" w:cs="Arial" w:eastAsia="Arial" w:hAnsi="Arial"/>
          <w:sz w:val="13"/>
          <w:szCs w:val="13"/>
          <w:i w:val="1"/>
          <w:iCs w:val="1"/>
          <w:color w:val="auto"/>
        </w:rPr>
        <w:t>Management’s Report on Internal Control Over Financial Reporting.</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right="120"/>
        <w:spacing w:after="0" w:line="290" w:lineRule="auto"/>
        <w:rPr>
          <w:sz w:val="20"/>
          <w:szCs w:val="20"/>
          <w:color w:val="auto"/>
        </w:rPr>
      </w:pPr>
      <w:r>
        <w:rPr>
          <w:rFonts w:ascii="Arial" w:cs="Arial" w:eastAsia="Arial" w:hAnsi="Arial"/>
          <w:sz w:val="12"/>
          <w:szCs w:val="12"/>
          <w:color w:val="auto"/>
        </w:rPr>
        <w:t>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3" w:lineRule="exact"/>
        <w:rPr>
          <w:sz w:val="20"/>
          <w:szCs w:val="20"/>
          <w:color w:val="auto"/>
        </w:rPr>
      </w:pPr>
    </w:p>
    <w:p>
      <w:pPr>
        <w:ind w:left="600" w:hanging="190"/>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56" w:lineRule="exact"/>
        <w:rPr>
          <w:rFonts w:ascii="Arial" w:cs="Arial" w:eastAsia="Arial" w:hAnsi="Arial"/>
          <w:sz w:val="13"/>
          <w:szCs w:val="13"/>
          <w:color w:val="auto"/>
        </w:rPr>
      </w:pPr>
    </w:p>
    <w:p>
      <w:pPr>
        <w:ind w:left="600" w:hanging="190"/>
        <w:spacing w:after="0" w:line="316" w:lineRule="auto"/>
        <w:tabs>
          <w:tab w:leader="none" w:pos="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00" w:right="80" w:hanging="190"/>
        <w:spacing w:after="0" w:line="276" w:lineRule="auto"/>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30" w:lineRule="exact"/>
        <w:rPr>
          <w:sz w:val="20"/>
          <w:szCs w:val="20"/>
          <w:color w:val="auto"/>
        </w:rPr>
      </w:pPr>
    </w:p>
    <w:p>
      <w:pPr>
        <w:ind w:right="1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October 29, 2011. In making this assessment, the company’s management used the criteria set forth by the Committee of Sponsoring Organizations of the Treadway Commission (COSO) in Internal Control-Integrated Framework.</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Based on this assessment, our management concluded that, as of October 29, 2011, our internal control over financial reporting is effective based on those criteria.</w:t>
      </w:r>
    </w:p>
    <w:p>
      <w:pPr>
        <w:spacing w:after="0" w:line="67"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30" w:lineRule="exact"/>
        <w:rPr>
          <w:sz w:val="20"/>
          <w:szCs w:val="20"/>
          <w:color w:val="auto"/>
        </w:rPr>
      </w:pPr>
    </w:p>
    <w:p>
      <w:pPr>
        <w:ind w:left="580" w:hanging="174"/>
        <w:spacing w:after="0"/>
        <w:tabs>
          <w:tab w:leader="none" w:pos="580" w:val="left"/>
        </w:tabs>
        <w:numPr>
          <w:ilvl w:val="0"/>
          <w:numId w:val="66"/>
        </w:numPr>
        <w:rPr>
          <w:rFonts w:ascii="Arial" w:cs="Arial" w:eastAsia="Arial" w:hAnsi="Arial"/>
          <w:sz w:val="13"/>
          <w:szCs w:val="13"/>
          <w:color w:val="auto"/>
        </w:rPr>
      </w:pPr>
      <w:r>
        <w:rPr>
          <w:rFonts w:ascii="Arial" w:cs="Arial" w:eastAsia="Arial" w:hAnsi="Arial"/>
          <w:sz w:val="13"/>
          <w:szCs w:val="13"/>
          <w:i w:val="1"/>
          <w:iCs w:val="1"/>
          <w:color w:val="auto"/>
        </w:rPr>
        <w:t>Attestation Report of the Registered Public Accounting Firm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92" w:name="page93"/>
    <w:bookmarkEnd w:id="92"/>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Analog Devices, Inc.</w:t>
      </w:r>
    </w:p>
    <w:p>
      <w:pPr>
        <w:spacing w:after="0" w:line="89"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We have audited Analog Devices, Inc.’s internal control over financial reporting as of October 29, 2011, based on criteria established in Internal Control — Integrated Framework issued by the Committee of Sponsoring Organizations of the Treadway Commission (the COSO criteria). Analog Devices,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our opinion, Analog Devices, Inc. maintained, in all material respects, effective internal control over financial reporting as of October 29, 2011, based on the COSO criteria.</w:t>
      </w:r>
    </w:p>
    <w:p>
      <w:pPr>
        <w:spacing w:after="0" w:line="108"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Analog Devices, Inc. as of October 29, 2011 and October 30, 2010, and the related consolidated statements of income, shareholders’ equity, comprehensive income, and cash flows for each of the three years in the period ended October 29, 2011 of Analog Devices, Inc. and our report dated November 22,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186690</wp:posOffset>
            </wp:positionV>
            <wp:extent cx="1017270" cy="2495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7270"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22, 2011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3" w:name="page94"/>
    <w:bookmarkEnd w:id="93"/>
    <w:p>
      <w:pPr>
        <w:ind w:firstLine="406"/>
        <w:spacing w:after="0" w:line="264" w:lineRule="auto"/>
        <w:tabs>
          <w:tab w:leader="none" w:pos="585"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 xml:space="preserve">Changes in Internal Controls over Financial Reporting. </w:t>
      </w:r>
      <w:r>
        <w:rPr>
          <w:rFonts w:ascii="Arial" w:cs="Arial" w:eastAsia="Arial" w:hAnsi="Arial"/>
          <w:sz w:val="13"/>
          <w:szCs w:val="13"/>
          <w:color w:val="auto"/>
        </w:rPr>
        <w:t>No change in our internal control over financial reporting (as defined in Rules 13a-15(f) and 15d-15(f)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Exchange Act) occurred during the fiscal quarter ended October 29, 2011 that has materially affected, or is reasonably likely to materially affect, our internal control over financial reporting.</w:t>
      </w:r>
    </w:p>
    <w:p>
      <w:pPr>
        <w:spacing w:after="0" w:line="142"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00"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Information required by this item relating to our directors and nominees is contained in our 2012 proxy statement under the caption “Proposal 1 — Election of Directors” and is incorporated herein by reference. Information required by this item relating to our executive officers is contained under the caption “EXECUTIVE OFFICERS OF THE COMPANY” in Part I of this Annual Report on Form 10-K and is incorporated herein by reference. Information required by this item relating to compliance with Section 16(a) of the Securities Exchange Act of 1934 is contained in our 2012 proxy statement under the caption “Section 16(a) Beneficial Ownership Reporting Compliance” and is incorporated herein by reference.</w:t>
      </w:r>
    </w:p>
    <w:p>
      <w:pPr>
        <w:spacing w:after="0" w:line="53"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www.analog.com. To the extent permitted by NYSE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3"/>
          <w:szCs w:val="13"/>
          <w:u w:val="single" w:color="auto"/>
          <w:color w:val="auto"/>
        </w:rPr>
        <w:t>www.analog.com.</w:t>
      </w:r>
    </w:p>
    <w:p>
      <w:pPr>
        <w:spacing w:after="0" w:line="7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During the fourth quarter of fiscal 2011, we made no material change to the procedures by which shareholders may recommend nominees to our Board of Directors, as described in our 2011 proxy statement.</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Information required by this item relating to the audit committee of our Board of Directors is contained in our 2012 proxy statement under the caption “Corporate Governance — Board of Directors Meetings and Committees — Audit Committee” and is incorporated herein by reference.</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100"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Information required by this item is contained in our 2012 proxy statement under the captions “Corporate Governance — Director Compensation” and “Information About Executive Compensation” and is incorporated herein by reference.</w:t>
      </w:r>
    </w:p>
    <w:p>
      <w:pPr>
        <w:spacing w:after="0" w:line="13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0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Information required by this item relating to security ownership of certain beneficial owners and management is contained in our 2012 proxy statement under the caption “Security Ownership of Certain Beneficial Owners and Management” and is incorporated herein by reference. Information required by this item relating to securities authorized for issuance under equity compensation plans is contained in our 2012 proxy statement under the caption “Information About Executive Compensation — Securities Authorized for Issuance Under Equity Compensation Plans” and is incorporated herein by reference.</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Information required by this item relating to transactions with related persons is contained in our 2012 proxy statement under the caption “Corporate Governance — Certain Relationships and Related Transactions” and is incorporated herein by reference. Information required by this item relating to director independence is contained in our 2012 proxy statement under the caption “Corporate Governance — Determination of Independence” and is incorporated herein by reference.</w:t>
      </w:r>
    </w:p>
    <w:p>
      <w:pPr>
        <w:spacing w:after="0" w:line="142"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100" w:lineRule="exact"/>
        <w:rPr>
          <w:sz w:val="20"/>
          <w:szCs w:val="20"/>
          <w:color w:val="auto"/>
        </w:rPr>
      </w:pPr>
    </w:p>
    <w:p>
      <w:pPr>
        <w:ind w:right="180" w:firstLine="399"/>
        <w:spacing w:after="0" w:line="276" w:lineRule="auto"/>
        <w:rPr>
          <w:sz w:val="20"/>
          <w:szCs w:val="20"/>
          <w:color w:val="auto"/>
        </w:rPr>
      </w:pPr>
      <w:r>
        <w:rPr>
          <w:rFonts w:ascii="Arial" w:cs="Arial" w:eastAsia="Arial" w:hAnsi="Arial"/>
          <w:sz w:val="13"/>
          <w:szCs w:val="13"/>
          <w:color w:val="auto"/>
        </w:rPr>
        <w:t>Information required by this item is contained in our 2012 proxy statement under the caption “Corporate Governance — Independent Registered Public Accounting Firm Fees and Other Matters” and is incorporated herein by reference.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95" w:name="page96"/>
    <w:bookmarkEnd w:id="95"/>
    <w:p>
      <w:pPr>
        <w:jc w:val="center"/>
        <w:ind w:right="-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color w:val="auto"/>
        </w:rPr>
        <w:t>EXHIBITS AND FINANCIAL STATEMENT SCHEDULES</w:t>
      </w:r>
    </w:p>
    <w:p>
      <w:pPr>
        <w:spacing w:after="0" w:line="100" w:lineRule="exact"/>
        <w:rPr>
          <w:sz w:val="20"/>
          <w:szCs w:val="20"/>
          <w:color w:val="auto"/>
        </w:rPr>
      </w:pPr>
    </w:p>
    <w:p>
      <w:pPr>
        <w:ind w:left="200" w:hanging="193"/>
        <w:spacing w:after="0"/>
        <w:tabs>
          <w:tab w:leader="none" w:pos="200" w:val="left"/>
        </w:tabs>
        <w:numPr>
          <w:ilvl w:val="0"/>
          <w:numId w:val="68"/>
        </w:numPr>
        <w:rPr>
          <w:rFonts w:ascii="Arial" w:cs="Arial" w:eastAsia="Arial" w:hAnsi="Arial"/>
          <w:sz w:val="13"/>
          <w:szCs w:val="13"/>
          <w:b w:val="1"/>
          <w:bCs w:val="1"/>
          <w:color w:val="auto"/>
        </w:rPr>
      </w:pPr>
      <w:r>
        <w:rPr>
          <w:rFonts w:ascii="Arial" w:cs="Arial" w:eastAsia="Arial" w:hAnsi="Arial"/>
          <w:sz w:val="13"/>
          <w:szCs w:val="13"/>
          <w:color w:val="auto"/>
        </w:rPr>
        <w:t>The following are filed as part of this Annual Report on Form 10-K:</w:t>
      </w:r>
    </w:p>
    <w:p>
      <w:pPr>
        <w:spacing w:after="0" w:line="171" w:lineRule="exact"/>
        <w:rPr>
          <w:sz w:val="20"/>
          <w:szCs w:val="20"/>
          <w:color w:val="auto"/>
        </w:rPr>
      </w:pPr>
    </w:p>
    <w:p>
      <w:pPr>
        <w:ind w:left="320" w:hanging="313"/>
        <w:spacing w:after="0"/>
        <w:tabs>
          <w:tab w:leader="none" w:pos="32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consolidated financial statements are included in Item 8 of this Annual Report on Form 10-K: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Consolidated Statements of Income for the years ended October 29, 2011, October 30, 2010 and October 31, 2009</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Consolidated Balance Sheets as of October 29, 2011 and October 30, 2010</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Consolidated Statements of Shareholders’ Equity for the years ended October 29, 2011, October 30, 2010 and October 31, 2009</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Consolidated Statements of Comprehensive Income for the years ended October 29, 2011, October 30, 2010 and October 31, 2009</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Consolidated Statements of Cash Flows for the years ended October 29, 2011, October 30, 2010 and October 31, 2009</w:t>
      </w:r>
    </w:p>
    <w:p>
      <w:pPr>
        <w:spacing w:after="0" w:line="170" w:lineRule="exact"/>
        <w:rPr>
          <w:sz w:val="20"/>
          <w:szCs w:val="20"/>
          <w:color w:val="auto"/>
        </w:rPr>
      </w:pPr>
    </w:p>
    <w:p>
      <w:pPr>
        <w:ind w:left="400" w:hanging="393"/>
        <w:spacing w:after="0"/>
        <w:tabs>
          <w:tab w:leader="none" w:pos="4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00" w:lineRule="exact"/>
        <w:rPr>
          <w:rFonts w:ascii="Arial" w:cs="Arial" w:eastAsia="Arial" w:hAnsi="Arial"/>
          <w:sz w:val="13"/>
          <w:szCs w:val="13"/>
          <w:b w:val="1"/>
          <w:bCs w:val="1"/>
          <w:color w:val="auto"/>
        </w:rPr>
      </w:pPr>
    </w:p>
    <w:p>
      <w:pPr>
        <w:ind w:left="400" w:right="2879"/>
        <w:spacing w:after="0" w:line="394" w:lineRule="auto"/>
        <w:rPr>
          <w:rFonts w:ascii="Arial" w:cs="Arial" w:eastAsia="Arial" w:hAnsi="Arial"/>
          <w:sz w:val="13"/>
          <w:szCs w:val="13"/>
          <w:b w:val="1"/>
          <w:bCs w:val="1"/>
          <w:color w:val="auto"/>
        </w:rPr>
      </w:pPr>
      <w:r>
        <w:rPr>
          <w:rFonts w:ascii="Arial" w:cs="Arial" w:eastAsia="Arial" w:hAnsi="Arial"/>
          <w:sz w:val="13"/>
          <w:szCs w:val="13"/>
          <w:color w:val="auto"/>
        </w:rPr>
        <w:t>The following consolidated financial statement schedule is included in Item 15(b) of this Annual Report on Form 10-K: Schedule II — Valuation and Qualifying Accounts</w:t>
      </w:r>
    </w:p>
    <w:p>
      <w:pPr>
        <w:ind w:left="400"/>
        <w:spacing w:after="0"/>
        <w:rPr>
          <w:rFonts w:ascii="Arial" w:cs="Arial" w:eastAsia="Arial" w:hAnsi="Arial"/>
          <w:sz w:val="13"/>
          <w:szCs w:val="13"/>
          <w:b w:val="1"/>
          <w:bCs w:val="1"/>
          <w:color w:val="auto"/>
        </w:rPr>
      </w:pPr>
      <w:r>
        <w:rPr>
          <w:rFonts w:ascii="Arial" w:cs="Arial" w:eastAsia="Arial" w:hAnsi="Arial"/>
          <w:sz w:val="11"/>
          <w:szCs w:val="11"/>
          <w:color w:val="auto"/>
        </w:rPr>
        <w:t>All other schedules have been omitted since the required information is not present, or not present in amounts sufficient to require submission of the schedule or because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information required is included in the consolidated financial statements or the Notes thereto.</w:t>
      </w:r>
    </w:p>
    <w:p>
      <w:pPr>
        <w:spacing w:after="0" w:line="163" w:lineRule="exact"/>
        <w:rPr>
          <w:sz w:val="20"/>
          <w:szCs w:val="20"/>
          <w:color w:val="auto"/>
        </w:rPr>
      </w:pPr>
    </w:p>
    <w:p>
      <w:pPr>
        <w:ind w:left="400" w:hanging="393"/>
        <w:spacing w:after="0"/>
        <w:tabs>
          <w:tab w:leader="none" w:pos="4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00" w:lineRule="exact"/>
        <w:rPr>
          <w:rFonts w:ascii="Arial" w:cs="Arial" w:eastAsia="Arial" w:hAnsi="Arial"/>
          <w:sz w:val="13"/>
          <w:szCs w:val="13"/>
          <w:b w:val="1"/>
          <w:bCs w:val="1"/>
          <w:color w:val="auto"/>
        </w:rPr>
      </w:pPr>
    </w:p>
    <w:p>
      <w:pPr>
        <w:ind w:left="400"/>
        <w:spacing w:after="0"/>
        <w:rPr>
          <w:rFonts w:ascii="Arial" w:cs="Arial" w:eastAsia="Arial" w:hAnsi="Arial"/>
          <w:sz w:val="13"/>
          <w:szCs w:val="13"/>
          <w:b w:val="1"/>
          <w:bCs w:val="1"/>
          <w:color w:val="auto"/>
        </w:rPr>
      </w:pPr>
      <w:r>
        <w:rPr>
          <w:rFonts w:ascii="Arial" w:cs="Arial" w:eastAsia="Arial" w:hAnsi="Arial"/>
          <w:sz w:val="12"/>
          <w:szCs w:val="12"/>
          <w:color w:val="auto"/>
        </w:rPr>
        <w:t>The exhibits listed in the Exhibit Index immediately preceding the exhibits are filed or furnished with or incorporated by reference in this Annual Report on Form 10-K.</w:t>
      </w:r>
    </w:p>
    <w:p>
      <w:pPr>
        <w:spacing w:after="0" w:line="314"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9"/>
          </w:cols>
          <w:pgMar w:left="900" w:top="716" w:right="1440"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3"/>
          <w:szCs w:val="13"/>
          <w:b w:val="1"/>
          <w:bCs w:val="1"/>
          <w:color w:val="auto"/>
        </w:rPr>
        <w:t>ANALOG DEVICES, INC.</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ANNUAL REPORT ON FORM 10-K</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YEAR ENDED OCTOBER 29, 2011</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ITEM 15(b)</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FINANCIAL STATEMENT SCHEDULE</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6" w:right="1440" w:bottom="1440" w:gutter="0" w:footer="0" w:header="0"/>
        </w:sectPr>
      </w:pPr>
    </w:p>
    <w:bookmarkStart w:id="97" w:name="page98"/>
    <w:bookmarkEnd w:id="97"/>
    <w:p>
      <w:pPr>
        <w:jc w:val="center"/>
        <w:ind w:right="100"/>
        <w:spacing w:after="0"/>
        <w:rPr>
          <w:sz w:val="20"/>
          <w:szCs w:val="20"/>
          <w:color w:val="auto"/>
        </w:rPr>
      </w:pPr>
      <w:r>
        <w:rPr>
          <w:rFonts w:ascii="Arial" w:cs="Arial" w:eastAsia="Arial" w:hAnsi="Arial"/>
          <w:sz w:val="13"/>
          <w:szCs w:val="13"/>
          <w:b w:val="1"/>
          <w:bCs w:val="1"/>
          <w:color w:val="auto"/>
        </w:rPr>
        <w:t>ANALOG DEVICES,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Years ended October 29, 2011, October 30, 2010 and October 31, 2009</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Balance at</w:t>
            </w:r>
          </w:p>
        </w:tc>
        <w:tc>
          <w:tcPr>
            <w:tcW w:w="120" w:type="dxa"/>
            <w:vAlign w:val="bottom"/>
          </w:tcPr>
          <w:p>
            <w:pPr>
              <w:spacing w:after="0"/>
              <w:rPr>
                <w:sz w:val="10"/>
                <w:szCs w:val="10"/>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Additions</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9"/>
              </w:rPr>
              <w:t>Balance at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80" w:type="dxa"/>
            <w:vAlign w:val="bottom"/>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Beginning of</w:t>
            </w:r>
          </w:p>
        </w:tc>
        <w:tc>
          <w:tcPr>
            <w:tcW w:w="120" w:type="dxa"/>
            <w:vAlign w:val="bottom"/>
          </w:tcPr>
          <w:p>
            <w:pPr>
              <w:spacing w:after="0"/>
              <w:rPr>
                <w:sz w:val="9"/>
                <w:szCs w:val="9"/>
                <w:color w:val="auto"/>
              </w:rPr>
            </w:pPr>
          </w:p>
        </w:tc>
        <w:tc>
          <w:tcPr>
            <w:tcW w:w="14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Charged to</w:t>
            </w:r>
          </w:p>
        </w:tc>
        <w:tc>
          <w:tcPr>
            <w:tcW w:w="80" w:type="dxa"/>
            <w:vAlign w:val="bottom"/>
          </w:tcPr>
          <w:p>
            <w:pPr>
              <w:spacing w:after="0"/>
              <w:rPr>
                <w:sz w:val="9"/>
                <w:szCs w:val="9"/>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1"/>
              </w:rPr>
              <w:t>Deductions</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10"/>
                <w:szCs w:val="1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Income Statement</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Accounts Receivable Reserves and Allowances:</w:t>
            </w:r>
          </w:p>
        </w:tc>
        <w:tc>
          <w:tcPr>
            <w:tcW w:w="1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Year ended October 31, 2009</w:t>
            </w:r>
          </w:p>
        </w:tc>
        <w:tc>
          <w:tcPr>
            <w:tcW w:w="162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5,501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3,628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Year ended October 30, 2010</w:t>
            </w:r>
          </w:p>
        </w:tc>
        <w:tc>
          <w:tcPr>
            <w:tcW w:w="16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Arial" w:cs="Arial" w:eastAsia="Arial" w:hAnsi="Arial"/>
                <w:sz w:val="13"/>
                <w:szCs w:val="13"/>
                <w:color w:val="auto"/>
              </w:rPr>
              <w:t>Year ended October 29, 2011</w:t>
            </w:r>
          </w:p>
        </w:tc>
        <w:tc>
          <w:tcPr>
            <w:tcW w:w="16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1620" w:type="dxa"/>
            <w:vAlign w:val="bottom"/>
            <w:gridSpan w:val="2"/>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1,581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846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1,465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20" w:type="dxa"/>
            <w:vAlign w:val="bottom"/>
          </w:tcPr>
          <w:p>
            <w:pPr>
              <w:jc w:val="right"/>
              <w:ind w:right="74"/>
              <w:spacing w:after="0"/>
              <w:rPr>
                <w:sz w:val="20"/>
                <w:szCs w:val="20"/>
                <w:color w:val="auto"/>
              </w:rPr>
            </w:pPr>
            <w:r>
              <w:rPr>
                <w:rFonts w:ascii="Arial" w:cs="Arial" w:eastAsia="Arial" w:hAnsi="Arial"/>
                <w:sz w:val="13"/>
                <w:szCs w:val="13"/>
                <w:color w:val="auto"/>
              </w:rPr>
              <w:t>97</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93" w:right="219" w:bottom="1440" w:gutter="0" w:footer="0" w:header="0"/>
        </w:sectPr>
      </w:pPr>
    </w:p>
    <w:bookmarkStart w:id="98" w:name="page99"/>
    <w:bookmarkEnd w:id="98"/>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1480" w:type="dxa"/>
            <w:vAlign w:val="bottom"/>
            <w:gridSpan w:val="2"/>
          </w:tcPr>
          <w:p>
            <w:pPr>
              <w:spacing w:after="0"/>
              <w:rPr>
                <w:sz w:val="20"/>
                <w:szCs w:val="20"/>
                <w:color w:val="auto"/>
              </w:rPr>
            </w:pPr>
            <w:r>
              <w:rPr>
                <w:rFonts w:ascii="Arial" w:cs="Arial" w:eastAsia="Arial" w:hAnsi="Arial"/>
                <w:sz w:val="13"/>
                <w:szCs w:val="13"/>
                <w:color w:val="auto"/>
                <w:w w:val="98"/>
              </w:rPr>
              <w:t>ANALOG DEVICES, INC.</w:t>
            </w:r>
          </w:p>
        </w:tc>
        <w:tc>
          <w:tcPr>
            <w:tcW w:w="4480" w:type="dxa"/>
            <w:vAlign w:val="bottom"/>
          </w:tcPr>
          <w:p>
            <w:pPr>
              <w:spacing w:after="0"/>
              <w:rPr>
                <w:sz w:val="14"/>
                <w:szCs w:val="14"/>
                <w:color w:val="auto"/>
              </w:rPr>
            </w:pPr>
          </w:p>
        </w:tc>
      </w:tr>
      <w:tr>
        <w:trPr>
          <w:trHeight w:val="487"/>
        </w:trPr>
        <w:tc>
          <w:tcPr>
            <w:tcW w:w="1480" w:type="dxa"/>
            <w:vAlign w:val="bottom"/>
            <w:gridSpan w:val="2"/>
          </w:tcPr>
          <w:p>
            <w:pPr>
              <w:spacing w:after="0"/>
              <w:rPr>
                <w:sz w:val="20"/>
                <w:szCs w:val="20"/>
                <w:color w:val="auto"/>
              </w:rPr>
            </w:pPr>
            <w:r>
              <w:rPr>
                <w:rFonts w:ascii="Arial" w:cs="Arial" w:eastAsia="Arial" w:hAnsi="Arial"/>
                <w:sz w:val="13"/>
                <w:szCs w:val="13"/>
                <w:color w:val="auto"/>
              </w:rPr>
              <w:t>By:</w:t>
            </w:r>
          </w:p>
        </w:tc>
        <w:tc>
          <w:tcPr>
            <w:tcW w:w="4480" w:type="dxa"/>
            <w:vAlign w:val="bottom"/>
          </w:tcPr>
          <w:p>
            <w:pPr>
              <w:jc w:val="center"/>
              <w:ind w:right="1914"/>
              <w:spacing w:after="0"/>
              <w:rPr>
                <w:sz w:val="20"/>
                <w:szCs w:val="20"/>
                <w:color w:val="auto"/>
              </w:rPr>
            </w:pPr>
            <w:r>
              <w:rPr>
                <w:rFonts w:ascii="Arial" w:cs="Arial" w:eastAsia="Arial" w:hAnsi="Arial"/>
                <w:sz w:val="13"/>
                <w:szCs w:val="13"/>
                <w:color w:val="auto"/>
                <w:w w:val="99"/>
              </w:rPr>
              <w:t>/s/ JERALD G. FISHMAN</w:t>
            </w:r>
          </w:p>
        </w:tc>
      </w:tr>
      <w:tr>
        <w:trPr>
          <w:trHeight w:val="144"/>
        </w:trPr>
        <w:tc>
          <w:tcPr>
            <w:tcW w:w="4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tcPr>
          <w:p>
            <w:pPr>
              <w:jc w:val="center"/>
              <w:ind w:right="1894"/>
              <w:spacing w:after="0" w:line="144" w:lineRule="exact"/>
              <w:rPr>
                <w:sz w:val="20"/>
                <w:szCs w:val="20"/>
                <w:color w:val="auto"/>
              </w:rPr>
            </w:pPr>
            <w:r>
              <w:rPr>
                <w:rFonts w:ascii="Arial" w:cs="Arial" w:eastAsia="Arial" w:hAnsi="Arial"/>
                <w:sz w:val="13"/>
                <w:szCs w:val="13"/>
                <w:color w:val="auto"/>
                <w:w w:val="90"/>
              </w:rPr>
              <w:t>Jerald G. Fishman</w:t>
            </w:r>
          </w:p>
        </w:tc>
      </w:tr>
      <w:tr>
        <w:trPr>
          <w:trHeight w:val="157"/>
        </w:trPr>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80" w:type="dxa"/>
            <w:vAlign w:val="bottom"/>
          </w:tcPr>
          <w:p>
            <w:pPr>
              <w:jc w:val="center"/>
              <w:ind w:right="1874"/>
              <w:spacing w:after="0"/>
              <w:rPr>
                <w:sz w:val="20"/>
                <w:szCs w:val="20"/>
                <w:color w:val="auto"/>
              </w:rPr>
            </w:pPr>
            <w:r>
              <w:rPr>
                <w:rFonts w:ascii="Arial" w:cs="Arial" w:eastAsia="Arial" w:hAnsi="Arial"/>
                <w:sz w:val="13"/>
                <w:szCs w:val="13"/>
                <w:color w:val="auto"/>
                <w:w w:val="93"/>
              </w:rPr>
              <w:t>President, Chief Executive Officer and Director</w:t>
            </w:r>
          </w:p>
        </w:tc>
      </w:tr>
      <w:tr>
        <w:trPr>
          <w:trHeight w:val="165"/>
        </w:trPr>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80" w:type="dxa"/>
            <w:vAlign w:val="bottom"/>
          </w:tcPr>
          <w:p>
            <w:pPr>
              <w:jc w:val="center"/>
              <w:ind w:right="1894"/>
              <w:spacing w:after="0"/>
              <w:rPr>
                <w:sz w:val="20"/>
                <w:szCs w:val="20"/>
                <w:color w:val="auto"/>
              </w:rPr>
            </w:pPr>
            <w:r>
              <w:rPr>
                <w:rFonts w:ascii="Arial" w:cs="Arial" w:eastAsia="Arial" w:hAnsi="Arial"/>
                <w:sz w:val="13"/>
                <w:szCs w:val="13"/>
                <w:color w:val="auto"/>
                <w:w w:val="94"/>
              </w:rPr>
              <w:t>(Principal Executive Officer)</w:t>
            </w: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22, 2011</w:t>
      </w:r>
    </w:p>
    <w:p>
      <w:pPr>
        <w:spacing w:after="0" w:line="96"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the Securities and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680"/>
        <w:spacing w:after="0"/>
        <w:tabs>
          <w:tab w:leader="none" w:pos="6760" w:val="left"/>
          <w:tab w:leader="none" w:pos="97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AY</w:t>
            </w:r>
            <w:r>
              <w:rPr>
                <w:rFonts w:ascii="Arial" w:cs="Arial" w:eastAsia="Arial" w:hAnsi="Arial"/>
                <w:sz w:val="13"/>
                <w:szCs w:val="13"/>
                <w:color w:val="auto"/>
              </w:rPr>
              <w:t xml:space="preserve"> S</w:t>
            </w:r>
            <w:r>
              <w:rPr>
                <w:rFonts w:ascii="Arial" w:cs="Arial" w:eastAsia="Arial" w:hAnsi="Arial"/>
                <w:sz w:val="8"/>
                <w:szCs w:val="8"/>
                <w:color w:val="auto"/>
              </w:rPr>
              <w:t>TATA</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1"/>
              </w:rPr>
              <w:t>Chairman of the Board</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Ray Stata</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ERALD</w:t>
            </w:r>
            <w:r>
              <w:rPr>
                <w:rFonts w:ascii="Arial" w:cs="Arial" w:eastAsia="Arial" w:hAnsi="Arial"/>
                <w:sz w:val="13"/>
                <w:szCs w:val="13"/>
                <w:color w:val="auto"/>
              </w:rPr>
              <w:t xml:space="preserve"> G. F</w:t>
            </w:r>
            <w:r>
              <w:rPr>
                <w:rFonts w:ascii="Arial" w:cs="Arial" w:eastAsia="Arial" w:hAnsi="Arial"/>
                <w:sz w:val="8"/>
                <w:szCs w:val="8"/>
                <w:color w:val="auto"/>
              </w:rPr>
              <w:t>ISHMAN</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88"/>
              </w:rPr>
              <w:t>President,</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0"/>
              </w:rPr>
              <w:t>Jerald G. Fishman</w:t>
            </w:r>
          </w:p>
        </w:tc>
        <w:tc>
          <w:tcPr>
            <w:tcW w:w="37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95"/>
              </w:rPr>
              <w:t>Chief Executive Officer</w:t>
            </w:r>
          </w:p>
        </w:tc>
        <w:tc>
          <w:tcPr>
            <w:tcW w:w="2960" w:type="dxa"/>
            <w:vAlign w:val="bottom"/>
          </w:tcPr>
          <w:p>
            <w:pPr>
              <w:spacing w:after="0"/>
              <w:rPr>
                <w:sz w:val="11"/>
                <w:szCs w:val="11"/>
                <w:color w:val="auto"/>
              </w:rPr>
            </w:pPr>
          </w:p>
        </w:tc>
      </w:tr>
      <w:tr>
        <w:trPr>
          <w:trHeight w:val="157"/>
        </w:trPr>
        <w:tc>
          <w:tcPr>
            <w:tcW w:w="6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700" w:type="dxa"/>
            <w:vAlign w:val="bottom"/>
          </w:tcPr>
          <w:p>
            <w:pPr>
              <w:jc w:val="center"/>
              <w:ind w:left="414"/>
              <w:spacing w:after="0"/>
              <w:rPr>
                <w:sz w:val="20"/>
                <w:szCs w:val="20"/>
                <w:color w:val="auto"/>
              </w:rPr>
            </w:pPr>
            <w:r>
              <w:rPr>
                <w:rFonts w:ascii="Arial" w:cs="Arial" w:eastAsia="Arial" w:hAnsi="Arial"/>
                <w:sz w:val="13"/>
                <w:szCs w:val="13"/>
                <w:color w:val="auto"/>
                <w:w w:val="93"/>
              </w:rPr>
              <w:t>and Director</w:t>
            </w:r>
          </w:p>
        </w:tc>
        <w:tc>
          <w:tcPr>
            <w:tcW w:w="296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4"/>
              </w:rPr>
              <w:t>(Principal Executive Officer)</w:t>
            </w:r>
          </w:p>
        </w:tc>
        <w:tc>
          <w:tcPr>
            <w:tcW w:w="29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A. Z</w:t>
            </w:r>
            <w:r>
              <w:rPr>
                <w:rFonts w:ascii="Arial" w:cs="Arial" w:eastAsia="Arial" w:hAnsi="Arial"/>
                <w:sz w:val="8"/>
                <w:szCs w:val="8"/>
                <w:color w:val="auto"/>
              </w:rPr>
              <w:t>INSNER</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0"/>
              </w:rPr>
              <w:t>Vice President-Finance and</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95"/>
              </w:rPr>
              <w:t>David A. Zinsner</w:t>
            </w:r>
          </w:p>
        </w:tc>
        <w:tc>
          <w:tcPr>
            <w:tcW w:w="37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95"/>
              </w:rPr>
              <w:t>Chief Financial Officer</w:t>
            </w:r>
          </w:p>
        </w:tc>
        <w:tc>
          <w:tcPr>
            <w:tcW w:w="29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00" w:type="dxa"/>
            <w:vAlign w:val="bottom"/>
          </w:tcPr>
          <w:p>
            <w:pPr>
              <w:jc w:val="center"/>
              <w:ind w:left="414"/>
              <w:spacing w:after="0"/>
              <w:rPr>
                <w:sz w:val="20"/>
                <w:szCs w:val="20"/>
                <w:color w:val="auto"/>
              </w:rPr>
            </w:pPr>
            <w:r>
              <w:rPr>
                <w:rFonts w:ascii="Arial" w:cs="Arial" w:eastAsia="Arial" w:hAnsi="Arial"/>
                <w:sz w:val="13"/>
                <w:szCs w:val="13"/>
                <w:color w:val="auto"/>
                <w:w w:val="96"/>
              </w:rPr>
              <w:t>(Principal Financial Officer)</w:t>
            </w:r>
          </w:p>
        </w:tc>
        <w:tc>
          <w:tcPr>
            <w:tcW w:w="29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EAMUS</w:t>
            </w:r>
            <w:r>
              <w:rPr>
                <w:rFonts w:ascii="Arial" w:cs="Arial" w:eastAsia="Arial" w:hAnsi="Arial"/>
                <w:sz w:val="13"/>
                <w:szCs w:val="13"/>
                <w:color w:val="auto"/>
              </w:rPr>
              <w:t xml:space="preserve"> B</w:t>
            </w:r>
            <w:r>
              <w:rPr>
                <w:rFonts w:ascii="Arial" w:cs="Arial" w:eastAsia="Arial" w:hAnsi="Arial"/>
                <w:sz w:val="8"/>
                <w:szCs w:val="8"/>
                <w:color w:val="auto"/>
              </w:rPr>
              <w:t>RENNAN</w:t>
            </w:r>
          </w:p>
        </w:tc>
        <w:tc>
          <w:tcPr>
            <w:tcW w:w="3700" w:type="dxa"/>
            <w:vAlign w:val="bottom"/>
          </w:tcPr>
          <w:p>
            <w:pPr>
              <w:jc w:val="center"/>
              <w:ind w:left="414"/>
              <w:spacing w:after="0"/>
              <w:rPr>
                <w:sz w:val="20"/>
                <w:szCs w:val="20"/>
                <w:color w:val="auto"/>
              </w:rPr>
            </w:pPr>
            <w:r>
              <w:rPr>
                <w:rFonts w:ascii="Arial" w:cs="Arial" w:eastAsia="Arial" w:hAnsi="Arial"/>
                <w:sz w:val="13"/>
                <w:szCs w:val="13"/>
                <w:color w:val="auto"/>
                <w:w w:val="89"/>
              </w:rPr>
              <w:t>Vice President and</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30"/>
        </w:trPr>
        <w:tc>
          <w:tcPr>
            <w:tcW w:w="680" w:type="dxa"/>
            <w:vAlign w:val="bottom"/>
          </w:tcPr>
          <w:p>
            <w:pPr>
              <w:spacing w:after="0"/>
              <w:rPr>
                <w:sz w:val="11"/>
                <w:szCs w:val="11"/>
                <w:color w:val="auto"/>
              </w:rPr>
            </w:pPr>
          </w:p>
        </w:tc>
        <w:tc>
          <w:tcPr>
            <w:tcW w:w="4120" w:type="dxa"/>
            <w:vAlign w:val="bottom"/>
          </w:tcPr>
          <w:p>
            <w:pPr>
              <w:jc w:val="center"/>
              <w:spacing w:after="0" w:line="130" w:lineRule="exact"/>
              <w:rPr>
                <w:sz w:val="20"/>
                <w:szCs w:val="20"/>
                <w:color w:val="auto"/>
              </w:rPr>
            </w:pPr>
            <w:r>
              <w:rPr>
                <w:rFonts w:ascii="Arial" w:cs="Arial" w:eastAsia="Arial" w:hAnsi="Arial"/>
                <w:sz w:val="13"/>
                <w:szCs w:val="13"/>
                <w:color w:val="auto"/>
                <w:w w:val="87"/>
              </w:rPr>
              <w:t>Seamus Brennan</w:t>
            </w:r>
          </w:p>
        </w:tc>
        <w:tc>
          <w:tcPr>
            <w:tcW w:w="37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95"/>
              </w:rPr>
              <w:t>Chief Accounting Officer</w:t>
            </w:r>
          </w:p>
        </w:tc>
        <w:tc>
          <w:tcPr>
            <w:tcW w:w="296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700" w:type="dxa"/>
            <w:vAlign w:val="bottom"/>
          </w:tcPr>
          <w:p>
            <w:pPr>
              <w:jc w:val="center"/>
              <w:ind w:left="414"/>
              <w:spacing w:after="0"/>
              <w:rPr>
                <w:sz w:val="20"/>
                <w:szCs w:val="20"/>
                <w:color w:val="auto"/>
              </w:rPr>
            </w:pPr>
            <w:r>
              <w:rPr>
                <w:rFonts w:ascii="Arial" w:cs="Arial" w:eastAsia="Arial" w:hAnsi="Arial"/>
                <w:sz w:val="13"/>
                <w:szCs w:val="13"/>
                <w:color w:val="auto"/>
                <w:w w:val="96"/>
              </w:rPr>
              <w:t>(Principal Accounting Officer)</w:t>
            </w:r>
          </w:p>
        </w:tc>
        <w:tc>
          <w:tcPr>
            <w:tcW w:w="296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A. C</w:t>
            </w:r>
            <w:r>
              <w:rPr>
                <w:rFonts w:ascii="Arial" w:cs="Arial" w:eastAsia="Arial" w:hAnsi="Arial"/>
                <w:sz w:val="8"/>
                <w:szCs w:val="8"/>
                <w:color w:val="auto"/>
              </w:rPr>
              <w:t>HAMPY</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0"/>
              </w:rPr>
              <w:t>James A. Champy</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L. D</w:t>
            </w:r>
            <w:r>
              <w:rPr>
                <w:rFonts w:ascii="Arial" w:cs="Arial" w:eastAsia="Arial" w:hAnsi="Arial"/>
                <w:sz w:val="8"/>
                <w:szCs w:val="8"/>
                <w:color w:val="auto"/>
              </w:rPr>
              <w:t>OYLE</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5"/>
              </w:rPr>
              <w:t>John L. Doyle</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C. H</w:t>
            </w:r>
            <w:r>
              <w:rPr>
                <w:rFonts w:ascii="Arial" w:cs="Arial" w:eastAsia="Arial" w:hAnsi="Arial"/>
                <w:sz w:val="8"/>
                <w:szCs w:val="8"/>
                <w:color w:val="auto"/>
              </w:rPr>
              <w:t>ODGSON</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John C. Hodgson</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Y</w:t>
            </w:r>
            <w:r>
              <w:rPr>
                <w:rFonts w:ascii="Arial" w:cs="Arial" w:eastAsia="Arial" w:hAnsi="Arial"/>
                <w:sz w:val="8"/>
                <w:szCs w:val="8"/>
                <w:color w:val="auto"/>
              </w:rPr>
              <w:t>VES</w:t>
            </w:r>
            <w:r>
              <w:rPr>
                <w:rFonts w:ascii="Arial" w:cs="Arial" w:eastAsia="Arial" w:hAnsi="Arial"/>
                <w:sz w:val="13"/>
                <w:szCs w:val="13"/>
                <w:color w:val="auto"/>
              </w:rPr>
              <w:t>-A</w:t>
            </w:r>
            <w:r>
              <w:rPr>
                <w:rFonts w:ascii="Arial" w:cs="Arial" w:eastAsia="Arial" w:hAnsi="Arial"/>
                <w:sz w:val="8"/>
                <w:szCs w:val="8"/>
                <w:color w:val="auto"/>
              </w:rPr>
              <w:t>NDRE</w:t>
            </w:r>
            <w:r>
              <w:rPr>
                <w:rFonts w:ascii="Arial" w:cs="Arial" w:eastAsia="Arial" w:hAnsi="Arial"/>
                <w:sz w:val="13"/>
                <w:szCs w:val="13"/>
                <w:color w:val="auto"/>
              </w:rPr>
              <w:t xml:space="preserve"> I</w:t>
            </w:r>
            <w:r>
              <w:rPr>
                <w:rFonts w:ascii="Arial" w:cs="Arial" w:eastAsia="Arial" w:hAnsi="Arial"/>
                <w:sz w:val="8"/>
                <w:szCs w:val="8"/>
                <w:color w:val="auto"/>
              </w:rPr>
              <w:t>STEL</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2"/>
              </w:rPr>
              <w:t>Yves-Andre Istel</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N</w:t>
            </w:r>
            <w:r>
              <w:rPr>
                <w:rFonts w:ascii="Arial" w:cs="Arial" w:eastAsia="Arial" w:hAnsi="Arial"/>
                <w:sz w:val="8"/>
                <w:szCs w:val="8"/>
                <w:color w:val="auto"/>
              </w:rPr>
              <w:t>EIL</w:t>
            </w:r>
            <w:r>
              <w:rPr>
                <w:rFonts w:ascii="Arial" w:cs="Arial" w:eastAsia="Arial" w:hAnsi="Arial"/>
                <w:sz w:val="13"/>
                <w:szCs w:val="13"/>
                <w:color w:val="auto"/>
              </w:rPr>
              <w:t xml:space="preserve"> N</w:t>
            </w:r>
            <w:r>
              <w:rPr>
                <w:rFonts w:ascii="Arial" w:cs="Arial" w:eastAsia="Arial" w:hAnsi="Arial"/>
                <w:sz w:val="8"/>
                <w:szCs w:val="8"/>
                <w:color w:val="auto"/>
              </w:rPr>
              <w:t>OVICH</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7"/>
              </w:rPr>
              <w:t>Neil Novich</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F. G</w:t>
            </w:r>
            <w:r>
              <w:rPr>
                <w:rFonts w:ascii="Arial" w:cs="Arial" w:eastAsia="Arial" w:hAnsi="Arial"/>
                <w:sz w:val="8"/>
                <w:szCs w:val="8"/>
                <w:color w:val="auto"/>
              </w:rPr>
              <w:t>RANT</w:t>
            </w:r>
            <w:r>
              <w:rPr>
                <w:rFonts w:ascii="Arial" w:cs="Arial" w:eastAsia="Arial" w:hAnsi="Arial"/>
                <w:sz w:val="13"/>
                <w:szCs w:val="13"/>
                <w:color w:val="auto"/>
              </w:rPr>
              <w:t xml:space="preserve"> S</w:t>
            </w:r>
            <w:r>
              <w:rPr>
                <w:rFonts w:ascii="Arial" w:cs="Arial" w:eastAsia="Arial" w:hAnsi="Arial"/>
                <w:sz w:val="8"/>
                <w:szCs w:val="8"/>
                <w:color w:val="auto"/>
              </w:rPr>
              <w:t>AVIERS</w:t>
            </w:r>
          </w:p>
        </w:tc>
        <w:tc>
          <w:tcPr>
            <w:tcW w:w="3700" w:type="dxa"/>
            <w:vAlign w:val="bottom"/>
          </w:tcPr>
          <w:p>
            <w:pPr>
              <w:jc w:val="center"/>
              <w:ind w:left="394"/>
              <w:spacing w:after="0"/>
              <w:rPr>
                <w:sz w:val="20"/>
                <w:szCs w:val="20"/>
                <w:color w:val="auto"/>
              </w:rPr>
            </w:pPr>
            <w:r>
              <w:rPr>
                <w:rFonts w:ascii="Arial" w:cs="Arial" w:eastAsia="Arial" w:hAnsi="Arial"/>
                <w:sz w:val="13"/>
                <w:szCs w:val="13"/>
                <w:color w:val="auto"/>
                <w:w w:val="96"/>
              </w:rPr>
              <w:t>Director</w:t>
            </w:r>
          </w:p>
        </w:tc>
        <w:tc>
          <w:tcPr>
            <w:tcW w:w="2960" w:type="dxa"/>
            <w:vAlign w:val="bottom"/>
          </w:tcPr>
          <w:p>
            <w:pPr>
              <w:ind w:left="800"/>
              <w:spacing w:after="0"/>
              <w:rPr>
                <w:sz w:val="20"/>
                <w:szCs w:val="20"/>
                <w:color w:val="auto"/>
              </w:rPr>
            </w:pPr>
            <w:r>
              <w:rPr>
                <w:rFonts w:ascii="Arial" w:cs="Arial" w:eastAsia="Arial" w:hAnsi="Arial"/>
                <w:sz w:val="13"/>
                <w:szCs w:val="13"/>
                <w:color w:val="auto"/>
              </w:rPr>
              <w:t>November 22, 2011</w:t>
            </w:r>
          </w:p>
        </w:tc>
      </w:tr>
      <w:tr>
        <w:trPr>
          <w:trHeight w:val="155"/>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F. Grant Saviers</w:t>
            </w:r>
          </w:p>
        </w:tc>
        <w:tc>
          <w:tcPr>
            <w:tcW w:w="370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00" w:type="dxa"/>
            <w:vAlign w:val="bottom"/>
          </w:tcPr>
          <w:p>
            <w:pPr>
              <w:jc w:val="right"/>
              <w:ind w:right="2694"/>
              <w:spacing w:after="0"/>
              <w:rPr>
                <w:sz w:val="20"/>
                <w:szCs w:val="20"/>
                <w:color w:val="auto"/>
              </w:rPr>
            </w:pPr>
            <w:r>
              <w:rPr>
                <w:rFonts w:ascii="Arial" w:cs="Arial" w:eastAsia="Arial" w:hAnsi="Arial"/>
                <w:sz w:val="13"/>
                <w:szCs w:val="13"/>
                <w:color w:val="auto"/>
              </w:rPr>
              <w:t>98</w:t>
            </w:r>
          </w:p>
        </w:tc>
        <w:tc>
          <w:tcPr>
            <w:tcW w:w="29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716" w:right="139" w:bottom="1440" w:gutter="0" w:footer="0" w:header="0"/>
        </w:sectPr>
      </w:pPr>
    </w:p>
    <w:bookmarkStart w:id="99" w:name="page100"/>
    <w:bookmarkEnd w:id="99"/>
    <w:p>
      <w:pPr>
        <w:ind w:left="680"/>
        <w:spacing w:after="0"/>
        <w:tabs>
          <w:tab w:leader="none" w:pos="6760" w:val="left"/>
          <w:tab w:leader="none" w:pos="9700" w:val="left"/>
        </w:tabs>
        <w:rPr>
          <w:sz w:val="20"/>
          <w:szCs w:val="20"/>
          <w:color w:val="auto"/>
        </w:rPr>
      </w:pPr>
      <w:r>
        <w:rPr>
          <w:rFonts w:ascii="Arial" w:cs="Arial" w:eastAsia="Arial" w:hAnsi="Arial"/>
          <w:sz w:val="10"/>
          <w:szCs w:val="10"/>
          <w:b w:val="1"/>
          <w:bCs w:val="1"/>
          <w:color w:val="auto"/>
        </w:rPr>
        <w:t>Name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S</w:t>
            </w:r>
            <w:r>
              <w:rPr>
                <w:rFonts w:ascii="Arial" w:cs="Arial" w:eastAsia="Arial" w:hAnsi="Arial"/>
                <w:sz w:val="8"/>
                <w:szCs w:val="8"/>
                <w:color w:val="auto"/>
              </w:rPr>
              <w:t>EVERINO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22, 2011</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88"/>
              </w:rPr>
              <w:t>Paul J. Severino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K</w:t>
            </w:r>
            <w:r>
              <w:rPr>
                <w:rFonts w:ascii="Arial" w:cs="Arial" w:eastAsia="Arial" w:hAnsi="Arial"/>
                <w:sz w:val="8"/>
                <w:szCs w:val="8"/>
                <w:color w:val="auto"/>
              </w:rPr>
              <w:t>ENTON</w:t>
            </w:r>
            <w:r>
              <w:rPr>
                <w:rFonts w:ascii="Arial" w:cs="Arial" w:eastAsia="Arial" w:hAnsi="Arial"/>
                <w:sz w:val="13"/>
                <w:szCs w:val="13"/>
                <w:color w:val="auto"/>
              </w:rPr>
              <w:t xml:space="preserve"> J. S</w:t>
            </w:r>
            <w:r>
              <w:rPr>
                <w:rFonts w:ascii="Arial" w:cs="Arial" w:eastAsia="Arial" w:hAnsi="Arial"/>
                <w:sz w:val="8"/>
                <w:szCs w:val="8"/>
                <w:color w:val="auto"/>
              </w:rPr>
              <w:t>ICCHITANO</w:t>
            </w:r>
          </w:p>
        </w:tc>
        <w:tc>
          <w:tcPr>
            <w:tcW w:w="3400" w:type="dxa"/>
            <w:vAlign w:val="bottom"/>
          </w:tcPr>
          <w:p>
            <w:pPr>
              <w:ind w:left="1860"/>
              <w:spacing w:after="0"/>
              <w:rPr>
                <w:sz w:val="20"/>
                <w:szCs w:val="20"/>
                <w:color w:val="auto"/>
              </w:rPr>
            </w:pPr>
            <w:r>
              <w:rPr>
                <w:rFonts w:ascii="Arial" w:cs="Arial" w:eastAsia="Arial" w:hAnsi="Arial"/>
                <w:sz w:val="13"/>
                <w:szCs w:val="13"/>
                <w:color w:val="auto"/>
              </w:rPr>
              <w:t>Director</w:t>
            </w:r>
          </w:p>
        </w:tc>
        <w:tc>
          <w:tcPr>
            <w:tcW w:w="3260" w:type="dxa"/>
            <w:vAlign w:val="bottom"/>
          </w:tcPr>
          <w:p>
            <w:pPr>
              <w:ind w:left="1100"/>
              <w:spacing w:after="0"/>
              <w:rPr>
                <w:sz w:val="20"/>
                <w:szCs w:val="20"/>
                <w:color w:val="auto"/>
              </w:rPr>
            </w:pPr>
            <w:r>
              <w:rPr>
                <w:rFonts w:ascii="Arial" w:cs="Arial" w:eastAsia="Arial" w:hAnsi="Arial"/>
                <w:sz w:val="13"/>
                <w:szCs w:val="13"/>
                <w:color w:val="auto"/>
              </w:rPr>
              <w:t>November 22, 2011</w:t>
            </w:r>
          </w:p>
        </w:tc>
      </w:tr>
      <w:tr>
        <w:trPr>
          <w:trHeight w:val="160"/>
        </w:trPr>
        <w:tc>
          <w:tcPr>
            <w:tcW w:w="680" w:type="dxa"/>
            <w:vAlign w:val="bottom"/>
          </w:tcPr>
          <w:p>
            <w:pPr>
              <w:spacing w:after="0"/>
              <w:rPr>
                <w:sz w:val="13"/>
                <w:szCs w:val="13"/>
                <w:color w:val="auto"/>
              </w:rPr>
            </w:pPr>
          </w:p>
        </w:tc>
        <w:tc>
          <w:tcPr>
            <w:tcW w:w="4120" w:type="dxa"/>
            <w:vAlign w:val="bottom"/>
          </w:tcPr>
          <w:p>
            <w:pPr>
              <w:jc w:val="center"/>
              <w:spacing w:after="0"/>
              <w:rPr>
                <w:sz w:val="20"/>
                <w:szCs w:val="20"/>
                <w:color w:val="auto"/>
              </w:rPr>
            </w:pPr>
            <w:r>
              <w:rPr>
                <w:rFonts w:ascii="Arial" w:cs="Arial" w:eastAsia="Arial" w:hAnsi="Arial"/>
                <w:sz w:val="13"/>
                <w:szCs w:val="13"/>
                <w:color w:val="auto"/>
                <w:w w:val="91"/>
              </w:rPr>
              <w:t>Kenton J. Sicchitano</w:t>
            </w:r>
          </w:p>
        </w:tc>
        <w:tc>
          <w:tcPr>
            <w:tcW w:w="3400" w:type="dxa"/>
            <w:vAlign w:val="bottom"/>
          </w:tcPr>
          <w:p>
            <w:pPr>
              <w:spacing w:after="0"/>
              <w:rPr>
                <w:sz w:val="13"/>
                <w:szCs w:val="13"/>
                <w:color w:val="auto"/>
              </w:rPr>
            </w:pPr>
          </w:p>
        </w:tc>
        <w:tc>
          <w:tcPr>
            <w:tcW w:w="32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0" w:type="dxa"/>
            <w:vAlign w:val="bottom"/>
          </w:tcPr>
          <w:p>
            <w:pPr>
              <w:jc w:val="right"/>
              <w:ind w:right="2394"/>
              <w:spacing w:after="0"/>
              <w:rPr>
                <w:sz w:val="20"/>
                <w:szCs w:val="20"/>
                <w:color w:val="auto"/>
              </w:rPr>
            </w:pPr>
            <w:r>
              <w:rPr>
                <w:rFonts w:ascii="Arial" w:cs="Arial" w:eastAsia="Arial" w:hAnsi="Arial"/>
                <w:sz w:val="13"/>
                <w:szCs w:val="13"/>
                <w:color w:val="auto"/>
              </w:rPr>
              <w:t>99</w:t>
            </w:r>
          </w:p>
        </w:tc>
        <w:tc>
          <w:tcPr>
            <w:tcW w:w="326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0" w:type="dxa"/>
            <w:vAlign w:val="bottom"/>
            <w:gridSpan w:val="2"/>
          </w:tcPr>
          <w:p>
            <w:pPr>
              <w:ind w:left="3240"/>
              <w:spacing w:after="0"/>
              <w:rPr>
                <w:sz w:val="20"/>
                <w:szCs w:val="20"/>
                <w:color w:val="auto"/>
              </w:rPr>
            </w:pPr>
            <w:r>
              <w:rPr>
                <w:rFonts w:ascii="Arial" w:cs="Arial" w:eastAsia="Arial" w:hAnsi="Arial"/>
                <w:sz w:val="13"/>
                <w:szCs w:val="13"/>
                <w:b w:val="1"/>
                <w:bCs w:val="1"/>
                <w:color w:val="auto"/>
              </w:rPr>
              <w:t>Exhibit Index</w:t>
            </w:r>
          </w:p>
        </w:tc>
      </w:tr>
      <w:tr>
        <w:trPr>
          <w:trHeight w:val="286"/>
        </w:trPr>
        <w:tc>
          <w:tcPr>
            <w:tcW w:w="680" w:type="dxa"/>
            <w:vAlign w:val="bottom"/>
          </w:tcPr>
          <w:p>
            <w:pPr>
              <w:spacing w:after="0"/>
              <w:rPr>
                <w:sz w:val="24"/>
                <w:szCs w:val="24"/>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24"/>
                <w:szCs w:val="24"/>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24"/>
                <w:szCs w:val="24"/>
                <w:color w:val="auto"/>
              </w:rPr>
            </w:pPr>
          </w:p>
        </w:tc>
      </w:tr>
      <w:tr>
        <w:trPr>
          <w:trHeight w:val="178"/>
        </w:trPr>
        <w:tc>
          <w:tcPr>
            <w:tcW w:w="680" w:type="dxa"/>
            <w:vAlign w:val="bottom"/>
          </w:tcPr>
          <w:p>
            <w:pPr>
              <w:spacing w:after="0"/>
              <w:rPr>
                <w:sz w:val="15"/>
                <w:szCs w:val="15"/>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Underwriting Agreement, dated June 25, 2009, between Analog Devices, Inc. and Credit Suisse Securities (USA) LLC, as representative of the several</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underwriters named therein, filed as exhibit 1.1 to the Company’s Current Report on Form 8-K (File No. 1-7819), filed with the Commission on June 30, 2009 and</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Underwriting Agreement, dated March 30, 2011, between Analog Devices, Inc. and Credit Suisse Securities (USA) LLC and Merrill Lynch, Pierce, Fenner &amp;</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Smith Incorporated, as representative of the several underwriters named therein, filed as exhibit 1.1 to the Company’s Current Report on Form 8-K (File No. 1-</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7819), filed with the Commission on March 31, 2011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Purchase and Sale Agreement, dated as of September 9, 2007, among Analog Devices, Inc., various subsidiaries, and MediaTek Inc., filed as an exhibit to the</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Company’s Annual Report on Form 10-K for the fiscal year ended November 3, 2007 (File No. 1-7819) as filed with the Commission on November 30, 2007 and</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Amendment No. 1 to Purchase and Sale Agreement, dated January 11, 2008, among Analog Devices, Inc., various subsidiaries, and MediaTek Inc. filed as an</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exhibit to the Company’s Current Report on Form 8-K (File No. 1-7819), as filed with the Commission on January 16, 2008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w w:val="99"/>
              </w:rPr>
              <w:t>License Agreement, dated as of January 11, 2008, among Analog Devices, Inc., Analog Devices B.V., MediaTek Inc. and MediaTek Singapore Pte. Ltd., filed as an</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exhibit to the Company’s Current Report on Form 8-K (File No. 1-7819), as filed with the Commission on January 16, 2008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Restated Articles of Organization of Analog Devices, Inc., as amended, filed as an exhibit to the Company’s Quarterly Report on Form 10-Q for the fiscal quarter</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ended May 3, 2008 (File No. 1-7819) as filed with the Commission on May 20, 2008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Amendment to Restated Articles of Organization of Analog Devices, Inc., filed as exhibit 3.1 to the Company’s Current Report on Form 8-K filed with the</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Commission on December 8, 2008 (File No. 1-7819)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3.3</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Amended and Restated By-Laws of Analog Devices, Inc., filed as exhibit 3.1 to the Company’s Current Report on Form 8-K filed with the Commission on January</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28, 2010 (File No. 1-7819)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4.1</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Indenture, by and between Analog Devices, Inc. and The Bank of New York Mellon Trust Company, N.A. (as Trustee) dated as of June 30, 2009, filed as exhibit</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4.1 to the Company’s Quarterly Report on Form 10-Q for the fiscal quarter ended August 1, 2009 (File No. 1-7819)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Supplemental Indenture, dated June 30, 2009, between Analog Devices, Inc. and The Bank of New York Mellon Trust Company, N.A., as trustee, filed as exhibit</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4.1 to the Company’s Current Report on Form 8-K (File No. 1-7819), filed with the Commission on June 30, 2009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4.3</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Form of 5.00% Global Note due July 1, 2014, filed as exhibit 4.2 to the Company’s Current Report on Form 8-K (File No. 1-7819), filed with the Commission on</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June 30, 2009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Supplemental Indenture, dated April 4, 2011, between Analog Devices, Inc. and The Bank of New York Mellon Trust Company, N.A., as trustee, filed as exhibit</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4.1 to the Company’s Current Report on Form 8-K (File No. 1-7819), filed with the Commission on April 4, 2011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4.5</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Form of 3.00% Global Note due April 15, 2016, filed as exhibit 4.2 to the Company’s Current Report on Form 8-K (File No. 1-7819), filed with the Commission on</w:t>
            </w:r>
          </w:p>
        </w:tc>
      </w:tr>
      <w:tr>
        <w:trPr>
          <w:trHeight w:val="157"/>
        </w:trPr>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April 4, 2011 and incorporated herein by reference.</w:t>
            </w:r>
          </w:p>
        </w:tc>
      </w:tr>
      <w:tr>
        <w:trPr>
          <w:trHeight w:val="157"/>
        </w:trPr>
        <w:tc>
          <w:tcPr>
            <w:tcW w:w="68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Analog Devices, Inc. Amended and Restated Deferred Compensation Plan, incorporated herein by reference to exhibit 10.1 of the Company’s Current Report on</w:t>
            </w:r>
          </w:p>
        </w:tc>
      </w:tr>
      <w:tr>
        <w:trPr>
          <w:trHeight w:val="165"/>
        </w:trPr>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Form 8-K filed with the Commission on December 8, 2008 (File No. 1-7819) and incorporated herein by reference.</w:t>
            </w:r>
          </w:p>
        </w:tc>
      </w:tr>
      <w:tr>
        <w:trPr>
          <w:trHeight w:val="163"/>
        </w:trPr>
        <w:tc>
          <w:tcPr>
            <w:tcW w:w="68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6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01" w:name="page102"/>
    <w:bookmarkEnd w:id="101"/>
    <w:p>
      <w:pPr>
        <w:ind w:left="1040"/>
        <w:spacing w:after="0"/>
        <w:tabs>
          <w:tab w:leader="none" w:pos="6120"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*10.2</w:t>
            </w:r>
          </w:p>
        </w:tc>
        <w:tc>
          <w:tcPr>
            <w:tcW w:w="9600" w:type="dxa"/>
            <w:vAlign w:val="bottom"/>
          </w:tcPr>
          <w:p>
            <w:pPr>
              <w:ind w:left="260"/>
              <w:spacing w:after="0"/>
              <w:rPr>
                <w:sz w:val="20"/>
                <w:szCs w:val="20"/>
                <w:color w:val="auto"/>
              </w:rPr>
            </w:pPr>
            <w:r>
              <w:rPr>
                <w:rFonts w:ascii="Arial" w:cs="Arial" w:eastAsia="Arial" w:hAnsi="Arial"/>
                <w:sz w:val="13"/>
                <w:szCs w:val="13"/>
                <w:color w:val="auto"/>
                <w:w w:val="99"/>
              </w:rPr>
              <w:t>First Amendment to the Analog Devices, Inc. Amended and Restated Deferred Compensation Plan, filed as an exhibit to the Company’s Quarterly Report on Form</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10-Q for fiscal quarter ended July 30, 2011 (File No. 1-7819) as filed with the Commission on August 16, 2011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*10.3</w:t>
            </w:r>
          </w:p>
        </w:tc>
        <w:tc>
          <w:tcPr>
            <w:tcW w:w="9600" w:type="dxa"/>
            <w:vAlign w:val="bottom"/>
          </w:tcPr>
          <w:p>
            <w:pPr>
              <w:ind w:left="260"/>
              <w:spacing w:after="0"/>
              <w:rPr>
                <w:sz w:val="20"/>
                <w:szCs w:val="20"/>
                <w:color w:val="auto"/>
              </w:rPr>
            </w:pPr>
            <w:r>
              <w:rPr>
                <w:rFonts w:ascii="Arial" w:cs="Arial" w:eastAsia="Arial" w:hAnsi="Arial"/>
                <w:sz w:val="13"/>
                <w:szCs w:val="13"/>
                <w:color w:val="auto"/>
                <w:w w:val="99"/>
              </w:rPr>
              <w:t>Trust Agreement for Deferred Compensation Plan dated as of October 1, 2003 between Analog Devices, Inc. and Fidelity Management Trust Company, filed as an</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exhibit to the Company’s Annual Report on Form 10-K for the fiscal year ended November 1, 2003 (File No. 1-7819) as filed with the Commission on December</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23, 2003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*10.4</w:t>
            </w:r>
          </w:p>
        </w:tc>
        <w:tc>
          <w:tcPr>
            <w:tcW w:w="9600" w:type="dxa"/>
            <w:vAlign w:val="bottom"/>
          </w:tcPr>
          <w:p>
            <w:pPr>
              <w:ind w:left="260"/>
              <w:spacing w:after="0"/>
              <w:rPr>
                <w:sz w:val="20"/>
                <w:szCs w:val="20"/>
                <w:color w:val="auto"/>
              </w:rPr>
            </w:pPr>
            <w:r>
              <w:rPr>
                <w:rFonts w:ascii="Arial" w:cs="Arial" w:eastAsia="Arial" w:hAnsi="Arial"/>
                <w:sz w:val="13"/>
                <w:szCs w:val="13"/>
                <w:color w:val="auto"/>
              </w:rPr>
              <w:t>First Amendment to Trust Agreement for Deferred Compensation Plan between Analog Devices, Inc. and Fidelity Management Trust Company dated as of</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January 1, 2005, filed as an exhibit to the Company’s Annual Report on Form 10-K for the fiscal year ended October 28, 2006 (File No. 1-7819) as filed with the</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Commission on November 20, 2006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*10.5</w:t>
            </w:r>
          </w:p>
        </w:tc>
        <w:tc>
          <w:tcPr>
            <w:tcW w:w="9600" w:type="dxa"/>
            <w:vAlign w:val="bottom"/>
          </w:tcPr>
          <w:p>
            <w:pPr>
              <w:ind w:left="260"/>
              <w:spacing w:after="0"/>
              <w:rPr>
                <w:sz w:val="20"/>
                <w:szCs w:val="20"/>
                <w:color w:val="auto"/>
              </w:rPr>
            </w:pPr>
            <w:r>
              <w:rPr>
                <w:rFonts w:ascii="Arial" w:cs="Arial" w:eastAsia="Arial" w:hAnsi="Arial"/>
                <w:sz w:val="13"/>
                <w:szCs w:val="13"/>
                <w:color w:val="auto"/>
              </w:rPr>
              <w:t>Second Amendment to Trust Agreement for Deferred Compensation Plan between Analog Devices, Inc. and Fidelity Management Trust Company dated as of</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December 10, 2007, filed as exhibit 10.41 to the Company’s Annual Report on Form 10-K for the fiscal year ended November 1, 2008 (File No. 1-7819) as filed</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with the Commission on November 25, 2008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*10.6</w:t>
            </w:r>
          </w:p>
        </w:tc>
        <w:tc>
          <w:tcPr>
            <w:tcW w:w="9600" w:type="dxa"/>
            <w:vAlign w:val="bottom"/>
          </w:tcPr>
          <w:p>
            <w:pPr>
              <w:ind w:left="260"/>
              <w:spacing w:after="0"/>
              <w:rPr>
                <w:sz w:val="20"/>
                <w:szCs w:val="20"/>
                <w:color w:val="auto"/>
              </w:rPr>
            </w:pPr>
            <w:r>
              <w:rPr>
                <w:rFonts w:ascii="Arial" w:cs="Arial" w:eastAsia="Arial" w:hAnsi="Arial"/>
                <w:sz w:val="13"/>
                <w:szCs w:val="13"/>
                <w:color w:val="auto"/>
              </w:rPr>
              <w:t>Restated 1988 Stock Option Plan of Analog Devices, Inc., filed as an exhibit to the Company’s Quarterly Report on Form 10-Q for the fiscal quarter ended May 3,</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1997 (File No. 1-7819) as filed with the Commission on June 17, 1997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*10.7</w:t>
            </w:r>
          </w:p>
        </w:tc>
        <w:tc>
          <w:tcPr>
            <w:tcW w:w="9600" w:type="dxa"/>
            <w:vAlign w:val="bottom"/>
          </w:tcPr>
          <w:p>
            <w:pPr>
              <w:ind w:left="260"/>
              <w:spacing w:after="0"/>
              <w:rPr>
                <w:sz w:val="20"/>
                <w:szCs w:val="20"/>
                <w:color w:val="auto"/>
              </w:rPr>
            </w:pPr>
            <w:r>
              <w:rPr>
                <w:rFonts w:ascii="Arial" w:cs="Arial" w:eastAsia="Arial" w:hAnsi="Arial"/>
                <w:sz w:val="13"/>
                <w:szCs w:val="13"/>
                <w:color w:val="auto"/>
              </w:rPr>
              <w:t>Restated 1994 Director Option Plan of Analog Devices, Inc., as amended, filed as an exhibit to the Company’s Annual Report on Form 10-K for the fiscal year</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*10.8</w:t>
            </w:r>
          </w:p>
        </w:tc>
        <w:tc>
          <w:tcPr>
            <w:tcW w:w="9600" w:type="dxa"/>
            <w:vAlign w:val="bottom"/>
          </w:tcPr>
          <w:p>
            <w:pPr>
              <w:ind w:left="260"/>
              <w:spacing w:after="0"/>
              <w:rPr>
                <w:sz w:val="20"/>
                <w:szCs w:val="20"/>
                <w:color w:val="auto"/>
              </w:rPr>
            </w:pPr>
            <w:r>
              <w:rPr>
                <w:rFonts w:ascii="Arial" w:cs="Arial" w:eastAsia="Arial" w:hAnsi="Arial"/>
                <w:sz w:val="13"/>
                <w:szCs w:val="13"/>
                <w:color w:val="auto"/>
              </w:rPr>
              <w:t>1998 Stock Option Plan of Analog Devices Inc., as amended, filed as an exhibit to the Company’s Annual Report on Form 10-K for the fiscal year ended</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November 2, 2002 (File No. 1-7819) as filed with the Commission on January 29, 2003 and incorporated herein by reference.</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*10.9</w:t>
            </w:r>
          </w:p>
        </w:tc>
        <w:tc>
          <w:tcPr>
            <w:tcW w:w="9600" w:type="dxa"/>
            <w:vAlign w:val="bottom"/>
          </w:tcPr>
          <w:p>
            <w:pPr>
              <w:ind w:left="260"/>
              <w:spacing w:after="0"/>
              <w:rPr>
                <w:sz w:val="20"/>
                <w:szCs w:val="20"/>
                <w:color w:val="auto"/>
              </w:rPr>
            </w:pPr>
            <w:r>
              <w:rPr>
                <w:rFonts w:ascii="Arial" w:cs="Arial" w:eastAsia="Arial" w:hAnsi="Arial"/>
                <w:sz w:val="13"/>
                <w:szCs w:val="13"/>
                <w:color w:val="auto"/>
              </w:rPr>
              <w:t>Analog Devices, Inc. 2001 Broad-Based Stock Option Plan, as amended, filed as an exhibit to the Company’s Annual Report on Form 10-K for the fiscal year</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860" w:type="dxa"/>
            <w:vAlign w:val="bottom"/>
          </w:tcPr>
          <w:p>
            <w:pPr>
              <w:jc w:val="right"/>
              <w:ind w:right="194"/>
              <w:spacing w:after="0"/>
              <w:rPr>
                <w:sz w:val="20"/>
                <w:szCs w:val="20"/>
                <w:color w:val="auto"/>
              </w:rPr>
            </w:pPr>
            <w:r>
              <w:rPr>
                <w:rFonts w:ascii="Arial" w:cs="Arial" w:eastAsia="Arial" w:hAnsi="Arial"/>
                <w:sz w:val="13"/>
                <w:szCs w:val="13"/>
                <w:color w:val="auto"/>
              </w:rPr>
              <w:t>†*10.10</w:t>
            </w:r>
          </w:p>
        </w:tc>
        <w:tc>
          <w:tcPr>
            <w:tcW w:w="9600" w:type="dxa"/>
            <w:vAlign w:val="bottom"/>
          </w:tcPr>
          <w:p>
            <w:pPr>
              <w:ind w:left="260"/>
              <w:spacing w:after="0"/>
              <w:rPr>
                <w:sz w:val="20"/>
                <w:szCs w:val="20"/>
                <w:color w:val="auto"/>
              </w:rPr>
            </w:pPr>
            <w:r>
              <w:rPr>
                <w:rFonts w:ascii="Arial" w:cs="Arial" w:eastAsia="Arial" w:hAnsi="Arial"/>
                <w:sz w:val="13"/>
                <w:szCs w:val="13"/>
                <w:color w:val="auto"/>
              </w:rPr>
              <w:t>Amended and Restated 2006 Stock Incentive Plan of Analog Devices, Inc., filed herewith.</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*10.11</w:t>
            </w:r>
          </w:p>
        </w:tc>
        <w:tc>
          <w:tcPr>
            <w:tcW w:w="9600" w:type="dxa"/>
            <w:vAlign w:val="bottom"/>
          </w:tcPr>
          <w:p>
            <w:pPr>
              <w:ind w:left="260"/>
              <w:spacing w:after="0"/>
              <w:rPr>
                <w:sz w:val="20"/>
                <w:szCs w:val="20"/>
                <w:color w:val="auto"/>
              </w:rPr>
            </w:pPr>
            <w:r>
              <w:rPr>
                <w:rFonts w:ascii="Arial" w:cs="Arial" w:eastAsia="Arial" w:hAnsi="Arial"/>
                <w:sz w:val="13"/>
                <w:szCs w:val="13"/>
                <w:color w:val="auto"/>
              </w:rPr>
              <w:t>Form of Global Non-Qualified Stock Option Agreement for Employees for usage under the Company’s 2006 Stock Incentive Plan, filed as an exhibit to the</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Company’s Quarterly Report on Form 10-Q for fiscal quarter ended July 30, 2011 (File No. 1-7819) as filed with the Commission on August 16, 2011 and</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860" w:type="dxa"/>
            <w:vAlign w:val="bottom"/>
          </w:tcPr>
          <w:p>
            <w:pPr>
              <w:jc w:val="right"/>
              <w:ind w:right="194"/>
              <w:spacing w:after="0"/>
              <w:rPr>
                <w:sz w:val="20"/>
                <w:szCs w:val="20"/>
                <w:color w:val="auto"/>
              </w:rPr>
            </w:pPr>
            <w:r>
              <w:rPr>
                <w:rFonts w:ascii="Arial" w:cs="Arial" w:eastAsia="Arial" w:hAnsi="Arial"/>
                <w:sz w:val="13"/>
                <w:szCs w:val="13"/>
                <w:color w:val="auto"/>
              </w:rPr>
              <w:t>†*10.12</w:t>
            </w:r>
          </w:p>
        </w:tc>
        <w:tc>
          <w:tcPr>
            <w:tcW w:w="9600" w:type="dxa"/>
            <w:vAlign w:val="bottom"/>
          </w:tcPr>
          <w:p>
            <w:pPr>
              <w:ind w:left="260"/>
              <w:spacing w:after="0"/>
              <w:rPr>
                <w:sz w:val="20"/>
                <w:szCs w:val="20"/>
                <w:color w:val="auto"/>
              </w:rPr>
            </w:pPr>
            <w:r>
              <w:rPr>
                <w:rFonts w:ascii="Arial" w:cs="Arial" w:eastAsia="Arial" w:hAnsi="Arial"/>
                <w:sz w:val="13"/>
                <w:szCs w:val="13"/>
                <w:color w:val="auto"/>
              </w:rPr>
              <w:t>Form of Agreement for Grants of Non-Qualified Stock Options to Directors for usage under the Company’s 2006 Stock Incentive Plan, filed herewith.</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*10.13</w:t>
            </w:r>
          </w:p>
        </w:tc>
        <w:tc>
          <w:tcPr>
            <w:tcW w:w="9600" w:type="dxa"/>
            <w:vAlign w:val="bottom"/>
          </w:tcPr>
          <w:p>
            <w:pPr>
              <w:ind w:left="260"/>
              <w:spacing w:after="0"/>
              <w:rPr>
                <w:sz w:val="20"/>
                <w:szCs w:val="20"/>
                <w:color w:val="auto"/>
              </w:rPr>
            </w:pPr>
            <w:r>
              <w:rPr>
                <w:rFonts w:ascii="Arial" w:cs="Arial" w:eastAsia="Arial" w:hAnsi="Arial"/>
                <w:sz w:val="13"/>
                <w:szCs w:val="13"/>
                <w:color w:val="auto"/>
              </w:rPr>
              <w:t>Form of Global Restricted Stock Unit Agreement for Employees for usage under the Company’s 2006 Stock Incentive Plan, filed as an exhibit to the Company’s</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Current Report on Form 8-K (File No. 1-7819), as filed with the Commission on December 3, 2010 and incorporated herein by reference.</w:t>
            </w:r>
          </w:p>
        </w:tc>
      </w:tr>
      <w:tr>
        <w:trPr>
          <w:trHeight w:val="157"/>
        </w:trPr>
        <w:tc>
          <w:tcPr>
            <w:tcW w:w="1860" w:type="dxa"/>
            <w:vAlign w:val="bottom"/>
          </w:tcPr>
          <w:p>
            <w:pPr>
              <w:jc w:val="right"/>
              <w:ind w:right="194"/>
              <w:spacing w:after="0"/>
              <w:rPr>
                <w:sz w:val="20"/>
                <w:szCs w:val="20"/>
                <w:color w:val="auto"/>
              </w:rPr>
            </w:pPr>
            <w:r>
              <w:rPr>
                <w:rFonts w:ascii="Arial" w:cs="Arial" w:eastAsia="Arial" w:hAnsi="Arial"/>
                <w:sz w:val="13"/>
                <w:szCs w:val="13"/>
                <w:color w:val="auto"/>
              </w:rPr>
              <w:t>†*10.14</w:t>
            </w:r>
          </w:p>
        </w:tc>
        <w:tc>
          <w:tcPr>
            <w:tcW w:w="9600" w:type="dxa"/>
            <w:vAlign w:val="bottom"/>
          </w:tcPr>
          <w:p>
            <w:pPr>
              <w:ind w:left="260"/>
              <w:spacing w:after="0"/>
              <w:rPr>
                <w:sz w:val="20"/>
                <w:szCs w:val="20"/>
                <w:color w:val="auto"/>
              </w:rPr>
            </w:pPr>
            <w:r>
              <w:rPr>
                <w:rFonts w:ascii="Arial" w:cs="Arial" w:eastAsia="Arial" w:hAnsi="Arial"/>
                <w:sz w:val="13"/>
                <w:szCs w:val="13"/>
                <w:color w:val="auto"/>
              </w:rPr>
              <w:t>Form of Agreement for Grants of Restricted Stock Units to Directors for usage under the Company’s 2006 Stock Incentive Plan, filed herewith.</w:t>
            </w:r>
          </w:p>
        </w:tc>
      </w:tr>
      <w:tr>
        <w:trPr>
          <w:trHeight w:val="157"/>
        </w:trPr>
        <w:tc>
          <w:tcPr>
            <w:tcW w:w="1860" w:type="dxa"/>
            <w:vAlign w:val="bottom"/>
          </w:tcPr>
          <w:p>
            <w:pPr>
              <w:ind w:left="1240"/>
              <w:spacing w:after="0"/>
              <w:rPr>
                <w:sz w:val="20"/>
                <w:szCs w:val="20"/>
                <w:color w:val="auto"/>
              </w:rPr>
            </w:pPr>
            <w:r>
              <w:rPr>
                <w:rFonts w:ascii="Arial" w:cs="Arial" w:eastAsia="Arial" w:hAnsi="Arial"/>
                <w:sz w:val="13"/>
                <w:szCs w:val="13"/>
                <w:color w:val="auto"/>
              </w:rPr>
              <w:t>*10.15</w:t>
            </w:r>
          </w:p>
        </w:tc>
        <w:tc>
          <w:tcPr>
            <w:tcW w:w="9600" w:type="dxa"/>
            <w:vAlign w:val="bottom"/>
          </w:tcPr>
          <w:p>
            <w:pPr>
              <w:ind w:left="260"/>
              <w:spacing w:after="0"/>
              <w:rPr>
                <w:sz w:val="20"/>
                <w:szCs w:val="20"/>
                <w:color w:val="auto"/>
              </w:rPr>
            </w:pPr>
            <w:r>
              <w:rPr>
                <w:rFonts w:ascii="Arial" w:cs="Arial" w:eastAsia="Arial" w:hAnsi="Arial"/>
                <w:sz w:val="13"/>
                <w:szCs w:val="13"/>
                <w:color w:val="auto"/>
              </w:rPr>
              <w:t>Analog Devices BV (Ireland) Employee Stock Option Program, as amended, filed as an exhibit to the Company’s Annual Report on Form 10-K for the fiscal year</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ended November 2, 2002 (File No. 1-7819) as filed with the Commission on January 29, 2003 and incorporated herein by reference.</w:t>
            </w:r>
          </w:p>
        </w:tc>
      </w:tr>
      <w:tr>
        <w:trPr>
          <w:trHeight w:val="157"/>
        </w:trPr>
        <w:tc>
          <w:tcPr>
            <w:tcW w:w="1860" w:type="dxa"/>
            <w:vAlign w:val="bottom"/>
          </w:tcPr>
          <w:p>
            <w:pPr>
              <w:jc w:val="right"/>
              <w:ind w:right="194"/>
              <w:spacing w:after="0"/>
              <w:rPr>
                <w:sz w:val="20"/>
                <w:szCs w:val="20"/>
                <w:color w:val="auto"/>
              </w:rPr>
            </w:pPr>
            <w:r>
              <w:rPr>
                <w:rFonts w:ascii="Arial" w:cs="Arial" w:eastAsia="Arial" w:hAnsi="Arial"/>
                <w:sz w:val="13"/>
                <w:szCs w:val="13"/>
                <w:color w:val="auto"/>
              </w:rPr>
              <w:t>10.16</w:t>
            </w:r>
          </w:p>
        </w:tc>
        <w:tc>
          <w:tcPr>
            <w:tcW w:w="9600" w:type="dxa"/>
            <w:vAlign w:val="bottom"/>
          </w:tcPr>
          <w:p>
            <w:pPr>
              <w:ind w:left="260"/>
              <w:spacing w:after="0"/>
              <w:rPr>
                <w:sz w:val="20"/>
                <w:szCs w:val="20"/>
                <w:color w:val="auto"/>
              </w:rPr>
            </w:pPr>
            <w:r>
              <w:rPr>
                <w:rFonts w:ascii="Arial" w:cs="Arial" w:eastAsia="Arial" w:hAnsi="Arial"/>
                <w:sz w:val="13"/>
                <w:szCs w:val="13"/>
                <w:color w:val="auto"/>
              </w:rPr>
              <w:t>BCO Technologies Plc Unapproved Share Option Scheme, filed as an exhibit to the Company’s Registration Statement on Form S-8 (File No. 333-50092) as filed</w:t>
            </w:r>
          </w:p>
        </w:tc>
      </w:tr>
      <w:tr>
        <w:trPr>
          <w:trHeight w:val="157"/>
        </w:trPr>
        <w:tc>
          <w:tcPr>
            <w:tcW w:w="1860" w:type="dxa"/>
            <w:vAlign w:val="bottom"/>
          </w:tcPr>
          <w:p>
            <w:pPr>
              <w:spacing w:after="0"/>
              <w:rPr>
                <w:sz w:val="13"/>
                <w:szCs w:val="13"/>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with the Commission on November 16, 2000 and incorporated herein by reference.</w:t>
            </w:r>
          </w:p>
        </w:tc>
      </w:tr>
      <w:tr>
        <w:trPr>
          <w:trHeight w:val="157"/>
        </w:trPr>
        <w:tc>
          <w:tcPr>
            <w:tcW w:w="1860" w:type="dxa"/>
            <w:vAlign w:val="bottom"/>
          </w:tcPr>
          <w:p>
            <w:pPr>
              <w:jc w:val="right"/>
              <w:ind w:right="194"/>
              <w:spacing w:after="0"/>
              <w:rPr>
                <w:sz w:val="20"/>
                <w:szCs w:val="20"/>
                <w:color w:val="auto"/>
              </w:rPr>
            </w:pPr>
            <w:r>
              <w:rPr>
                <w:rFonts w:ascii="Arial" w:cs="Arial" w:eastAsia="Arial" w:hAnsi="Arial"/>
                <w:sz w:val="13"/>
                <w:szCs w:val="13"/>
                <w:color w:val="auto"/>
              </w:rPr>
              <w:t>10.17</w:t>
            </w:r>
          </w:p>
        </w:tc>
        <w:tc>
          <w:tcPr>
            <w:tcW w:w="9600" w:type="dxa"/>
            <w:vAlign w:val="bottom"/>
          </w:tcPr>
          <w:p>
            <w:pPr>
              <w:ind w:left="260"/>
              <w:spacing w:after="0"/>
              <w:rPr>
                <w:sz w:val="20"/>
                <w:szCs w:val="20"/>
                <w:color w:val="auto"/>
              </w:rPr>
            </w:pPr>
            <w:r>
              <w:rPr>
                <w:rFonts w:ascii="Arial" w:cs="Arial" w:eastAsia="Arial" w:hAnsi="Arial"/>
                <w:sz w:val="13"/>
                <w:szCs w:val="13"/>
                <w:color w:val="auto"/>
              </w:rPr>
              <w:t>BCO Technologies Plc Approved Share Option Scheme, filed as an exhibit to the Company’s Registration Statement on Form S-8 (File No. 333-50092) as filed</w:t>
            </w:r>
          </w:p>
        </w:tc>
      </w:tr>
      <w:tr>
        <w:trPr>
          <w:trHeight w:val="165"/>
        </w:trPr>
        <w:tc>
          <w:tcPr>
            <w:tcW w:w="1860" w:type="dxa"/>
            <w:vAlign w:val="bottom"/>
          </w:tcPr>
          <w:p>
            <w:pPr>
              <w:spacing w:after="0"/>
              <w:rPr>
                <w:sz w:val="14"/>
                <w:szCs w:val="14"/>
                <w:color w:val="auto"/>
              </w:rPr>
            </w:pPr>
          </w:p>
        </w:tc>
        <w:tc>
          <w:tcPr>
            <w:tcW w:w="9600" w:type="dxa"/>
            <w:vAlign w:val="bottom"/>
          </w:tcPr>
          <w:p>
            <w:pPr>
              <w:ind w:left="260"/>
              <w:spacing w:after="0"/>
              <w:rPr>
                <w:sz w:val="20"/>
                <w:szCs w:val="20"/>
                <w:color w:val="auto"/>
              </w:rPr>
            </w:pPr>
            <w:r>
              <w:rPr>
                <w:rFonts w:ascii="Arial" w:cs="Arial" w:eastAsia="Arial" w:hAnsi="Arial"/>
                <w:sz w:val="13"/>
                <w:szCs w:val="13"/>
                <w:color w:val="auto"/>
              </w:rPr>
              <w:t>with the Commission on November 16, 2000 and incorporated herein by reference.</w:t>
            </w:r>
          </w:p>
        </w:tc>
      </w:tr>
      <w:tr>
        <w:trPr>
          <w:trHeight w:val="163"/>
        </w:trPr>
        <w:tc>
          <w:tcPr>
            <w:tcW w:w="1860" w:type="dxa"/>
            <w:vAlign w:val="bottom"/>
            <w:tcBorders>
              <w:bottom w:val="single" w:sz="8" w:color="808080"/>
            </w:tcBorders>
          </w:tcPr>
          <w:p>
            <w:pPr>
              <w:spacing w:after="0"/>
              <w:rPr>
                <w:sz w:val="14"/>
                <w:szCs w:val="14"/>
                <w:color w:val="auto"/>
              </w:rPr>
            </w:pPr>
          </w:p>
        </w:tc>
        <w:tc>
          <w:tcPr>
            <w:tcW w:w="9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type w:val="continuous"/>
        </w:sectPr>
      </w:pPr>
    </w:p>
    <w:bookmarkStart w:id="102" w:name="page103"/>
    <w:bookmarkEnd w:id="102"/>
    <w:p>
      <w:pPr>
        <w:ind w:left="1020"/>
        <w:spacing w:after="0"/>
        <w:tabs>
          <w:tab w:leader="none" w:pos="6080"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10.18</w:t>
            </w:r>
          </w:p>
        </w:tc>
        <w:tc>
          <w:tcPr>
            <w:tcW w:w="9660" w:type="dxa"/>
            <w:vAlign w:val="bottom"/>
          </w:tcPr>
          <w:p>
            <w:pPr>
              <w:ind w:left="260"/>
              <w:spacing w:after="0"/>
              <w:rPr>
                <w:sz w:val="20"/>
                <w:szCs w:val="20"/>
                <w:color w:val="auto"/>
              </w:rPr>
            </w:pPr>
            <w:r>
              <w:rPr>
                <w:rFonts w:ascii="Arial" w:cs="Arial" w:eastAsia="Arial" w:hAnsi="Arial"/>
                <w:sz w:val="13"/>
                <w:szCs w:val="13"/>
                <w:color w:val="auto"/>
              </w:rPr>
              <w:t>ChipLogic, Inc. Amended and Restated 1998 Stock Plan, filed as an exhibit to the Company’s Registration Statement on Form S-8 (File No. 333-53314) as filed</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with the Commission on January 5, 2001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10.19</w:t>
            </w:r>
          </w:p>
        </w:tc>
        <w:tc>
          <w:tcPr>
            <w:tcW w:w="9660" w:type="dxa"/>
            <w:vAlign w:val="bottom"/>
          </w:tcPr>
          <w:p>
            <w:pPr>
              <w:ind w:left="260"/>
              <w:spacing w:after="0"/>
              <w:rPr>
                <w:sz w:val="20"/>
                <w:szCs w:val="20"/>
                <w:color w:val="auto"/>
              </w:rPr>
            </w:pPr>
            <w:r>
              <w:rPr>
                <w:rFonts w:ascii="Arial" w:cs="Arial" w:eastAsia="Arial" w:hAnsi="Arial"/>
                <w:sz w:val="13"/>
                <w:szCs w:val="13"/>
                <w:color w:val="auto"/>
              </w:rPr>
              <w:t>Staccato Systems, Inc. 1998 Stock Plan, filed as an exhibit to the Company’s Registration Statement on Form S-8 (File No. 333-53828) as filed with the</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Commission on January 17, 2001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10.20</w:t>
            </w:r>
          </w:p>
        </w:tc>
        <w:tc>
          <w:tcPr>
            <w:tcW w:w="9660" w:type="dxa"/>
            <w:vAlign w:val="bottom"/>
          </w:tcPr>
          <w:p>
            <w:pPr>
              <w:ind w:left="260"/>
              <w:spacing w:after="0"/>
              <w:rPr>
                <w:sz w:val="20"/>
                <w:szCs w:val="20"/>
                <w:color w:val="auto"/>
              </w:rPr>
            </w:pPr>
            <w:r>
              <w:rPr>
                <w:rFonts w:ascii="Arial" w:cs="Arial" w:eastAsia="Arial" w:hAnsi="Arial"/>
                <w:sz w:val="13"/>
                <w:szCs w:val="13"/>
                <w:color w:val="auto"/>
              </w:rPr>
              <w:t>Various individual stock restriction and similar agreements between the registrant and employees thereof relating to ChipLogic, Inc., filed as an exhibit to the</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Company’s Registration Statement on Form S-8 (File No. 333-57444) as filed with the Commission on March 22, 2001, as amended by Amendment No. 1 filed as</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an exhibit to the Company’s Post-Effective Amendment to Registration Statement on Form S-8 (File No. 333-57444) as filed with the Commission on March 23,</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2001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*10.21</w:t>
            </w:r>
          </w:p>
        </w:tc>
        <w:tc>
          <w:tcPr>
            <w:tcW w:w="9660" w:type="dxa"/>
            <w:vAlign w:val="bottom"/>
          </w:tcPr>
          <w:p>
            <w:pPr>
              <w:ind w:left="260"/>
              <w:spacing w:after="0"/>
              <w:rPr>
                <w:sz w:val="20"/>
                <w:szCs w:val="20"/>
                <w:color w:val="auto"/>
              </w:rPr>
            </w:pPr>
            <w:r>
              <w:rPr>
                <w:rFonts w:ascii="Arial" w:cs="Arial" w:eastAsia="Arial" w:hAnsi="Arial"/>
                <w:sz w:val="13"/>
                <w:szCs w:val="13"/>
                <w:color w:val="auto"/>
                <w:w w:val="99"/>
              </w:rPr>
              <w:t>Amended and Restated Employment Agreement between Jerald G. Fishman and Analog Devices, Inc., dated January 14, 2010, filed as an exhibit to the Company’s</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Current Report on Form 8-K (File No. 1-7819) as filed with the Commission on January 19, 2010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*10.22</w:t>
            </w:r>
          </w:p>
        </w:tc>
        <w:tc>
          <w:tcPr>
            <w:tcW w:w="9660" w:type="dxa"/>
            <w:vAlign w:val="bottom"/>
          </w:tcPr>
          <w:p>
            <w:pPr>
              <w:ind w:left="260"/>
              <w:spacing w:after="0"/>
              <w:rPr>
                <w:sz w:val="20"/>
                <w:szCs w:val="20"/>
                <w:color w:val="auto"/>
              </w:rPr>
            </w:pPr>
            <w:r>
              <w:rPr>
                <w:rFonts w:ascii="Arial" w:cs="Arial" w:eastAsia="Arial" w:hAnsi="Arial"/>
                <w:sz w:val="13"/>
                <w:szCs w:val="13"/>
                <w:color w:val="auto"/>
              </w:rPr>
              <w:t>Executive Retention Agreement dated October 22, 2007 between Jerald G. Fishman and Analog Devices, Inc., filed as an exhibit to the Company’s Current Report</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on Form 8-K (File No. 1-7819) as filed with the Commission on October 26, 2007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*10.23</w:t>
            </w:r>
          </w:p>
        </w:tc>
        <w:tc>
          <w:tcPr>
            <w:tcW w:w="9660" w:type="dxa"/>
            <w:vAlign w:val="bottom"/>
          </w:tcPr>
          <w:p>
            <w:pPr>
              <w:ind w:left="260"/>
              <w:spacing w:after="0"/>
              <w:rPr>
                <w:sz w:val="20"/>
                <w:szCs w:val="20"/>
                <w:color w:val="auto"/>
              </w:rPr>
            </w:pPr>
            <w:r>
              <w:rPr>
                <w:rFonts w:ascii="Arial" w:cs="Arial" w:eastAsia="Arial" w:hAnsi="Arial"/>
                <w:sz w:val="13"/>
                <w:szCs w:val="13"/>
                <w:color w:val="auto"/>
              </w:rPr>
              <w:t>Amendment to Long-Term Retention Agreement between Jerald G. Fishman and Analog Devices, Inc., filed as exhibit 10.1 to the Company’s Current Report on</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Form 8-K (File No. 1-7819) as filed with the Commission on January 19, 2010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*10.24</w:t>
            </w:r>
          </w:p>
        </w:tc>
        <w:tc>
          <w:tcPr>
            <w:tcW w:w="9660" w:type="dxa"/>
            <w:vAlign w:val="bottom"/>
          </w:tcPr>
          <w:p>
            <w:pPr>
              <w:ind w:left="260"/>
              <w:spacing w:after="0"/>
              <w:rPr>
                <w:sz w:val="20"/>
                <w:szCs w:val="20"/>
                <w:color w:val="auto"/>
              </w:rPr>
            </w:pPr>
            <w:r>
              <w:rPr>
                <w:rFonts w:ascii="Arial" w:cs="Arial" w:eastAsia="Arial" w:hAnsi="Arial"/>
                <w:sz w:val="13"/>
                <w:szCs w:val="13"/>
                <w:color w:val="auto"/>
              </w:rPr>
              <w:t>Letter Agreement between Analog Devices Inc. and Jerald G. Fishman dated June 21, 2000 relating to acceleration of stock options upon the occurrence of certain</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events, filed as an exhibit to the Company’s Annual Report on Form 10-K for the fiscal year ended October 28, 2000 (File No. 1-7819) as filed with the</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Commission on January 26, 2001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*10.25</w:t>
            </w:r>
          </w:p>
        </w:tc>
        <w:tc>
          <w:tcPr>
            <w:tcW w:w="9660" w:type="dxa"/>
            <w:vAlign w:val="bottom"/>
          </w:tcPr>
          <w:p>
            <w:pPr>
              <w:ind w:left="260"/>
              <w:spacing w:after="0"/>
              <w:rPr>
                <w:sz w:val="20"/>
                <w:szCs w:val="20"/>
                <w:color w:val="auto"/>
              </w:rPr>
            </w:pPr>
            <w:r>
              <w:rPr>
                <w:rFonts w:ascii="Arial" w:cs="Arial" w:eastAsia="Arial" w:hAnsi="Arial"/>
                <w:sz w:val="13"/>
                <w:szCs w:val="13"/>
                <w:color w:val="auto"/>
              </w:rPr>
              <w:t>Amendment dated as of October 22, 2007 to the Employee Retention Agreement dated as of January 16, 1989 between Jerald G. Fishman and Analog Devices,</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Inc., filed as an exhibit to the Company’s Current Report on Form 8-K (File No. 1-7819) as filed with the Commission on October 26, 2007 and incorporated herein</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*10.26</w:t>
            </w:r>
          </w:p>
        </w:tc>
        <w:tc>
          <w:tcPr>
            <w:tcW w:w="9660" w:type="dxa"/>
            <w:vAlign w:val="bottom"/>
          </w:tcPr>
          <w:p>
            <w:pPr>
              <w:ind w:left="260"/>
              <w:spacing w:after="0"/>
              <w:rPr>
                <w:sz w:val="20"/>
                <w:szCs w:val="20"/>
                <w:color w:val="auto"/>
              </w:rPr>
            </w:pPr>
            <w:r>
              <w:rPr>
                <w:rFonts w:ascii="Arial" w:cs="Arial" w:eastAsia="Arial" w:hAnsi="Arial"/>
                <w:sz w:val="13"/>
                <w:szCs w:val="13"/>
                <w:color w:val="auto"/>
              </w:rPr>
              <w:t>2012 Executive Performance Incentive Plan, filed as exhibit 10.1 to the Company’s Current Report on Form 8-K (File No. 1-7819), filed with the Commission on</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September 16, 2011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*10.27</w:t>
            </w:r>
          </w:p>
        </w:tc>
        <w:tc>
          <w:tcPr>
            <w:tcW w:w="9660" w:type="dxa"/>
            <w:vAlign w:val="bottom"/>
          </w:tcPr>
          <w:p>
            <w:pPr>
              <w:ind w:left="260"/>
              <w:spacing w:after="0"/>
              <w:rPr>
                <w:sz w:val="20"/>
                <w:szCs w:val="20"/>
                <w:color w:val="auto"/>
              </w:rPr>
            </w:pPr>
            <w:r>
              <w:rPr>
                <w:rFonts w:ascii="Arial" w:cs="Arial" w:eastAsia="Arial" w:hAnsi="Arial"/>
                <w:sz w:val="13"/>
                <w:szCs w:val="13"/>
                <w:color w:val="auto"/>
              </w:rPr>
              <w:t>2011 Executive Performance Incentive Plan, filed as exhibit 10.1 to the Company’s Current Report on Form 8-K (File No. 1-7819), filed with the Commission on</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November 4, 2010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*10.28</w:t>
            </w:r>
          </w:p>
        </w:tc>
        <w:tc>
          <w:tcPr>
            <w:tcW w:w="9660" w:type="dxa"/>
            <w:vAlign w:val="bottom"/>
          </w:tcPr>
          <w:p>
            <w:pPr>
              <w:ind w:left="260"/>
              <w:spacing w:after="0"/>
              <w:rPr>
                <w:sz w:val="20"/>
                <w:szCs w:val="20"/>
                <w:color w:val="auto"/>
              </w:rPr>
            </w:pPr>
            <w:r>
              <w:rPr>
                <w:rFonts w:ascii="Arial" w:cs="Arial" w:eastAsia="Arial" w:hAnsi="Arial"/>
                <w:sz w:val="13"/>
                <w:szCs w:val="13"/>
                <w:color w:val="auto"/>
              </w:rPr>
              <w:t>Form of Employee Retention Agreement, as amended and restated, filed as exhibit 10.27 to the Company’s Annual Report on Form 10-K for the fiscal year ended</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*10.29</w:t>
            </w:r>
          </w:p>
        </w:tc>
        <w:tc>
          <w:tcPr>
            <w:tcW w:w="9660" w:type="dxa"/>
            <w:vAlign w:val="bottom"/>
          </w:tcPr>
          <w:p>
            <w:pPr>
              <w:ind w:left="260"/>
              <w:spacing w:after="0"/>
              <w:rPr>
                <w:sz w:val="20"/>
                <w:szCs w:val="20"/>
                <w:color w:val="auto"/>
              </w:rPr>
            </w:pPr>
            <w:r>
              <w:rPr>
                <w:rFonts w:ascii="Arial" w:cs="Arial" w:eastAsia="Arial" w:hAnsi="Arial"/>
                <w:sz w:val="13"/>
                <w:szCs w:val="13"/>
                <w:color w:val="auto"/>
              </w:rPr>
              <w:t>Form of Amendment to Employee Retention Agreement, incorporated herein by reference to exhibit 10.3 of the Company’s Current Report on Form 8-K filed with</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the Securities and Exchange Commission on December 8, 2008 (File No. 1-7819).</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*10.30</w:t>
            </w:r>
          </w:p>
        </w:tc>
        <w:tc>
          <w:tcPr>
            <w:tcW w:w="9660" w:type="dxa"/>
            <w:vAlign w:val="bottom"/>
          </w:tcPr>
          <w:p>
            <w:pPr>
              <w:ind w:left="260"/>
              <w:spacing w:after="0"/>
              <w:rPr>
                <w:sz w:val="20"/>
                <w:szCs w:val="20"/>
                <w:color w:val="auto"/>
              </w:rPr>
            </w:pPr>
            <w:r>
              <w:rPr>
                <w:rFonts w:ascii="Arial" w:cs="Arial" w:eastAsia="Arial" w:hAnsi="Arial"/>
                <w:sz w:val="13"/>
                <w:szCs w:val="13"/>
                <w:color w:val="auto"/>
              </w:rPr>
              <w:t>Employee Change in Control Severance Policy of Analog Devices, Inc., as amended, filed as an exhibit to the Company’s Annual Report on Form 10-K for the</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fiscal year ended October 30, 1999 (File No. 1-7819) as filed with the Commission on January 28, 2000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*10.31</w:t>
            </w:r>
          </w:p>
        </w:tc>
        <w:tc>
          <w:tcPr>
            <w:tcW w:w="9660" w:type="dxa"/>
            <w:vAlign w:val="bottom"/>
          </w:tcPr>
          <w:p>
            <w:pPr>
              <w:ind w:left="260"/>
              <w:spacing w:after="0"/>
              <w:rPr>
                <w:sz w:val="20"/>
                <w:szCs w:val="20"/>
                <w:color w:val="auto"/>
              </w:rPr>
            </w:pPr>
            <w:r>
              <w:rPr>
                <w:rFonts w:ascii="Arial" w:cs="Arial" w:eastAsia="Arial" w:hAnsi="Arial"/>
                <w:sz w:val="13"/>
                <w:szCs w:val="13"/>
                <w:color w:val="auto"/>
              </w:rPr>
              <w:t>Senior Management Change in Control Severance Policy of Analog Devices, Inc., as amended, filed as an exhibit to the Company’s Annual Report on Form 10-K</w:t>
            </w:r>
          </w:p>
        </w:tc>
      </w:tr>
      <w:tr>
        <w:trPr>
          <w:trHeight w:val="157"/>
        </w:trPr>
        <w:tc>
          <w:tcPr>
            <w:tcW w:w="1800" w:type="dxa"/>
            <w:vAlign w:val="bottom"/>
          </w:tcPr>
          <w:p>
            <w:pPr>
              <w:spacing w:after="0"/>
              <w:rPr>
                <w:sz w:val="13"/>
                <w:szCs w:val="13"/>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for the fiscal year ended October 30, 1999 (File No. 1-7819) as filed with the Commission on January 28, 2000 and incorporated herein by reference.</w:t>
            </w:r>
          </w:p>
        </w:tc>
      </w:tr>
      <w:tr>
        <w:trPr>
          <w:trHeight w:val="157"/>
        </w:trPr>
        <w:tc>
          <w:tcPr>
            <w:tcW w:w="1800" w:type="dxa"/>
            <w:vAlign w:val="bottom"/>
          </w:tcPr>
          <w:p>
            <w:pPr>
              <w:jc w:val="right"/>
              <w:ind w:right="194"/>
              <w:spacing w:after="0"/>
              <w:rPr>
                <w:sz w:val="20"/>
                <w:szCs w:val="20"/>
                <w:color w:val="auto"/>
              </w:rPr>
            </w:pPr>
            <w:r>
              <w:rPr>
                <w:rFonts w:ascii="Arial" w:cs="Arial" w:eastAsia="Arial" w:hAnsi="Arial"/>
                <w:sz w:val="13"/>
                <w:szCs w:val="13"/>
                <w:color w:val="auto"/>
              </w:rPr>
              <w:t>*10.32</w:t>
            </w:r>
          </w:p>
        </w:tc>
        <w:tc>
          <w:tcPr>
            <w:tcW w:w="9660" w:type="dxa"/>
            <w:vAlign w:val="bottom"/>
          </w:tcPr>
          <w:p>
            <w:pPr>
              <w:ind w:left="260"/>
              <w:spacing w:after="0"/>
              <w:rPr>
                <w:sz w:val="20"/>
                <w:szCs w:val="20"/>
                <w:color w:val="auto"/>
              </w:rPr>
            </w:pPr>
            <w:r>
              <w:rPr>
                <w:rFonts w:ascii="Arial" w:cs="Arial" w:eastAsia="Arial" w:hAnsi="Arial"/>
                <w:sz w:val="13"/>
                <w:szCs w:val="13"/>
                <w:color w:val="auto"/>
              </w:rPr>
              <w:t>Offer Letter for David A. Zinsner, dated November 18, 2008, filed as exhibit 10.1 to the Company’s Quarterly Report on Form 10-Q for the quarter ended January</w:t>
            </w:r>
          </w:p>
        </w:tc>
      </w:tr>
      <w:tr>
        <w:trPr>
          <w:trHeight w:val="165"/>
        </w:trPr>
        <w:tc>
          <w:tcPr>
            <w:tcW w:w="1800" w:type="dxa"/>
            <w:vAlign w:val="bottom"/>
          </w:tcPr>
          <w:p>
            <w:pPr>
              <w:spacing w:after="0"/>
              <w:rPr>
                <w:sz w:val="14"/>
                <w:szCs w:val="14"/>
                <w:color w:val="auto"/>
              </w:rPr>
            </w:pPr>
          </w:p>
        </w:tc>
        <w:tc>
          <w:tcPr>
            <w:tcW w:w="9660" w:type="dxa"/>
            <w:vAlign w:val="bottom"/>
          </w:tcPr>
          <w:p>
            <w:pPr>
              <w:ind w:left="260"/>
              <w:spacing w:after="0"/>
              <w:rPr>
                <w:sz w:val="20"/>
                <w:szCs w:val="20"/>
                <w:color w:val="auto"/>
              </w:rPr>
            </w:pPr>
            <w:r>
              <w:rPr>
                <w:rFonts w:ascii="Arial" w:cs="Arial" w:eastAsia="Arial" w:hAnsi="Arial"/>
                <w:sz w:val="13"/>
                <w:szCs w:val="13"/>
                <w:color w:val="auto"/>
              </w:rPr>
              <w:t>31, 2009 (File No. 1-7819) as filed with the Commission on February 18, 2009 and incorporated herein by reference.</w:t>
            </w:r>
          </w:p>
        </w:tc>
      </w:tr>
      <w:tr>
        <w:trPr>
          <w:trHeight w:val="163"/>
        </w:trPr>
        <w:tc>
          <w:tcPr>
            <w:tcW w:w="1800" w:type="dxa"/>
            <w:vAlign w:val="bottom"/>
            <w:tcBorders>
              <w:bottom w:val="single" w:sz="8" w:color="808080"/>
            </w:tcBorders>
          </w:tcPr>
          <w:p>
            <w:pPr>
              <w:spacing w:after="0"/>
              <w:rPr>
                <w:sz w:val="14"/>
                <w:szCs w:val="14"/>
                <w:color w:val="auto"/>
              </w:rPr>
            </w:pPr>
          </w:p>
        </w:tc>
        <w:tc>
          <w:tcPr>
            <w:tcW w:w="9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25"/>
        </w:trPr>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Exhibit No.</w:t>
            </w:r>
          </w:p>
        </w:tc>
        <w:tc>
          <w:tcPr>
            <w:tcW w:w="200" w:type="dxa"/>
            <w:vAlign w:val="bottom"/>
          </w:tcPr>
          <w:p>
            <w:pPr>
              <w:spacing w:after="0"/>
              <w:rPr>
                <w:sz w:val="10"/>
                <w:szCs w:val="10"/>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Description</w:t>
            </w:r>
          </w:p>
        </w:tc>
      </w:tr>
      <w:tr>
        <w:trPr>
          <w:trHeight w:val="178"/>
        </w:trPr>
        <w:tc>
          <w:tcPr>
            <w:tcW w:w="1180" w:type="dxa"/>
            <w:vAlign w:val="bottom"/>
          </w:tcPr>
          <w:p>
            <w:pPr>
              <w:ind w:left="500"/>
              <w:spacing w:after="0"/>
              <w:rPr>
                <w:sz w:val="20"/>
                <w:szCs w:val="20"/>
                <w:color w:val="auto"/>
              </w:rPr>
            </w:pPr>
            <w:r>
              <w:rPr>
                <w:rFonts w:ascii="Arial" w:cs="Arial" w:eastAsia="Arial" w:hAnsi="Arial"/>
                <w:sz w:val="13"/>
                <w:szCs w:val="13"/>
                <w:color w:val="auto"/>
              </w:rPr>
              <w:t>*10.33</w:t>
            </w:r>
          </w:p>
        </w:tc>
        <w:tc>
          <w:tcPr>
            <w:tcW w:w="200" w:type="dxa"/>
            <w:vAlign w:val="bottom"/>
          </w:tcPr>
          <w:p>
            <w:pPr>
              <w:spacing w:after="0"/>
              <w:rPr>
                <w:sz w:val="15"/>
                <w:szCs w:val="15"/>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5"/>
              </w:rPr>
              <w:t>Form of Indemnification Agreement for Directors and Officers, filed as exhibit 10.30 to the Company’s Annual Report on Form 10-K for the fiscal year ended</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November 1, 2008 (File No. 1-7819) as filed with the Commission on November 25, 2008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10.34</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Amended and Restated Lease Agreement dated May 1, 1992 between Analog Devices, Inc. and the trustees of Everett Street Trust relating to the premises at 3</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Technology Way, Norwood, Massachusetts, filed as an exhibit to the Company’s Annual Report on Form 10-K for the fiscal year ended November 1, 1997 (File</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No. 1-7819) as filed with the Commission on January 28, 1998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10.35</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7"/>
              </w:rPr>
              <w:t>Guaranty dated as of May 1, 1994 between Analog Devices, Inc. and Metropolitan Life Insurance Company relating to the premises at 3 Technology Way,</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Norwood, Massachusetts, filed as an exhibit to the Company’s Annual Report on Form 10-K for the fiscal year ended October 30, 1999 (File No. 1-7819) as filed</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with the Commission on January 28, 2000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10.36</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Letter Agreement dated as of May 18, 1994 between Analog Devices, Inc. and Metropolitan Life Insurance Company relating to the premises at 3 Technology Way,</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Norwood, Massachusetts, filed as an exhibit to the Company’s Annual Report on Form 10-K for the fiscal year ended October 30, 1999 (File No. 1-7819) as filed</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with the Commission on January 28, 2000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10.37</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Reimbursement Agreement dated May 18, 1992 between Analog Devices, Inc. and the trustees of Everett Street Trust, filed as an exhibit to the Company’s Annual</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Report on Form 10-K for the fiscal year ended November 1, 1997 (File No. 1-7819) as filed with the Commission on January 28, 1998 and incorporated herein by</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10.38</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Lease Agreement dated November 14, 1997, as amended, between Analog Devices, Inc. and Liberty Property Limited Partnership, relating to premises located at</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7736 McCloud Road, Greensboro, North Carolina, filed as an exhibit to the Company’s Annual Report on Form 10-K for the fiscal year ended October 28, 2006</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(File No. 1-7819) as filed with the Commission on November 20, 2006 and incorporated herein by reference.</w:t>
            </w:r>
          </w:p>
        </w:tc>
      </w:tr>
      <w:tr>
        <w:trPr>
          <w:trHeight w:val="157"/>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10.39</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1"/>
              </w:rPr>
              <w:t>Fifth Amendment dated September 14, 2007 to Lease Agreement dated November 14, 1997, as amended, between Analog Devices, Inc. and Crown-Greensboro I,</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2"/>
              </w:rPr>
              <w:t>LLC (as successor to Liberty Property Limited Partnership), relating to premises located at 7736 McCloud Road, Greensboro, North Carolina, filed as an exhibit to</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3"/>
              </w:rPr>
              <w:t>the Company’s Annual Report on Form 10-K for the fiscal year ended November 3, 2007 (File No. 1-7819) as filed with the Commission on November 30, 2007</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and incorporated herein by reference.</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Computation of Consolidated Ratios of Earnings to Fixed Charges.</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Subsidiaries of the Company.</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Certification Pursuant to Rule 13a-14(a) and 15d-14(a) of the Exchange Act, as Adopted Pursuant to Section 302 of the Sarbanes-Oxley Act of 2002 (Chief</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Executive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†31.2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w w:val="96"/>
              </w:rPr>
              <w:t>Certification Pursuant to Rule 13a-14(a) and 15d-14(a) of the Exchange Act, as Adopted Pursuant to Section 302 of the Sarbanes-Oxley Act of 2002 (Chief</w:t>
            </w: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Financial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Certification Pursuant to 18 U.S.C. Section 1350 (Chief Executive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†32.2</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Certification Pursuant to 18 U.S.C. Section 1350 (Chief Financial Officer).</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INS</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Instance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SCH</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Schema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CAL</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Calculation Linkbase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LAB</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Labels Linkbase Document.</w:t>
            </w:r>
          </w:p>
        </w:tc>
      </w:tr>
      <w:tr>
        <w:trPr>
          <w:trHeight w:val="157"/>
        </w:trPr>
        <w:tc>
          <w:tcPr>
            <w:tcW w:w="1180" w:type="dxa"/>
            <w:vAlign w:val="bottom"/>
          </w:tcPr>
          <w:p>
            <w:pPr>
              <w:ind w:left="500"/>
              <w:spacing w:after="0"/>
              <w:rPr>
                <w:sz w:val="20"/>
                <w:szCs w:val="20"/>
                <w:color w:val="auto"/>
              </w:rPr>
            </w:pPr>
            <w:r>
              <w:rPr>
                <w:rFonts w:ascii="Arial" w:cs="Arial" w:eastAsia="Arial" w:hAnsi="Arial"/>
                <w:sz w:val="13"/>
                <w:szCs w:val="13"/>
                <w:color w:val="auto"/>
              </w:rPr>
              <w:t>101. PRE</w:t>
            </w:r>
          </w:p>
        </w:tc>
        <w:tc>
          <w:tcPr>
            <w:tcW w:w="200" w:type="dxa"/>
            <w:vAlign w:val="bottom"/>
          </w:tcPr>
          <w:p>
            <w:pPr>
              <w:spacing w:after="0"/>
              <w:rPr>
                <w:sz w:val="13"/>
                <w:szCs w:val="13"/>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Presentation Linkbase Document.</w:t>
            </w:r>
          </w:p>
        </w:tc>
      </w:tr>
      <w:tr>
        <w:trPr>
          <w:trHeight w:val="165"/>
        </w:trPr>
        <w:tc>
          <w:tcPr>
            <w:tcW w:w="1180" w:type="dxa"/>
            <w:vAlign w:val="bottom"/>
          </w:tcPr>
          <w:p>
            <w:pPr>
              <w:ind w:left="500"/>
              <w:spacing w:after="0"/>
              <w:rPr>
                <w:sz w:val="20"/>
                <w:szCs w:val="20"/>
                <w:color w:val="auto"/>
              </w:rPr>
            </w:pPr>
            <w:r>
              <w:rPr>
                <w:rFonts w:ascii="Arial" w:cs="Arial" w:eastAsia="Arial" w:hAnsi="Arial"/>
                <w:sz w:val="13"/>
                <w:szCs w:val="13"/>
                <w:color w:val="auto"/>
              </w:rPr>
              <w:t>101. DEF</w:t>
            </w:r>
          </w:p>
        </w:tc>
        <w:tc>
          <w:tcPr>
            <w:tcW w:w="200" w:type="dxa"/>
            <w:vAlign w:val="bottom"/>
          </w:tcPr>
          <w:p>
            <w:pPr>
              <w:spacing w:after="0"/>
              <w:rPr>
                <w:sz w:val="14"/>
                <w:szCs w:val="14"/>
                <w:color w:val="auto"/>
              </w:rPr>
            </w:pPr>
          </w:p>
        </w:tc>
        <w:tc>
          <w:tcPr>
            <w:tcW w:w="8600" w:type="dxa"/>
            <w:vAlign w:val="bottom"/>
          </w:tcPr>
          <w:p>
            <w:pPr>
              <w:spacing w:after="0"/>
              <w:rPr>
                <w:sz w:val="20"/>
                <w:szCs w:val="20"/>
                <w:color w:val="auto"/>
              </w:rPr>
            </w:pPr>
            <w:r>
              <w:rPr>
                <w:rFonts w:ascii="Arial" w:cs="Arial" w:eastAsia="Arial" w:hAnsi="Arial"/>
                <w:sz w:val="13"/>
                <w:szCs w:val="13"/>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220" w:hanging="213"/>
        <w:spacing w:after="0"/>
        <w:tabs>
          <w:tab w:leader="none" w:pos="2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220" w:hanging="213"/>
        <w:spacing w:after="0"/>
        <w:tabs>
          <w:tab w:leader="none" w:pos="2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Management contracts and compensatory plan or arrangements required to be filed as an Exhibit pursuant to Item 15(b)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2" w:right="1019" w:bottom="1440" w:gutter="0" w:footer="0" w:header="0"/>
        </w:sectPr>
      </w:pPr>
    </w:p>
    <w:bookmarkStart w:id="104" w:name="page105"/>
    <w:bookmarkEnd w:id="104"/>
    <w:p>
      <w:pPr>
        <w:ind w:firstLine="399"/>
        <w:spacing w:after="0" w:line="258" w:lineRule="auto"/>
        <w:rPr>
          <w:sz w:val="20"/>
          <w:szCs w:val="20"/>
          <w:color w:val="auto"/>
        </w:rPr>
      </w:pPr>
      <w:r>
        <w:rPr>
          <w:rFonts w:ascii="Arial" w:cs="Arial" w:eastAsia="Arial" w:hAnsi="Arial"/>
          <w:sz w:val="13"/>
          <w:szCs w:val="13"/>
          <w:color w:val="auto"/>
        </w:rPr>
        <w:t>Attached as Exhibit 101 to this report are the following formatted in XBRL (Extensible Business Reporting Language): (i) Consolidated Statements of Income for the years ended October 29, 2011, October 30, 2010 and October 31, 2009, (ii) Consolidated Balance Sheets at October 29, 2011 and October 30, 2010, (iii) Consolidated Statements of Shareholders’ Equity for the years ended October 29, 2011, October 30, 2010 and October 31, 2009, (iv) Consolidated Statements of Comprehensive Income for the years ended October 29, 2011, October 30, 2010 and October 31, 2009, (v) Consolidated Statements of Cash Flows for the years ended October 29, 2011, October 30, 2010 and October 31, 2009, (vi) Notes to Consolidated Financial Statements.</w:t>
      </w:r>
    </w:p>
    <w:p>
      <w:pPr>
        <w:sectPr>
          <w:pgSz w:w="11900" w:h="16838" w:orient="portrait"/>
          <w:cols w:equalWidth="0" w:num="1">
            <w:col w:w="9960"/>
          </w:cols>
          <w:pgMar w:left="900" w:top="730" w:right="10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10.10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ANALOG DEVICES,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2006 STOCK INCENTIVE PLAN</w:t>
      </w:r>
    </w:p>
    <w:p>
      <w:pPr>
        <w:spacing w:after="0" w:line="90" w:lineRule="exact"/>
        <w:rPr>
          <w:sz w:val="20"/>
          <w:szCs w:val="20"/>
          <w:color w:val="auto"/>
        </w:rPr>
      </w:pPr>
    </w:p>
    <w:p>
      <w:pPr>
        <w:ind w:left="121" w:hanging="121"/>
        <w:spacing w:after="0"/>
        <w:tabs>
          <w:tab w:leader="none" w:pos="121"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Purpose</w:t>
      </w:r>
    </w:p>
    <w:p>
      <w:pPr>
        <w:spacing w:after="0" w:line="86" w:lineRule="exact"/>
        <w:rPr>
          <w:sz w:val="20"/>
          <w:szCs w:val="20"/>
          <w:color w:val="auto"/>
        </w:rPr>
      </w:pPr>
    </w:p>
    <w:p>
      <w:pPr>
        <w:ind w:left="1" w:right="140" w:firstLine="161"/>
        <w:spacing w:after="0" w:line="285" w:lineRule="auto"/>
        <w:rPr>
          <w:sz w:val="20"/>
          <w:szCs w:val="20"/>
          <w:color w:val="auto"/>
        </w:rPr>
      </w:pPr>
      <w:r>
        <w:rPr>
          <w:rFonts w:ascii="Arial" w:cs="Arial" w:eastAsia="Arial" w:hAnsi="Arial"/>
          <w:sz w:val="12"/>
          <w:szCs w:val="12"/>
          <w:color w:val="auto"/>
        </w:rPr>
        <w:t>The purpose of this 2006 Stock Incentive Plan (the “Plan”) of Analog Devices, Inc., a Massachusetts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46" w:lineRule="exact"/>
        <w:rPr>
          <w:sz w:val="20"/>
          <w:szCs w:val="20"/>
          <w:color w:val="auto"/>
        </w:rPr>
      </w:pPr>
    </w:p>
    <w:p>
      <w:pPr>
        <w:ind w:left="121" w:hanging="121"/>
        <w:spacing w:after="0"/>
        <w:tabs>
          <w:tab w:leader="none" w:pos="121"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Eligibility</w:t>
      </w:r>
    </w:p>
    <w:p>
      <w:pPr>
        <w:spacing w:after="0" w:line="86" w:lineRule="exact"/>
        <w:rPr>
          <w:sz w:val="20"/>
          <w:szCs w:val="20"/>
          <w:color w:val="auto"/>
        </w:rPr>
      </w:pPr>
    </w:p>
    <w:p>
      <w:pPr>
        <w:ind w:left="1" w:right="220" w:firstLine="157"/>
        <w:spacing w:after="0" w:line="276" w:lineRule="auto"/>
        <w:rPr>
          <w:sz w:val="20"/>
          <w:szCs w:val="20"/>
          <w:color w:val="auto"/>
        </w:rPr>
      </w:pPr>
      <w:r>
        <w:rPr>
          <w:rFonts w:ascii="Arial" w:cs="Arial" w:eastAsia="Arial" w:hAnsi="Arial"/>
          <w:sz w:val="13"/>
          <w:szCs w:val="13"/>
          <w:color w:val="auto"/>
        </w:rPr>
        <w:t>All of the Company’s employees, officers, directors, consultants and advisors are eligible to receive options, stock appreciation rights, restricted stock, restricted stock units and other stock-based awards (each, an “Award”) under the Plan. Each person who receives an Award under the Plan is deemed a “Participant”.</w:t>
      </w:r>
    </w:p>
    <w:p>
      <w:pPr>
        <w:spacing w:after="0" w:line="49" w:lineRule="exact"/>
        <w:rPr>
          <w:sz w:val="20"/>
          <w:szCs w:val="20"/>
          <w:color w:val="auto"/>
        </w:rPr>
      </w:pPr>
    </w:p>
    <w:p>
      <w:pPr>
        <w:ind w:left="121" w:hanging="121"/>
        <w:spacing w:after="0"/>
        <w:tabs>
          <w:tab w:leader="none" w:pos="121"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Administration and Delegation</w:t>
      </w:r>
    </w:p>
    <w:p>
      <w:pPr>
        <w:spacing w:after="0" w:line="86" w:lineRule="exact"/>
        <w:rPr>
          <w:rFonts w:ascii="Arial" w:cs="Arial" w:eastAsia="Arial" w:hAnsi="Arial"/>
          <w:sz w:val="13"/>
          <w:szCs w:val="13"/>
          <w:color w:val="auto"/>
        </w:rPr>
      </w:pPr>
    </w:p>
    <w:p>
      <w:pPr>
        <w:ind w:left="1" w:right="100" w:firstLine="162"/>
        <w:spacing w:after="0" w:line="285" w:lineRule="auto"/>
        <w:tabs>
          <w:tab w:leader="none" w:pos="343" w:val="left"/>
        </w:tabs>
        <w:numPr>
          <w:ilvl w:val="1"/>
          <w:numId w:val="76"/>
        </w:numPr>
        <w:rPr>
          <w:rFonts w:ascii="Arial" w:cs="Arial" w:eastAsia="Arial" w:hAnsi="Arial"/>
          <w:sz w:val="12"/>
          <w:szCs w:val="12"/>
          <w:color w:val="auto"/>
        </w:rPr>
      </w:pPr>
      <w:r>
        <w:rPr>
          <w:rFonts w:ascii="Arial" w:cs="Arial" w:eastAsia="Arial" w:hAnsi="Arial"/>
          <w:sz w:val="12"/>
          <w:szCs w:val="12"/>
          <w:u w:val="single" w:color="auto"/>
          <w:color w:val="auto"/>
        </w:rPr>
        <w:t>Administration by Board of Directors</w:t>
      </w:r>
      <w:r>
        <w:rPr>
          <w:rFonts w:ascii="Arial" w:cs="Arial" w:eastAsia="Arial" w:hAnsi="Arial"/>
          <w:sz w:val="12"/>
          <w:szCs w:val="12"/>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45" w:lineRule="exact"/>
        <w:rPr>
          <w:rFonts w:ascii="Arial" w:cs="Arial" w:eastAsia="Arial" w:hAnsi="Arial"/>
          <w:sz w:val="12"/>
          <w:szCs w:val="12"/>
          <w:color w:val="auto"/>
        </w:rPr>
      </w:pPr>
    </w:p>
    <w:p>
      <w:pPr>
        <w:ind w:left="1" w:right="20" w:firstLine="162"/>
        <w:spacing w:after="0" w:line="276" w:lineRule="auto"/>
        <w:tabs>
          <w:tab w:leader="none" w:pos="351" w:val="left"/>
        </w:tabs>
        <w:numPr>
          <w:ilvl w:val="1"/>
          <w:numId w:val="76"/>
        </w:numPr>
        <w:rPr>
          <w:rFonts w:ascii="Arial" w:cs="Arial" w:eastAsia="Arial" w:hAnsi="Arial"/>
          <w:sz w:val="13"/>
          <w:szCs w:val="13"/>
          <w:color w:val="auto"/>
        </w:rPr>
      </w:pPr>
      <w:r>
        <w:rPr>
          <w:rFonts w:ascii="Arial" w:cs="Arial" w:eastAsia="Arial" w:hAnsi="Arial"/>
          <w:sz w:val="13"/>
          <w:szCs w:val="13"/>
          <w:u w:val="single" w:color="auto"/>
          <w:color w:val="auto"/>
        </w:rPr>
        <w:t>Appointment of Committees</w:t>
      </w:r>
      <w:r>
        <w:rPr>
          <w:rFonts w:ascii="Arial" w:cs="Arial" w:eastAsia="Arial" w:hAnsi="Arial"/>
          <w:sz w:val="13"/>
          <w:szCs w:val="13"/>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06" w:name="page107"/>
    <w:bookmarkEnd w:id="106"/>
    <w:p>
      <w:pPr>
        <w:ind w:left="1"/>
        <w:spacing w:after="0"/>
        <w:rPr>
          <w:sz w:val="20"/>
          <w:szCs w:val="20"/>
          <w:color w:val="auto"/>
        </w:rPr>
      </w:pPr>
      <w:r>
        <w:rPr>
          <w:rFonts w:ascii="Arial" w:cs="Arial" w:eastAsia="Arial" w:hAnsi="Arial"/>
          <w:sz w:val="13"/>
          <w:szCs w:val="13"/>
          <w:color w:val="auto"/>
        </w:rPr>
        <w:t>extent that the Board’s powers or authority under the Plan have been delegated to such Committee or officers.</w:t>
      </w:r>
    </w:p>
    <w:p>
      <w:pPr>
        <w:spacing w:after="0" w:line="86" w:lineRule="exact"/>
        <w:rPr>
          <w:sz w:val="20"/>
          <w:szCs w:val="20"/>
          <w:color w:val="auto"/>
        </w:rPr>
      </w:pPr>
    </w:p>
    <w:p>
      <w:pPr>
        <w:ind w:left="1" w:right="40" w:firstLine="162"/>
        <w:spacing w:after="0" w:line="258" w:lineRule="auto"/>
        <w:tabs>
          <w:tab w:leader="none" w:pos="343" w:val="left"/>
        </w:tabs>
        <w:numPr>
          <w:ilvl w:val="1"/>
          <w:numId w:val="77"/>
        </w:numPr>
        <w:rPr>
          <w:rFonts w:ascii="Arial" w:cs="Arial" w:eastAsia="Arial" w:hAnsi="Arial"/>
          <w:sz w:val="13"/>
          <w:szCs w:val="13"/>
          <w:color w:val="auto"/>
        </w:rPr>
      </w:pPr>
      <w:r>
        <w:rPr>
          <w:rFonts w:ascii="Arial" w:cs="Arial" w:eastAsia="Arial" w:hAnsi="Arial"/>
          <w:sz w:val="13"/>
          <w:szCs w:val="13"/>
          <w:u w:val="single" w:color="auto"/>
          <w:color w:val="auto"/>
        </w:rPr>
        <w:t>Delegation to Officers</w:t>
      </w:r>
      <w:r>
        <w:rPr>
          <w:rFonts w:ascii="Arial" w:cs="Arial" w:eastAsia="Arial" w:hAnsi="Arial"/>
          <w:sz w:val="13"/>
          <w:szCs w:val="13"/>
          <w:color w:val="auto"/>
        </w:rPr>
        <w:t xml:space="preserve">.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Board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61" w:lineRule="exact"/>
        <w:rPr>
          <w:rFonts w:ascii="Arial" w:cs="Arial" w:eastAsia="Arial" w:hAnsi="Arial"/>
          <w:sz w:val="13"/>
          <w:szCs w:val="13"/>
          <w:color w:val="auto"/>
        </w:rPr>
      </w:pPr>
    </w:p>
    <w:p>
      <w:pPr>
        <w:ind w:left="121" w:hanging="121"/>
        <w:spacing w:after="0"/>
        <w:tabs>
          <w:tab w:leader="none" w:pos="121"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Stock Available for Awards</w:t>
      </w:r>
    </w:p>
    <w:p>
      <w:pPr>
        <w:spacing w:after="0" w:line="84" w:lineRule="exact"/>
        <w:rPr>
          <w:rFonts w:ascii="Arial" w:cs="Arial" w:eastAsia="Arial" w:hAnsi="Arial"/>
          <w:sz w:val="13"/>
          <w:szCs w:val="13"/>
          <w:color w:val="auto"/>
        </w:rPr>
      </w:pPr>
    </w:p>
    <w:p>
      <w:pPr>
        <w:ind w:left="1" w:firstLine="162"/>
        <w:spacing w:after="0" w:line="290" w:lineRule="auto"/>
        <w:tabs>
          <w:tab w:leader="none" w:pos="343" w:val="left"/>
        </w:tabs>
        <w:numPr>
          <w:ilvl w:val="1"/>
          <w:numId w:val="78"/>
        </w:numPr>
        <w:rPr>
          <w:rFonts w:ascii="Arial" w:cs="Arial" w:eastAsia="Arial" w:hAnsi="Arial"/>
          <w:sz w:val="12"/>
          <w:szCs w:val="12"/>
          <w:color w:val="auto"/>
        </w:rPr>
      </w:pPr>
      <w:r>
        <w:rPr>
          <w:rFonts w:ascii="Arial" w:cs="Arial" w:eastAsia="Arial" w:hAnsi="Arial"/>
          <w:sz w:val="12"/>
          <w:szCs w:val="12"/>
          <w:u w:val="single" w:color="auto"/>
          <w:color w:val="auto"/>
        </w:rPr>
        <w:t>Number of Shares</w:t>
      </w:r>
      <w:r>
        <w:rPr>
          <w:rFonts w:ascii="Arial" w:cs="Arial" w:eastAsia="Arial" w:hAnsi="Arial"/>
          <w:sz w:val="12"/>
          <w:szCs w:val="12"/>
          <w:color w:val="auto"/>
        </w:rPr>
        <w:t>. Subject to adjustment under Section 11, Awards may be made under the Plan for up to 15,000,000 shares of common stock, $.16</w:t>
      </w:r>
      <w:r>
        <w:rPr>
          <w:rFonts w:ascii="Arial" w:cs="Arial" w:eastAsia="Arial" w:hAnsi="Arial"/>
          <w:sz w:val="10"/>
          <w:szCs w:val="10"/>
          <w:color w:val="auto"/>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xml:space="preserve"> par value per share, of the Company (the “Common Stock”), plus any shares that are subject to outstanding options under the 1998 Stock Option and 2001 Broad-Based Stock Option Plan (collectively, the “Prior Plans”) as of the adoption of this Plan by the Board but are not issued under the Prior Plans as a result, and to the extent, of the termination or expiration of the applicable option prior to the exercise thereof. From and after the Effective Date, the Company shall issue no further options under the Prior Plans, and such Prior Plans shall terminate, except to the extent they apply to options outstanding under the Prior Plans as of the Effective Date.</w:t>
      </w:r>
    </w:p>
    <w:p>
      <w:pPr>
        <w:spacing w:after="0" w:line="43" w:lineRule="exact"/>
        <w:rPr>
          <w:sz w:val="20"/>
          <w:szCs w:val="20"/>
          <w:color w:val="auto"/>
        </w:rPr>
      </w:pPr>
    </w:p>
    <w:p>
      <w:pPr>
        <w:ind w:left="1" w:right="40" w:firstLine="164"/>
        <w:spacing w:after="0" w:line="256" w:lineRule="auto"/>
        <w:rPr>
          <w:sz w:val="20"/>
          <w:szCs w:val="20"/>
          <w:color w:val="auto"/>
        </w:rPr>
      </w:pPr>
      <w:r>
        <w:rPr>
          <w:rFonts w:ascii="Arial" w:cs="Arial" w:eastAsia="Arial" w:hAnsi="Arial"/>
          <w:sz w:val="13"/>
          <w:szCs w:val="13"/>
          <w:color w:val="auto"/>
        </w:rPr>
        <w:t>If any Award issued under this Plan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is settled in cash or otherwise results in any Common Stock not being issued, the unused Common Stock covered by such Award shall again be available for the grant of Awards under the Plan. However, in the case of Incentive Stock Options (as hereinafter defined), the foregoing provisions shall be subject to any limitations under the Code. Notwithstanding anything to the contrary herein,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and (iii) shares subject to options surrendered for cancellation and exchange as part of a shareholder-approved option exchange program that are not awarded under new Options issued in such approved option exchange. Shares issued under the Plan may consist in whole or in part of authorized but unissued shares or treasury shares.</w:t>
      </w:r>
    </w:p>
    <w:p>
      <w:pPr>
        <w:spacing w:after="0" w:line="63" w:lineRule="exact"/>
        <w:rPr>
          <w:sz w:val="20"/>
          <w:szCs w:val="20"/>
          <w:color w:val="auto"/>
        </w:rPr>
      </w:pPr>
    </w:p>
    <w:p>
      <w:pPr>
        <w:ind w:left="1" w:right="120" w:firstLine="162"/>
        <w:spacing w:after="0" w:line="264" w:lineRule="auto"/>
        <w:tabs>
          <w:tab w:leader="none" w:pos="351"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Counting of Shares</w:t>
      </w:r>
      <w:r>
        <w:rPr>
          <w:rFonts w:ascii="Arial" w:cs="Arial" w:eastAsia="Arial" w:hAnsi="Arial"/>
          <w:sz w:val="13"/>
          <w:szCs w:val="13"/>
          <w:color w:val="auto"/>
        </w:rPr>
        <w:t>. Subject to adjustment under Section 11, an Option or Stock Appreciation Right shall be counted against the share limit specified in Section 4(a) as one share for each share of common stock subject to the Option or Stock Appreciation Right, and any Award of Restricted Stock, Restricted Stock Units or Other Stock Unit Awards with a per share or per unit purchase price lower than 100% of Fair Market Value (as defined below) on the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7" w:name="page108"/>
    <w:bookmarkEnd w:id="107"/>
    <w:p>
      <w:pPr>
        <w:ind w:left="1" w:right="20"/>
        <w:spacing w:after="0" w:line="320" w:lineRule="auto"/>
        <w:rPr>
          <w:sz w:val="20"/>
          <w:szCs w:val="20"/>
          <w:color w:val="auto"/>
        </w:rPr>
      </w:pPr>
      <w:r>
        <w:rPr>
          <w:rFonts w:ascii="Arial" w:cs="Arial" w:eastAsia="Arial" w:hAnsi="Arial"/>
          <w:sz w:val="12"/>
          <w:szCs w:val="12"/>
          <w:color w:val="auto"/>
        </w:rPr>
        <w:t>of grant (a “Full Value Award”) shall be counted against the share limit specified in Section 4(a) as three shares for each one share of Common Stock subject to such Full Value Award. To the extent that a share that was subject to an Award that counted as three shares against the Plan reserve pursuant to Section 4(a) is returned to the Plan pursuant to Section 4(a), such reserve will be credited with three shares.</w:t>
      </w:r>
    </w:p>
    <w:p>
      <w:pPr>
        <w:spacing w:after="0" w:line="25" w:lineRule="exact"/>
        <w:rPr>
          <w:sz w:val="20"/>
          <w:szCs w:val="20"/>
          <w:color w:val="auto"/>
        </w:rPr>
      </w:pPr>
    </w:p>
    <w:p>
      <w:pPr>
        <w:ind w:left="1" w:right="80" w:firstLine="162"/>
        <w:spacing w:after="0" w:line="258" w:lineRule="auto"/>
        <w:tabs>
          <w:tab w:leader="none" w:pos="343" w:val="left"/>
        </w:tabs>
        <w:numPr>
          <w:ilvl w:val="1"/>
          <w:numId w:val="80"/>
        </w:numPr>
        <w:rPr>
          <w:rFonts w:ascii="Arial" w:cs="Arial" w:eastAsia="Arial" w:hAnsi="Arial"/>
          <w:sz w:val="13"/>
          <w:szCs w:val="13"/>
          <w:color w:val="auto"/>
        </w:rPr>
      </w:pPr>
      <w:r>
        <w:rPr>
          <w:rFonts w:ascii="Arial" w:cs="Arial" w:eastAsia="Arial" w:hAnsi="Arial"/>
          <w:sz w:val="13"/>
          <w:szCs w:val="13"/>
          <w:u w:val="single" w:color="auto"/>
          <w:color w:val="auto"/>
        </w:rPr>
        <w:t>Sub-limits</w:t>
      </w:r>
      <w:r>
        <w:rPr>
          <w:rFonts w:ascii="Arial" w:cs="Arial" w:eastAsia="Arial" w:hAnsi="Arial"/>
          <w:sz w:val="13"/>
          <w:szCs w:val="13"/>
          <w:color w:val="auto"/>
        </w:rPr>
        <w:t>. Subject to adjustment under Section 11, the maximum number of shares of Common Stock with respect to which Options and Stock Appreciation Rights may be granted to any Participant under the Plan shall be 2,000,000 per fiscal year of the Company, and the maximum number of shares of Common Stock with respect to which Restricted Stock Awards, Restricted Stock Units and Other Stock Unit Awards may be granted to any Participant under the Plan shall be 1,000,000 per fiscal year of the Company. For purposes of the foregoing limit, the combination of an Option in tandem with a Stock Appreciation Right shall be treated as a single Award. The per-Participant limit described in this Section 4(c) shall be construed and applied consistently with Section 162(m) of the Code or any successor provision thereto, and the regulations thereunder (“Section 162(m)”).</w:t>
      </w:r>
    </w:p>
    <w:p>
      <w:pPr>
        <w:spacing w:after="0" w:line="61" w:lineRule="exact"/>
        <w:rPr>
          <w:rFonts w:ascii="Arial" w:cs="Arial" w:eastAsia="Arial" w:hAnsi="Arial"/>
          <w:sz w:val="13"/>
          <w:szCs w:val="13"/>
          <w:color w:val="auto"/>
        </w:rPr>
      </w:pPr>
    </w:p>
    <w:p>
      <w:pPr>
        <w:ind w:left="121" w:hanging="121"/>
        <w:spacing w:after="0"/>
        <w:tabs>
          <w:tab w:leader="none" w:pos="121"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Stock Options</w:t>
      </w:r>
    </w:p>
    <w:p>
      <w:pPr>
        <w:spacing w:after="0" w:line="86" w:lineRule="exact"/>
        <w:rPr>
          <w:rFonts w:ascii="Arial" w:cs="Arial" w:eastAsia="Arial" w:hAnsi="Arial"/>
          <w:sz w:val="13"/>
          <w:szCs w:val="13"/>
          <w:color w:val="auto"/>
        </w:rPr>
      </w:pPr>
    </w:p>
    <w:p>
      <w:pPr>
        <w:jc w:val="both"/>
        <w:ind w:left="1" w:right="20" w:firstLine="162"/>
        <w:spacing w:after="0" w:line="264" w:lineRule="auto"/>
        <w:tabs>
          <w:tab w:leader="none" w:pos="343" w:val="left"/>
        </w:tabs>
        <w:numPr>
          <w:ilvl w:val="1"/>
          <w:numId w:val="81"/>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57" w:lineRule="exact"/>
        <w:rPr>
          <w:rFonts w:ascii="Arial" w:cs="Arial" w:eastAsia="Arial" w:hAnsi="Arial"/>
          <w:sz w:val="13"/>
          <w:szCs w:val="13"/>
          <w:color w:val="auto"/>
        </w:rPr>
      </w:pPr>
    </w:p>
    <w:p>
      <w:pPr>
        <w:ind w:left="1" w:firstLine="162"/>
        <w:spacing w:after="0" w:line="257" w:lineRule="auto"/>
        <w:tabs>
          <w:tab w:leader="none" w:pos="351" w:val="left"/>
        </w:tabs>
        <w:numPr>
          <w:ilvl w:val="1"/>
          <w:numId w:val="81"/>
        </w:numPr>
        <w:rPr>
          <w:rFonts w:ascii="Arial" w:cs="Arial" w:eastAsia="Arial" w:hAnsi="Arial"/>
          <w:sz w:val="13"/>
          <w:szCs w:val="13"/>
          <w:color w:val="auto"/>
        </w:rPr>
      </w:pPr>
      <w:r>
        <w:rPr>
          <w:rFonts w:ascii="Arial" w:cs="Arial" w:eastAsia="Arial" w:hAnsi="Arial"/>
          <w:sz w:val="13"/>
          <w:szCs w:val="13"/>
          <w:u w:val="single" w:color="auto"/>
          <w:color w:val="auto"/>
        </w:rPr>
        <w:t>Incentive Stock Options</w:t>
      </w:r>
      <w:r>
        <w:rPr>
          <w:rFonts w:ascii="Arial" w:cs="Arial" w:eastAsia="Arial" w:hAnsi="Arial"/>
          <w:sz w:val="13"/>
          <w:szCs w:val="13"/>
          <w:color w:val="auto"/>
        </w:rPr>
        <w:t>. An Option that the Board intends to be an “incentive stock option” as defined in Section 422 of the Code (an “Incentive Stock Option”) shall only be granted to employees of the Company, any of the Company’s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pursuant to Section 12(f), including without limitation the conversion of an Incentive Stock Option to a Nonstatutory Stock Option. The maximum number of shares that may be issued upon exercise of Incentive Stock Options under the Plan shall be 15,000,000, as adjusted pursuant to Section 11.</w:t>
      </w:r>
    </w:p>
    <w:p>
      <w:pPr>
        <w:spacing w:after="0" w:line="61" w:lineRule="exact"/>
        <w:rPr>
          <w:rFonts w:ascii="Arial" w:cs="Arial" w:eastAsia="Arial" w:hAnsi="Arial"/>
          <w:sz w:val="13"/>
          <w:szCs w:val="13"/>
          <w:color w:val="auto"/>
        </w:rPr>
      </w:pPr>
    </w:p>
    <w:p>
      <w:pPr>
        <w:ind w:left="341" w:hanging="178"/>
        <w:spacing w:after="0"/>
        <w:tabs>
          <w:tab w:leader="none" w:pos="341" w:val="left"/>
        </w:tabs>
        <w:numPr>
          <w:ilvl w:val="1"/>
          <w:numId w:val="81"/>
        </w:numPr>
        <w:rPr>
          <w:rFonts w:ascii="Arial" w:cs="Arial" w:eastAsia="Arial" w:hAnsi="Arial"/>
          <w:sz w:val="12"/>
          <w:szCs w:val="12"/>
          <w:color w:val="auto"/>
        </w:rPr>
      </w:pPr>
      <w:r>
        <w:rPr>
          <w:rFonts w:ascii="Arial" w:cs="Arial" w:eastAsia="Arial" w:hAnsi="Arial"/>
          <w:sz w:val="12"/>
          <w:szCs w:val="12"/>
          <w:u w:val="single" w:color="auto"/>
          <w:color w:val="auto"/>
        </w:rPr>
        <w:t>Exercise Price</w:t>
      </w:r>
      <w:r>
        <w:rPr>
          <w:rFonts w:ascii="Arial" w:cs="Arial" w:eastAsia="Arial" w:hAnsi="Arial"/>
          <w:sz w:val="12"/>
          <w:szCs w:val="12"/>
          <w:color w:val="auto"/>
        </w:rPr>
        <w:t xml:space="preserve">. The Board shall establish the exercise price of each Option and specify such exercise price in the applicable option agreement;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the exercise price shall be not less than</w:t>
      </w:r>
    </w:p>
    <w:p>
      <w:pPr>
        <w:spacing w:after="0" w:line="26" w:lineRule="exact"/>
        <w:rPr>
          <w:rFonts w:ascii="Arial" w:cs="Arial" w:eastAsia="Arial" w:hAnsi="Arial"/>
          <w:sz w:val="12"/>
          <w:szCs w:val="12"/>
          <w:color w:val="auto"/>
        </w:rPr>
      </w:pPr>
    </w:p>
    <w:p>
      <w:pPr>
        <w:ind w:left="1" w:right="60"/>
        <w:spacing w:after="0" w:line="264" w:lineRule="auto"/>
        <w:rPr>
          <w:rFonts w:ascii="Arial" w:cs="Arial" w:eastAsia="Arial" w:hAnsi="Arial"/>
          <w:sz w:val="12"/>
          <w:szCs w:val="12"/>
          <w:color w:val="auto"/>
        </w:rPr>
      </w:pPr>
      <w:r>
        <w:rPr>
          <w:rFonts w:ascii="Arial" w:cs="Arial" w:eastAsia="Arial" w:hAnsi="Arial"/>
          <w:sz w:val="13"/>
          <w:szCs w:val="13"/>
          <w:color w:val="auto"/>
        </w:rPr>
        <w:t>100% of the Fair Market Value per share of Common Stock on the date the Option is granted. For purposes of this Plan, “Fair Market Value” shall mean the fair market value as determined by (or in a manner approved by) the Board.</w:t>
      </w:r>
    </w:p>
    <w:p>
      <w:pPr>
        <w:spacing w:after="0" w:line="56" w:lineRule="exact"/>
        <w:rPr>
          <w:rFonts w:ascii="Arial" w:cs="Arial" w:eastAsia="Arial" w:hAnsi="Arial"/>
          <w:sz w:val="12"/>
          <w:szCs w:val="12"/>
          <w:color w:val="auto"/>
        </w:rPr>
      </w:pPr>
    </w:p>
    <w:p>
      <w:pPr>
        <w:ind w:left="1" w:right="80" w:firstLine="162"/>
        <w:spacing w:after="0" w:line="276" w:lineRule="auto"/>
        <w:tabs>
          <w:tab w:leader="none" w:pos="351" w:val="left"/>
        </w:tabs>
        <w:numPr>
          <w:ilvl w:val="1"/>
          <w:numId w:val="81"/>
        </w:numPr>
        <w:rPr>
          <w:rFonts w:ascii="Arial" w:cs="Arial" w:eastAsia="Arial" w:hAnsi="Arial"/>
          <w:sz w:val="13"/>
          <w:szCs w:val="13"/>
          <w:color w:val="auto"/>
        </w:rPr>
      </w:pPr>
      <w:r>
        <w:rPr>
          <w:rFonts w:ascii="Arial" w:cs="Arial" w:eastAsia="Arial" w:hAnsi="Arial"/>
          <w:sz w:val="13"/>
          <w:szCs w:val="13"/>
          <w:u w:val="single" w:color="auto"/>
          <w:color w:val="auto"/>
        </w:rPr>
        <w:t>Duration of Options</w:t>
      </w:r>
      <w:r>
        <w:rPr>
          <w:rFonts w:ascii="Arial" w:cs="Arial" w:eastAsia="Arial" w:hAnsi="Arial"/>
          <w:sz w:val="13"/>
          <w:szCs w:val="13"/>
          <w:color w:val="auto"/>
        </w:rPr>
        <w:t xml:space="preserve">. Each Option shall be exercisable at such times and subject to such terms and conditions as the Board may specify in the applicable option agreement;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no Option will be granted for a term in excess of 10 years.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8" w:name="page109"/>
    <w:bookmarkEnd w:id="108"/>
    <w:p>
      <w:pPr>
        <w:ind w:left="-40" w:right="100" w:firstLine="162"/>
        <w:spacing w:after="0" w:line="260" w:lineRule="auto"/>
        <w:tabs>
          <w:tab w:leader="none" w:pos="302"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Exercise of Option</w:t>
      </w:r>
      <w:r>
        <w:rPr>
          <w:rFonts w:ascii="Arial" w:cs="Arial" w:eastAsia="Arial" w:hAnsi="Arial"/>
          <w:sz w:val="13"/>
          <w:szCs w:val="13"/>
          <w:color w:val="auto"/>
        </w:rPr>
        <w:t>. Options may be exercised by delivery to the Company, or an agent of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59" w:lineRule="exact"/>
        <w:rPr>
          <w:rFonts w:ascii="Arial" w:cs="Arial" w:eastAsia="Arial" w:hAnsi="Arial"/>
          <w:sz w:val="13"/>
          <w:szCs w:val="13"/>
          <w:color w:val="auto"/>
        </w:rPr>
      </w:pPr>
    </w:p>
    <w:p>
      <w:pPr>
        <w:ind w:left="280" w:hanging="158"/>
        <w:spacing w:after="0"/>
        <w:tabs>
          <w:tab w:leader="none" w:pos="280"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Payment Upon Exercise.</w:t>
      </w:r>
      <w:r>
        <w:rPr>
          <w:rFonts w:ascii="Arial" w:cs="Arial" w:eastAsia="Arial" w:hAnsi="Arial"/>
          <w:sz w:val="13"/>
          <w:szCs w:val="13"/>
          <w:color w:val="auto"/>
        </w:rPr>
        <w:t xml:space="preserve"> Common Stock purchased upon the exercise of an Option granted under the Plan shall be paid for as follows:</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1"/>
          <w:numId w:val="82"/>
        </w:numPr>
        <w:rPr>
          <w:rFonts w:ascii="Arial" w:cs="Arial" w:eastAsia="Arial" w:hAnsi="Arial"/>
          <w:sz w:val="13"/>
          <w:szCs w:val="13"/>
          <w:color w:val="auto"/>
        </w:rPr>
      </w:pPr>
      <w:r>
        <w:rPr>
          <w:rFonts w:ascii="Arial" w:cs="Arial" w:eastAsia="Arial" w:hAnsi="Arial"/>
          <w:sz w:val="13"/>
          <w:szCs w:val="13"/>
          <w:color w:val="auto"/>
        </w:rPr>
        <w:t>in cash or by check, payable to the order of the Company;</w:t>
      </w:r>
    </w:p>
    <w:p>
      <w:pPr>
        <w:spacing w:after="0" w:line="86" w:lineRule="exact"/>
        <w:rPr>
          <w:rFonts w:ascii="Arial" w:cs="Arial" w:eastAsia="Arial" w:hAnsi="Arial"/>
          <w:sz w:val="13"/>
          <w:szCs w:val="13"/>
          <w:color w:val="auto"/>
        </w:rPr>
      </w:pPr>
    </w:p>
    <w:p>
      <w:pPr>
        <w:ind w:left="-40" w:firstLine="326"/>
        <w:spacing w:after="0" w:line="264" w:lineRule="auto"/>
        <w:tabs>
          <w:tab w:leader="none" w:pos="473" w:val="left"/>
        </w:tabs>
        <w:numPr>
          <w:ilvl w:val="1"/>
          <w:numId w:val="82"/>
        </w:numPr>
        <w:rPr>
          <w:rFonts w:ascii="Arial" w:cs="Arial" w:eastAsia="Arial" w:hAnsi="Arial"/>
          <w:sz w:val="13"/>
          <w:szCs w:val="13"/>
          <w:color w:val="auto"/>
        </w:rPr>
      </w:pPr>
      <w:r>
        <w:rPr>
          <w:rFonts w:ascii="Arial" w:cs="Arial" w:eastAsia="Arial" w:hAnsi="Arial"/>
          <w:sz w:val="13"/>
          <w:szCs w:val="13"/>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57" w:lineRule="exact"/>
        <w:rPr>
          <w:rFonts w:ascii="Arial" w:cs="Arial" w:eastAsia="Arial" w:hAnsi="Arial"/>
          <w:sz w:val="13"/>
          <w:szCs w:val="13"/>
          <w:color w:val="auto"/>
        </w:rPr>
      </w:pPr>
    </w:p>
    <w:p>
      <w:pPr>
        <w:jc w:val="both"/>
        <w:ind w:left="-40" w:right="120" w:firstLine="326"/>
        <w:spacing w:after="0" w:line="296" w:lineRule="auto"/>
        <w:tabs>
          <w:tab w:leader="none" w:pos="473" w:val="left"/>
        </w:tabs>
        <w:numPr>
          <w:ilvl w:val="1"/>
          <w:numId w:val="82"/>
        </w:numPr>
        <w:rPr>
          <w:rFonts w:ascii="Arial" w:cs="Arial" w:eastAsia="Arial" w:hAnsi="Arial"/>
          <w:sz w:val="12"/>
          <w:szCs w:val="12"/>
          <w:color w:val="auto"/>
        </w:rPr>
      </w:pPr>
      <w:r>
        <w:rPr>
          <w:rFonts w:ascii="Arial" w:cs="Arial" w:eastAsia="Arial" w:hAnsi="Arial"/>
          <w:sz w:val="12"/>
          <w:szCs w:val="12"/>
          <w:color w:val="auto"/>
        </w:rPr>
        <w:t xml:space="preserve">except as otherwise provided in the applicable option agreement, by delivery (either by actual delivery or attestation) of shares of Common Stock owned by the Participant valued at their Fair Market Value,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39" w:lineRule="exact"/>
        <w:rPr>
          <w:rFonts w:ascii="Arial" w:cs="Arial" w:eastAsia="Arial" w:hAnsi="Arial"/>
          <w:sz w:val="12"/>
          <w:szCs w:val="12"/>
          <w:color w:val="auto"/>
        </w:rPr>
      </w:pPr>
    </w:p>
    <w:p>
      <w:pPr>
        <w:ind w:left="480" w:hanging="194"/>
        <w:spacing w:after="0"/>
        <w:tabs>
          <w:tab w:leader="none" w:pos="480" w:val="left"/>
        </w:tabs>
        <w:numPr>
          <w:ilvl w:val="1"/>
          <w:numId w:val="82"/>
        </w:numPr>
        <w:rPr>
          <w:rFonts w:ascii="Arial" w:cs="Arial" w:eastAsia="Arial" w:hAnsi="Arial"/>
          <w:sz w:val="13"/>
          <w:szCs w:val="13"/>
          <w:color w:val="auto"/>
        </w:rPr>
      </w:pPr>
      <w:r>
        <w:rPr>
          <w:rFonts w:ascii="Arial" w:cs="Arial" w:eastAsia="Arial" w:hAnsi="Arial"/>
          <w:sz w:val="13"/>
          <w:szCs w:val="13"/>
          <w:color w:val="auto"/>
        </w:rPr>
        <w:t>if provided for in the applicable option agreement or approved by the Company, in its sole discretion, by payment of such other lawful consideration as the Board may determine; or</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1"/>
          <w:numId w:val="82"/>
        </w:numPr>
        <w:rPr>
          <w:rFonts w:ascii="Arial" w:cs="Arial" w:eastAsia="Arial" w:hAnsi="Arial"/>
          <w:sz w:val="13"/>
          <w:szCs w:val="13"/>
          <w:color w:val="auto"/>
        </w:rPr>
      </w:pPr>
      <w:r>
        <w:rPr>
          <w:rFonts w:ascii="Arial" w:cs="Arial" w:eastAsia="Arial" w:hAnsi="Arial"/>
          <w:sz w:val="13"/>
          <w:szCs w:val="13"/>
          <w:color w:val="auto"/>
        </w:rPr>
        <w:t>by any combination of the above permitted forms of payment.</w:t>
      </w:r>
    </w:p>
    <w:p>
      <w:pPr>
        <w:spacing w:after="0" w:line="86" w:lineRule="exact"/>
        <w:rPr>
          <w:rFonts w:ascii="Arial" w:cs="Arial" w:eastAsia="Arial" w:hAnsi="Arial"/>
          <w:sz w:val="13"/>
          <w:szCs w:val="13"/>
          <w:color w:val="auto"/>
        </w:rPr>
      </w:pPr>
    </w:p>
    <w:p>
      <w:pPr>
        <w:ind w:left="-40" w:firstLine="162"/>
        <w:spacing w:after="0" w:line="260" w:lineRule="auto"/>
        <w:tabs>
          <w:tab w:leader="none" w:pos="309"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Limitation on Repricing</w:t>
      </w:r>
      <w:r>
        <w:rPr>
          <w:rFonts w:ascii="Arial" w:cs="Arial" w:eastAsia="Arial" w:hAnsi="Arial"/>
          <w:sz w:val="13"/>
          <w:szCs w:val="13"/>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11) and (2) the Board may not cancel any outstanding option (whether or not granted under the Plan) and grant in consideration therefor new Options under the Plan covering the same or a different number of shares of Common Stock and having an exercise price per share lower than the then-current exercise price per share of the cancelled option.</w:t>
      </w:r>
    </w:p>
    <w:p>
      <w:pPr>
        <w:spacing w:after="0" w:line="59" w:lineRule="exact"/>
        <w:rPr>
          <w:rFonts w:ascii="Arial" w:cs="Arial" w:eastAsia="Arial" w:hAnsi="Arial"/>
          <w:sz w:val="13"/>
          <w:szCs w:val="13"/>
          <w:color w:val="auto"/>
        </w:rPr>
      </w:pPr>
    </w:p>
    <w:p>
      <w:pPr>
        <w:ind w:left="300" w:hanging="178"/>
        <w:spacing w:after="0"/>
        <w:tabs>
          <w:tab w:leader="none" w:pos="300"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No Reload Rights</w:t>
      </w:r>
      <w:r>
        <w:rPr>
          <w:rFonts w:ascii="Arial" w:cs="Arial" w:eastAsia="Arial" w:hAnsi="Arial"/>
          <w:sz w:val="12"/>
          <w:szCs w:val="12"/>
          <w:color w:val="auto"/>
        </w:rPr>
        <w:t>. No option granted under the Plan shall contain any provision entitling the optionee to the automatic grant of additional Options in connection with any exercise of the original Option.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09" w:name="page110"/>
    <w:bookmarkEnd w:id="109"/>
    <w:p>
      <w:pPr>
        <w:jc w:val="both"/>
        <w:ind w:left="1" w:right="20" w:firstLine="162"/>
        <w:spacing w:after="0" w:line="260" w:lineRule="auto"/>
        <w:tabs>
          <w:tab w:leader="none" w:pos="321"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Substitute Options</w:t>
      </w:r>
      <w:r>
        <w:rPr>
          <w:rFonts w:ascii="Arial" w:cs="Arial" w:eastAsia="Arial" w:hAnsi="Arial"/>
          <w:sz w:val="13"/>
          <w:szCs w:val="13"/>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other sections of this Section 5 or in Section 2. Substitute Awards shall not count against the overall share limit set forth in Section 4(a), except as may be required by reason of Section 422 and related provisions of the Code.</w:t>
      </w:r>
    </w:p>
    <w:p>
      <w:pPr>
        <w:spacing w:after="0" w:line="59" w:lineRule="exact"/>
        <w:rPr>
          <w:rFonts w:ascii="Arial" w:cs="Arial" w:eastAsia="Arial" w:hAnsi="Arial"/>
          <w:sz w:val="13"/>
          <w:szCs w:val="13"/>
          <w:color w:val="auto"/>
        </w:rPr>
      </w:pPr>
    </w:p>
    <w:p>
      <w:pPr>
        <w:ind w:left="121" w:hanging="121"/>
        <w:spacing w:after="0"/>
        <w:tabs>
          <w:tab w:leader="none" w:pos="121"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Stock Appreciation Rights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40" w:firstLine="162"/>
        <w:spacing w:after="0" w:line="264" w:lineRule="auto"/>
        <w:tabs>
          <w:tab w:leader="none" w:pos="343"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Board may grant Awards consisting of a Stock Appreciation Right (“SAR”) entitling the holder, upon exercise, to receive an amount in Common Stock or cash or a combination thereof (as specified by the Board in the applicable Award agreement or otherwise) determined by reference to appreciation, from and after the date of grant, in the fair market value of a share of Common Stock. The date as of which such appreciation or other measure is determined shall be the exercise date.</w:t>
      </w:r>
    </w:p>
    <w:p>
      <w:pPr>
        <w:spacing w:after="0" w:line="57" w:lineRule="exact"/>
        <w:rPr>
          <w:rFonts w:ascii="Arial" w:cs="Arial" w:eastAsia="Arial" w:hAnsi="Arial"/>
          <w:sz w:val="13"/>
          <w:szCs w:val="13"/>
          <w:color w:val="auto"/>
        </w:rPr>
      </w:pPr>
    </w:p>
    <w:p>
      <w:pPr>
        <w:ind w:left="341" w:hanging="178"/>
        <w:spacing w:after="0"/>
        <w:tabs>
          <w:tab w:leader="none" w:pos="341"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Grants</w:t>
      </w:r>
      <w:r>
        <w:rPr>
          <w:rFonts w:ascii="Arial" w:cs="Arial" w:eastAsia="Arial" w:hAnsi="Arial"/>
          <w:sz w:val="13"/>
          <w:szCs w:val="13"/>
          <w:color w:val="auto"/>
        </w:rPr>
        <w:t>. Stock Appreciation Rights may be granted in tandem with, or independently of, Options granted under the Plan.</w:t>
      </w:r>
    </w:p>
    <w:p>
      <w:pPr>
        <w:spacing w:after="0" w:line="86" w:lineRule="exact"/>
        <w:rPr>
          <w:rFonts w:ascii="Arial" w:cs="Arial" w:eastAsia="Arial" w:hAnsi="Arial"/>
          <w:sz w:val="13"/>
          <w:szCs w:val="13"/>
          <w:color w:val="auto"/>
        </w:rPr>
      </w:pPr>
    </w:p>
    <w:p>
      <w:pPr>
        <w:ind w:left="1" w:firstLine="326"/>
        <w:spacing w:after="0" w:line="282" w:lineRule="auto"/>
        <w:tabs>
          <w:tab w:leader="none" w:pos="514" w:val="left"/>
        </w:tabs>
        <w:numPr>
          <w:ilvl w:val="2"/>
          <w:numId w:val="84"/>
        </w:numPr>
        <w:rPr>
          <w:rFonts w:ascii="Arial" w:cs="Arial" w:eastAsia="Arial" w:hAnsi="Arial"/>
          <w:sz w:val="12"/>
          <w:szCs w:val="12"/>
          <w:color w:val="auto"/>
        </w:rPr>
      </w:pPr>
      <w:r>
        <w:rPr>
          <w:rFonts w:ascii="Arial" w:cs="Arial" w:eastAsia="Arial" w:hAnsi="Arial"/>
          <w:sz w:val="12"/>
          <w:szCs w:val="12"/>
          <w:u w:val="single" w:color="auto"/>
          <w:color w:val="auto"/>
        </w:rPr>
        <w:t>Tandem Awards</w:t>
      </w:r>
      <w:r>
        <w:rPr>
          <w:rFonts w:ascii="Arial" w:cs="Arial" w:eastAsia="Arial" w:hAnsi="Arial"/>
          <w:sz w:val="12"/>
          <w:szCs w:val="12"/>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49" w:lineRule="exact"/>
        <w:rPr>
          <w:rFonts w:ascii="Arial" w:cs="Arial" w:eastAsia="Arial" w:hAnsi="Arial"/>
          <w:sz w:val="12"/>
          <w:szCs w:val="12"/>
          <w:color w:val="auto"/>
        </w:rPr>
      </w:pPr>
    </w:p>
    <w:p>
      <w:pPr>
        <w:ind w:left="521" w:hanging="194"/>
        <w:spacing w:after="0"/>
        <w:tabs>
          <w:tab w:leader="none" w:pos="521" w:val="left"/>
        </w:tabs>
        <w:numPr>
          <w:ilvl w:val="2"/>
          <w:numId w:val="84"/>
        </w:numPr>
        <w:rPr>
          <w:rFonts w:ascii="Arial" w:cs="Arial" w:eastAsia="Arial" w:hAnsi="Arial"/>
          <w:sz w:val="12"/>
          <w:szCs w:val="12"/>
          <w:color w:val="auto"/>
        </w:rPr>
      </w:pPr>
      <w:r>
        <w:rPr>
          <w:rFonts w:ascii="Arial" w:cs="Arial" w:eastAsia="Arial" w:hAnsi="Arial"/>
          <w:sz w:val="12"/>
          <w:szCs w:val="12"/>
          <w:u w:val="single" w:color="auto"/>
          <w:color w:val="auto"/>
        </w:rPr>
        <w:t>Independent SARs</w:t>
      </w:r>
      <w:r>
        <w:rPr>
          <w:rFonts w:ascii="Arial" w:cs="Arial" w:eastAsia="Arial" w:hAnsi="Arial"/>
          <w:sz w:val="12"/>
          <w:szCs w:val="12"/>
          <w:color w:val="auto"/>
        </w:rPr>
        <w:t>. A Stock Appreciation Right not expressly granted in tandem with an Option will become exercisable at such time or times, and on such conditions, as the Board may specify in the SAR</w:t>
      </w:r>
    </w:p>
    <w:p>
      <w:pPr>
        <w:spacing w:after="0" w:line="26"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Award.</w:t>
      </w:r>
    </w:p>
    <w:p>
      <w:pPr>
        <w:spacing w:after="0" w:line="78" w:lineRule="exact"/>
        <w:rPr>
          <w:rFonts w:ascii="Arial" w:cs="Arial" w:eastAsia="Arial" w:hAnsi="Arial"/>
          <w:sz w:val="12"/>
          <w:szCs w:val="12"/>
          <w:color w:val="auto"/>
        </w:rPr>
      </w:pPr>
    </w:p>
    <w:p>
      <w:pPr>
        <w:ind w:left="341" w:hanging="178"/>
        <w:spacing w:after="0"/>
        <w:tabs>
          <w:tab w:leader="none" w:pos="341" w:val="left"/>
        </w:tabs>
        <w:numPr>
          <w:ilvl w:val="1"/>
          <w:numId w:val="84"/>
        </w:numPr>
        <w:rPr>
          <w:rFonts w:ascii="Arial" w:cs="Arial" w:eastAsia="Arial" w:hAnsi="Arial"/>
          <w:sz w:val="11"/>
          <w:szCs w:val="11"/>
          <w:color w:val="auto"/>
        </w:rPr>
      </w:pPr>
      <w:r>
        <w:rPr>
          <w:rFonts w:ascii="Arial" w:cs="Arial" w:eastAsia="Arial" w:hAnsi="Arial"/>
          <w:sz w:val="11"/>
          <w:szCs w:val="11"/>
          <w:u w:val="single" w:color="auto"/>
          <w:color w:val="auto"/>
        </w:rPr>
        <w:t>Grant Price</w:t>
      </w:r>
      <w:r>
        <w:rPr>
          <w:rFonts w:ascii="Arial" w:cs="Arial" w:eastAsia="Arial" w:hAnsi="Arial"/>
          <w:sz w:val="11"/>
          <w:szCs w:val="11"/>
          <w:color w:val="auto"/>
        </w:rPr>
        <w:t xml:space="preserve">. The Board shall establish the exercise or grant price of each SAR and specify such price in the applicable Award agreement; </w:t>
      </w:r>
      <w:r>
        <w:rPr>
          <w:rFonts w:ascii="Arial" w:cs="Arial" w:eastAsia="Arial" w:hAnsi="Arial"/>
          <w:sz w:val="11"/>
          <w:szCs w:val="11"/>
          <w:u w:val="single" w:color="auto"/>
          <w:color w:val="auto"/>
        </w:rPr>
        <w:t>provided</w:t>
      </w:r>
      <w:r>
        <w:rPr>
          <w:rFonts w:ascii="Arial" w:cs="Arial" w:eastAsia="Arial" w:hAnsi="Arial"/>
          <w:sz w:val="11"/>
          <w:szCs w:val="11"/>
          <w:color w:val="auto"/>
        </w:rPr>
        <w:t>, however, that the exercise or grant price shall be not less than</w:t>
      </w:r>
    </w:p>
    <w:p>
      <w:pPr>
        <w:spacing w:after="0" w:line="3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100% of the Fair Market Value per share of Common Stock on the date the SAR is granted.</w:t>
      </w:r>
    </w:p>
    <w:p>
      <w:pPr>
        <w:spacing w:after="0" w:line="78" w:lineRule="exact"/>
        <w:rPr>
          <w:rFonts w:ascii="Arial" w:cs="Arial" w:eastAsia="Arial" w:hAnsi="Arial"/>
          <w:sz w:val="11"/>
          <w:szCs w:val="11"/>
          <w:color w:val="auto"/>
        </w:rPr>
      </w:pPr>
    </w:p>
    <w:p>
      <w:pPr>
        <w:ind w:left="1" w:right="280" w:firstLine="162"/>
        <w:spacing w:after="0" w:line="276" w:lineRule="auto"/>
        <w:tabs>
          <w:tab w:leader="none" w:pos="351"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Duration of SAR</w:t>
      </w:r>
      <w:r>
        <w:rPr>
          <w:rFonts w:ascii="Arial" w:cs="Arial" w:eastAsia="Arial" w:hAnsi="Arial"/>
          <w:sz w:val="13"/>
          <w:szCs w:val="13"/>
          <w:color w:val="auto"/>
        </w:rPr>
        <w:t xml:space="preserve">. Each SAR shall be exercisable at such times and subject to such terms and conditions as the Board may specify in the applicable Award agreement;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no SAR will be granted for a term in excess of 10 years.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0" w:name="page111"/>
    <w:bookmarkEnd w:id="110"/>
    <w:p>
      <w:pPr>
        <w:ind w:left="1" w:right="540" w:firstLine="162"/>
        <w:spacing w:after="0" w:line="276" w:lineRule="auto"/>
        <w:tabs>
          <w:tab w:leader="none" w:pos="343"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Exercise</w:t>
      </w:r>
      <w:r>
        <w:rPr>
          <w:rFonts w:ascii="Arial" w:cs="Arial" w:eastAsia="Arial" w:hAnsi="Arial"/>
          <w:sz w:val="13"/>
          <w:szCs w:val="13"/>
          <w:color w:val="auto"/>
        </w:rPr>
        <w:t>. Stock Appreciation Rights may be exercised by delivery to the Company, or an agent of the Company, of a written notice of exercise signed by the proper person or by any other form of notice (including electronic notice) approved by the Board, together with any other documents required by the Board.</w:t>
      </w:r>
    </w:p>
    <w:p>
      <w:pPr>
        <w:spacing w:after="0" w:line="49" w:lineRule="exact"/>
        <w:rPr>
          <w:rFonts w:ascii="Arial" w:cs="Arial" w:eastAsia="Arial" w:hAnsi="Arial"/>
          <w:sz w:val="13"/>
          <w:szCs w:val="13"/>
          <w:color w:val="auto"/>
        </w:rPr>
      </w:pPr>
    </w:p>
    <w:p>
      <w:pPr>
        <w:ind w:left="1" w:right="120" w:firstLine="162"/>
        <w:spacing w:after="0" w:line="260" w:lineRule="auto"/>
        <w:tabs>
          <w:tab w:leader="none" w:pos="329" w:val="left"/>
        </w:tabs>
        <w:numPr>
          <w:ilvl w:val="1"/>
          <w:numId w:val="85"/>
        </w:numPr>
        <w:rPr>
          <w:rFonts w:ascii="Arial" w:cs="Arial" w:eastAsia="Arial" w:hAnsi="Arial"/>
          <w:sz w:val="13"/>
          <w:szCs w:val="13"/>
          <w:color w:val="auto"/>
        </w:rPr>
      </w:pPr>
      <w:r>
        <w:rPr>
          <w:rFonts w:ascii="Arial" w:cs="Arial" w:eastAsia="Arial" w:hAnsi="Arial"/>
          <w:sz w:val="13"/>
          <w:szCs w:val="13"/>
          <w:u w:val="single" w:color="auto"/>
          <w:color w:val="auto"/>
        </w:rPr>
        <w:t>Limitation on Repricing</w:t>
      </w:r>
      <w:r>
        <w:rPr>
          <w:rFonts w:ascii="Arial" w:cs="Arial" w:eastAsia="Arial" w:hAnsi="Arial"/>
          <w:sz w:val="13"/>
          <w:szCs w:val="13"/>
          <w:color w:val="auto"/>
        </w:rPr>
        <w:t>. Unless such action is approved by the Company’s stockholders: (1) no outstanding SAR granted under the Plan may be amended to provide an exercise price per share that is lower than the then-current exercise price per share of such outstanding SAR (other than adjustments pursuant to Section 11) and (2) the Board may not cancel any outstanding SAR (whether or not granted under the Plan) and grant in consideration therefor new SARs under the Plan covering the same or a different number of shares of Common Stock and having an exercise price per share lower than the then-current exercise price per share of the cancelled SAR.</w:t>
      </w:r>
    </w:p>
    <w:p>
      <w:pPr>
        <w:spacing w:after="0" w:line="59" w:lineRule="exact"/>
        <w:rPr>
          <w:rFonts w:ascii="Arial" w:cs="Arial" w:eastAsia="Arial" w:hAnsi="Arial"/>
          <w:sz w:val="13"/>
          <w:szCs w:val="13"/>
          <w:color w:val="auto"/>
        </w:rPr>
      </w:pPr>
    </w:p>
    <w:p>
      <w:pPr>
        <w:ind w:left="121" w:hanging="121"/>
        <w:spacing w:after="0"/>
        <w:tabs>
          <w:tab w:leader="none" w:pos="121"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Restricted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firstLine="162"/>
        <w:spacing w:after="0" w:line="264" w:lineRule="auto"/>
        <w:tabs>
          <w:tab w:leader="none" w:pos="343"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w:t>
      </w:r>
    </w:p>
    <w:p>
      <w:pPr>
        <w:spacing w:after="0" w:line="57" w:lineRule="exact"/>
        <w:rPr>
          <w:rFonts w:ascii="Arial" w:cs="Arial" w:eastAsia="Arial" w:hAnsi="Arial"/>
          <w:sz w:val="13"/>
          <w:szCs w:val="13"/>
          <w:color w:val="auto"/>
        </w:rPr>
      </w:pPr>
    </w:p>
    <w:p>
      <w:pPr>
        <w:ind w:left="341" w:hanging="178"/>
        <w:spacing w:after="0"/>
        <w:tabs>
          <w:tab w:leader="none" w:pos="341" w:val="left"/>
        </w:tabs>
        <w:numPr>
          <w:ilvl w:val="1"/>
          <w:numId w:val="86"/>
        </w:numPr>
        <w:rPr>
          <w:rFonts w:ascii="Arial" w:cs="Arial" w:eastAsia="Arial" w:hAnsi="Arial"/>
          <w:sz w:val="12"/>
          <w:szCs w:val="12"/>
          <w:color w:val="auto"/>
        </w:rPr>
      </w:pPr>
      <w:r>
        <w:rPr>
          <w:rFonts w:ascii="Arial" w:cs="Arial" w:eastAsia="Arial" w:hAnsi="Arial"/>
          <w:sz w:val="12"/>
          <w:szCs w:val="12"/>
          <w:u w:val="single" w:color="auto"/>
          <w:color w:val="auto"/>
        </w:rPr>
        <w:t>Terms and Conditions</w:t>
      </w:r>
      <w:r>
        <w:rPr>
          <w:rFonts w:ascii="Arial" w:cs="Arial" w:eastAsia="Arial" w:hAnsi="Arial"/>
          <w:sz w:val="12"/>
          <w:szCs w:val="12"/>
          <w:color w:val="auto"/>
        </w:rPr>
        <w:t>. Subject to Section 7(c), the Board shall determine the terms and conditions of a Restricted Stock Award, including the conditions for vesting and forfeiture and the issue price, if any.</w:t>
      </w:r>
    </w:p>
    <w:p>
      <w:pPr>
        <w:spacing w:after="0" w:line="97" w:lineRule="exact"/>
        <w:rPr>
          <w:rFonts w:ascii="Arial" w:cs="Arial" w:eastAsia="Arial" w:hAnsi="Arial"/>
          <w:sz w:val="12"/>
          <w:szCs w:val="12"/>
          <w:color w:val="auto"/>
        </w:rPr>
      </w:pPr>
    </w:p>
    <w:p>
      <w:pPr>
        <w:jc w:val="both"/>
        <w:ind w:left="1" w:firstLine="162"/>
        <w:spacing w:after="0" w:line="260" w:lineRule="auto"/>
        <w:tabs>
          <w:tab w:leader="none" w:pos="343"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Limitations on Vesting Conditions</w:t>
      </w:r>
      <w:r>
        <w:rPr>
          <w:rFonts w:ascii="Arial" w:cs="Arial" w:eastAsia="Arial" w:hAnsi="Arial"/>
          <w:sz w:val="13"/>
          <w:szCs w:val="13"/>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Restricted Stock Award in less than equal pro rata installments over three years from the date the Award is made, other than (i) in the event of death, disability or retirement of the Participant, or (ii) Awards made to members of the Board of Directors, in each case as specified in the Agreement evidencing such Award.</w:t>
      </w:r>
    </w:p>
    <w:p>
      <w:pPr>
        <w:spacing w:after="0" w:line="59" w:lineRule="exact"/>
        <w:rPr>
          <w:rFonts w:ascii="Arial" w:cs="Arial" w:eastAsia="Arial" w:hAnsi="Arial"/>
          <w:sz w:val="13"/>
          <w:szCs w:val="13"/>
          <w:color w:val="auto"/>
        </w:rPr>
      </w:pPr>
    </w:p>
    <w:p>
      <w:pPr>
        <w:ind w:left="1" w:right="80" w:firstLine="162"/>
        <w:spacing w:after="0" w:line="264" w:lineRule="auto"/>
        <w:tabs>
          <w:tab w:leader="none" w:pos="351"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 Participants holding shares of Restricted Stock will be entitled to all ordinary cash dividends paid with respect to such shares, unless otherwise provided by the Board. If any such dividends or distributions are paid in shares, or consist of an extraordinary cash dividend, the shares or cash will be subject to the same restrictions on transferability and forfeitability as the shares of Restricted Stock with respect to which they were paid, unless otherwise provided by the Board.</w:t>
      </w:r>
    </w:p>
    <w:p>
      <w:pPr>
        <w:spacing w:after="0" w:line="57" w:lineRule="exact"/>
        <w:rPr>
          <w:rFonts w:ascii="Arial" w:cs="Arial" w:eastAsia="Arial" w:hAnsi="Arial"/>
          <w:sz w:val="13"/>
          <w:szCs w:val="13"/>
          <w:color w:val="auto"/>
        </w:rPr>
      </w:pPr>
    </w:p>
    <w:p>
      <w:pPr>
        <w:ind w:left="1" w:right="20" w:firstLine="162"/>
        <w:spacing w:after="0" w:line="264" w:lineRule="auto"/>
        <w:tabs>
          <w:tab w:leader="none" w:pos="343" w:val="left"/>
        </w:tabs>
        <w:numPr>
          <w:ilvl w:val="1"/>
          <w:numId w:val="86"/>
        </w:numPr>
        <w:rPr>
          <w:rFonts w:ascii="Arial" w:cs="Arial" w:eastAsia="Arial" w:hAnsi="Arial"/>
          <w:sz w:val="13"/>
          <w:szCs w:val="13"/>
          <w:color w:val="auto"/>
        </w:rPr>
      </w:pPr>
      <w:r>
        <w:rPr>
          <w:rFonts w:ascii="Arial" w:cs="Arial" w:eastAsia="Arial" w:hAnsi="Arial"/>
          <w:sz w:val="13"/>
          <w:szCs w:val="13"/>
          <w:u w:val="single" w:color="auto"/>
          <w:color w:val="auto"/>
        </w:rPr>
        <w:t>Stock Certificates</w:t>
      </w:r>
      <w:r>
        <w:rPr>
          <w:rFonts w:ascii="Arial" w:cs="Arial" w:eastAsia="Arial" w:hAnsi="Arial"/>
          <w:sz w:val="13"/>
          <w:szCs w:val="13"/>
          <w:color w:val="auto"/>
        </w:rPr>
        <w:t>. The Company may require that the stock certificates, if any, issued in respect of a Restricted Stock Award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1" w:name="page112"/>
    <w:bookmarkEnd w:id="111"/>
    <w:p>
      <w:pPr>
        <w:ind w:left="1" w:right="120"/>
        <w:spacing w:after="0" w:line="276" w:lineRule="auto"/>
        <w:rPr>
          <w:sz w:val="20"/>
          <w:szCs w:val="20"/>
          <w:color w:val="auto"/>
        </w:rPr>
      </w:pPr>
      <w:r>
        <w:rPr>
          <w:rFonts w:ascii="Arial" w:cs="Arial" w:eastAsia="Arial" w:hAnsi="Arial"/>
          <w:sz w:val="13"/>
          <w:szCs w:val="13"/>
          <w:color w:val="auto"/>
        </w:rPr>
        <w:t>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49" w:lineRule="exact"/>
        <w:rPr>
          <w:sz w:val="20"/>
          <w:szCs w:val="20"/>
          <w:color w:val="auto"/>
        </w:rPr>
      </w:pPr>
    </w:p>
    <w:p>
      <w:pPr>
        <w:ind w:left="121" w:hanging="121"/>
        <w:spacing w:after="0"/>
        <w:tabs>
          <w:tab w:leader="none" w:pos="121"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Restricted Stock Units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1"/>
          <w:numId w:val="87"/>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The Board may grant Awards consisting of Restricted Stock Units. “Restricted Stock Unit” means a fictional share of Common Stock granted to a Participant and represented initially by a bookkeeping</w:t>
      </w:r>
    </w:p>
    <w:p>
      <w:pPr>
        <w:spacing w:after="0" w:line="26"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entry.</w:t>
      </w:r>
    </w:p>
    <w:p>
      <w:pPr>
        <w:spacing w:after="0" w:line="78" w:lineRule="exact"/>
        <w:rPr>
          <w:rFonts w:ascii="Arial" w:cs="Arial" w:eastAsia="Arial" w:hAnsi="Arial"/>
          <w:sz w:val="12"/>
          <w:szCs w:val="12"/>
          <w:color w:val="auto"/>
        </w:rPr>
      </w:pPr>
    </w:p>
    <w:p>
      <w:pPr>
        <w:ind w:left="1" w:right="80" w:firstLine="162"/>
        <w:spacing w:after="0" w:line="260" w:lineRule="auto"/>
        <w:tabs>
          <w:tab w:leader="none" w:pos="351"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Terms and Conditions</w:t>
      </w:r>
      <w:r>
        <w:rPr>
          <w:rFonts w:ascii="Arial" w:cs="Arial" w:eastAsia="Arial" w:hAnsi="Arial"/>
          <w:sz w:val="13"/>
          <w:szCs w:val="13"/>
          <w:color w:val="auto"/>
        </w:rPr>
        <w:t>. Subject to Section 8(c), the Board shall determine the terms and conditions of a Restricted Stock Unit, including the conditions for vesting and forfeiture and issue price, if any. Upon the vesting of and/or lapsing of any other restrictions with respect to each Restricted Stock Unit, the Participant shall be entitled to receive from the Company one share of Common Stock or an amount of cash equal to the Fair Market Value of one share of Common Stock, as specified by the Board in the applicable Award agreement or otherwise. The Board may, in its discretion, provide that settlement of Restricted Stock Units shall be deferred, on a mandatory basis or at the election of the Participant.</w:t>
      </w:r>
    </w:p>
    <w:p>
      <w:pPr>
        <w:spacing w:after="0" w:line="59" w:lineRule="exact"/>
        <w:rPr>
          <w:rFonts w:ascii="Arial" w:cs="Arial" w:eastAsia="Arial" w:hAnsi="Arial"/>
          <w:sz w:val="13"/>
          <w:szCs w:val="13"/>
          <w:color w:val="auto"/>
        </w:rPr>
      </w:pPr>
    </w:p>
    <w:p>
      <w:pPr>
        <w:ind w:left="1" w:firstLine="162"/>
        <w:spacing w:after="0" w:line="258" w:lineRule="auto"/>
        <w:tabs>
          <w:tab w:leader="none" w:pos="343"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Limitations on Vesting Conditions</w:t>
      </w:r>
      <w:r>
        <w:rPr>
          <w:rFonts w:ascii="Arial" w:cs="Arial" w:eastAsia="Arial" w:hAnsi="Arial"/>
          <w:sz w:val="13"/>
          <w:szCs w:val="13"/>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Restricted Stock Unit in less than equal pro rata installments over three years from the date the Award is made, other than (i) in the event of death, disability or retirement of the Participant, (ii) Awards made to members of the Board of Directors or, (iii) in the discretion of the Board, when the granting of such Restricted Stock Units in any foreign jurisdiction is delayed in connection with registration or approval to be obtained in connection with such Restricted Stock Units, in each case as specified in the Agreement evidencing such Award.</w:t>
      </w:r>
    </w:p>
    <w:p>
      <w:pPr>
        <w:spacing w:after="0" w:line="61" w:lineRule="exact"/>
        <w:rPr>
          <w:rFonts w:ascii="Arial" w:cs="Arial" w:eastAsia="Arial" w:hAnsi="Arial"/>
          <w:sz w:val="13"/>
          <w:szCs w:val="13"/>
          <w:color w:val="auto"/>
        </w:rPr>
      </w:pPr>
    </w:p>
    <w:p>
      <w:pPr>
        <w:ind w:left="341" w:hanging="178"/>
        <w:spacing w:after="0"/>
        <w:tabs>
          <w:tab w:leader="none" w:pos="341"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Voting Rights</w:t>
      </w:r>
      <w:r>
        <w:rPr>
          <w:rFonts w:ascii="Arial" w:cs="Arial" w:eastAsia="Arial" w:hAnsi="Arial"/>
          <w:sz w:val="13"/>
          <w:szCs w:val="13"/>
          <w:color w:val="auto"/>
        </w:rPr>
        <w:t>. A Participant shall have no voting rights with respect to any Restricted Stock Units.</w:t>
      </w:r>
    </w:p>
    <w:p>
      <w:pPr>
        <w:spacing w:after="0" w:line="86" w:lineRule="exact"/>
        <w:rPr>
          <w:rFonts w:ascii="Arial" w:cs="Arial" w:eastAsia="Arial" w:hAnsi="Arial"/>
          <w:sz w:val="13"/>
          <w:szCs w:val="13"/>
          <w:color w:val="auto"/>
        </w:rPr>
      </w:pPr>
    </w:p>
    <w:p>
      <w:pPr>
        <w:ind w:left="1" w:right="80" w:firstLine="162"/>
        <w:spacing w:after="0" w:line="260" w:lineRule="auto"/>
        <w:tabs>
          <w:tab w:leader="none" w:pos="343"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 Unless otherwise provided by the Board, in its sole discretion, a grant of Restricted Stock Units shall not entitle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w:t>
      </w:r>
    </w:p>
    <w:p>
      <w:pPr>
        <w:spacing w:after="0" w:line="59" w:lineRule="exact"/>
        <w:rPr>
          <w:rFonts w:ascii="Arial" w:cs="Arial" w:eastAsia="Arial" w:hAnsi="Arial"/>
          <w:sz w:val="13"/>
          <w:szCs w:val="13"/>
          <w:color w:val="auto"/>
        </w:rPr>
      </w:pPr>
    </w:p>
    <w:p>
      <w:pPr>
        <w:ind w:left="121" w:hanging="121"/>
        <w:spacing w:after="0"/>
        <w:tabs>
          <w:tab w:leader="none" w:pos="121"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Performance Awards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1"/>
          <w:numId w:val="87"/>
        </w:numPr>
        <w:rPr>
          <w:rFonts w:ascii="Arial" w:cs="Arial" w:eastAsia="Arial" w:hAnsi="Arial"/>
          <w:sz w:val="11"/>
          <w:szCs w:val="11"/>
          <w:color w:val="auto"/>
        </w:rPr>
      </w:pPr>
      <w:r>
        <w:rPr>
          <w:rFonts w:ascii="Arial" w:cs="Arial" w:eastAsia="Arial" w:hAnsi="Arial"/>
          <w:sz w:val="11"/>
          <w:szCs w:val="11"/>
          <w:u w:val="single" w:color="auto"/>
          <w:color w:val="auto"/>
        </w:rPr>
        <w:t>Grants</w:t>
      </w:r>
      <w:r>
        <w:rPr>
          <w:rFonts w:ascii="Arial" w:cs="Arial" w:eastAsia="Arial" w:hAnsi="Arial"/>
          <w:sz w:val="11"/>
          <w:szCs w:val="11"/>
          <w:color w:val="auto"/>
        </w:rPr>
        <w:t>. Restricted Stock Awards, Restricted Stock Units and other Awards under the Plan may be made subject to the achievement of performance measures pursuant to this Section 9 (“Performance Awards”).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2" w:name="page113"/>
    <w:bookmarkEnd w:id="112"/>
    <w:p>
      <w:pPr>
        <w:ind w:left="-20" w:right="20" w:firstLine="162"/>
        <w:spacing w:after="0" w:line="260" w:lineRule="auto"/>
        <w:tabs>
          <w:tab w:leader="none" w:pos="329"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Committee</w:t>
      </w:r>
      <w:r>
        <w:rPr>
          <w:rFonts w:ascii="Arial" w:cs="Arial" w:eastAsia="Arial" w:hAnsi="Arial"/>
          <w:sz w:val="13"/>
          <w:szCs w:val="13"/>
          <w:color w:val="auto"/>
        </w:rPr>
        <w:t>. Grants of Performance Awards to any Covered Employee intended to qualify as “performance-based compensation” under Section 162(m) (“Performance-Based Compensation”) shall be made only by a Committee (or subcommittee of a Committee) comprised solely of two or more directors eligible to serve on a committee making Awards qualifying as “performance-based compensation” under Section 162(m) of the Code. In 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59" w:lineRule="exact"/>
        <w:rPr>
          <w:rFonts w:ascii="Arial" w:cs="Arial" w:eastAsia="Arial" w:hAnsi="Arial"/>
          <w:sz w:val="13"/>
          <w:szCs w:val="13"/>
          <w:color w:val="auto"/>
        </w:rPr>
      </w:pPr>
    </w:p>
    <w:p>
      <w:pPr>
        <w:ind w:left="-20" w:firstLine="162"/>
        <w:spacing w:after="0" w:line="278" w:lineRule="auto"/>
        <w:tabs>
          <w:tab w:leader="none" w:pos="322" w:val="left"/>
        </w:tabs>
        <w:numPr>
          <w:ilvl w:val="0"/>
          <w:numId w:val="88"/>
        </w:numPr>
        <w:rPr>
          <w:rFonts w:ascii="Arial" w:cs="Arial" w:eastAsia="Arial" w:hAnsi="Arial"/>
          <w:sz w:val="12"/>
          <w:szCs w:val="12"/>
          <w:color w:val="auto"/>
        </w:rPr>
      </w:pPr>
      <w:r>
        <w:rPr>
          <w:rFonts w:ascii="Arial" w:cs="Arial" w:eastAsia="Arial" w:hAnsi="Arial"/>
          <w:sz w:val="12"/>
          <w:szCs w:val="12"/>
          <w:u w:val="single" w:color="auto"/>
          <w:color w:val="auto"/>
        </w:rPr>
        <w:t>Performance Measures</w:t>
      </w:r>
      <w:r>
        <w:rPr>
          <w:rFonts w:ascii="Arial" w:cs="Arial" w:eastAsia="Arial" w:hAnsi="Arial"/>
          <w:sz w:val="12"/>
          <w:szCs w:val="12"/>
          <w:color w:val="auto"/>
        </w:rPr>
        <w:t>. For any Award that is intended to qualify as Performance-Based Compensation, the Committee shall specify in the applicable Award agreement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free cash flow or cash position, (h) gross margins or margin percentages, (i) stock price, (j) market share, (k) return on sales, assets, equity or investment, (l) improvement of financial ratings, (m) achievement of balance sheet or income statement objectives or (n) total shareholder return, (o) product release schedules, (p) product shipment targets, (q) customer satisfaction or (r) new product innovation. Such measures may be absolute in their terms or measured against or in relationship to other companies comparably, similarly or otherwise situated and may be determined on a total or per share basis. Such performance measures may be adjusted to exclude any one or more of (i) extraordinary items, (ii) gains or losses on the dispositions of discontinued operations, (iii) the cumulative effects of changes in accounting principles, (iv) the writedown of any asset, (v) stock based compensation, and (vi)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50" w:lineRule="exact"/>
        <w:rPr>
          <w:rFonts w:ascii="Arial" w:cs="Arial" w:eastAsia="Arial" w:hAnsi="Arial"/>
          <w:sz w:val="12"/>
          <w:szCs w:val="12"/>
          <w:color w:val="auto"/>
        </w:rPr>
      </w:pPr>
    </w:p>
    <w:p>
      <w:pPr>
        <w:ind w:left="-20" w:right="120" w:firstLine="162"/>
        <w:spacing w:after="0" w:line="264" w:lineRule="auto"/>
        <w:tabs>
          <w:tab w:leader="none" w:pos="329"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57" w:lineRule="exact"/>
        <w:rPr>
          <w:rFonts w:ascii="Arial" w:cs="Arial" w:eastAsia="Arial" w:hAnsi="Arial"/>
          <w:sz w:val="13"/>
          <w:szCs w:val="13"/>
          <w:color w:val="auto"/>
        </w:rPr>
      </w:pPr>
    </w:p>
    <w:p>
      <w:pPr>
        <w:ind w:left="-20" w:right="180" w:firstLine="162"/>
        <w:spacing w:after="0" w:line="276" w:lineRule="auto"/>
        <w:tabs>
          <w:tab w:leader="none" w:pos="322"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Other</w:t>
      </w:r>
      <w:r>
        <w:rPr>
          <w:rFonts w:ascii="Arial" w:cs="Arial" w:eastAsia="Arial" w:hAnsi="Arial"/>
          <w:sz w:val="13"/>
          <w:szCs w:val="13"/>
          <w:color w:val="auto"/>
        </w:rPr>
        <w:t>. The Committee shall have the power to impose such other restrictions on Awards subject to this Section 9 as it may deem necessary or appropriate to ensure that such Awards satisfy all requirements for Performance-Based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13" w:name="page114"/>
    <w:bookmarkEnd w:id="113"/>
    <w:p>
      <w:pPr>
        <w:ind w:left="201" w:hanging="201"/>
        <w:spacing w:after="0"/>
        <w:tabs>
          <w:tab w:leader="none" w:pos="201"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Other Stock-Based Awards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20" w:firstLine="162"/>
        <w:spacing w:after="0" w:line="258" w:lineRule="auto"/>
        <w:tabs>
          <w:tab w:leader="none" w:pos="343"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Grants</w:t>
      </w:r>
      <w:r>
        <w:rPr>
          <w:rFonts w:ascii="Arial" w:cs="Arial" w:eastAsia="Arial" w:hAnsi="Arial"/>
          <w:sz w:val="13"/>
          <w:szCs w:val="13"/>
          <w:color w:val="auto"/>
        </w:rPr>
        <w:t>. 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61" w:lineRule="exact"/>
        <w:rPr>
          <w:rFonts w:ascii="Arial" w:cs="Arial" w:eastAsia="Arial" w:hAnsi="Arial"/>
          <w:sz w:val="13"/>
          <w:szCs w:val="13"/>
          <w:color w:val="auto"/>
        </w:rPr>
      </w:pPr>
    </w:p>
    <w:p>
      <w:pPr>
        <w:ind w:left="1" w:firstLine="162"/>
        <w:spacing w:after="0" w:line="296" w:lineRule="auto"/>
        <w:tabs>
          <w:tab w:leader="none" w:pos="351"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Limitations on Vesting Conditions</w:t>
      </w:r>
      <w:r>
        <w:rPr>
          <w:rFonts w:ascii="Arial" w:cs="Arial" w:eastAsia="Arial" w:hAnsi="Arial"/>
          <w:sz w:val="12"/>
          <w:szCs w:val="12"/>
          <w:color w:val="auto"/>
        </w:rPr>
        <w:t>. No vesting condition that is based on performance criteria and level of achievement versus such criteria shall be based on performance over a period of less than 12 months, and no vesting condition that is based upon continued employment or the passage of time shall provide for vesting in full of a Other Stock Unit Award in less than pro rata rate installments over three years from the date the Award is made, other than in the event of death, disability or retirement of the Participant, in each case as specified in the Agreement evidencing such Award.</w:t>
      </w:r>
    </w:p>
    <w:p>
      <w:pPr>
        <w:spacing w:after="0" w:line="39" w:lineRule="exact"/>
        <w:rPr>
          <w:rFonts w:ascii="Arial" w:cs="Arial" w:eastAsia="Arial" w:hAnsi="Arial"/>
          <w:sz w:val="12"/>
          <w:szCs w:val="12"/>
          <w:color w:val="auto"/>
        </w:rPr>
      </w:pPr>
    </w:p>
    <w:p>
      <w:pPr>
        <w:ind w:left="201" w:hanging="201"/>
        <w:spacing w:after="0"/>
        <w:tabs>
          <w:tab w:leader="none" w:pos="201"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Adjustments for Changes in Common Stock and Certain Other Events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 w:right="120" w:firstLine="162"/>
        <w:spacing w:after="0" w:line="285" w:lineRule="auto"/>
        <w:tabs>
          <w:tab w:leader="none" w:pos="343"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Changes in Capitalization</w:t>
      </w:r>
      <w:r>
        <w:rPr>
          <w:rFonts w:ascii="Arial" w:cs="Arial" w:eastAsia="Arial" w:hAnsi="Arial"/>
          <w:sz w:val="12"/>
          <w:szCs w:val="12"/>
          <w:color w:val="auto"/>
        </w:rPr>
        <w:t>. 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sub-limits set forth in Section 4(c), (iii) the share counting provisions of Section 4(b), (iv) the number and class of securities and exercise price per share of each outstanding Option, (v) the share- and per-share provisions of each Stock Appreciation Right, (vi) the repurchase price per share subject to each outstanding Restricted Stock Award and Restricted Stock Unit and (vii) the share- and per-share-related provisions of each outstanding Other Stock Unit Award, shall be appropriately adjusted by the Company (or substituted Awards may be made, if applicable) to the extent determined by the Board.</w:t>
      </w:r>
    </w:p>
    <w:p>
      <w:pPr>
        <w:spacing w:after="0" w:line="45" w:lineRule="exact"/>
        <w:rPr>
          <w:rFonts w:ascii="Arial" w:cs="Arial" w:eastAsia="Arial" w:hAnsi="Arial"/>
          <w:sz w:val="12"/>
          <w:szCs w:val="12"/>
          <w:color w:val="auto"/>
        </w:rPr>
      </w:pPr>
    </w:p>
    <w:p>
      <w:pPr>
        <w:ind w:left="341" w:hanging="178"/>
        <w:spacing w:after="0"/>
        <w:tabs>
          <w:tab w:leader="none" w:pos="341"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Reorganization and Change in Control Events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2"/>
          <w:numId w:val="89"/>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61" w:hanging="170"/>
        <w:spacing w:after="0"/>
        <w:tabs>
          <w:tab w:leader="none" w:pos="661" w:val="left"/>
        </w:tabs>
        <w:numPr>
          <w:ilvl w:val="3"/>
          <w:numId w:val="89"/>
        </w:numPr>
        <w:rPr>
          <w:rFonts w:ascii="Arial" w:cs="Arial" w:eastAsia="Arial" w:hAnsi="Arial"/>
          <w:sz w:val="13"/>
          <w:szCs w:val="13"/>
          <w:color w:val="auto"/>
        </w:rPr>
      </w:pPr>
      <w:r>
        <w:rPr>
          <w:rFonts w:ascii="Arial" w:cs="Arial" w:eastAsia="Arial" w:hAnsi="Arial"/>
          <w:sz w:val="13"/>
          <w:szCs w:val="13"/>
          <w:color w:val="auto"/>
        </w:rPr>
        <w:t>A “Reorganization Event” shall mean:</w:t>
      </w:r>
    </w:p>
    <w:p>
      <w:pPr>
        <w:spacing w:after="0" w:line="86" w:lineRule="exact"/>
        <w:rPr>
          <w:rFonts w:ascii="Arial" w:cs="Arial" w:eastAsia="Arial" w:hAnsi="Arial"/>
          <w:sz w:val="13"/>
          <w:szCs w:val="13"/>
          <w:color w:val="auto"/>
        </w:rPr>
      </w:pPr>
    </w:p>
    <w:p>
      <w:pPr>
        <w:ind w:left="1361" w:right="220" w:hanging="329"/>
        <w:spacing w:after="0" w:line="276" w:lineRule="auto"/>
        <w:tabs>
          <w:tab w:leader="none" w:pos="1361" w:val="left"/>
        </w:tabs>
        <w:numPr>
          <w:ilvl w:val="4"/>
          <w:numId w:val="89"/>
        </w:numPr>
        <w:rPr>
          <w:rFonts w:ascii="Arial" w:cs="Arial" w:eastAsia="Arial" w:hAnsi="Arial"/>
          <w:sz w:val="13"/>
          <w:szCs w:val="13"/>
          <w:color w:val="auto"/>
        </w:rPr>
      </w:pPr>
      <w:r>
        <w:rPr>
          <w:rFonts w:ascii="Arial" w:cs="Arial" w:eastAsia="Arial" w:hAnsi="Arial"/>
          <w:sz w:val="13"/>
          <w:szCs w:val="13"/>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49" w:lineRule="exact"/>
        <w:rPr>
          <w:rFonts w:ascii="Arial" w:cs="Arial" w:eastAsia="Arial" w:hAnsi="Arial"/>
          <w:sz w:val="13"/>
          <w:szCs w:val="13"/>
          <w:color w:val="auto"/>
        </w:rPr>
      </w:pPr>
    </w:p>
    <w:p>
      <w:pPr>
        <w:ind w:left="1361" w:hanging="329"/>
        <w:spacing w:after="0"/>
        <w:tabs>
          <w:tab w:leader="none" w:pos="1361" w:val="left"/>
        </w:tabs>
        <w:numPr>
          <w:ilvl w:val="4"/>
          <w:numId w:val="89"/>
        </w:numPr>
        <w:rPr>
          <w:rFonts w:ascii="Arial" w:cs="Arial" w:eastAsia="Arial" w:hAnsi="Arial"/>
          <w:sz w:val="13"/>
          <w:szCs w:val="13"/>
          <w:color w:val="auto"/>
        </w:rPr>
      </w:pPr>
      <w:r>
        <w:rPr>
          <w:rFonts w:ascii="Arial" w:cs="Arial" w:eastAsia="Arial" w:hAnsi="Arial"/>
          <w:sz w:val="13"/>
          <w:szCs w:val="13"/>
          <w:color w:val="auto"/>
        </w:rPr>
        <w:t>any exchange of all of the Common Stock of the Company for cash, securities or other property pursuant to a share exchange transaction; or</w:t>
      </w:r>
    </w:p>
    <w:p>
      <w:pPr>
        <w:spacing w:after="0" w:line="86" w:lineRule="exact"/>
        <w:rPr>
          <w:rFonts w:ascii="Arial" w:cs="Arial" w:eastAsia="Arial" w:hAnsi="Arial"/>
          <w:sz w:val="13"/>
          <w:szCs w:val="13"/>
          <w:color w:val="auto"/>
        </w:rPr>
      </w:pPr>
    </w:p>
    <w:p>
      <w:pPr>
        <w:ind w:left="1361" w:hanging="329"/>
        <w:spacing w:after="0"/>
        <w:tabs>
          <w:tab w:leader="none" w:pos="1361" w:val="left"/>
        </w:tabs>
        <w:numPr>
          <w:ilvl w:val="4"/>
          <w:numId w:val="89"/>
        </w:numPr>
        <w:rPr>
          <w:rFonts w:ascii="Arial" w:cs="Arial" w:eastAsia="Arial" w:hAnsi="Arial"/>
          <w:sz w:val="13"/>
          <w:szCs w:val="13"/>
          <w:color w:val="auto"/>
        </w:rPr>
      </w:pPr>
      <w:r>
        <w:rPr>
          <w:rFonts w:ascii="Arial" w:cs="Arial" w:eastAsia="Arial" w:hAnsi="Arial"/>
          <w:sz w:val="13"/>
          <w:szCs w:val="13"/>
          <w:color w:val="auto"/>
        </w:rPr>
        <w:t>any liquidation or dissolution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4" w:name="page115"/>
    <w:bookmarkEnd w:id="114"/>
    <w:p>
      <w:pPr>
        <w:ind w:left="170" w:hanging="170"/>
        <w:spacing w:after="0"/>
        <w:tabs>
          <w:tab w:leader="none" w:pos="170" w:val="left"/>
        </w:tabs>
        <w:numPr>
          <w:ilvl w:val="0"/>
          <w:numId w:val="90"/>
        </w:numPr>
        <w:rPr>
          <w:rFonts w:ascii="Arial" w:cs="Arial" w:eastAsia="Arial" w:hAnsi="Arial"/>
          <w:sz w:val="13"/>
          <w:szCs w:val="13"/>
          <w:color w:val="auto"/>
        </w:rPr>
      </w:pPr>
      <w:r>
        <w:rPr>
          <w:rFonts w:ascii="Arial" w:cs="Arial" w:eastAsia="Arial" w:hAnsi="Arial"/>
          <w:sz w:val="13"/>
          <w:szCs w:val="13"/>
          <w:color w:val="auto"/>
        </w:rPr>
        <w:t>A “Change in Control Event” shall mean:</w:t>
      </w:r>
    </w:p>
    <w:p>
      <w:pPr>
        <w:spacing w:after="0" w:line="86" w:lineRule="exact"/>
        <w:rPr>
          <w:rFonts w:ascii="Arial" w:cs="Arial" w:eastAsia="Arial" w:hAnsi="Arial"/>
          <w:sz w:val="13"/>
          <w:szCs w:val="13"/>
          <w:color w:val="auto"/>
        </w:rPr>
      </w:pPr>
    </w:p>
    <w:p>
      <w:pPr>
        <w:ind w:left="870" w:hanging="329"/>
        <w:spacing w:after="0" w:line="255" w:lineRule="auto"/>
        <w:tabs>
          <w:tab w:leader="none" w:pos="870" w:val="left"/>
        </w:tabs>
        <w:numPr>
          <w:ilvl w:val="1"/>
          <w:numId w:val="90"/>
        </w:numPr>
        <w:rPr>
          <w:rFonts w:ascii="Arial" w:cs="Arial" w:eastAsia="Arial" w:hAnsi="Arial"/>
          <w:sz w:val="13"/>
          <w:szCs w:val="13"/>
          <w:color w:val="auto"/>
        </w:rPr>
      </w:pPr>
      <w:r>
        <w:rPr>
          <w:rFonts w:ascii="Arial" w:cs="Arial" w:eastAsia="Arial" w:hAnsi="Arial"/>
          <w:sz w:val="13"/>
          <w:szCs w:val="13"/>
          <w:color w:val="auto"/>
        </w:rPr>
        <w:t xml:space="preserve">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64" w:lineRule="exact"/>
        <w:rPr>
          <w:rFonts w:ascii="Arial" w:cs="Arial" w:eastAsia="Arial" w:hAnsi="Arial"/>
          <w:sz w:val="13"/>
          <w:szCs w:val="13"/>
          <w:color w:val="auto"/>
        </w:rPr>
      </w:pPr>
    </w:p>
    <w:p>
      <w:pPr>
        <w:ind w:left="870" w:right="40" w:hanging="329"/>
        <w:spacing w:after="0" w:line="285" w:lineRule="auto"/>
        <w:tabs>
          <w:tab w:leader="none" w:pos="870" w:val="left"/>
        </w:tabs>
        <w:numPr>
          <w:ilvl w:val="1"/>
          <w:numId w:val="90"/>
        </w:numPr>
        <w:rPr>
          <w:rFonts w:ascii="Arial" w:cs="Arial" w:eastAsia="Arial" w:hAnsi="Arial"/>
          <w:sz w:val="12"/>
          <w:szCs w:val="12"/>
          <w:color w:val="auto"/>
        </w:rPr>
      </w:pPr>
      <w:r>
        <w:rPr>
          <w:rFonts w:ascii="Arial" w:cs="Arial" w:eastAsia="Arial" w:hAnsi="Arial"/>
          <w:sz w:val="12"/>
          <w:szCs w:val="12"/>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w:t>
      </w:r>
    </w:p>
    <w:p>
      <w:pPr>
        <w:spacing w:after="0" w:line="105" w:lineRule="exact"/>
        <w:rPr>
          <w:sz w:val="20"/>
          <w:szCs w:val="20"/>
          <w:color w:val="auto"/>
        </w:rPr>
      </w:pPr>
    </w:p>
    <w:p>
      <w:pPr>
        <w:jc w:val="center"/>
        <w:ind w:right="45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50"/>
          </w:cols>
          <w:pgMar w:left="710" w:top="799" w:right="239" w:bottom="1440" w:gutter="0" w:footer="0" w:header="0"/>
        </w:sectPr>
      </w:pPr>
    </w:p>
    <w:bookmarkStart w:id="115" w:name="page116"/>
    <w:bookmarkEnd w:id="115"/>
    <w:p>
      <w:pPr>
        <w:ind w:left="1320"/>
        <w:spacing w:after="0" w:line="257" w:lineRule="auto"/>
        <w:rPr>
          <w:sz w:val="20"/>
          <w:szCs w:val="20"/>
          <w:color w:val="auto"/>
        </w:rPr>
      </w:pPr>
      <w:r>
        <w:rPr>
          <w:rFonts w:ascii="Arial" w:cs="Arial" w:eastAsia="Arial" w:hAnsi="Arial"/>
          <w:sz w:val="13"/>
          <w:szCs w:val="13"/>
          <w:color w:val="auto"/>
        </w:rPr>
        <w:t>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62" w:lineRule="exact"/>
        <w:rPr>
          <w:sz w:val="20"/>
          <w:szCs w:val="20"/>
          <w:color w:val="auto"/>
        </w:rPr>
      </w:pPr>
    </w:p>
    <w:p>
      <w:pPr>
        <w:ind w:left="1320" w:hanging="329"/>
        <w:spacing w:after="0"/>
        <w:tabs>
          <w:tab w:leader="none" w:pos="1320" w:val="left"/>
        </w:tabs>
        <w:numPr>
          <w:ilvl w:val="1"/>
          <w:numId w:val="91"/>
        </w:numPr>
        <w:rPr>
          <w:rFonts w:ascii="Arial" w:cs="Arial" w:eastAsia="Arial" w:hAnsi="Arial"/>
          <w:sz w:val="13"/>
          <w:szCs w:val="13"/>
          <w:color w:val="auto"/>
        </w:rPr>
      </w:pPr>
      <w:r>
        <w:rPr>
          <w:rFonts w:ascii="Arial" w:cs="Arial" w:eastAsia="Arial" w:hAnsi="Arial"/>
          <w:sz w:val="13"/>
          <w:szCs w:val="13"/>
          <w:color w:val="auto"/>
        </w:rPr>
        <w:t>the liquidation or dissolution of the Company.</w:t>
      </w:r>
    </w:p>
    <w:p>
      <w:pPr>
        <w:spacing w:after="0" w:line="86" w:lineRule="exact"/>
        <w:rPr>
          <w:rFonts w:ascii="Arial" w:cs="Arial" w:eastAsia="Arial" w:hAnsi="Arial"/>
          <w:sz w:val="13"/>
          <w:szCs w:val="13"/>
          <w:color w:val="auto"/>
        </w:rPr>
      </w:pPr>
    </w:p>
    <w:p>
      <w:pPr>
        <w:ind w:left="-40" w:right="20" w:firstLine="490"/>
        <w:spacing w:after="0" w:line="296" w:lineRule="auto"/>
        <w:tabs>
          <w:tab w:leader="none" w:pos="629" w:val="left"/>
        </w:tabs>
        <w:numPr>
          <w:ilvl w:val="0"/>
          <w:numId w:val="92"/>
        </w:numPr>
        <w:rPr>
          <w:rFonts w:ascii="Arial" w:cs="Arial" w:eastAsia="Arial" w:hAnsi="Arial"/>
          <w:sz w:val="12"/>
          <w:szCs w:val="12"/>
          <w:color w:val="auto"/>
        </w:rPr>
      </w:pPr>
      <w:r>
        <w:rPr>
          <w:rFonts w:ascii="Arial" w:cs="Arial" w:eastAsia="Arial" w:hAnsi="Arial"/>
          <w:sz w:val="12"/>
          <w:szCs w:val="12"/>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39" w:lineRule="exact"/>
        <w:rPr>
          <w:rFonts w:ascii="Arial" w:cs="Arial" w:eastAsia="Arial" w:hAnsi="Arial"/>
          <w:sz w:val="12"/>
          <w:szCs w:val="12"/>
          <w:color w:val="auto"/>
        </w:rPr>
      </w:pPr>
    </w:p>
    <w:p>
      <w:pPr>
        <w:ind w:left="640" w:hanging="190"/>
        <w:spacing w:after="0"/>
        <w:tabs>
          <w:tab w:leader="none" w:pos="6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“Cause” shall mean:</w:t>
      </w:r>
    </w:p>
    <w:p>
      <w:pPr>
        <w:spacing w:after="0" w:line="86" w:lineRule="exact"/>
        <w:rPr>
          <w:rFonts w:ascii="Arial" w:cs="Arial" w:eastAsia="Arial" w:hAnsi="Arial"/>
          <w:sz w:val="13"/>
          <w:szCs w:val="13"/>
          <w:color w:val="auto"/>
        </w:rPr>
      </w:pPr>
    </w:p>
    <w:p>
      <w:pPr>
        <w:ind w:left="1320" w:right="360" w:hanging="329"/>
        <w:spacing w:after="0" w:line="276" w:lineRule="auto"/>
        <w:tabs>
          <w:tab w:leader="none" w:pos="132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any willful failure by the Participant, which failure is not cured within 30 days of written notice to the Participant from the Company, to perform his or her material responsibilities to the Company; or</w:t>
      </w:r>
    </w:p>
    <w:p>
      <w:pPr>
        <w:spacing w:after="0" w:line="49" w:lineRule="exact"/>
        <w:rPr>
          <w:sz w:val="20"/>
          <w:szCs w:val="20"/>
          <w:color w:val="auto"/>
        </w:rPr>
      </w:pPr>
    </w:p>
    <w:p>
      <w:pPr>
        <w:ind w:left="1320" w:hanging="329"/>
        <w:spacing w:after="0"/>
        <w:tabs>
          <w:tab w:leader="none" w:pos="1320" w:val="left"/>
        </w:tabs>
        <w:numPr>
          <w:ilvl w:val="2"/>
          <w:numId w:val="93"/>
        </w:numPr>
        <w:rPr>
          <w:rFonts w:ascii="Arial" w:cs="Arial" w:eastAsia="Arial" w:hAnsi="Arial"/>
          <w:sz w:val="13"/>
          <w:szCs w:val="13"/>
          <w:color w:val="auto"/>
        </w:rPr>
      </w:pPr>
      <w:r>
        <w:rPr>
          <w:rFonts w:ascii="Arial" w:cs="Arial" w:eastAsia="Arial" w:hAnsi="Arial"/>
          <w:sz w:val="13"/>
          <w:szCs w:val="13"/>
          <w:color w:val="auto"/>
        </w:rPr>
        <w:t>any willful misconduct by the Participant which affects the business reputation of the Company.</w:t>
      </w:r>
    </w:p>
    <w:p>
      <w:pPr>
        <w:spacing w:after="0" w:line="86" w:lineRule="exact"/>
        <w:rPr>
          <w:rFonts w:ascii="Arial" w:cs="Arial" w:eastAsia="Arial" w:hAnsi="Arial"/>
          <w:sz w:val="13"/>
          <w:szCs w:val="13"/>
          <w:color w:val="auto"/>
        </w:rPr>
      </w:pPr>
    </w:p>
    <w:p>
      <w:pPr>
        <w:ind w:left="480" w:hanging="194"/>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Effect on Options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right="140" w:firstLine="490"/>
        <w:spacing w:after="0" w:line="260" w:lineRule="auto"/>
        <w:tabs>
          <w:tab w:leader="none" w:pos="629" w:val="left"/>
        </w:tabs>
        <w:numPr>
          <w:ilvl w:val="1"/>
          <w:numId w:val="94"/>
        </w:numPr>
        <w:rPr>
          <w:rFonts w:ascii="Arial" w:cs="Arial" w:eastAsia="Arial" w:hAnsi="Arial"/>
          <w:sz w:val="13"/>
          <w:szCs w:val="13"/>
          <w:color w:val="auto"/>
        </w:rPr>
      </w:pPr>
      <w:r>
        <w:rPr>
          <w:rFonts w:ascii="Arial" w:cs="Arial" w:eastAsia="Arial" w:hAnsi="Arial"/>
          <w:sz w:val="13"/>
          <w:szCs w:val="13"/>
          <w:u w:val="single" w:color="auto"/>
          <w:color w:val="auto"/>
        </w:rPr>
        <w:t>Reorganization Event</w:t>
      </w:r>
      <w:r>
        <w:rPr>
          <w:rFonts w:ascii="Arial" w:cs="Arial" w:eastAsia="Arial" w:hAnsi="Arial"/>
          <w:sz w:val="13"/>
          <w:szCs w:val="13"/>
          <w:color w:val="auto"/>
        </w:rPr>
        <w:t xml:space="preserve">.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anything to the contrary in the Plan, if such Reorganization Event also constitutes a Change in Control Event,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16" w:name="page117"/>
    <w:bookmarkEnd w:id="116"/>
    <w:p>
      <w:pPr>
        <w:ind w:right="20"/>
        <w:spacing w:after="0" w:line="277" w:lineRule="auto"/>
        <w:rPr>
          <w:sz w:val="20"/>
          <w:szCs w:val="20"/>
          <w:color w:val="auto"/>
        </w:rPr>
      </w:pPr>
      <w:r>
        <w:rPr>
          <w:rFonts w:ascii="Arial" w:cs="Arial" w:eastAsia="Arial" w:hAnsi="Arial"/>
          <w:sz w:val="12"/>
          <w:szCs w:val="12"/>
          <w:color w:val="auto"/>
        </w:rPr>
        <w:t xml:space="preserve">except to the extent specifically provided to the contrary in the instrument evidencing any Option or any other agreement between a Participant and the Company (A) one-half of the number of shares subject to the Option which were not already vested shall be exercisable upon the occurrence of such Reorganization Event and, subject to (B) below,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subsequent vesting date and (B)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55" w:lineRule="exact"/>
        <w:rPr>
          <w:sz w:val="20"/>
          <w:szCs w:val="20"/>
          <w:color w:val="auto"/>
        </w:rPr>
      </w:pPr>
    </w:p>
    <w:p>
      <w:pPr>
        <w:ind w:firstLine="491"/>
        <w:spacing w:after="0" w:line="281" w:lineRule="auto"/>
        <w:rPr>
          <w:sz w:val="20"/>
          <w:szCs w:val="20"/>
          <w:color w:val="auto"/>
        </w:rPr>
      </w:pPr>
      <w:r>
        <w:rPr>
          <w:rFonts w:ascii="Arial" w:cs="Arial" w:eastAsia="Arial" w:hAnsi="Arial"/>
          <w:sz w:val="12"/>
          <w:szCs w:val="12"/>
          <w:color w:val="auto"/>
        </w:rPr>
        <w:t xml:space="preserve">Notwithstanding the foregoing and anything to the contrary in the Plan, if the acquiring or succeeding corporation (or an affiliate thereof) does not agree to assume, or substitute for, such Options, or in the event of a liquidation or dissolution of the Company, the Board shall, upon written notice to the Participants, provide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w:t>
      </w:r>
    </w:p>
    <w:p>
      <w:pPr>
        <w:spacing w:after="0" w:line="49" w:lineRule="exact"/>
        <w:rPr>
          <w:sz w:val="20"/>
          <w:szCs w:val="20"/>
          <w:color w:val="auto"/>
        </w:rPr>
      </w:pPr>
    </w:p>
    <w:p>
      <w:pPr>
        <w:ind w:right="120" w:firstLine="490"/>
        <w:spacing w:after="0" w:line="264" w:lineRule="auto"/>
        <w:tabs>
          <w:tab w:leader="none" w:pos="677" w:val="left"/>
        </w:tabs>
        <w:numPr>
          <w:ilvl w:val="0"/>
          <w:numId w:val="95"/>
        </w:numPr>
        <w:rPr>
          <w:rFonts w:ascii="Arial" w:cs="Arial" w:eastAsia="Arial" w:hAnsi="Arial"/>
          <w:sz w:val="13"/>
          <w:szCs w:val="13"/>
          <w:color w:val="auto"/>
        </w:rPr>
      </w:pPr>
      <w:r>
        <w:rPr>
          <w:rFonts w:ascii="Arial" w:cs="Arial" w:eastAsia="Arial" w:hAnsi="Arial"/>
          <w:sz w:val="13"/>
          <w:szCs w:val="13"/>
          <w:u w:val="single" w:color="auto"/>
          <w:color w:val="auto"/>
        </w:rPr>
        <w:t>Change in Control Event that is not a Reorganization Event</w:t>
      </w:r>
      <w:r>
        <w:rPr>
          <w:rFonts w:ascii="Arial" w:cs="Arial" w:eastAsia="Arial" w:hAnsi="Arial"/>
          <w:sz w:val="13"/>
          <w:szCs w:val="13"/>
          <w:color w:val="auto"/>
        </w:rPr>
        <w:t>. Upon the occurrence of a Change in Control Event that does not also constitute a Reorganization Event, except to the extent specifically provided to the contrary in the instrument evidencing any Option or any other agreement between a Participant and the Company, and notwithstanding anything to the contrary in the Plan, the vesting schedule of such Option shall be accelerated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7" w:name="page118"/>
    <w:bookmarkEnd w:id="117"/>
    <w:p>
      <w:pPr>
        <w:spacing w:after="0" w:line="258" w:lineRule="auto"/>
        <w:rPr>
          <w:sz w:val="20"/>
          <w:szCs w:val="20"/>
          <w:color w:val="auto"/>
        </w:rPr>
      </w:pPr>
      <w:r>
        <w:rPr>
          <w:rFonts w:ascii="Arial" w:cs="Arial" w:eastAsia="Arial" w:hAnsi="Arial"/>
          <w:sz w:val="13"/>
          <w:szCs w:val="13"/>
          <w:color w:val="auto"/>
        </w:rPr>
        <w:t xml:space="preserve">part so that one-half of the number of shares that would otherwise have first become vested on any date after the date of the Change in Control Event shall immediately become exercisable. The remaining one-half of such number of shares shall continue to become vested in accordance with the original vesting schedule set forth in such Option,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61" w:lineRule="exact"/>
        <w:rPr>
          <w:sz w:val="20"/>
          <w:szCs w:val="20"/>
          <w:color w:val="auto"/>
        </w:rPr>
      </w:pPr>
    </w:p>
    <w:p>
      <w:pPr>
        <w:ind w:left="520" w:hanging="194"/>
        <w:spacing w:after="0"/>
        <w:tabs>
          <w:tab w:leader="none" w:pos="52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Effect on Restricted Stock Awards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80" w:firstLine="490"/>
        <w:spacing w:after="0" w:line="264" w:lineRule="auto"/>
        <w:tabs>
          <w:tab w:leader="none" w:pos="669"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Reorganization Even</w:t>
      </w:r>
      <w:r>
        <w:rPr>
          <w:rFonts w:ascii="Arial" w:cs="Arial" w:eastAsia="Arial" w:hAnsi="Arial"/>
          <w:sz w:val="13"/>
          <w:szCs w:val="13"/>
          <w:color w:val="auto"/>
        </w:rPr>
        <w:t>t. Upon the occurrence of a Reorganization Event (regardless of whether such event also constitutes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such Restricted Stock Award.</w:t>
      </w:r>
    </w:p>
    <w:p>
      <w:pPr>
        <w:spacing w:after="0" w:line="57" w:lineRule="exact"/>
        <w:rPr>
          <w:rFonts w:ascii="Arial" w:cs="Arial" w:eastAsia="Arial" w:hAnsi="Arial"/>
          <w:sz w:val="13"/>
          <w:szCs w:val="13"/>
          <w:color w:val="auto"/>
        </w:rPr>
      </w:pPr>
    </w:p>
    <w:p>
      <w:pPr>
        <w:ind w:firstLine="490"/>
        <w:spacing w:after="0" w:line="280" w:lineRule="auto"/>
        <w:tabs>
          <w:tab w:leader="none" w:pos="677" w:val="left"/>
        </w:tabs>
        <w:numPr>
          <w:ilvl w:val="1"/>
          <w:numId w:val="96"/>
        </w:numPr>
        <w:rPr>
          <w:rFonts w:ascii="Arial" w:cs="Arial" w:eastAsia="Arial" w:hAnsi="Arial"/>
          <w:sz w:val="12"/>
          <w:szCs w:val="12"/>
          <w:color w:val="auto"/>
        </w:rPr>
      </w:pPr>
      <w:r>
        <w:rPr>
          <w:rFonts w:ascii="Arial" w:cs="Arial" w:eastAsia="Arial" w:hAnsi="Arial"/>
          <w:sz w:val="12"/>
          <w:szCs w:val="12"/>
          <w:u w:val="single" w:color="auto"/>
          <w:color w:val="auto"/>
        </w:rPr>
        <w:t>Change in Control Event.</w:t>
      </w:r>
      <w:r>
        <w:rPr>
          <w:rFonts w:ascii="Arial" w:cs="Arial" w:eastAsia="Arial" w:hAnsi="Arial"/>
          <w:sz w:val="12"/>
          <w:szCs w:val="12"/>
          <w:color w:val="auto"/>
        </w:rPr>
        <w:t xml:space="preserve">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and notwithstanding anything to the contrary in the Plan, the vesting schedule of all Restricted Stock Awards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48" w:lineRule="exact"/>
        <w:rPr>
          <w:rFonts w:ascii="Arial" w:cs="Arial" w:eastAsia="Arial" w:hAnsi="Arial"/>
          <w:sz w:val="12"/>
          <w:szCs w:val="12"/>
          <w:color w:val="auto"/>
        </w:rPr>
      </w:pPr>
    </w:p>
    <w:p>
      <w:pPr>
        <w:ind w:left="520" w:hanging="194"/>
        <w:spacing w:after="0"/>
        <w:tabs>
          <w:tab w:leader="none" w:pos="52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Effect on Restricted Stock Unit Awards.</w:t>
      </w:r>
    </w:p>
    <w:p>
      <w:pPr>
        <w:spacing w:after="0" w:line="86" w:lineRule="exact"/>
        <w:rPr>
          <w:rFonts w:ascii="Arial" w:cs="Arial" w:eastAsia="Arial" w:hAnsi="Arial"/>
          <w:sz w:val="13"/>
          <w:szCs w:val="13"/>
          <w:color w:val="auto"/>
        </w:rPr>
      </w:pPr>
    </w:p>
    <w:p>
      <w:pPr>
        <w:ind w:firstLine="490"/>
        <w:spacing w:after="0" w:line="264" w:lineRule="auto"/>
        <w:tabs>
          <w:tab w:leader="none" w:pos="669"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Reorganization Event</w:t>
      </w:r>
      <w:r>
        <w:rPr>
          <w:rFonts w:ascii="Arial" w:cs="Arial" w:eastAsia="Arial" w:hAnsi="Arial"/>
          <w:sz w:val="13"/>
          <w:szCs w:val="13"/>
          <w:color w:val="auto"/>
        </w:rPr>
        <w:t>. Upon the occurrence of a Reorganization Event (regardless of whether such event constitutes a Change in Control Event), the Board shall provide that all outstanding Restricted Stock Unit Awards shall be assumed, or an equivalent award providing for Restricted Stock Units shall be substituted, by the acquiring or succeeding corporation (or an affiliate thereof); provided that, notwithstanding anything to the contrary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8" w:name="page119"/>
    <w:bookmarkEnd w:id="118"/>
    <w:p>
      <w:pPr>
        <w:spacing w:after="0" w:line="281" w:lineRule="auto"/>
        <w:rPr>
          <w:sz w:val="20"/>
          <w:szCs w:val="20"/>
          <w:color w:val="auto"/>
        </w:rPr>
      </w:pPr>
      <w:r>
        <w:rPr>
          <w:rFonts w:ascii="Arial" w:cs="Arial" w:eastAsia="Arial" w:hAnsi="Arial"/>
          <w:sz w:val="12"/>
          <w:szCs w:val="12"/>
          <w:color w:val="auto"/>
        </w:rPr>
        <w:t>the Plan, if such Reorganization Event also constitutes both a Change in Control Event and a “change in control event” within the meaning of Treasury Regulation Section 1.409A-3(i)(5)(i), except to the extent specifically provided to the contrary in the instrument evidencing any Award or any other agreement between the Participant and the Company, (A) one-half of the number of Restricted Stock Units that vest after the Reorganization Event shall immediately vest in full as of the consummation of the Reorganization Event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assumed or substituted Restricted Stock Unit award shall immediately become vested in full if, on or prior to the first anniversary of the date of the consummation of the Reorganization Event, the Participant’s employment with the Company or the acquiring or succeeding corporation is terminated for Good Reason (as defined in Section 11(b)(4)(c) below) by the Participant or is terminated without Cause by the Company or the acquiring or succeeding corporation.</w:t>
      </w:r>
    </w:p>
    <w:p>
      <w:pPr>
        <w:spacing w:after="0" w:line="49"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For purposes hereof, a Restricted Stock Unit Award shall be considered to be assumed if, following consummation of the Reorganization Event, the Restricted Stock Unit Award confers the right to receive upon vesting and conversion for each Restricted Stock Unit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(or if holders of Common Stock were offered a choice of consideration and the type of consideration chosen by the holders of a majority of the outstanding shares of Common Stock was not common stock of the acquiring or succeeding corporation), the Company may, with the consent of the acquiring or succeeding corporation, provide for the consideration to be received upon the vesting and conversion of Restricted Stock Units to consist solely of common stock of the acquiring or succeeding corporation (or an affiliate thereof) equivalent in value (as determined by the Board of Directors) to the per share consideration received by holders of outstanding shares of Common Stock as a result of the Reorganization Event.</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Notwithstanding the foregoing and anything to the contrary in the Plan, if the acquiring or succeeding corporation (or an affiliate thereof) does not agree to assume, or substitute for, a Restricted Stock Unit Award, or in the event of a liquidation or dissolution of the Company, the Board of Directors shall, upon written notice to the Participant, (A) provide that all then unvested Restricted Stock Units that are exempt from Section 409A will vest in full as of immediately prior to the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of Directors may instead provide that all such unvested Restricted Stock Units shall terminate upon consummation of such Reorganization Event and that the Participant shall receive, in exchange therefor, a cash payment equal to the amount equal to the Acquisition Price multiplied by the number of shares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9" w:name="page120"/>
    <w:bookmarkEnd w:id="119"/>
    <w:p>
      <w:pPr>
        <w:ind w:right="100"/>
        <w:spacing w:after="0" w:line="264" w:lineRule="auto"/>
        <w:rPr>
          <w:sz w:val="20"/>
          <w:szCs w:val="20"/>
          <w:color w:val="auto"/>
        </w:rPr>
      </w:pPr>
      <w:r>
        <w:rPr>
          <w:rFonts w:ascii="Arial" w:cs="Arial" w:eastAsia="Arial" w:hAnsi="Arial"/>
          <w:sz w:val="13"/>
          <w:szCs w:val="13"/>
          <w:color w:val="auto"/>
        </w:rPr>
        <w:t>Common Stock issuable under such unvested Restricted Stock Units; and (B) provide that all then unvested Restricted Stock Units that are not exempt from Section 409A shall be treated in the same manner Restricted Stock Units subject to clause (A) if such Reorganization Event also is a “change in control event” as described in Treasury Regulation Section 1.409A-3(i)(5(i) and if not, shall be terminated as of the Reorganization Event without any payment for the unvested Restricted Stock Units.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Change in Control Event that is not a Reorganization Event</w:t>
      </w:r>
      <w:r>
        <w:rPr>
          <w:rFonts w:ascii="Arial" w:cs="Arial" w:eastAsia="Arial" w:hAnsi="Arial"/>
          <w:sz w:val="13"/>
          <w:szCs w:val="13"/>
          <w:color w:val="auto"/>
        </w:rPr>
        <w:t>. Upon the occurrence of a Change in Control Event that also is a “change in control event” within the meaning of Treasury</w:t>
      </w:r>
    </w:p>
    <w:p>
      <w:pPr>
        <w:spacing w:after="0" w:line="15"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Regulation Section 1.409A-3(i)(5)(i) that does not constitute a Reorganization Event, except to the extent specifically provided to the contrary in the instrument evidencing any award or any other agreement between the Participant and the Company, (A) one-half of the number of Restricted Stock Units that vest after the Change in Control Event shall immediately vest in full as of the consummation of the Change in Control Event and be converted and delivered to the Participant and, subject to (B) below, the remaining one-half of the number of unvested Restricted Stock Units shall continue to vest in accordance with the original schedule set forth in such Restricted Stock Unit Award, with one-half of the number of Restricted Stock Units that would otherwise have become vested on each subsequent vesting date in accordance with the original schedule becoming vested on each subsequent vesting date and (B) such Restricted Stock Unit Award shall immediately become vested in full if, on or prior to the first anniversary of the date of the consummation of the Change in Control Event, the Participant’s employment with the Company is terminated for Good Reason (as defined in Section 11(b)(4)(c) below) by the Participant or is terminated without Cause by the Company.</w:t>
      </w:r>
    </w:p>
    <w:p>
      <w:pPr>
        <w:spacing w:after="0" w:line="49" w:lineRule="exact"/>
        <w:rPr>
          <w:sz w:val="20"/>
          <w:szCs w:val="20"/>
          <w:color w:val="auto"/>
        </w:rPr>
      </w:pPr>
    </w:p>
    <w:p>
      <w:pPr>
        <w:ind w:left="660" w:hanging="170"/>
        <w:spacing w:after="0"/>
        <w:tabs>
          <w:tab w:leader="none" w:pos="66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Definition of Good Reason for the purposes this Section 11(b)(4) of the Plan.</w:t>
      </w:r>
    </w:p>
    <w:p>
      <w:pPr>
        <w:spacing w:after="0" w:line="86" w:lineRule="exact"/>
        <w:rPr>
          <w:rFonts w:ascii="Arial" w:cs="Arial" w:eastAsia="Arial" w:hAnsi="Arial"/>
          <w:sz w:val="13"/>
          <w:szCs w:val="13"/>
          <w:color w:val="auto"/>
        </w:rPr>
      </w:pPr>
    </w:p>
    <w:p>
      <w:pPr>
        <w:ind w:left="1360" w:hanging="329"/>
        <w:spacing w:after="0"/>
        <w:tabs>
          <w:tab w:leader="none" w:pos="1360" w:val="left"/>
        </w:tabs>
        <w:numPr>
          <w:ilvl w:val="1"/>
          <w:numId w:val="97"/>
        </w:numPr>
        <w:rPr>
          <w:rFonts w:ascii="Arial" w:cs="Arial" w:eastAsia="Arial" w:hAnsi="Arial"/>
          <w:sz w:val="13"/>
          <w:szCs w:val="13"/>
          <w:color w:val="auto"/>
        </w:rPr>
      </w:pPr>
      <w:r>
        <w:rPr>
          <w:rFonts w:ascii="Arial" w:cs="Arial" w:eastAsia="Arial" w:hAnsi="Arial"/>
          <w:sz w:val="13"/>
          <w:szCs w:val="13"/>
          <w:color w:val="auto"/>
        </w:rPr>
        <w:t>For any Restricted Stock Unit Awards granted on or before December 10, 2009, “Good Reason” shall mean good reason as defined in Section 11(b)(1)(c) of the Plan.</w:t>
      </w:r>
    </w:p>
    <w:p>
      <w:pPr>
        <w:spacing w:after="0" w:line="86" w:lineRule="exact"/>
        <w:rPr>
          <w:rFonts w:ascii="Arial" w:cs="Arial" w:eastAsia="Arial" w:hAnsi="Arial"/>
          <w:sz w:val="13"/>
          <w:szCs w:val="13"/>
          <w:color w:val="auto"/>
        </w:rPr>
      </w:pPr>
    </w:p>
    <w:p>
      <w:pPr>
        <w:ind w:left="1360" w:hanging="329"/>
        <w:spacing w:after="0" w:line="257" w:lineRule="auto"/>
        <w:tabs>
          <w:tab w:leader="none" w:pos="1360" w:val="left"/>
        </w:tabs>
        <w:numPr>
          <w:ilvl w:val="1"/>
          <w:numId w:val="97"/>
        </w:numPr>
        <w:rPr>
          <w:rFonts w:ascii="Arial" w:cs="Arial" w:eastAsia="Arial" w:hAnsi="Arial"/>
          <w:sz w:val="13"/>
          <w:szCs w:val="13"/>
          <w:color w:val="auto"/>
        </w:rPr>
      </w:pPr>
      <w:r>
        <w:rPr>
          <w:rFonts w:ascii="Arial" w:cs="Arial" w:eastAsia="Arial" w:hAnsi="Arial"/>
          <w:sz w:val="13"/>
          <w:szCs w:val="13"/>
          <w:color w:val="auto"/>
        </w:rPr>
        <w:t>For any Restricted Stock Unit Awards granted after December 10, 2009, “Good Reason” shall mean any significant diminution in the Participant’s title,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 Notwithstanding the occurrence of any such event or circumstance, such occurrence shall not be deemed to constitute Good Reason unless (x) the Participant gives the Company notice of termination no more than 90 days after the initial existence of such event or circumstance, (y)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0" w:name="page121"/>
    <w:bookmarkEnd w:id="120"/>
    <w:p>
      <w:pPr>
        <w:ind w:left="1361"/>
        <w:spacing w:after="0" w:line="276" w:lineRule="auto"/>
        <w:rPr>
          <w:sz w:val="20"/>
          <w:szCs w:val="20"/>
          <w:color w:val="auto"/>
        </w:rPr>
      </w:pPr>
      <w:r>
        <w:rPr>
          <w:rFonts w:ascii="Arial" w:cs="Arial" w:eastAsia="Arial" w:hAnsi="Arial"/>
          <w:sz w:val="13"/>
          <w:szCs w:val="13"/>
          <w:color w:val="auto"/>
        </w:rPr>
        <w:t>event or circumstance has not been fully corrected by the Company within 30 days of the Company’s receipt of such notice and (z) the Participant’s termination occurs within 60 days following the Company’s receipt of such notice.</w:t>
      </w:r>
    </w:p>
    <w:p>
      <w:pPr>
        <w:spacing w:after="0" w:line="49" w:lineRule="exact"/>
        <w:rPr>
          <w:sz w:val="20"/>
          <w:szCs w:val="20"/>
          <w:color w:val="auto"/>
        </w:rPr>
      </w:pPr>
    </w:p>
    <w:p>
      <w:pPr>
        <w:ind w:left="1" w:right="120" w:firstLine="326"/>
        <w:spacing w:after="0" w:line="276" w:lineRule="auto"/>
        <w:tabs>
          <w:tab w:leader="none" w:pos="514" w:val="left"/>
        </w:tabs>
        <w:numPr>
          <w:ilvl w:val="2"/>
          <w:numId w:val="98"/>
        </w:numPr>
        <w:rPr>
          <w:rFonts w:ascii="Arial" w:cs="Arial" w:eastAsia="Arial" w:hAnsi="Arial"/>
          <w:sz w:val="13"/>
          <w:szCs w:val="13"/>
          <w:color w:val="auto"/>
        </w:rPr>
      </w:pPr>
      <w:r>
        <w:rPr>
          <w:rFonts w:ascii="Arial" w:cs="Arial" w:eastAsia="Arial" w:hAnsi="Arial"/>
          <w:sz w:val="13"/>
          <w:szCs w:val="13"/>
          <w:u w:val="single" w:color="auto"/>
          <w:color w:val="auto"/>
        </w:rPr>
        <w:t>Effect on Stock Appreciation Rights and Other Stock Unit Awards</w:t>
      </w:r>
      <w:r>
        <w:rPr>
          <w:rFonts w:ascii="Arial" w:cs="Arial" w:eastAsia="Arial" w:hAnsi="Arial"/>
          <w:sz w:val="13"/>
          <w:szCs w:val="13"/>
          <w:color w:val="auto"/>
        </w:rPr>
        <w:t>. The Board may specify in an Award at the time of the grant the effect of a Reorganization Event and Change in Control Event on any SAR or Other Stock Unit Award.</w:t>
      </w:r>
    </w:p>
    <w:p>
      <w:pPr>
        <w:spacing w:after="0" w:line="49" w:lineRule="exact"/>
        <w:rPr>
          <w:rFonts w:ascii="Arial" w:cs="Arial" w:eastAsia="Arial" w:hAnsi="Arial"/>
          <w:sz w:val="13"/>
          <w:szCs w:val="13"/>
          <w:color w:val="auto"/>
        </w:rPr>
      </w:pPr>
    </w:p>
    <w:p>
      <w:pPr>
        <w:ind w:left="201" w:hanging="201"/>
        <w:spacing w:after="0"/>
        <w:tabs>
          <w:tab w:leader="none" w:pos="201"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General Provisions Applicable to Awards</w:t>
      </w:r>
    </w:p>
    <w:p>
      <w:pPr>
        <w:spacing w:after="0" w:line="86" w:lineRule="exact"/>
        <w:rPr>
          <w:rFonts w:ascii="Arial" w:cs="Arial" w:eastAsia="Arial" w:hAnsi="Arial"/>
          <w:sz w:val="13"/>
          <w:szCs w:val="13"/>
          <w:color w:val="auto"/>
        </w:rPr>
      </w:pPr>
    </w:p>
    <w:p>
      <w:pPr>
        <w:ind w:left="1" w:firstLine="162"/>
        <w:spacing w:after="0" w:line="281" w:lineRule="auto"/>
        <w:tabs>
          <w:tab w:leader="none" w:pos="343"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Transferability of Awards</w:t>
      </w:r>
      <w:r>
        <w:rPr>
          <w:rFonts w:ascii="Arial" w:cs="Arial" w:eastAsia="Arial" w:hAnsi="Arial"/>
          <w:sz w:val="12"/>
          <w:szCs w:val="12"/>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however, that the Board may permit or provide in an Award for the gratuitous transfer of the Award by the Participant to or for the benefit of any immediate family member, family trust or family partnership established solely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w:t>
      </w:r>
      <w:r>
        <w:rPr>
          <w:rFonts w:ascii="Arial" w:cs="Arial" w:eastAsia="Arial" w:hAnsi="Arial"/>
          <w:sz w:val="12"/>
          <w:szCs w:val="12"/>
          <w:u w:val="single" w:color="auto"/>
          <w:color w:val="auto"/>
        </w:rPr>
        <w:t>provided</w:t>
      </w:r>
      <w:r>
        <w:rPr>
          <w:rFonts w:ascii="Arial" w:cs="Arial" w:eastAsia="Arial" w:hAnsi="Arial"/>
          <w:sz w:val="12"/>
          <w:szCs w:val="12"/>
          <w:color w:val="auto"/>
        </w:rPr>
        <w:t>,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48" w:lineRule="exact"/>
        <w:rPr>
          <w:rFonts w:ascii="Arial" w:cs="Arial" w:eastAsia="Arial" w:hAnsi="Arial"/>
          <w:sz w:val="12"/>
          <w:szCs w:val="12"/>
          <w:color w:val="auto"/>
        </w:rPr>
      </w:pPr>
    </w:p>
    <w:p>
      <w:pPr>
        <w:ind w:left="1" w:right="280" w:firstLine="162"/>
        <w:spacing w:after="0" w:line="276" w:lineRule="auto"/>
        <w:tabs>
          <w:tab w:leader="none" w:pos="351" w:val="left"/>
        </w:tabs>
        <w:numPr>
          <w:ilvl w:val="1"/>
          <w:numId w:val="99"/>
        </w:numPr>
        <w:rPr>
          <w:rFonts w:ascii="Arial" w:cs="Arial" w:eastAsia="Arial" w:hAnsi="Arial"/>
          <w:sz w:val="13"/>
          <w:szCs w:val="13"/>
          <w:color w:val="auto"/>
        </w:rPr>
      </w:pPr>
      <w:r>
        <w:rPr>
          <w:rFonts w:ascii="Arial" w:cs="Arial" w:eastAsia="Arial" w:hAnsi="Arial"/>
          <w:sz w:val="13"/>
          <w:szCs w:val="13"/>
          <w:u w:val="single" w:color="auto"/>
          <w:color w:val="auto"/>
        </w:rPr>
        <w:t>Documentation</w:t>
      </w:r>
      <w:r>
        <w:rPr>
          <w:rFonts w:ascii="Arial" w:cs="Arial" w:eastAsia="Arial" w:hAnsi="Arial"/>
          <w:sz w:val="13"/>
          <w:szCs w:val="13"/>
          <w:color w:val="auto"/>
        </w:rPr>
        <w:t>. Each Award shall be evidenced in such form (written, electronic or otherwise) as the Board shall determine. Each Award may contain terms and conditions in addition to those set forth in the Plan. In the event of any conflict between the terms of any Award agreement and this Plan, this Plan shall govern and control.</w:t>
      </w:r>
    </w:p>
    <w:p>
      <w:pPr>
        <w:spacing w:after="0" w:line="49" w:lineRule="exact"/>
        <w:rPr>
          <w:rFonts w:ascii="Arial" w:cs="Arial" w:eastAsia="Arial" w:hAnsi="Arial"/>
          <w:sz w:val="13"/>
          <w:szCs w:val="13"/>
          <w:color w:val="auto"/>
        </w:rPr>
      </w:pPr>
    </w:p>
    <w:p>
      <w:pPr>
        <w:ind w:left="1" w:right="180" w:firstLine="162"/>
        <w:spacing w:after="0" w:line="276" w:lineRule="auto"/>
        <w:tabs>
          <w:tab w:leader="none" w:pos="343" w:val="left"/>
        </w:tabs>
        <w:numPr>
          <w:ilvl w:val="1"/>
          <w:numId w:val="99"/>
        </w:numPr>
        <w:rPr>
          <w:rFonts w:ascii="Arial" w:cs="Arial" w:eastAsia="Arial" w:hAnsi="Arial"/>
          <w:sz w:val="13"/>
          <w:szCs w:val="13"/>
          <w:color w:val="auto"/>
        </w:rPr>
      </w:pPr>
      <w:r>
        <w:rPr>
          <w:rFonts w:ascii="Arial" w:cs="Arial" w:eastAsia="Arial" w:hAnsi="Arial"/>
          <w:sz w:val="13"/>
          <w:szCs w:val="13"/>
          <w:u w:val="single" w:color="auto"/>
          <w:color w:val="auto"/>
        </w:rPr>
        <w:t>Board Discretion</w:t>
      </w:r>
      <w:r>
        <w:rPr>
          <w:rFonts w:ascii="Arial" w:cs="Arial" w:eastAsia="Arial" w:hAnsi="Arial"/>
          <w:sz w:val="13"/>
          <w:szCs w:val="13"/>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49" w:lineRule="exact"/>
        <w:rPr>
          <w:rFonts w:ascii="Arial" w:cs="Arial" w:eastAsia="Arial" w:hAnsi="Arial"/>
          <w:sz w:val="13"/>
          <w:szCs w:val="13"/>
          <w:color w:val="auto"/>
        </w:rPr>
      </w:pPr>
    </w:p>
    <w:p>
      <w:pPr>
        <w:ind w:left="1" w:right="100" w:firstLine="162"/>
        <w:spacing w:after="0" w:line="320" w:lineRule="auto"/>
        <w:tabs>
          <w:tab w:leader="none" w:pos="351"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Termination of Status</w:t>
      </w:r>
      <w:r>
        <w:rPr>
          <w:rFonts w:ascii="Arial" w:cs="Arial" w:eastAsia="Arial" w:hAnsi="Arial"/>
          <w:sz w:val="12"/>
          <w:szCs w:val="12"/>
          <w:color w:val="auto"/>
        </w:rPr>
        <w:t>. The Board shall determine the effect on an Award of the disability, death, retirement,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25" w:lineRule="exact"/>
        <w:rPr>
          <w:rFonts w:ascii="Arial" w:cs="Arial" w:eastAsia="Arial" w:hAnsi="Arial"/>
          <w:sz w:val="12"/>
          <w:szCs w:val="12"/>
          <w:color w:val="auto"/>
        </w:rPr>
      </w:pPr>
    </w:p>
    <w:p>
      <w:pPr>
        <w:ind w:left="1" w:right="140" w:firstLine="162"/>
        <w:spacing w:after="0" w:line="264" w:lineRule="auto"/>
        <w:tabs>
          <w:tab w:leader="none" w:pos="343" w:val="left"/>
        </w:tabs>
        <w:numPr>
          <w:ilvl w:val="1"/>
          <w:numId w:val="99"/>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The Company may require each Participant to pay to the Company, or make provision satisfactory to the Company for payment of, any taxes, social security contributions or other similar amounts required by law to be withheld in connection with an Award to such Participant. Unless otherwise provided for in the applicable Award agreement, a Participant may satisfy such tax obligations in whole or in part by delivery of shares of Common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1" w:name="page122"/>
    <w:bookmarkEnd w:id="121"/>
    <w:p>
      <w:pPr>
        <w:ind w:left="1"/>
        <w:spacing w:after="0" w:line="289" w:lineRule="auto"/>
        <w:rPr>
          <w:sz w:val="20"/>
          <w:szCs w:val="20"/>
          <w:color w:val="auto"/>
        </w:rPr>
      </w:pPr>
      <w:r>
        <w:rPr>
          <w:rFonts w:ascii="Arial" w:cs="Arial" w:eastAsia="Arial" w:hAnsi="Arial"/>
          <w:sz w:val="12"/>
          <w:szCs w:val="12"/>
          <w:color w:val="auto"/>
        </w:rPr>
        <w:t xml:space="preserve">Stock, including shares retained from the Award creating the tax obligation, valued at their Fair Market Value; </w:t>
      </w:r>
      <w:r>
        <w:rPr>
          <w:rFonts w:ascii="Arial" w:cs="Arial" w:eastAsia="Arial" w:hAnsi="Arial"/>
          <w:sz w:val="12"/>
          <w:szCs w:val="12"/>
          <w:u w:val="single" w:color="auto"/>
          <w:color w:val="auto"/>
        </w:rPr>
        <w:t>provided</w:t>
      </w:r>
      <w:r>
        <w:rPr>
          <w:rFonts w:ascii="Arial" w:cs="Arial" w:eastAsia="Arial" w:hAnsi="Arial"/>
          <w:sz w:val="12"/>
          <w:szCs w:val="12"/>
          <w:color w:val="auto"/>
        </w:rPr>
        <w:t>,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43" w:lineRule="exact"/>
        <w:rPr>
          <w:sz w:val="20"/>
          <w:szCs w:val="20"/>
          <w:color w:val="auto"/>
        </w:rPr>
      </w:pPr>
    </w:p>
    <w:p>
      <w:pPr>
        <w:ind w:left="1" w:right="220" w:firstLine="162"/>
        <w:spacing w:after="0" w:line="264" w:lineRule="auto"/>
        <w:tabs>
          <w:tab w:leader="none" w:pos="329" w:val="left"/>
        </w:tabs>
        <w:numPr>
          <w:ilvl w:val="1"/>
          <w:numId w:val="100"/>
        </w:numPr>
        <w:rPr>
          <w:rFonts w:ascii="Arial" w:cs="Arial" w:eastAsia="Arial" w:hAnsi="Arial"/>
          <w:sz w:val="13"/>
          <w:szCs w:val="13"/>
          <w:color w:val="auto"/>
        </w:rPr>
      </w:pPr>
      <w:r>
        <w:rPr>
          <w:rFonts w:ascii="Arial" w:cs="Arial" w:eastAsia="Arial" w:hAnsi="Arial"/>
          <w:sz w:val="13"/>
          <w:szCs w:val="13"/>
          <w:u w:val="single" w:color="auto"/>
          <w:color w:val="auto"/>
        </w:rPr>
        <w:t>Amendment of Award</w:t>
      </w:r>
      <w:r>
        <w:rPr>
          <w:rFonts w:ascii="Arial" w:cs="Arial" w:eastAsia="Arial" w:hAnsi="Arial"/>
          <w:sz w:val="13"/>
          <w:szCs w:val="13"/>
          <w:color w:val="auto"/>
        </w:rPr>
        <w:t xml:space="preserve">. Except as set forth in Sections 5(g)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Participant’s consent to such action shall be required unless the Board determines that the action, taking into account any related action, would not materially and adversely affect the Participant.</w:t>
      </w:r>
    </w:p>
    <w:p>
      <w:pPr>
        <w:spacing w:after="0" w:line="57" w:lineRule="exact"/>
        <w:rPr>
          <w:rFonts w:ascii="Arial" w:cs="Arial" w:eastAsia="Arial" w:hAnsi="Arial"/>
          <w:sz w:val="13"/>
          <w:szCs w:val="13"/>
          <w:color w:val="auto"/>
        </w:rPr>
      </w:pPr>
    </w:p>
    <w:p>
      <w:pPr>
        <w:ind w:left="341" w:hanging="178"/>
        <w:spacing w:after="0"/>
        <w:tabs>
          <w:tab w:leader="none" w:pos="341" w:val="left"/>
        </w:tabs>
        <w:numPr>
          <w:ilvl w:val="1"/>
          <w:numId w:val="100"/>
        </w:numPr>
        <w:rPr>
          <w:rFonts w:ascii="Arial" w:cs="Arial" w:eastAsia="Arial" w:hAnsi="Arial"/>
          <w:sz w:val="12"/>
          <w:szCs w:val="12"/>
          <w:color w:val="auto"/>
        </w:rPr>
      </w:pPr>
      <w:r>
        <w:rPr>
          <w:rFonts w:ascii="Arial" w:cs="Arial" w:eastAsia="Arial" w:hAnsi="Arial"/>
          <w:sz w:val="12"/>
          <w:szCs w:val="12"/>
          <w:u w:val="single" w:color="auto"/>
          <w:color w:val="auto"/>
        </w:rPr>
        <w:t>Conditions on Delivery of Stock</w:t>
      </w:r>
      <w:r>
        <w:rPr>
          <w:rFonts w:ascii="Arial" w:cs="Arial" w:eastAsia="Arial" w:hAnsi="Arial"/>
          <w:sz w:val="12"/>
          <w:szCs w:val="12"/>
          <w:color w:val="auto"/>
        </w:rPr>
        <w:t>. The Company will not be obligated to deliver any shares of Common Stock pursuant to the Plan or to remove restrictions from shares previously delivered under the Plan until</w:t>
      </w:r>
    </w:p>
    <w:p>
      <w:pPr>
        <w:spacing w:after="0" w:line="26" w:lineRule="exact"/>
        <w:rPr>
          <w:rFonts w:ascii="Arial" w:cs="Arial" w:eastAsia="Arial" w:hAnsi="Arial"/>
          <w:sz w:val="12"/>
          <w:szCs w:val="12"/>
          <w:color w:val="auto"/>
        </w:rPr>
      </w:pPr>
    </w:p>
    <w:p>
      <w:pPr>
        <w:jc w:val="both"/>
        <w:ind w:left="1" w:right="240" w:hanging="1"/>
        <w:spacing w:after="0" w:line="258" w:lineRule="auto"/>
        <w:tabs>
          <w:tab w:leader="none" w:pos="158"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60" w:lineRule="exact"/>
        <w:rPr>
          <w:rFonts w:ascii="Arial" w:cs="Arial" w:eastAsia="Arial" w:hAnsi="Arial"/>
          <w:sz w:val="13"/>
          <w:szCs w:val="13"/>
          <w:color w:val="auto"/>
        </w:rPr>
      </w:pPr>
    </w:p>
    <w:p>
      <w:pPr>
        <w:ind w:left="1" w:right="220" w:firstLine="162"/>
        <w:spacing w:after="0" w:line="276" w:lineRule="auto"/>
        <w:tabs>
          <w:tab w:leader="none" w:pos="351" w:val="left"/>
        </w:tabs>
        <w:numPr>
          <w:ilvl w:val="1"/>
          <w:numId w:val="101"/>
        </w:numPr>
        <w:rPr>
          <w:rFonts w:ascii="Arial" w:cs="Arial" w:eastAsia="Arial" w:hAnsi="Arial"/>
          <w:sz w:val="13"/>
          <w:szCs w:val="13"/>
          <w:color w:val="auto"/>
        </w:rPr>
      </w:pPr>
      <w:r>
        <w:rPr>
          <w:rFonts w:ascii="Arial" w:cs="Arial" w:eastAsia="Arial" w:hAnsi="Arial"/>
          <w:sz w:val="13"/>
          <w:szCs w:val="13"/>
          <w:u w:val="single" w:color="auto"/>
          <w:color w:val="auto"/>
        </w:rPr>
        <w:t>Acceleration</w:t>
      </w:r>
      <w:r>
        <w:rPr>
          <w:rFonts w:ascii="Arial" w:cs="Arial" w:eastAsia="Arial" w:hAnsi="Arial"/>
          <w:sz w:val="13"/>
          <w:szCs w:val="13"/>
          <w:color w:val="auto"/>
        </w:rPr>
        <w:t>. Notwithstanding anything to the contrary in the Plan, the Board may at any time provide that any Award shall become immediately exercisable in full or in part, free of some or all restrictions or conditions, or otherwise realizable in full or in part, as the case may be.</w:t>
      </w:r>
    </w:p>
    <w:p>
      <w:pPr>
        <w:spacing w:after="0" w:line="49" w:lineRule="exact"/>
        <w:rPr>
          <w:sz w:val="20"/>
          <w:szCs w:val="20"/>
          <w:color w:val="auto"/>
        </w:rPr>
      </w:pPr>
    </w:p>
    <w:p>
      <w:pPr>
        <w:ind w:left="201" w:hanging="201"/>
        <w:spacing w:after="0"/>
        <w:tabs>
          <w:tab w:leader="none" w:pos="201"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Miscellaneous</w:t>
      </w:r>
    </w:p>
    <w:p>
      <w:pPr>
        <w:spacing w:after="0" w:line="86" w:lineRule="exact"/>
        <w:rPr>
          <w:rFonts w:ascii="Arial" w:cs="Arial" w:eastAsia="Arial" w:hAnsi="Arial"/>
          <w:sz w:val="13"/>
          <w:szCs w:val="13"/>
          <w:color w:val="auto"/>
        </w:rPr>
      </w:pPr>
    </w:p>
    <w:p>
      <w:pPr>
        <w:ind w:left="1" w:right="60" w:firstLine="162"/>
        <w:spacing w:after="0" w:line="264" w:lineRule="auto"/>
        <w:tabs>
          <w:tab w:leader="none" w:pos="343"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t>No Right To Employment or Other Status</w:t>
      </w:r>
      <w:r>
        <w:rPr>
          <w:rFonts w:ascii="Arial" w:cs="Arial" w:eastAsia="Arial" w:hAnsi="Arial"/>
          <w:sz w:val="13"/>
          <w:szCs w:val="13"/>
          <w:color w:val="auto"/>
        </w:rPr>
        <w:t xml:space="preserve">.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in the applicable Award.</w:t>
      </w:r>
    </w:p>
    <w:p>
      <w:pPr>
        <w:spacing w:after="0" w:line="57" w:lineRule="exact"/>
        <w:rPr>
          <w:rFonts w:ascii="Arial" w:cs="Arial" w:eastAsia="Arial" w:hAnsi="Arial"/>
          <w:sz w:val="13"/>
          <w:szCs w:val="13"/>
          <w:color w:val="auto"/>
        </w:rPr>
      </w:pPr>
    </w:p>
    <w:p>
      <w:pPr>
        <w:ind w:left="1" w:right="40" w:firstLine="162"/>
        <w:spacing w:after="0" w:line="264" w:lineRule="auto"/>
        <w:tabs>
          <w:tab w:leader="none" w:pos="351"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t>No Rights As Stockholder</w:t>
      </w:r>
      <w:r>
        <w:rPr>
          <w:rFonts w:ascii="Arial" w:cs="Arial" w:eastAsia="Arial" w:hAnsi="Arial"/>
          <w:sz w:val="13"/>
          <w:szCs w:val="13"/>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2" w:name="page123"/>
    <w:bookmarkEnd w:id="122"/>
    <w:p>
      <w:pPr>
        <w:ind w:left="1" w:right="140"/>
        <w:spacing w:after="0" w:line="264" w:lineRule="auto"/>
        <w:rPr>
          <w:sz w:val="20"/>
          <w:szCs w:val="20"/>
          <w:color w:val="auto"/>
        </w:rPr>
      </w:pPr>
      <w:r>
        <w:rPr>
          <w:rFonts w:ascii="Arial" w:cs="Arial" w:eastAsia="Arial" w:hAnsi="Arial"/>
          <w:sz w:val="13"/>
          <w:szCs w:val="13"/>
          <w:color w:val="auto"/>
        </w:rPr>
        <w:t>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57" w:lineRule="exact"/>
        <w:rPr>
          <w:sz w:val="20"/>
          <w:szCs w:val="20"/>
          <w:color w:val="auto"/>
        </w:rPr>
      </w:pPr>
    </w:p>
    <w:p>
      <w:pPr>
        <w:ind w:left="1" w:right="160" w:firstLine="162"/>
        <w:spacing w:after="0" w:line="276" w:lineRule="auto"/>
        <w:tabs>
          <w:tab w:leader="none" w:pos="343"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Effective Date and Term of Plan</w:t>
      </w:r>
      <w:r>
        <w:rPr>
          <w:rFonts w:ascii="Arial" w:cs="Arial" w:eastAsia="Arial" w:hAnsi="Arial"/>
          <w:sz w:val="13"/>
          <w:szCs w:val="13"/>
          <w:color w:val="auto"/>
        </w:rPr>
        <w:t>. The Plan shall become effective on the date the Plan has been approved by the Company’s stockholders (the “Effective Date”). No Awards shall be granted under the Plan after the completion of 10 years from the Effective Date, but Awards previously granted may extend beyond that date.</w:t>
      </w:r>
    </w:p>
    <w:p>
      <w:pPr>
        <w:spacing w:after="0" w:line="49" w:lineRule="exact"/>
        <w:rPr>
          <w:rFonts w:ascii="Arial" w:cs="Arial" w:eastAsia="Arial" w:hAnsi="Arial"/>
          <w:sz w:val="13"/>
          <w:szCs w:val="13"/>
          <w:color w:val="auto"/>
        </w:rPr>
      </w:pPr>
    </w:p>
    <w:p>
      <w:pPr>
        <w:ind w:left="341" w:hanging="178"/>
        <w:spacing w:after="0"/>
        <w:tabs>
          <w:tab w:leader="none" w:pos="341"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Amendment of Plan</w:t>
      </w:r>
      <w:r>
        <w:rPr>
          <w:rFonts w:ascii="Arial" w:cs="Arial" w:eastAsia="Arial" w:hAnsi="Arial"/>
          <w:sz w:val="12"/>
          <w:szCs w:val="12"/>
          <w:color w:val="auto"/>
        </w:rPr>
        <w:t xml:space="preserve">. Except as set forth in Sections 5(g) and 6(f), the Board may amend, suspend or terminate the Plan or any portion thereof at any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to the extent required by</w:t>
      </w:r>
    </w:p>
    <w:p>
      <w:pPr>
        <w:spacing w:after="0" w:line="27" w:lineRule="exact"/>
        <w:rPr>
          <w:sz w:val="20"/>
          <w:szCs w:val="20"/>
          <w:color w:val="auto"/>
        </w:rPr>
      </w:pPr>
    </w:p>
    <w:p>
      <w:pPr>
        <w:ind w:left="1" w:right="40"/>
        <w:spacing w:after="0" w:line="298" w:lineRule="auto"/>
        <w:rPr>
          <w:sz w:val="20"/>
          <w:szCs w:val="20"/>
          <w:color w:val="auto"/>
        </w:rPr>
      </w:pPr>
      <w:r>
        <w:rPr>
          <w:rFonts w:ascii="Arial" w:cs="Arial" w:eastAsia="Arial" w:hAnsi="Arial"/>
          <w:sz w:val="11"/>
          <w:szCs w:val="11"/>
          <w:color w:val="auto"/>
        </w:rPr>
        <w:t>Section 162(m), no Award granted to a Participant that is intended to comply with Section 162(m) after the date of such amendment shall become exercisable, realizable or vested, as applicable to such Award, unless and until such amendment shall have been approved by the Company’s stockholders if required by Section 162(m) (including the vote required under Section 162(m)); (ii) no amendment that would require stockholder approval under the rules of the New York Stock Exchange (“NYSE”) may be made effective unless and until such amendment shall have been approved by the Company’s stockholders; and (iii) if the NYSE amends its corporate governance rules so that such rules no longer require stockholder approval of “material revisions” to equity compensation plans, then, from and after the effective date of such amendment to the NYSE rules, no amendment to the Plan (A) materially increasing the number of shares authorized under the Plan (other than pursuant to Section 11), (B) expanding the types of Awards that may be granted under the Plan, or</w:t>
      </w:r>
    </w:p>
    <w:p>
      <w:pPr>
        <w:spacing w:after="0" w:line="1" w:lineRule="exact"/>
        <w:rPr>
          <w:sz w:val="20"/>
          <w:szCs w:val="20"/>
          <w:color w:val="auto"/>
        </w:rPr>
      </w:pPr>
    </w:p>
    <w:p>
      <w:pPr>
        <w:ind w:left="1" w:right="20" w:hanging="1"/>
        <w:spacing w:after="0" w:line="258" w:lineRule="auto"/>
        <w:tabs>
          <w:tab w:leader="none" w:pos="20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w:t>
      </w:r>
    </w:p>
    <w:p>
      <w:pPr>
        <w:spacing w:after="0" w:line="60" w:lineRule="exact"/>
        <w:rPr>
          <w:rFonts w:ascii="Arial" w:cs="Arial" w:eastAsia="Arial" w:hAnsi="Arial"/>
          <w:sz w:val="13"/>
          <w:szCs w:val="13"/>
          <w:color w:val="auto"/>
        </w:rPr>
      </w:pPr>
    </w:p>
    <w:p>
      <w:pPr>
        <w:ind w:left="1" w:right="160" w:firstLine="162"/>
        <w:spacing w:after="0" w:line="276" w:lineRule="auto"/>
        <w:tabs>
          <w:tab w:leader="none" w:pos="343" w:val="left"/>
        </w:tabs>
        <w:numPr>
          <w:ilvl w:val="1"/>
          <w:numId w:val="104"/>
        </w:numPr>
        <w:rPr>
          <w:rFonts w:ascii="Arial" w:cs="Arial" w:eastAsia="Arial" w:hAnsi="Arial"/>
          <w:sz w:val="13"/>
          <w:szCs w:val="13"/>
          <w:color w:val="auto"/>
        </w:rPr>
      </w:pPr>
      <w:r>
        <w:rPr>
          <w:rFonts w:ascii="Arial" w:cs="Arial" w:eastAsia="Arial" w:hAnsi="Arial"/>
          <w:sz w:val="13"/>
          <w:szCs w:val="13"/>
          <w:u w:val="single" w:color="auto"/>
          <w:color w:val="auto"/>
        </w:rPr>
        <w:t>Provisions for Foreign Participants</w:t>
      </w:r>
      <w:r>
        <w:rPr>
          <w:rFonts w:ascii="Arial" w:cs="Arial" w:eastAsia="Arial" w:hAnsi="Arial"/>
          <w:sz w:val="13"/>
          <w:szCs w:val="13"/>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49" w:lineRule="exact"/>
        <w:rPr>
          <w:rFonts w:ascii="Arial" w:cs="Arial" w:eastAsia="Arial" w:hAnsi="Arial"/>
          <w:sz w:val="13"/>
          <w:szCs w:val="13"/>
          <w:color w:val="auto"/>
        </w:rPr>
      </w:pPr>
    </w:p>
    <w:p>
      <w:pPr>
        <w:ind w:left="321" w:hanging="158"/>
        <w:spacing w:after="0"/>
        <w:tabs>
          <w:tab w:leader="none" w:pos="321" w:val="left"/>
        </w:tabs>
        <w:numPr>
          <w:ilvl w:val="1"/>
          <w:numId w:val="104"/>
        </w:numPr>
        <w:rPr>
          <w:rFonts w:ascii="Arial" w:cs="Arial" w:eastAsia="Arial" w:hAnsi="Arial"/>
          <w:sz w:val="13"/>
          <w:szCs w:val="13"/>
          <w:color w:val="auto"/>
        </w:rPr>
      </w:pPr>
      <w:r>
        <w:rPr>
          <w:rFonts w:ascii="Arial" w:cs="Arial" w:eastAsia="Arial" w:hAnsi="Arial"/>
          <w:sz w:val="13"/>
          <w:szCs w:val="13"/>
          <w:u w:val="single" w:color="auto"/>
          <w:color w:val="auto"/>
        </w:rPr>
        <w:t>Section 409A.</w:t>
      </w:r>
    </w:p>
    <w:p>
      <w:pPr>
        <w:spacing w:after="0" w:line="86" w:lineRule="exact"/>
        <w:rPr>
          <w:rFonts w:ascii="Arial" w:cs="Arial" w:eastAsia="Arial" w:hAnsi="Arial"/>
          <w:sz w:val="13"/>
          <w:szCs w:val="13"/>
          <w:color w:val="auto"/>
        </w:rPr>
      </w:pPr>
    </w:p>
    <w:p>
      <w:pPr>
        <w:ind w:left="1" w:firstLine="326"/>
        <w:spacing w:after="0" w:line="320" w:lineRule="auto"/>
        <w:tabs>
          <w:tab w:leader="none" w:pos="514" w:val="left"/>
        </w:tabs>
        <w:numPr>
          <w:ilvl w:val="2"/>
          <w:numId w:val="104"/>
        </w:numPr>
        <w:rPr>
          <w:rFonts w:ascii="Arial" w:cs="Arial" w:eastAsia="Arial" w:hAnsi="Arial"/>
          <w:sz w:val="12"/>
          <w:szCs w:val="12"/>
          <w:color w:val="auto"/>
        </w:rPr>
      </w:pPr>
      <w:r>
        <w:rPr>
          <w:rFonts w:ascii="Arial" w:cs="Arial" w:eastAsia="Arial" w:hAnsi="Arial"/>
          <w:sz w:val="12"/>
          <w:szCs w:val="12"/>
          <w:color w:val="auto"/>
        </w:rPr>
        <w:t>It is the intent of the Company that any deferral of the receipt of the payment of cash or the delivery of shares of Common Stock that the Board may permit or require and Award that is granted that is subject to Section 409A of the Code (“Section 409A”) comply with the requirements of Section 409A; provided that no guaranty is made by the Company to Participants that Awards will so comply.</w:t>
      </w:r>
    </w:p>
    <w:p>
      <w:pPr>
        <w:spacing w:after="0" w:line="25" w:lineRule="exact"/>
        <w:rPr>
          <w:rFonts w:ascii="Arial" w:cs="Arial" w:eastAsia="Arial" w:hAnsi="Arial"/>
          <w:sz w:val="12"/>
          <w:szCs w:val="12"/>
          <w:color w:val="auto"/>
        </w:rPr>
      </w:pPr>
    </w:p>
    <w:p>
      <w:pPr>
        <w:ind w:left="1" w:right="200" w:firstLine="326"/>
        <w:spacing w:after="0" w:line="276" w:lineRule="auto"/>
        <w:tabs>
          <w:tab w:leader="none" w:pos="512" w:val="left"/>
        </w:tabs>
        <w:numPr>
          <w:ilvl w:val="2"/>
          <w:numId w:val="104"/>
        </w:numPr>
        <w:rPr>
          <w:rFonts w:ascii="Arial" w:cs="Arial" w:eastAsia="Arial" w:hAnsi="Arial"/>
          <w:sz w:val="13"/>
          <w:szCs w:val="13"/>
          <w:color w:val="auto"/>
        </w:rPr>
      </w:pPr>
      <w:r>
        <w:rPr>
          <w:rFonts w:ascii="Arial" w:cs="Arial" w:eastAsia="Arial" w:hAnsi="Arial"/>
          <w:sz w:val="13"/>
          <w:szCs w:val="13"/>
          <w:color w:val="auto"/>
        </w:rPr>
        <w:t>The following provisions apply to each Award granted or outstanding under this Plan that are intended to comply with (and not be exempt from) Section 409A: (i) each delivery of shares or cash under each such Award shall be treated as a separate payment for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3" w:name="page124"/>
    <w:bookmarkEnd w:id="123"/>
    <w:p>
      <w:pPr>
        <w:ind w:right="40"/>
        <w:spacing w:after="0" w:line="258" w:lineRule="auto"/>
        <w:rPr>
          <w:sz w:val="20"/>
          <w:szCs w:val="20"/>
          <w:color w:val="auto"/>
        </w:rPr>
      </w:pPr>
      <w:r>
        <w:rPr>
          <w:rFonts w:ascii="Arial" w:cs="Arial" w:eastAsia="Arial" w:hAnsi="Arial"/>
          <w:sz w:val="13"/>
          <w:szCs w:val="13"/>
          <w:color w:val="auto"/>
        </w:rPr>
        <w:t>purposes of Section 409A; (ii) notwithstanding anything in the Award or in the Plan to the contrary, neither the Participant nor the Company may accelerate or defer the delivery of the cash or shares under the Award to a date other than those specified in the Award unless specifically permitted or required by Section 409A; (iii) if a Participant becomes a “specified employee” of the Company (within the meaning of Section 409A) and any of the shares or cash to be delivered under each such Award may be delivered on account of the Participant’s “separation from service” (within the meaning of Section 409A), then any shares or cash that otherwise would have been delivered within the six month period following the separation from service shall be delivered on the date that is six months and one day following the separation from service, with any remaining delivery of shares or cash to be made in accordance with the terms of the Award.</w:t>
      </w:r>
    </w:p>
    <w:p>
      <w:pPr>
        <w:spacing w:after="0" w:line="61" w:lineRule="exact"/>
        <w:rPr>
          <w:sz w:val="20"/>
          <w:szCs w:val="20"/>
          <w:color w:val="auto"/>
        </w:rPr>
      </w:pPr>
    </w:p>
    <w:p>
      <w:pPr>
        <w:ind w:firstLine="326"/>
        <w:spacing w:after="0" w:line="258" w:lineRule="auto"/>
        <w:tabs>
          <w:tab w:leader="none" w:pos="513" w:val="left"/>
        </w:tabs>
        <w:numPr>
          <w:ilvl w:val="1"/>
          <w:numId w:val="105"/>
        </w:numPr>
        <w:rPr>
          <w:rFonts w:ascii="Arial" w:cs="Arial" w:eastAsia="Arial" w:hAnsi="Arial"/>
          <w:sz w:val="13"/>
          <w:szCs w:val="13"/>
          <w:color w:val="auto"/>
        </w:rPr>
      </w:pPr>
      <w:r>
        <w:rPr>
          <w:rFonts w:ascii="Arial" w:cs="Arial" w:eastAsia="Arial" w:hAnsi="Arial"/>
          <w:sz w:val="13"/>
          <w:szCs w:val="13"/>
          <w:color w:val="auto"/>
        </w:rPr>
        <w:t>Notwithstanding Section 13(f)(2)(iii), if a Participant was granted an Award that is intended to comply with (and not be exempt from) Section 409A on or before December 10, 2009, and the Participant becomes a “specified employee” of the Company (within the meaning of Section 409A) and any of the shares or cash to be delivered under each such Award may be delivered on account of the Participant’s “separation from service” (within the meaning of Section 409A), then instead of Section 13(f)(2)(iii) applying, any shares or cash that otherwise would have been delivered within the six month period following the separation from service shall be delivered on the later of (i) the date that is six months and one day following the separation from service, or (ii) July 1, 2010, with any remaining delivery of shares or cash to be made in accordance with the terms of the Award.</w:t>
      </w:r>
    </w:p>
    <w:p>
      <w:pPr>
        <w:spacing w:after="0" w:line="61" w:lineRule="exact"/>
        <w:rPr>
          <w:rFonts w:ascii="Arial" w:cs="Arial" w:eastAsia="Arial" w:hAnsi="Arial"/>
          <w:sz w:val="13"/>
          <w:szCs w:val="13"/>
          <w:color w:val="auto"/>
        </w:rPr>
      </w:pPr>
    </w:p>
    <w:p>
      <w:pPr>
        <w:ind w:right="220" w:firstLine="162"/>
        <w:spacing w:after="0" w:line="276" w:lineRule="auto"/>
        <w:tabs>
          <w:tab w:leader="none" w:pos="349"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provisions of the Plan and all Awards made hereunder shall be governed by and interpreted in accordance with the laws of the Commonwealth of Massachusetts, excluding choice-of-law principles of the law of such state that would require the application of the laws of a jurisdiction other than such state.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3"/>
          <w:szCs w:val="13"/>
          <w:b w:val="1"/>
          <w:bCs w:val="1"/>
          <w:color w:val="auto"/>
        </w:rPr>
        <w:t>AMENDED APPENDIX A</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TO THE 2006 STOCK INCENTIVE PLAN</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A. 1. GENERAL</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1.1. This appendix (the “APPENDIX”) shall apply only to optionees who are employees /advisors/consultants of one of the two following companies, Analog Devices (Israel) Ltd., Analog Development (Israel) 1996 Ltd, and are residents of the state of Israel for the payment of tax. The provisions specified hereunder shall form an integral part of the 2006 Stock Incentive Plan of Analog Devices Inc. (hereinafter: the “PLAN”), which applies to the issuance of options to purchase Common Stock of Analog Devices Inc. (hereinafter: the “COMPANY”). According to the Plan, options to purchase the Company’s Common Stock may be issued to employees, directors and consultants and advisors of the Company or its Affiliates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1.2 This Appendix is effective with respect to Options granted as of March 14, 2006 and shall comply with Amendment no. 132 of the Israeli Tax Ordinance.</w:t>
      </w:r>
    </w:p>
    <w:p>
      <w:pPr>
        <w:spacing w:after="0" w:line="86"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1.3. This Appendix is to be read as a continuation of the Plan and only modifies Options granted to Israeli optionees so that they comply with the requirements set by the Israeli law in general, and in particular with the provisions of Section 102 (as specified herein), as may be amended or replaced from time to time. For the avoidance of doubt, this Appendix does not add to or modify the Plan in respect of any other category of optionees.</w:t>
      </w:r>
    </w:p>
    <w:p>
      <w:pPr>
        <w:spacing w:after="0" w:line="57" w:lineRule="exact"/>
        <w:rPr>
          <w:sz w:val="20"/>
          <w:szCs w:val="20"/>
          <w:color w:val="auto"/>
        </w:rPr>
      </w:pPr>
    </w:p>
    <w:p>
      <w:pPr>
        <w:ind w:right="420"/>
        <w:spacing w:after="0" w:line="276" w:lineRule="auto"/>
        <w:rPr>
          <w:sz w:val="20"/>
          <w:szCs w:val="20"/>
          <w:color w:val="auto"/>
        </w:rPr>
      </w:pPr>
      <w:r>
        <w:rPr>
          <w:rFonts w:ascii="Arial" w:cs="Arial" w:eastAsia="Arial" w:hAnsi="Arial"/>
          <w:sz w:val="13"/>
          <w:szCs w:val="13"/>
          <w:color w:val="auto"/>
        </w:rPr>
        <w:t>1.4. The Plan and this Appendix are complimentary to each other and shall be deemed as one. In any case of contradiction, whether explicit or implied, between the provisions of this Appendix and the Plan, the provisions set out in the Appendix shall prevail.</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1.5. Any capitalized terms not specifically defined in this Appendix shall be construed according to the interpretation given to it in the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 2. DEFINITIONS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 “AFFILIATE” means any “employing company” within the meaning of Section 102(a) of the Ordinance.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2.2 “APPROVED 102 OPTION” means an Option granted pursuant to Section 102(b) of the Ordinance and held in trust by a Trustee for the benefit of the optionee.</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2.3 “CAPITAL GAIN OPTION (CGO)” means an Approved 102 Option elected and designated by the Company to qualify under the capital gain tax treatment in accordance with the provisions of Section 102(b)(2) of the Ordinance.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2.4 “CONTROLLING SHAREHOLDER” shall have the meaning ascribed to it in Section 32(9) of the Ordinance.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2.5 “EMPLOYEE” means a person who is employed by the Company or its Affiliates, including an individual who is serving as a director or an office holder, but excluding any Controlling Shareholder.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auto"/>
        </w:rPr>
        <w:t>2.6 “ITA” means the Israeli Tax Authorities.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2.7 “NON-EMPLOYEE” means a consultant, adviser, service provider, Controlling Shareholder or any other person who is not an Employee.</w:t>
      </w:r>
    </w:p>
    <w:p>
      <w:pPr>
        <w:spacing w:after="0" w:line="86" w:lineRule="exact"/>
        <w:rPr>
          <w:sz w:val="20"/>
          <w:szCs w:val="20"/>
          <w:color w:val="auto"/>
        </w:rPr>
      </w:pPr>
    </w:p>
    <w:p>
      <w:pPr>
        <w:ind w:right="620"/>
        <w:spacing w:after="0" w:line="276" w:lineRule="auto"/>
        <w:rPr>
          <w:sz w:val="20"/>
          <w:szCs w:val="20"/>
          <w:color w:val="auto"/>
        </w:rPr>
      </w:pPr>
      <w:r>
        <w:rPr>
          <w:rFonts w:ascii="Arial" w:cs="Arial" w:eastAsia="Arial" w:hAnsi="Arial"/>
          <w:sz w:val="13"/>
          <w:szCs w:val="13"/>
          <w:color w:val="auto"/>
        </w:rPr>
        <w:t>2.8 “ORDINARY INCOME OPTION (OIO)” means an Approved 102 Option elected and designated by the Company to qualify under the ordinary income tax treatment in accordance with the provisions of Section 102(b)(1) of the Ordinance.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2.9 “OPTION” means an option to purchase one or more Common Stock of the Company pursuant to the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2.10 “102 OPTION” means any Option granted to Employees pursuant to Section 102 of the Ordinance.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2.11 “3(i) OPTION” means an Option granted pursuant to Section 3(i) of the Ordinance to any person who is a Non- Employee.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2.12 “OPTION AGREEMENT” means the share option agreement between the Company and a optionee that sets out the terms and conditions of an Option.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2.13 “ORDINANCE” means the 1961 Israeli Income Tax Ordinance [New Version] 1961 as now in effect or as hereafter amended.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2.14 “SECTION 102” means section 102 of the Ordinance and any regulations, rules, orders or procedures promulgated there under as now in effect or as hereafter amended.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2.15 “TRUSTEE” means any individual or entity appointed by the Company to serve as a trustee and approved by the ITA, all in accordance with the provisions of Section 102(a) of the Ordinance.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2.16 “UNAPPROVED 102 OPTION” means an Option granted pursuant to Section 102(c) of the Ordinance and not held in trust by a Trustee.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 3. ISSUANCE OF OPTIONS</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3.1 The persons eligible for participation in the Plan as optionees shall include any Employees and/or Non-Employees of the Company or of any Affiliate; provided, however, that (i) Employees may only be granted 102 Options; and (ii) Non-Employees and/or Controlling Shareholders may only be granted 3(i) Options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3.2 The Company may designate Options granted to Employees pursuant to Section 102 as Unapproved 102 Options or Approved 102 Options.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3.3 The grant of Approved 102 Options shall be made under this Appendix adopted by the Board, and shall be conditioned upon the approval of this Appendix by the ITA.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auto"/>
        </w:rPr>
        <w:t>3.4 Approved 102 Options may either be classified as Capital Gain Options (“CGOs”) or Ordinary Income Options (“OIOs”).</w:t>
      </w:r>
    </w:p>
    <w:p>
      <w:pPr>
        <w:spacing w:after="0" w:line="86"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3.5 No Approved 102 Options may be granted under this Appendix to any eligible Employee, unless and until, the Company’s election of the type of Approved 102 Options as CGI or OIO granted to Employees (the “ELECTION”), is appropriately filed with the ITA. Such Election shall become effective beginning the first Grant Date of an Approved 102 Option under this Appendix and shall remain in effect until the end of the year following the year during which the Company first granted Approved 102 Options. The Election shall obligate the Company to grant only the type of Approved 102 Option it has elected, and shall apply to all optionees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3.6 All Approved 102 Options must be held in trust by a Trustee, as described in Section 4_ below.</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3.7 For the avoidance of doubt, the designation of Unapproved 102 Options and Approved 102 Options shall be subject to the terms and conditions set forth in Section 102.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 4. TRUSTEE</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4.1 Approved 102 Options which shall be granted under this Appendix and/or any Common Stock allocated or issued upon exercise of such Approved 102 Options and/or other shares received subsequently following any realization of rights, including bonus shares, shall be allocated or issued to the Trustee and held for the benefit of the optionees for such period of time as required by Section 102 or any regulations, rules or orders or procedures promulgated there under (the “Holding Period”). In the case the requirements for Approved 102 Options are not met, then the Approved 102 Options shall be regarded as Unapproved 102 Options, all in accordance with the provisions of Section 102.</w:t>
      </w:r>
    </w:p>
    <w:p>
      <w:pPr>
        <w:spacing w:after="0" w:line="60"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4.2 Notwithstanding anything to the contrary, the Trustee shall not release any Common Stock allocated or issued upon exercise of Approved 102 Options prior to the full payment of the optionee’s tax liabilities arising from Approved 102 Options which were granted to him and/or any Common Stock allocated or issued upon exercise of such Options.</w:t>
      </w:r>
    </w:p>
    <w:p>
      <w:pPr>
        <w:spacing w:after="0" w:line="49" w:lineRule="exact"/>
        <w:rPr>
          <w:sz w:val="20"/>
          <w:szCs w:val="20"/>
          <w:color w:val="auto"/>
        </w:rPr>
      </w:pPr>
    </w:p>
    <w:p>
      <w:pPr>
        <w:ind w:right="400"/>
        <w:spacing w:after="0" w:line="276" w:lineRule="auto"/>
        <w:rPr>
          <w:sz w:val="20"/>
          <w:szCs w:val="20"/>
          <w:color w:val="auto"/>
        </w:rPr>
      </w:pPr>
      <w:r>
        <w:rPr>
          <w:rFonts w:ascii="Arial" w:cs="Arial" w:eastAsia="Arial" w:hAnsi="Arial"/>
          <w:sz w:val="13"/>
          <w:szCs w:val="13"/>
          <w:color w:val="auto"/>
        </w:rPr>
        <w:t>4.3 Upon receipt of Approved 102 Option, the optionee will sign an undertaking to release the Trustee from any liability in respect of any action or decision duly taken and bona fide executed in relation with this Appendix, or any Approved 102 Option or Ordinary Share granted to him there under.</w:t>
      </w:r>
    </w:p>
    <w:p>
      <w:pPr>
        <w:spacing w:after="0" w:line="49"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4.4 With respect to any Approved 102 Option, subject to the provisions of Section 102 and any rules or regulation or orders or procedures promulgated thereunder, an Optionee shall not sell or release from trust any Share received upon the exercise of an Approved 102 Option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7" w:name="page128"/>
    <w:bookmarkEnd w:id="127"/>
    <w:p>
      <w:pPr>
        <w:ind w:left="1" w:right="2060"/>
        <w:spacing w:after="0" w:line="378" w:lineRule="auto"/>
        <w:rPr>
          <w:sz w:val="20"/>
          <w:szCs w:val="20"/>
          <w:color w:val="auto"/>
        </w:rPr>
      </w:pPr>
      <w:r>
        <w:rPr>
          <w:rFonts w:ascii="Arial" w:cs="Arial" w:eastAsia="Arial" w:hAnsi="Arial"/>
          <w:sz w:val="13"/>
          <w:szCs w:val="13"/>
          <w:color w:val="auto"/>
        </w:rPr>
        <w:t>sanctions under Section 102 of the Ordinance and under any rules or regulation or orders or procedures promulgated thereunder shall apply to and shall be borne by such Optionee. E. 5. THE OPTIONS</w:t>
      </w:r>
    </w:p>
    <w:p>
      <w:pPr>
        <w:spacing w:after="0" w:line="1" w:lineRule="exact"/>
        <w:rPr>
          <w:sz w:val="20"/>
          <w:szCs w:val="20"/>
          <w:color w:val="auto"/>
        </w:rPr>
      </w:pPr>
    </w:p>
    <w:p>
      <w:pPr>
        <w:ind w:left="1" w:right="240"/>
        <w:spacing w:after="0" w:line="276" w:lineRule="auto"/>
        <w:rPr>
          <w:sz w:val="20"/>
          <w:szCs w:val="20"/>
          <w:color w:val="auto"/>
        </w:rPr>
      </w:pPr>
      <w:r>
        <w:rPr>
          <w:rFonts w:ascii="Arial" w:cs="Arial" w:eastAsia="Arial" w:hAnsi="Arial"/>
          <w:sz w:val="13"/>
          <w:szCs w:val="13"/>
          <w:color w:val="auto"/>
        </w:rPr>
        <w:t>The terms and conditions upon which the Options shall be issued and exercised, shall be as specified in the Option Agreement to be executed pursuant to the Plan and to this Appendix. Each Option Agreement shall state, inter alia, the number of Common Stock to which the Option relates, the vesting provisions and the exercise price.</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6. OPTION EXERCISE PRICE</w:t>
      </w:r>
    </w:p>
    <w:p>
      <w:pPr>
        <w:spacing w:after="0" w:line="86" w:lineRule="exact"/>
        <w:rPr>
          <w:sz w:val="20"/>
          <w:szCs w:val="20"/>
          <w:color w:val="auto"/>
        </w:rPr>
      </w:pPr>
    </w:p>
    <w:p>
      <w:pPr>
        <w:ind w:left="1"/>
        <w:spacing w:after="0" w:line="289" w:lineRule="auto"/>
        <w:rPr>
          <w:sz w:val="20"/>
          <w:szCs w:val="20"/>
          <w:color w:val="auto"/>
        </w:rPr>
      </w:pPr>
      <w:r>
        <w:rPr>
          <w:rFonts w:ascii="Arial" w:cs="Arial" w:eastAsia="Arial" w:hAnsi="Arial"/>
          <w:sz w:val="12"/>
          <w:szCs w:val="12"/>
          <w:color w:val="auto"/>
        </w:rPr>
        <w:t>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CGOs, the option exercise price of the Common Stock at the date of grant shall be determined in accordance with the average value of the Company’s New York Stock Exchange closing share price on the thirty (30) trading days preceding the date of grant or on the thirty (30) trading days following the date of registration for trading, as the case may be. In no case, however, shall the option exercise price be less than the closing share price of the Company’s stock on the date ofgrant.</w:t>
      </w:r>
    </w:p>
    <w:p>
      <w:pPr>
        <w:spacing w:after="0" w:line="43" w:lineRule="exact"/>
        <w:rPr>
          <w:sz w:val="20"/>
          <w:szCs w:val="20"/>
          <w:color w:val="auto"/>
        </w:rPr>
      </w:pPr>
    </w:p>
    <w:p>
      <w:pPr>
        <w:ind w:left="1"/>
        <w:spacing w:after="0"/>
        <w:rPr>
          <w:sz w:val="20"/>
          <w:szCs w:val="20"/>
          <w:color w:val="auto"/>
        </w:rPr>
      </w:pPr>
      <w:r>
        <w:rPr>
          <w:rFonts w:ascii="Arial" w:cs="Arial" w:eastAsia="Arial" w:hAnsi="Arial"/>
          <w:sz w:val="13"/>
          <w:szCs w:val="13"/>
          <w:color w:val="auto"/>
        </w:rPr>
        <w:t>F. 7. EXERCISE OF OPTIONS</w:t>
      </w:r>
    </w:p>
    <w:p>
      <w:pPr>
        <w:spacing w:after="0" w:line="86" w:lineRule="exact"/>
        <w:rPr>
          <w:sz w:val="20"/>
          <w:szCs w:val="20"/>
          <w:color w:val="auto"/>
        </w:rPr>
      </w:pPr>
    </w:p>
    <w:p>
      <w:pPr>
        <w:ind w:left="1" w:right="120" w:hanging="1"/>
        <w:spacing w:after="0" w:line="260" w:lineRule="auto"/>
        <w:tabs>
          <w:tab w:leader="none" w:pos="1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Options shall be exercised by the optionee by giving notice to the Company and/or to any third party designated by the Company (the “REPRESENTATIVE”),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Common Stock with respect to which the option is being exercised, at the Company’s or the Representative’s principal office. The notice shall specify the number of Common Stock with respect to which the option is being exercised.</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3"/>
          <w:szCs w:val="13"/>
          <w:color w:val="auto"/>
        </w:rPr>
        <w:t>G. 8. ASSIGNABILITY AND SALE OF OPTIONS</w:t>
      </w:r>
    </w:p>
    <w:p>
      <w:pPr>
        <w:spacing w:after="0" w:line="86" w:lineRule="exact"/>
        <w:rPr>
          <w:sz w:val="20"/>
          <w:szCs w:val="20"/>
          <w:color w:val="auto"/>
        </w:rPr>
      </w:pPr>
    </w:p>
    <w:p>
      <w:pPr>
        <w:ind w:left="1" w:right="20"/>
        <w:spacing w:after="0" w:line="320" w:lineRule="auto"/>
        <w:rPr>
          <w:sz w:val="20"/>
          <w:szCs w:val="20"/>
          <w:color w:val="auto"/>
        </w:rPr>
      </w:pPr>
      <w:r>
        <w:rPr>
          <w:rFonts w:ascii="Arial" w:cs="Arial" w:eastAsia="Arial" w:hAnsi="Arial"/>
          <w:sz w:val="12"/>
          <w:szCs w:val="12"/>
          <w:color w:val="auto"/>
        </w:rPr>
        <w:t>8.1. Notwithstanding any other provision of the Plan, no Option or any right with respect thereto, purchasable hereunder, whether fully paid or not, shall be assignable, transferable or given as collateral or any right with respect to them given to any third party whatsoever, and during the lifetime of the optionee each and all of such optionee’s rights to purchase Common Stock hereunder shall be exercisable only by the optionee.</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3"/>
          <w:szCs w:val="13"/>
          <w:color w:val="auto"/>
        </w:rPr>
        <w:t>Any such action made directly or indirectly, for an immediate validation or for a future one, shall be void.</w:t>
      </w:r>
    </w:p>
    <w:p>
      <w:pPr>
        <w:spacing w:after="0" w:line="86"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8.2 As long as Options or Common Stock purchased pursuant to thereto are held by the Trustee on behalf of the optionee, all rights of the optionee over the shares are personal, can not be transferred, assigned, pledged or mortgaged, other than by will or laws of descent and distribution.</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H. 9. INTEGRATION OF SECTION 102 AND TAX ASSESSING OFFICER’S PERMIT</w:t>
      </w:r>
    </w:p>
    <w:p>
      <w:pPr>
        <w:spacing w:after="0" w:line="86"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9.1. With regards to Approved 102 Options, the provisions of the Plan and/or the Appendix and/or the Option Agreement shall be subject to the provisions of Section 102 and the Tax Assessing Officer’s permit, and the said provisions and permit shall be deemed an integral part of the Plan and of the Appendix and of the Option Agreement.</w:t>
      </w:r>
    </w:p>
    <w:p>
      <w:pPr>
        <w:spacing w:after="0" w:line="49"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9.2. Any provision of Section 102 and/or the said permit which is necessary in order to receive and/or to keep any tax benefit pursuant to Section 102, which is not expressly specified in the Plan or the Appendix or the Option Agreement, shall be considered binding upon the Company and the optionees.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 10. DIVIDEND</w:t>
      </w:r>
    </w:p>
    <w:p>
      <w:pPr>
        <w:spacing w:after="0" w:line="86" w:lineRule="exact"/>
        <w:rPr>
          <w:sz w:val="20"/>
          <w:szCs w:val="20"/>
          <w:color w:val="auto"/>
        </w:rPr>
      </w:pPr>
    </w:p>
    <w:p>
      <w:pPr>
        <w:ind w:firstLine="161"/>
        <w:spacing w:after="0" w:line="296" w:lineRule="auto"/>
        <w:rPr>
          <w:sz w:val="20"/>
          <w:szCs w:val="20"/>
          <w:color w:val="auto"/>
        </w:rPr>
      </w:pPr>
      <w:r>
        <w:rPr>
          <w:rFonts w:ascii="Arial" w:cs="Arial" w:eastAsia="Arial" w:hAnsi="Arial"/>
          <w:sz w:val="12"/>
          <w:szCs w:val="12"/>
          <w:color w:val="auto"/>
        </w:rPr>
        <w:t>With respect to all Shares (but excluding, for avoidance of any doubt, any unexercised Options) allocated or issued upon the exercise of Options purchased by the Optionee and held by the Optionee or by the Trustee, as the case may be, the Optionee shall be entitled to receive dividends in accordance with the quantity of such Shares, subject to the provisions of the Company’s Incorporation Documents (and all amendments thereto) and subject to any applicable taxation on distribution of dividends, and when applicable subject to the provisions of Section 102 and the rules, regulations or orders promulgated thereunder.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 11. TAX CONSEQUENCES</w:t>
      </w:r>
    </w:p>
    <w:p>
      <w:pPr>
        <w:spacing w:after="0" w:line="86"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11.1 Any tax consequences arising from the grant or exercise of any Option, from the payment for Common Stock covered thereby or from any other event or act (of the Company, and/or its Affiliates, and the Trustee or the optionee), hereunder, shall be borne solely by the optionee. The Company and/or its Affiliates, and/or the Trustee shall withhold taxes according to the requirements under the applicable laws, rules, and regulations, including withholding taxes at source. Furthermore, the optionee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optionee.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11.2 The Company and/or, when applicable, the Trustee shall not be required to release any share certificate to an optionee until all required payments have been fully made.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 *</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9" w:name="page130"/>
    <w:bookmarkEnd w:id="129"/>
    <w:p>
      <w:pPr>
        <w:ind w:left="4981"/>
        <w:spacing w:after="0"/>
        <w:rPr>
          <w:sz w:val="20"/>
          <w:szCs w:val="20"/>
          <w:color w:val="auto"/>
        </w:rPr>
      </w:pPr>
      <w:r>
        <w:rPr>
          <w:rFonts w:ascii="Arial" w:cs="Arial" w:eastAsia="Arial" w:hAnsi="Arial"/>
          <w:sz w:val="13"/>
          <w:szCs w:val="13"/>
          <w:b w:val="1"/>
          <w:bCs w:val="1"/>
          <w:color w:val="auto"/>
        </w:rPr>
        <w:t>AMENDED APPENDIX B</w:t>
      </w:r>
    </w:p>
    <w:p>
      <w:pPr>
        <w:spacing w:after="0" w:line="86" w:lineRule="exact"/>
        <w:rPr>
          <w:sz w:val="20"/>
          <w:szCs w:val="20"/>
          <w:color w:val="auto"/>
        </w:rPr>
      </w:pPr>
    </w:p>
    <w:p>
      <w:pPr>
        <w:ind w:left="4481"/>
        <w:spacing w:after="0"/>
        <w:rPr>
          <w:sz w:val="20"/>
          <w:szCs w:val="20"/>
          <w:color w:val="auto"/>
        </w:rPr>
      </w:pPr>
      <w:r>
        <w:rPr>
          <w:rFonts w:ascii="Arial" w:cs="Arial" w:eastAsia="Arial" w:hAnsi="Arial"/>
          <w:sz w:val="13"/>
          <w:szCs w:val="13"/>
          <w:b w:val="1"/>
          <w:bCs w:val="1"/>
          <w:u w:val="single" w:color="auto"/>
          <w:color w:val="auto"/>
        </w:rPr>
        <w:t>RULES OF THE ANALOG DEVICES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2006 STOCK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 GRANTS OF OPTIONS TO PARTICIPANTS IN FRANCE</w:t>
      </w:r>
    </w:p>
    <w:p>
      <w:pPr>
        <w:spacing w:after="0" w:line="75" w:lineRule="exact"/>
        <w:rPr>
          <w:sz w:val="20"/>
          <w:szCs w:val="20"/>
          <w:color w:val="auto"/>
        </w:rPr>
      </w:pPr>
    </w:p>
    <w:p>
      <w:pPr>
        <w:ind w:left="121" w:hanging="121"/>
        <w:spacing w:after="0"/>
        <w:tabs>
          <w:tab w:leader="none" w:pos="121"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Introduction</w:t>
      </w:r>
    </w:p>
    <w:p>
      <w:pPr>
        <w:spacing w:after="0" w:line="90" w:lineRule="exact"/>
        <w:rPr>
          <w:sz w:val="20"/>
          <w:szCs w:val="20"/>
          <w:color w:val="auto"/>
        </w:rPr>
      </w:pPr>
    </w:p>
    <w:p>
      <w:pPr>
        <w:ind w:left="1" w:firstLine="161"/>
        <w:spacing w:after="0" w:line="276" w:lineRule="auto"/>
        <w:rPr>
          <w:sz w:val="20"/>
          <w:szCs w:val="20"/>
          <w:color w:val="auto"/>
        </w:rPr>
      </w:pPr>
      <w:r>
        <w:rPr>
          <w:rFonts w:ascii="Arial" w:cs="Arial" w:eastAsia="Arial" w:hAnsi="Arial"/>
          <w:sz w:val="13"/>
          <w:szCs w:val="13"/>
          <w:color w:val="auto"/>
        </w:rPr>
        <w:t>The Board of Directors of Analog Devices Inc. (the “Company”) has established the 2006 Stock Incentive Plan (the “U.S. Plan”) for the benefit of certain employees of the Company and its Subsidiaries, including its Subsidiaries in France (the “French Subsidiaries”) of which the Company holds directly or indirectly at least 10% of the share capital.</w:t>
      </w:r>
    </w:p>
    <w:p>
      <w:pPr>
        <w:spacing w:after="0" w:line="49" w:lineRule="exact"/>
        <w:rPr>
          <w:sz w:val="20"/>
          <w:szCs w:val="20"/>
          <w:color w:val="auto"/>
        </w:rPr>
      </w:pPr>
    </w:p>
    <w:p>
      <w:pPr>
        <w:ind w:left="1" w:right="20" w:firstLine="164"/>
        <w:spacing w:after="0" w:line="258" w:lineRule="auto"/>
        <w:rPr>
          <w:sz w:val="20"/>
          <w:szCs w:val="20"/>
          <w:color w:val="auto"/>
        </w:rPr>
      </w:pPr>
      <w:r>
        <w:rPr>
          <w:rFonts w:ascii="Arial" w:cs="Arial" w:eastAsia="Arial" w:hAnsi="Arial"/>
          <w:sz w:val="13"/>
          <w:szCs w:val="13"/>
          <w:color w:val="auto"/>
        </w:rPr>
        <w:t>Sections 3 and 13 (e) of the U.S. Plan authorize the Board of Directors and a Committee as appointed by the Board of Directors (the “Committee”) to establish, amend, and rescind any rules and regulations relating to the U.S. Plan and to make all other determinations that may be necessary or advisable for the administration of the U.S. Plan. Pursuant to the foregoing authority, the Committee, therefore, intends to establish a sub-plan of the U.S. Plan for the purpose of granting Options which qualify for the favorable tax and social security treatment in France applicable to shares granted for no consideration under Sections L. 225-177 to L. 225-186-1 of the French Commercial Code, as amended (“French-qualified Options”), to qualifying participants in France who are resident in France for French tax purposes and/or subject to the French social security regime (“French Participants”).</w:t>
      </w:r>
    </w:p>
    <w:p>
      <w:pPr>
        <w:spacing w:after="0" w:line="61" w:lineRule="exact"/>
        <w:rPr>
          <w:sz w:val="20"/>
          <w:szCs w:val="20"/>
          <w:color w:val="auto"/>
        </w:rPr>
      </w:pPr>
    </w:p>
    <w:p>
      <w:pPr>
        <w:ind w:left="1" w:right="40" w:firstLine="161"/>
        <w:spacing w:after="0" w:line="276" w:lineRule="auto"/>
        <w:rPr>
          <w:sz w:val="20"/>
          <w:szCs w:val="20"/>
          <w:color w:val="auto"/>
        </w:rPr>
      </w:pPr>
      <w:r>
        <w:rPr>
          <w:rFonts w:ascii="Arial" w:cs="Arial" w:eastAsia="Arial" w:hAnsi="Arial"/>
          <w:sz w:val="13"/>
          <w:szCs w:val="13"/>
          <w:color w:val="auto"/>
        </w:rPr>
        <w:t>The terms of the U.S. Plan as attached hereto, shall, subject to the limitations set forth in the following rules, constitute the Rules of the Analog Devices Inc 2006 Stock Incentive Plan for Grants of Options in France (the “French Option Plan”).</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Under the French Option Plan, the French Participants will be granted only French-qualified Options as defined below under Section 2.</w:t>
      </w:r>
    </w:p>
    <w:p>
      <w:pPr>
        <w:spacing w:after="0" w:line="82" w:lineRule="exact"/>
        <w:rPr>
          <w:sz w:val="20"/>
          <w:szCs w:val="20"/>
          <w:color w:val="auto"/>
        </w:rPr>
      </w:pPr>
    </w:p>
    <w:p>
      <w:pPr>
        <w:ind w:left="121" w:hanging="121"/>
        <w:spacing w:after="0"/>
        <w:tabs>
          <w:tab w:leader="none" w:pos="121"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Capitalized terms not otherwise defined herein shall have the same meanings as set forth in the U.S. Plan. The terms set forth below shall have the following meanings:</w:t>
      </w:r>
    </w:p>
    <w:p>
      <w:pPr>
        <w:spacing w:after="0" w:line="86" w:lineRule="exact"/>
        <w:rPr>
          <w:sz w:val="20"/>
          <w:szCs w:val="20"/>
          <w:color w:val="auto"/>
        </w:rPr>
      </w:pPr>
    </w:p>
    <w:p>
      <w:pPr>
        <w:ind w:left="341" w:hanging="178"/>
        <w:spacing w:after="0"/>
        <w:tabs>
          <w:tab w:leader="none" w:pos="34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Option</w:t>
      </w:r>
      <w:r>
        <w:rPr>
          <w:rFonts w:ascii="Arial" w:cs="Arial" w:eastAsia="Arial" w:hAnsi="Arial"/>
          <w:sz w:val="13"/>
          <w:szCs w:val="13"/>
          <w:color w:val="auto"/>
        </w:rPr>
        <w:t>” shall include both:</w:t>
      </w:r>
    </w:p>
    <w:p>
      <w:pPr>
        <w:spacing w:after="0" w:line="86" w:lineRule="exact"/>
        <w:rPr>
          <w:rFonts w:ascii="Arial" w:cs="Arial" w:eastAsia="Arial" w:hAnsi="Arial"/>
          <w:sz w:val="13"/>
          <w:szCs w:val="13"/>
          <w:color w:val="auto"/>
        </w:rPr>
      </w:pPr>
    </w:p>
    <w:p>
      <w:pPr>
        <w:ind w:left="541" w:hanging="148"/>
        <w:spacing w:after="0"/>
        <w:tabs>
          <w:tab w:leader="none" w:pos="541" w:val="left"/>
        </w:tabs>
        <w:numPr>
          <w:ilvl w:val="2"/>
          <w:numId w:val="110"/>
        </w:numPr>
        <w:rPr>
          <w:rFonts w:ascii="Arial" w:cs="Arial" w:eastAsia="Arial" w:hAnsi="Arial"/>
          <w:sz w:val="13"/>
          <w:szCs w:val="13"/>
          <w:color w:val="auto"/>
        </w:rPr>
      </w:pPr>
      <w:r>
        <w:rPr>
          <w:rFonts w:ascii="Arial" w:cs="Arial" w:eastAsia="Arial" w:hAnsi="Arial"/>
          <w:sz w:val="13"/>
          <w:szCs w:val="13"/>
          <w:color w:val="auto"/>
        </w:rPr>
        <w:t>purchase stock options (rights to acquire Shares repurchased by the Company prior to the date on which the options become exercisable); and</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subscription stock options (rights to subscribe newly issued Shares).</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Grant Date</w:t>
      </w:r>
      <w:r>
        <w:rPr>
          <w:rFonts w:ascii="Arial" w:cs="Arial" w:eastAsia="Arial" w:hAnsi="Arial"/>
          <w:sz w:val="13"/>
          <w:szCs w:val="13"/>
          <w:color w:val="auto"/>
        </w:rPr>
        <w:t>” shall be the date on which the Committee both:</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designates the optionee;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130" w:name="page131"/>
    <w:bookmarkEnd w:id="130"/>
    <w:p>
      <w:pPr>
        <w:ind w:left="520" w:hanging="194"/>
        <w:spacing w:after="0"/>
        <w:tabs>
          <w:tab w:leader="none" w:pos="52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specifies the terms and conditions of the French-qualified Option including the number of Shares and the method for determining the Exercise Price.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Exercise Price</w:t>
      </w:r>
      <w:r>
        <w:rPr>
          <w:rFonts w:ascii="Arial" w:cs="Arial" w:eastAsia="Arial" w:hAnsi="Arial"/>
          <w:sz w:val="13"/>
          <w:szCs w:val="13"/>
          <w:color w:val="auto"/>
        </w:rPr>
        <w:t>” shall be the price to purchase each Share.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Closed Period</w:t>
      </w:r>
      <w:r>
        <w:rPr>
          <w:rFonts w:ascii="Arial" w:cs="Arial" w:eastAsia="Arial" w:hAnsi="Arial"/>
          <w:sz w:val="13"/>
          <w:szCs w:val="13"/>
          <w:color w:val="auto"/>
        </w:rPr>
        <w:t>” shall mean a closed period as set forth in Section L. 225-177 of the French Commercial Code, as amended, which is as follows:</w:t>
      </w:r>
    </w:p>
    <w:p>
      <w:pPr>
        <w:spacing w:after="0" w:line="86" w:lineRule="exact"/>
        <w:rPr>
          <w:rFonts w:ascii="Arial" w:cs="Arial" w:eastAsia="Arial" w:hAnsi="Arial"/>
          <w:sz w:val="13"/>
          <w:szCs w:val="13"/>
          <w:color w:val="auto"/>
        </w:rPr>
      </w:pPr>
    </w:p>
    <w:p>
      <w:pPr>
        <w:ind w:left="460" w:hanging="166"/>
        <w:spacing w:after="0"/>
        <w:tabs>
          <w:tab w:leader="none" w:pos="46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twenty (20) trading days following the issuance of a coupon granting the right to receive dividends or to purchase Shares of the Company;</w:t>
      </w:r>
    </w:p>
    <w:p>
      <w:pPr>
        <w:spacing w:after="0" w:line="86" w:lineRule="exact"/>
        <w:rPr>
          <w:rFonts w:ascii="Arial" w:cs="Arial" w:eastAsia="Arial" w:hAnsi="Arial"/>
          <w:sz w:val="13"/>
          <w:szCs w:val="13"/>
          <w:color w:val="auto"/>
        </w:rPr>
      </w:pPr>
    </w:p>
    <w:p>
      <w:pPr>
        <w:ind w:left="480" w:hanging="186"/>
        <w:spacing w:after="0"/>
        <w:tabs>
          <w:tab w:leader="none" w:pos="4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ten (10) quotation days preceding and following the disclosure to the public of the consolidated financial statements or the annual statements of the Company; or</w:t>
      </w:r>
    </w:p>
    <w:p>
      <w:pPr>
        <w:spacing w:after="0" w:line="86" w:lineRule="exact"/>
        <w:rPr>
          <w:rFonts w:ascii="Arial" w:cs="Arial" w:eastAsia="Arial" w:hAnsi="Arial"/>
          <w:sz w:val="13"/>
          <w:szCs w:val="13"/>
          <w:color w:val="auto"/>
        </w:rPr>
      </w:pPr>
    </w:p>
    <w:p>
      <w:pPr>
        <w:ind w:left="440" w:right="120" w:hanging="146"/>
        <w:spacing w:after="0" w:line="320" w:lineRule="auto"/>
        <w:tabs>
          <w:tab w:leader="none" w:pos="522" w:val="left"/>
        </w:tabs>
        <w:numPr>
          <w:ilvl w:val="1"/>
          <w:numId w:val="112"/>
        </w:numPr>
        <w:rPr>
          <w:rFonts w:ascii="Arial" w:cs="Arial" w:eastAsia="Arial" w:hAnsi="Arial"/>
          <w:sz w:val="12"/>
          <w:szCs w:val="12"/>
          <w:color w:val="auto"/>
        </w:rPr>
      </w:pPr>
      <w:r>
        <w:rPr>
          <w:rFonts w:ascii="Arial" w:cs="Arial" w:eastAsia="Arial" w:hAnsi="Arial"/>
          <w:sz w:val="12"/>
          <w:szCs w:val="12"/>
          <w:color w:val="auto"/>
        </w:rPr>
        <w:t>any period during which the corporate management of the Company (</w:t>
      </w:r>
      <w:r>
        <w:rPr>
          <w:rFonts w:ascii="Arial" w:cs="Arial" w:eastAsia="Arial" w:hAnsi="Arial"/>
          <w:sz w:val="12"/>
          <w:szCs w:val="12"/>
          <w:i w:val="1"/>
          <w:iCs w:val="1"/>
          <w:color w:val="auto"/>
        </w:rPr>
        <w:t>i.e.</w:t>
      </w:r>
      <w:r>
        <w:rPr>
          <w:rFonts w:ascii="Arial" w:cs="Arial" w:eastAsia="Arial" w:hAnsi="Arial"/>
          <w:sz w:val="12"/>
          <w:szCs w:val="12"/>
          <w:color w:val="auto"/>
        </w:rPr>
        <w:t>, those involved in the governance of the Company, such as the Board, Committee, supervisory directorate, etc.) possess confidential information which could, if disclosed to the public, significantly impact the trading price of the Shares, until ten (10) quotation days after the day such information is disclosed to the public.</w:t>
      </w:r>
    </w:p>
    <w:p>
      <w:pPr>
        <w:spacing w:after="0" w:line="25"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If, after adoption of the French Option Plan, the French Commercial Code is amended to modify the definition and/or applicability of the Closed Periods to French-qualified Options, such amendments shall become applicable to any French-qualified Options granted under this French Option Plan to the extent required under French law.</w:t>
      </w:r>
    </w:p>
    <w:p>
      <w:pPr>
        <w:spacing w:after="0" w:line="49" w:lineRule="exact"/>
        <w:rPr>
          <w:sz w:val="20"/>
          <w:szCs w:val="20"/>
          <w:color w:val="auto"/>
        </w:rPr>
      </w:pPr>
    </w:p>
    <w:p>
      <w:pPr>
        <w:ind w:firstLine="162"/>
        <w:spacing w:after="0" w:line="260" w:lineRule="auto"/>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Effective Grant Date</w:t>
      </w:r>
      <w:r>
        <w:rPr>
          <w:rFonts w:ascii="Arial" w:cs="Arial" w:eastAsia="Arial" w:hAnsi="Arial"/>
          <w:sz w:val="13"/>
          <w:szCs w:val="13"/>
          <w:color w:val="auto"/>
        </w:rPr>
        <w:t>” shall mean the date on which the French-qualified Option is effectively granted (</w:t>
      </w:r>
      <w:r>
        <w:rPr>
          <w:rFonts w:ascii="Arial" w:cs="Arial" w:eastAsia="Arial" w:hAnsi="Arial"/>
          <w:sz w:val="13"/>
          <w:szCs w:val="13"/>
          <w:i w:val="1"/>
          <w:iCs w:val="1"/>
          <w:color w:val="auto"/>
        </w:rPr>
        <w:t>i.e.</w:t>
      </w:r>
      <w:r>
        <w:rPr>
          <w:rFonts w:ascii="Arial" w:cs="Arial" w:eastAsia="Arial" w:hAnsi="Arial"/>
          <w:sz w:val="13"/>
          <w:szCs w:val="13"/>
          <w:color w:val="auto"/>
        </w:rPr>
        <w:t>, the date on which the condition precedent of the expiration of a Closed Period applicable to the French-qualified Option, if any, is satisfied, which is the first day after any Closed Period). Such condition precedent shall be satisfied when the Board, Committee or other authorized corporate body shall determine that the granting of French-qualified Options is no longer prevented under a Closed Period. If the Grant Date does not occur within a Closed Period, the “Effective Grant Date” shall be the same day as the “Grant Date” without any need for Board or Committee action.</w:t>
      </w:r>
    </w:p>
    <w:p>
      <w:pPr>
        <w:spacing w:after="0" w:line="59" w:lineRule="exact"/>
        <w:rPr>
          <w:rFonts w:ascii="Arial" w:cs="Arial" w:eastAsia="Arial" w:hAnsi="Arial"/>
          <w:sz w:val="13"/>
          <w:szCs w:val="13"/>
          <w:color w:val="auto"/>
        </w:rPr>
      </w:pPr>
    </w:p>
    <w:p>
      <w:pPr>
        <w:ind w:left="320" w:hanging="158"/>
        <w:spacing w:after="0"/>
        <w:tabs>
          <w:tab w:leader="none" w:pos="3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Disability</w:t>
      </w:r>
      <w:r>
        <w:rPr>
          <w:rFonts w:ascii="Arial" w:cs="Arial" w:eastAsia="Arial" w:hAnsi="Arial"/>
          <w:sz w:val="12"/>
          <w:szCs w:val="12"/>
          <w:color w:val="auto"/>
        </w:rPr>
        <w:t>” shall mean disability as determined in categories 2 and 3 under Section L. 341-4 of the French Social Security Code, as amended, and subject to the fulfillment of related conditions.</w:t>
      </w:r>
    </w:p>
    <w:p>
      <w:pPr>
        <w:spacing w:after="0" w:line="97" w:lineRule="exact"/>
        <w:rPr>
          <w:rFonts w:ascii="Arial" w:cs="Arial" w:eastAsia="Arial" w:hAnsi="Arial"/>
          <w:sz w:val="12"/>
          <w:szCs w:val="12"/>
          <w:color w:val="auto"/>
        </w:rPr>
      </w:pPr>
    </w:p>
    <w:p>
      <w:pPr>
        <w:ind w:left="340" w:hanging="178"/>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Forced Retirement</w:t>
      </w:r>
      <w:r>
        <w:rPr>
          <w:rFonts w:ascii="Arial" w:cs="Arial" w:eastAsia="Arial" w:hAnsi="Arial"/>
          <w:sz w:val="13"/>
          <w:szCs w:val="13"/>
          <w:color w:val="auto"/>
        </w:rPr>
        <w:t>” shall mean forced retirement as determined under Section L. 1237-5 of the French Labor Code, as amended, and subject to the fulfillment of related conditions.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1" w:name="page132"/>
    <w:bookmarkEnd w:id="131"/>
    <w:p>
      <w:pPr>
        <w:ind w:left="121" w:hanging="121"/>
        <w:spacing w:after="0"/>
        <w:tabs>
          <w:tab w:leader="none" w:pos="121"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Eligibility</w:t>
      </w:r>
    </w:p>
    <w:p>
      <w:pPr>
        <w:spacing w:after="0" w:line="90"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Notwithstanding any other term of this French Option Plan, French-qualified Options may be granted only to employees or corporate directors of the French Subsidiaries who hold less than ten percent (10%) of the outstanding Shares of the Company and who otherwise satisfy the eligibility conditions of Section 2 of the U.S. Plan.</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color w:val="auto"/>
        </w:rPr>
        <w:t>Subject to the paragraph below, any French Participant who, on the Grant Date of the Option, and to the extent required under French law, is employed under the terms and conditions of an employment contract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contrat de travail</w:t>
      </w:r>
      <w:r>
        <w:rPr>
          <w:rFonts w:ascii="Arial" w:cs="Arial" w:eastAsia="Arial" w:hAnsi="Arial"/>
          <w:sz w:val="12"/>
          <w:szCs w:val="12"/>
          <w:color w:val="auto"/>
        </w:rPr>
        <w:t>”) by a French Subsidiary or who is a corporate officer of a French Subsidiary shall be eligible to receive, at the discretion of the Committee, French-qualified Options under this French Option Plan,</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provided he or she also satisfies the eligibility conditions of Section 2 of the U.S. Plan.</w:t>
      </w:r>
    </w:p>
    <w:p>
      <w:pPr>
        <w:spacing w:after="0" w:line="79" w:lineRule="exact"/>
        <w:rPr>
          <w:sz w:val="20"/>
          <w:szCs w:val="20"/>
          <w:color w:val="auto"/>
        </w:rPr>
      </w:pPr>
    </w:p>
    <w:p>
      <w:pPr>
        <w:ind w:left="1" w:right="40" w:firstLine="164"/>
        <w:spacing w:after="0" w:line="276" w:lineRule="auto"/>
        <w:rPr>
          <w:sz w:val="20"/>
          <w:szCs w:val="20"/>
          <w:color w:val="auto"/>
        </w:rPr>
      </w:pPr>
      <w:r>
        <w:rPr>
          <w:rFonts w:ascii="Arial" w:cs="Arial" w:eastAsia="Arial" w:hAnsi="Arial"/>
          <w:sz w:val="13"/>
          <w:szCs w:val="13"/>
          <w:color w:val="auto"/>
        </w:rPr>
        <w:t>French-qualified Options may not be issued to corporate executives of French Subsidiaries, other than the managing directors (</w:t>
      </w:r>
      <w:r>
        <w:rPr>
          <w:rFonts w:ascii="Arial" w:cs="Arial" w:eastAsia="Arial" w:hAnsi="Arial"/>
          <w:sz w:val="13"/>
          <w:szCs w:val="13"/>
          <w:i w:val="1"/>
          <w:iCs w:val="1"/>
          <w:color w:val="auto"/>
        </w:rPr>
        <w:t>Président du Conseil d’Administration</w:t>
      </w:r>
      <w:r>
        <w:rPr>
          <w:rFonts w:ascii="Arial" w:cs="Arial" w:eastAsia="Arial" w:hAnsi="Arial"/>
          <w:sz w:val="13"/>
          <w:szCs w:val="13"/>
          <w:color w:val="auto"/>
        </w:rPr>
        <w:t xml:space="preserve">, </w:t>
      </w:r>
      <w:r>
        <w:rPr>
          <w:rFonts w:ascii="Arial" w:cs="Arial" w:eastAsia="Arial" w:hAnsi="Arial"/>
          <w:sz w:val="13"/>
          <w:szCs w:val="13"/>
          <w:i w:val="1"/>
          <w:iCs w:val="1"/>
          <w:color w:val="auto"/>
        </w:rPr>
        <w:t>Directeur Général</w:t>
      </w:r>
      <w:r>
        <w:rPr>
          <w:rFonts w:ascii="Arial" w:cs="Arial" w:eastAsia="Arial" w:hAnsi="Arial"/>
          <w:sz w:val="13"/>
          <w:szCs w:val="13"/>
          <w:color w:val="auto"/>
        </w:rPr>
        <w:t xml:space="preserve">, </w:t>
      </w:r>
      <w:r>
        <w:rPr>
          <w:rFonts w:ascii="Arial" w:cs="Arial" w:eastAsia="Arial" w:hAnsi="Arial"/>
          <w:sz w:val="13"/>
          <w:szCs w:val="13"/>
          <w:i w:val="1"/>
          <w:iCs w:val="1"/>
          <w:color w:val="auto"/>
        </w:rPr>
        <w:t>Directeur Général Délégué</w:t>
      </w:r>
      <w:r>
        <w:rPr>
          <w:rFonts w:ascii="Arial" w:cs="Arial" w:eastAsia="Arial" w:hAnsi="Arial"/>
          <w:sz w:val="13"/>
          <w:szCs w:val="13"/>
          <w:color w:val="auto"/>
        </w:rPr>
        <w:t xml:space="preserve">, </w:t>
      </w:r>
      <w:r>
        <w:rPr>
          <w:rFonts w:ascii="Arial" w:cs="Arial" w:eastAsia="Arial" w:hAnsi="Arial"/>
          <w:sz w:val="13"/>
          <w:szCs w:val="13"/>
          <w:i w:val="1"/>
          <w:iCs w:val="1"/>
          <w:color w:val="auto"/>
        </w:rPr>
        <w:t>Membre du Directoire</w:t>
      </w:r>
      <w:r>
        <w:rPr>
          <w:rFonts w:ascii="Arial" w:cs="Arial" w:eastAsia="Arial" w:hAnsi="Arial"/>
          <w:sz w:val="13"/>
          <w:szCs w:val="13"/>
          <w:color w:val="auto"/>
        </w:rPr>
        <w:t>,</w:t>
      </w:r>
      <w:r>
        <w:rPr>
          <w:rFonts w:ascii="Arial" w:cs="Arial" w:eastAsia="Arial" w:hAnsi="Arial"/>
          <w:sz w:val="13"/>
          <w:szCs w:val="13"/>
          <w:i w:val="1"/>
          <w:iCs w:val="1"/>
          <w:color w:val="auto"/>
        </w:rPr>
        <w:t xml:space="preserve"> Gérant de Sociétés par actions</w:t>
      </w:r>
      <w:r>
        <w:rPr>
          <w:rFonts w:ascii="Arial" w:cs="Arial" w:eastAsia="Arial" w:hAnsi="Arial"/>
          <w:sz w:val="13"/>
          <w:szCs w:val="13"/>
          <w:color w:val="auto"/>
        </w:rPr>
        <w:t>) unless the corporate executive is an employee of a French Subsidiary, as defined by French law.</w:t>
      </w:r>
    </w:p>
    <w:p>
      <w:pPr>
        <w:spacing w:after="0" w:line="45" w:lineRule="exact"/>
        <w:rPr>
          <w:sz w:val="20"/>
          <w:szCs w:val="20"/>
          <w:color w:val="auto"/>
        </w:rPr>
      </w:pPr>
    </w:p>
    <w:p>
      <w:pPr>
        <w:ind w:left="121" w:hanging="121"/>
        <w:spacing w:after="0"/>
        <w:tabs>
          <w:tab w:leader="none" w:pos="121"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 of Option</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2"/>
          <w:szCs w:val="12"/>
          <w:color w:val="auto"/>
        </w:rPr>
        <w:t>Options granted pursuant to the French Option Plan will expire not later than nine and one-half (9</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7"/>
          <w:szCs w:val="7"/>
          <w:color w:val="auto"/>
        </w:rPr>
        <w:t>2</w:t>
      </w:r>
      <w:r>
        <w:rPr>
          <w:rFonts w:ascii="Arial" w:cs="Arial" w:eastAsia="Arial" w:hAnsi="Arial"/>
          <w:sz w:val="12"/>
          <w:szCs w:val="12"/>
          <w:color w:val="auto"/>
        </w:rPr>
        <w:t>) years after the Effective Grant Date subject, however, to the early termination provisions set forth herein.</w:t>
      </w:r>
    </w:p>
    <w:p>
      <w:pPr>
        <w:spacing w:after="0" w:line="94" w:lineRule="exact"/>
        <w:rPr>
          <w:sz w:val="20"/>
          <w:szCs w:val="20"/>
          <w:color w:val="auto"/>
        </w:rPr>
      </w:pPr>
    </w:p>
    <w:p>
      <w:pPr>
        <w:ind w:left="121" w:hanging="121"/>
        <w:spacing w:after="0"/>
        <w:tabs>
          <w:tab w:leader="none" w:pos="121"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Modifications to Grant Terms</w:t>
      </w:r>
    </w:p>
    <w:p>
      <w:pPr>
        <w:spacing w:after="0" w:line="90" w:lineRule="exact"/>
        <w:rPr>
          <w:sz w:val="20"/>
          <w:szCs w:val="20"/>
          <w:color w:val="auto"/>
        </w:rPr>
      </w:pPr>
    </w:p>
    <w:p>
      <w:pPr>
        <w:ind w:left="1" w:right="220" w:firstLine="164"/>
        <w:spacing w:after="0" w:line="276" w:lineRule="auto"/>
        <w:rPr>
          <w:sz w:val="20"/>
          <w:szCs w:val="20"/>
          <w:color w:val="auto"/>
        </w:rPr>
      </w:pPr>
      <w:r>
        <w:rPr>
          <w:rFonts w:ascii="Arial" w:cs="Arial" w:eastAsia="Arial" w:hAnsi="Arial"/>
          <w:sz w:val="13"/>
          <w:szCs w:val="13"/>
          <w:color w:val="auto"/>
        </w:rPr>
        <w:t>Notwithstanding any provision in the U.S. Plan, the terms and conditions of the French-qualified Options (Exercise Price, number of underlying Shares and vesting period) may not be modified after the Effective Grant Date, except as provided under Sections 7, 8, and 9 of the French Option Plan, or as otherwise in keeping with French law.</w:t>
      </w:r>
    </w:p>
    <w:p>
      <w:pPr>
        <w:spacing w:after="0" w:line="45" w:lineRule="exact"/>
        <w:rPr>
          <w:sz w:val="20"/>
          <w:szCs w:val="20"/>
          <w:color w:val="auto"/>
        </w:rPr>
      </w:pPr>
    </w:p>
    <w:p>
      <w:pPr>
        <w:ind w:left="121" w:hanging="121"/>
        <w:spacing w:after="0"/>
        <w:tabs>
          <w:tab w:leader="none" w:pos="121"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Exercise Price and Consideration</w:t>
      </w:r>
    </w:p>
    <w:p>
      <w:pPr>
        <w:spacing w:after="0" w:line="90" w:lineRule="exact"/>
        <w:rPr>
          <w:rFonts w:ascii="Arial" w:cs="Arial" w:eastAsia="Arial" w:hAnsi="Arial"/>
          <w:sz w:val="13"/>
          <w:szCs w:val="13"/>
          <w:b w:val="1"/>
          <w:bCs w:val="1"/>
          <w:color w:val="auto"/>
        </w:rPr>
      </w:pPr>
    </w:p>
    <w:p>
      <w:pPr>
        <w:ind w:left="1" w:right="40" w:firstLine="162"/>
        <w:spacing w:after="0" w:line="264" w:lineRule="auto"/>
        <w:tabs>
          <w:tab w:leader="none" w:pos="341"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The method for determining the Exercise Price for the Option shall be fixed by the Committee on the Grant Date. The Exercise Price shall be stated in the Benefit Agreement or other grant materials distributed to employees. If the French-qualified Option is considered as granted on the Effective Grant Date, the Exercise Price will be determined in accordance with the method for determining the Exercise Price set forth by the Committee on the Grant Date. In no event shall the Exercise Price be less than the greatest of:</w:t>
      </w:r>
    </w:p>
    <w:p>
      <w:pPr>
        <w:spacing w:after="0" w:line="57" w:lineRule="exact"/>
        <w:rPr>
          <w:rFonts w:ascii="Arial" w:cs="Arial" w:eastAsia="Arial" w:hAnsi="Arial"/>
          <w:sz w:val="13"/>
          <w:szCs w:val="13"/>
          <w:color w:val="auto"/>
        </w:rPr>
      </w:pPr>
    </w:p>
    <w:p>
      <w:pPr>
        <w:ind w:left="461" w:hanging="3"/>
        <w:spacing w:after="0" w:line="276" w:lineRule="auto"/>
        <w:tabs>
          <w:tab w:leader="none" w:pos="618" w:val="left"/>
        </w:tabs>
        <w:numPr>
          <w:ilvl w:val="2"/>
          <w:numId w:val="117"/>
        </w:numPr>
        <w:rPr>
          <w:rFonts w:ascii="Arial" w:cs="Arial" w:eastAsia="Arial" w:hAnsi="Arial"/>
          <w:sz w:val="13"/>
          <w:szCs w:val="13"/>
          <w:color w:val="auto"/>
        </w:rPr>
      </w:pPr>
      <w:r>
        <w:rPr>
          <w:rFonts w:ascii="Arial" w:cs="Arial" w:eastAsia="Arial" w:hAnsi="Arial"/>
          <w:sz w:val="13"/>
          <w:szCs w:val="13"/>
          <w:color w:val="auto"/>
        </w:rPr>
        <w:t>with respect to purchase stock options: the higher of either 80% of the average of the closing price of the Shares during the 20 days of quotation immediately preceding the Effective Grant Date or 80% of the average of the purchase price paid for such Shares by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32" w:name="page133"/>
    <w:bookmarkEnd w:id="132"/>
    <w:p>
      <w:pPr>
        <w:ind w:left="661" w:hanging="203"/>
        <w:spacing w:after="0"/>
        <w:tabs>
          <w:tab w:leader="none" w:pos="661" w:val="left"/>
        </w:tabs>
        <w:numPr>
          <w:ilvl w:val="2"/>
          <w:numId w:val="118"/>
        </w:numPr>
        <w:rPr>
          <w:rFonts w:ascii="Arial" w:cs="Arial" w:eastAsia="Arial" w:hAnsi="Arial"/>
          <w:sz w:val="13"/>
          <w:szCs w:val="13"/>
          <w:color w:val="auto"/>
        </w:rPr>
      </w:pPr>
      <w:r>
        <w:rPr>
          <w:rFonts w:ascii="Arial" w:cs="Arial" w:eastAsia="Arial" w:hAnsi="Arial"/>
          <w:sz w:val="13"/>
          <w:szCs w:val="13"/>
          <w:color w:val="auto"/>
        </w:rPr>
        <w:t>with respect to subscription stock options: 80% of the average of the closing price of such Shares during the 20 days of quotation immediately preceding the Effective Grant Date; and</w:t>
      </w:r>
    </w:p>
    <w:p>
      <w:pPr>
        <w:spacing w:after="0" w:line="86" w:lineRule="exact"/>
        <w:rPr>
          <w:rFonts w:ascii="Arial" w:cs="Arial" w:eastAsia="Arial" w:hAnsi="Arial"/>
          <w:sz w:val="13"/>
          <w:szCs w:val="13"/>
          <w:color w:val="auto"/>
        </w:rPr>
      </w:pPr>
    </w:p>
    <w:p>
      <w:pPr>
        <w:ind w:left="561" w:hanging="234"/>
        <w:spacing w:after="0"/>
        <w:tabs>
          <w:tab w:leader="none" w:pos="561" w:val="left"/>
        </w:tabs>
        <w:numPr>
          <w:ilvl w:val="1"/>
          <w:numId w:val="119"/>
        </w:numPr>
        <w:rPr>
          <w:rFonts w:ascii="Arial" w:cs="Arial" w:eastAsia="Arial" w:hAnsi="Arial"/>
          <w:sz w:val="13"/>
          <w:szCs w:val="13"/>
          <w:color w:val="auto"/>
        </w:rPr>
      </w:pPr>
      <w:r>
        <w:rPr>
          <w:rFonts w:ascii="Arial" w:cs="Arial" w:eastAsia="Arial" w:hAnsi="Arial"/>
          <w:sz w:val="13"/>
          <w:szCs w:val="13"/>
          <w:color w:val="auto"/>
        </w:rPr>
        <w:t>100% of the Fair Market Value per Share as defined under the U.S. Plan, as determined on the Effective Grant Date.</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Upon exercise of an Option, payment of the full Exercise Price and any required withholding tax or social security contributions, if any, shall be paid either by:</w:t>
      </w:r>
    </w:p>
    <w:p>
      <w:pPr>
        <w:spacing w:after="0" w:line="86" w:lineRule="exact"/>
        <w:rPr>
          <w:rFonts w:ascii="Arial" w:cs="Arial" w:eastAsia="Arial" w:hAnsi="Arial"/>
          <w:sz w:val="13"/>
          <w:szCs w:val="13"/>
          <w:color w:val="auto"/>
        </w:rPr>
      </w:pPr>
    </w:p>
    <w:p>
      <w:pPr>
        <w:ind w:left="481" w:hanging="154"/>
        <w:spacing w:after="0"/>
        <w:tabs>
          <w:tab w:leader="none" w:pos="481" w:val="left"/>
        </w:tabs>
        <w:numPr>
          <w:ilvl w:val="1"/>
          <w:numId w:val="120"/>
        </w:numPr>
        <w:rPr>
          <w:rFonts w:ascii="Arial" w:cs="Arial" w:eastAsia="Arial" w:hAnsi="Arial"/>
          <w:sz w:val="13"/>
          <w:szCs w:val="13"/>
          <w:color w:val="auto"/>
        </w:rPr>
      </w:pPr>
      <w:r>
        <w:rPr>
          <w:rFonts w:ascii="Arial" w:cs="Arial" w:eastAsia="Arial" w:hAnsi="Arial"/>
          <w:sz w:val="13"/>
          <w:szCs w:val="13"/>
          <w:color w:val="auto"/>
        </w:rPr>
        <w:t>cash;</w:t>
      </w:r>
    </w:p>
    <w:p>
      <w:pPr>
        <w:spacing w:after="0" w:line="86" w:lineRule="exact"/>
        <w:rPr>
          <w:sz w:val="20"/>
          <w:szCs w:val="20"/>
          <w:color w:val="auto"/>
        </w:rPr>
      </w:pPr>
    </w:p>
    <w:p>
      <w:pPr>
        <w:ind w:left="521" w:hanging="194"/>
        <w:spacing w:after="0"/>
        <w:tabs>
          <w:tab w:leader="none" w:pos="52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check;</w:t>
      </w:r>
    </w:p>
    <w:p>
      <w:pPr>
        <w:spacing w:after="0" w:line="86" w:lineRule="exact"/>
        <w:rPr>
          <w:rFonts w:ascii="Arial" w:cs="Arial" w:eastAsia="Arial" w:hAnsi="Arial"/>
          <w:sz w:val="13"/>
          <w:szCs w:val="13"/>
          <w:color w:val="auto"/>
        </w:rPr>
      </w:pPr>
    </w:p>
    <w:p>
      <w:pPr>
        <w:ind w:left="561" w:hanging="234"/>
        <w:spacing w:after="0"/>
        <w:tabs>
          <w:tab w:leader="none" w:pos="56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same day sale exercise; or</w:t>
      </w:r>
    </w:p>
    <w:p>
      <w:pPr>
        <w:spacing w:after="0" w:line="86" w:lineRule="exact"/>
        <w:rPr>
          <w:rFonts w:ascii="Arial" w:cs="Arial" w:eastAsia="Arial" w:hAnsi="Arial"/>
          <w:sz w:val="13"/>
          <w:szCs w:val="13"/>
          <w:color w:val="auto"/>
        </w:rPr>
      </w:pPr>
    </w:p>
    <w:p>
      <w:pPr>
        <w:ind w:left="541" w:hanging="214"/>
        <w:spacing w:after="0"/>
        <w:tabs>
          <w:tab w:leader="none" w:pos="541"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combination of the foregoing methods of payment.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No delivery, surrender or attestation to the ownership of previously owned Shares may be used to pay the Exercise Price.</w:t>
      </w:r>
    </w:p>
    <w:p>
      <w:pPr>
        <w:spacing w:after="0" w:line="86" w:lineRule="exact"/>
        <w:rPr>
          <w:sz w:val="20"/>
          <w:szCs w:val="20"/>
          <w:color w:val="auto"/>
        </w:rPr>
      </w:pPr>
    </w:p>
    <w:p>
      <w:pPr>
        <w:ind w:left="1" w:right="140" w:firstLine="162"/>
        <w:spacing w:after="0" w:line="276" w:lineRule="auto"/>
        <w:tabs>
          <w:tab w:leader="none" w:pos="341" w:val="left"/>
        </w:tabs>
        <w:numPr>
          <w:ilvl w:val="1"/>
          <w:numId w:val="122"/>
        </w:numPr>
        <w:rPr>
          <w:rFonts w:ascii="Arial" w:cs="Arial" w:eastAsia="Arial" w:hAnsi="Arial"/>
          <w:sz w:val="13"/>
          <w:szCs w:val="13"/>
          <w:color w:val="auto"/>
        </w:rPr>
      </w:pPr>
      <w:r>
        <w:rPr>
          <w:rFonts w:ascii="Arial" w:cs="Arial" w:eastAsia="Arial" w:hAnsi="Arial"/>
          <w:sz w:val="13"/>
          <w:szCs w:val="13"/>
          <w:color w:val="auto"/>
        </w:rPr>
        <w:t>The Shares acquired upon exercise of the Option will be recorded in an account in the name of the shareholder with a broker or in such other manner as the Company may otherwise determine in order to ensure compliance with applicable law and with applicable holding periods.</w:t>
      </w:r>
    </w:p>
    <w:p>
      <w:pPr>
        <w:spacing w:after="0" w:line="45" w:lineRule="exact"/>
        <w:rPr>
          <w:rFonts w:ascii="Arial" w:cs="Arial" w:eastAsia="Arial" w:hAnsi="Arial"/>
          <w:sz w:val="13"/>
          <w:szCs w:val="13"/>
          <w:color w:val="auto"/>
        </w:rPr>
      </w:pPr>
    </w:p>
    <w:p>
      <w:pPr>
        <w:ind w:left="121" w:hanging="121"/>
        <w:spacing w:after="0"/>
        <w:tabs>
          <w:tab w:leader="none" w:pos="121"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Exercise Dates</w:t>
      </w:r>
    </w:p>
    <w:p>
      <w:pPr>
        <w:spacing w:after="0" w:line="90" w:lineRule="exact"/>
        <w:rPr>
          <w:rFonts w:ascii="Arial" w:cs="Arial" w:eastAsia="Arial" w:hAnsi="Arial"/>
          <w:sz w:val="13"/>
          <w:szCs w:val="13"/>
          <w:b w:val="1"/>
          <w:bCs w:val="1"/>
          <w:color w:val="auto"/>
        </w:rPr>
      </w:pPr>
    </w:p>
    <w:p>
      <w:pPr>
        <w:ind w:left="1" w:right="180" w:firstLine="162"/>
        <w:spacing w:after="0" w:line="276" w:lineRule="auto"/>
        <w:tabs>
          <w:tab w:leader="none" w:pos="341"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Options will vest and be exercisable pursuant to the terms and conditions set forth in the U.S. Plan, the French Option Plan and the Benefit Agreement delivered to each French Participant. The vesting and exercisability of the Option may be modified only as provided in this French Option Plan or to the extent authorized by French law.</w:t>
      </w:r>
    </w:p>
    <w:p>
      <w:pPr>
        <w:spacing w:after="0" w:line="49" w:lineRule="exact"/>
        <w:rPr>
          <w:sz w:val="20"/>
          <w:szCs w:val="20"/>
          <w:color w:val="auto"/>
        </w:rPr>
      </w:pPr>
    </w:p>
    <w:p>
      <w:pPr>
        <w:ind w:left="1" w:firstLine="161"/>
        <w:spacing w:after="0" w:line="256" w:lineRule="auto"/>
        <w:rPr>
          <w:sz w:val="20"/>
          <w:szCs w:val="20"/>
          <w:color w:val="auto"/>
        </w:rPr>
      </w:pPr>
      <w:r>
        <w:rPr>
          <w:rFonts w:ascii="Arial" w:cs="Arial" w:eastAsia="Arial" w:hAnsi="Arial"/>
          <w:sz w:val="13"/>
          <w:szCs w:val="13"/>
          <w:color w:val="auto"/>
        </w:rPr>
        <w:t>To obtain the French-qualified treatment, the French Participant shall not sell or transfer Shares acquired upon exercise of an Option before the expiration of the applicable holding period for French-qualified Options set forth by Section 163 bis C of the French Tax Code, as amended, except as provided in this French Option Plan, or as otherwise in keeping with French law. To prevent the French Participant from selling the Shares subject to the Option before the expiration of the applicable holding period, the Committee may, in its discretion, restrict the vesting and/or exercisability of the Option and/or the sale of Shares until the expiration of the applicable holding period, as set forth in the applicable Stock Option Agreement to be delivered to each French Participant. In any case, the restriction on the sale of the Shares cannot exceed three (3) years from the date of the effective exercise of the Options. However, the French Participant may be permitted to vest in or exercise the Option or sell the Shares subject to the Option before the expiration of the applicable holding period in the cases of Disability, death, Forced Retirement or dismissal, as defined in Section 91-ter of Exhibit II to the French Tax Code, as amended, and as set forth in the applicable Stock Option Agreement to be delivered to the French Participant.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3" w:name="page134"/>
    <w:bookmarkEnd w:id="133"/>
    <w:p>
      <w:pPr>
        <w:ind w:left="1" w:right="40" w:firstLine="162"/>
        <w:spacing w:after="0" w:line="264" w:lineRule="auto"/>
        <w:tabs>
          <w:tab w:leader="none" w:pos="35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Notwithstanding Section 4, if a French Participant’s service to the Company or any parent, Subsidiary or affiliate of the Company terminates by reason of his or her death while he or she is actively employed, his or her French-qualified Options may thereafter be exercised in full (with respect to all French-qualified Options, vested or unvested at the time of death) by his or her designated beneficiary, or by will or by the laws of descent and distribution, as determined under local law for the six (6)-month period following the French Participant’s death.</w:t>
      </w:r>
    </w:p>
    <w:p>
      <w:pPr>
        <w:spacing w:after="0" w:line="57" w:lineRule="exact"/>
        <w:rPr>
          <w:rFonts w:ascii="Arial" w:cs="Arial" w:eastAsia="Arial" w:hAnsi="Arial"/>
          <w:sz w:val="13"/>
          <w:szCs w:val="13"/>
          <w:color w:val="auto"/>
        </w:rPr>
      </w:pPr>
    </w:p>
    <w:p>
      <w:pPr>
        <w:ind w:left="1" w:firstLine="162"/>
        <w:spacing w:after="0" w:line="276" w:lineRule="auto"/>
        <w:tabs>
          <w:tab w:leader="none" w:pos="34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In the event of death following termination of service, vested French-qualified Options may be exercised, by the French Participant’s designated beneficiary, or by will or by the laws of descent and distribution, as determined under local law, only during the six (6)-month period following the French Participant’s death.</w:t>
      </w:r>
    </w:p>
    <w:p>
      <w:pPr>
        <w:spacing w:after="0" w:line="49" w:lineRule="exact"/>
        <w:rPr>
          <w:sz w:val="20"/>
          <w:szCs w:val="20"/>
          <w:color w:val="auto"/>
        </w:rPr>
      </w:pPr>
    </w:p>
    <w:p>
      <w:pPr>
        <w:ind w:left="1" w:right="120" w:firstLine="161"/>
        <w:spacing w:after="0" w:line="276" w:lineRule="auto"/>
        <w:rPr>
          <w:sz w:val="20"/>
          <w:szCs w:val="20"/>
          <w:color w:val="auto"/>
        </w:rPr>
      </w:pPr>
      <w:r>
        <w:rPr>
          <w:rFonts w:ascii="Arial" w:cs="Arial" w:eastAsia="Arial" w:hAnsi="Arial"/>
          <w:sz w:val="13"/>
          <w:szCs w:val="13"/>
          <w:color w:val="auto"/>
        </w:rPr>
        <w:t>The six (6)-month exercise period will apply without regard to the term of the Option as described in Section 4 above. Any French-qualified Option which remains unexercised shall expire six (6) months following the date of the French Participant’s death.</w:t>
      </w:r>
    </w:p>
    <w:p>
      <w:pPr>
        <w:spacing w:after="0" w:line="49" w:lineRule="exact"/>
        <w:rPr>
          <w:sz w:val="20"/>
          <w:szCs w:val="20"/>
          <w:color w:val="auto"/>
        </w:rPr>
      </w:pPr>
    </w:p>
    <w:p>
      <w:pPr>
        <w:jc w:val="both"/>
        <w:ind w:left="1" w:right="180" w:firstLine="162"/>
        <w:spacing w:after="0" w:line="264" w:lineRule="auto"/>
        <w:tabs>
          <w:tab w:leader="none" w:pos="351"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a French Participant ceases to be employed by the Company or any parent, Subsidiary or affiliate of the Company by reason of Disability (as defined in this French Option Plan), French Participant’s Option will benefit from the favorable treatment of French-qualified Options, irrespective of the date of sale of the Shares, but only in the specific circumstances provided for by Section 163 bis C of the French Tax Code, as amended.</w:t>
      </w:r>
    </w:p>
    <w:p>
      <w:pPr>
        <w:spacing w:after="0" w:line="57" w:lineRule="exact"/>
        <w:rPr>
          <w:rFonts w:ascii="Arial" w:cs="Arial" w:eastAsia="Arial" w:hAnsi="Arial"/>
          <w:sz w:val="13"/>
          <w:szCs w:val="13"/>
          <w:color w:val="auto"/>
        </w:rPr>
      </w:pPr>
    </w:p>
    <w:p>
      <w:pPr>
        <w:jc w:val="both"/>
        <w:ind w:left="1" w:right="100" w:firstLine="162"/>
        <w:spacing w:after="0" w:line="258" w:lineRule="auto"/>
        <w:tabs>
          <w:tab w:leader="none" w:pos="343"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a French Participant ceases to be employed by the Company or any parent, Subsidiary or affiliate of the Company for reason of his or her Forced Retirement or dismissal as defined by Section 91-ter of Exhibit II to the French Tax Code and as construed by the French Tax Circulars and subject to the fulfillment of related conditions, his or her Option will benefit from the favorable treatment of French-qualified Options, irrespective of the date of sale of the Shares, only if exercised at least three (3) months prior to the effective date of the Forced Retirement or three (3) months prior to the date of the effective date of dismissal which is currently defined by French labor rules as the date of the sending of the letter of dismissal to the French Participant, as defined by French law and as construed by French tax and social security guidelines and court decisions of French Labor Courts.</w:t>
      </w:r>
    </w:p>
    <w:p>
      <w:pPr>
        <w:spacing w:after="0" w:line="136" w:lineRule="exact"/>
        <w:rPr>
          <w:rFonts w:ascii="Arial" w:cs="Arial" w:eastAsia="Arial" w:hAnsi="Arial"/>
          <w:sz w:val="13"/>
          <w:szCs w:val="13"/>
          <w:color w:val="auto"/>
        </w:rPr>
      </w:pPr>
    </w:p>
    <w:p>
      <w:pPr>
        <w:ind w:left="121" w:hanging="121"/>
        <w:spacing w:after="0"/>
        <w:tabs>
          <w:tab w:leader="none" w:pos="121"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Adjustments — Change in Control</w:t>
      </w:r>
    </w:p>
    <w:p>
      <w:pPr>
        <w:spacing w:after="0" w:line="90" w:lineRule="exact"/>
        <w:rPr>
          <w:rFonts w:ascii="Arial" w:cs="Arial" w:eastAsia="Arial" w:hAnsi="Arial"/>
          <w:sz w:val="13"/>
          <w:szCs w:val="13"/>
          <w:b w:val="1"/>
          <w:bCs w:val="1"/>
          <w:color w:val="auto"/>
        </w:rPr>
      </w:pPr>
    </w:p>
    <w:p>
      <w:pPr>
        <w:ind w:left="1" w:right="20" w:firstLine="162"/>
        <w:spacing w:after="0" w:line="260" w:lineRule="auto"/>
        <w:tabs>
          <w:tab w:leader="none" w:pos="336"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Adjustments of French-qualified Options issued hereunder shall be made to preclude the dilution or enlargement of benefits under the French-qualified Option only in the event of the transactions by the Company listed under Section L. 225-181 of the French Commercial Code, as amended, and in case of a repurchase of Shares by the Company at a price which is higher than the stock quotation price in the open market, and according to the provisions of Section L. 228-99 of the French Commercial Code, as amended, as well as according to specific decrees. In the event of an adjustment other than as described above, the Options may no longer qualify for favorable tax and social security treatment under French law.</w:t>
      </w:r>
    </w:p>
    <w:p>
      <w:pPr>
        <w:spacing w:after="0" w:line="59" w:lineRule="exact"/>
        <w:rPr>
          <w:rFonts w:ascii="Arial" w:cs="Arial" w:eastAsia="Arial" w:hAnsi="Arial"/>
          <w:sz w:val="13"/>
          <w:szCs w:val="13"/>
          <w:color w:val="auto"/>
        </w:rPr>
      </w:pPr>
    </w:p>
    <w:p>
      <w:pPr>
        <w:ind w:left="1" w:right="240" w:firstLine="162"/>
        <w:spacing w:after="0" w:line="276" w:lineRule="auto"/>
        <w:tabs>
          <w:tab w:leader="none" w:pos="351" w:val="left"/>
        </w:tabs>
        <w:numPr>
          <w:ilvl w:val="1"/>
          <w:numId w:val="126"/>
        </w:numPr>
        <w:rPr>
          <w:rFonts w:ascii="Arial" w:cs="Arial" w:eastAsia="Arial" w:hAnsi="Arial"/>
          <w:sz w:val="13"/>
          <w:szCs w:val="13"/>
          <w:color w:val="auto"/>
        </w:rPr>
      </w:pPr>
      <w:r>
        <w:rPr>
          <w:rFonts w:ascii="Arial" w:cs="Arial" w:eastAsia="Arial" w:hAnsi="Arial"/>
          <w:sz w:val="13"/>
          <w:szCs w:val="13"/>
          <w:color w:val="auto"/>
        </w:rPr>
        <w:t>Nevertheless, the Board or the Committee, at its discretion, may decide to make adjustments in the case of a transaction as described in Sections 5(i) and 11 of the U.S. Plan, for which adjustments may not be authorized under French law, in which case, the Options may no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4" w:name="page135"/>
    <w:bookmarkEnd w:id="134"/>
    <w:p>
      <w:pPr>
        <w:ind w:left="1"/>
        <w:spacing w:after="0"/>
        <w:rPr>
          <w:sz w:val="20"/>
          <w:szCs w:val="20"/>
          <w:color w:val="auto"/>
        </w:rPr>
      </w:pPr>
      <w:r>
        <w:rPr>
          <w:rFonts w:ascii="Arial" w:cs="Arial" w:eastAsia="Arial" w:hAnsi="Arial"/>
          <w:sz w:val="13"/>
          <w:szCs w:val="13"/>
          <w:color w:val="auto"/>
        </w:rPr>
        <w:t>longer qualify as French-qualified awards and the favorable tax and social security treatment may be lost.</w:t>
      </w:r>
    </w:p>
    <w:p>
      <w:pPr>
        <w:spacing w:after="0" w:line="161" w:lineRule="exact"/>
        <w:rPr>
          <w:sz w:val="20"/>
          <w:szCs w:val="20"/>
          <w:color w:val="auto"/>
        </w:rPr>
      </w:pPr>
    </w:p>
    <w:p>
      <w:pPr>
        <w:ind w:left="121" w:hanging="121"/>
        <w:spacing w:after="0"/>
        <w:tabs>
          <w:tab w:leader="none" w:pos="121"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Disqualification of Options</w:t>
      </w:r>
    </w:p>
    <w:p>
      <w:pPr>
        <w:spacing w:after="0" w:line="90"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If Options are otherwise modified or adjusted in a manner in keeping with the terms of the U.S. Plan or as mandated as a matter of law and the modification or adjustment is contrary to the terms and conditions of this French Option Plan, Options may no longer qualify as French-qualified Options. If Options no longer qualify as French-qualified Options, the Committee may, provided it is authorized to do so under the U.S. Plan, determine to lift, shorten or terminate certain restrictions applicable to the vesting of the Options, the exercisability of the Options, or the sale of the Shares which may have been imposed under this French Option Plan or in the Benefit Agreement delivered to the French Participant.</w:t>
      </w:r>
    </w:p>
    <w:p>
      <w:pPr>
        <w:spacing w:after="0" w:line="135" w:lineRule="exact"/>
        <w:rPr>
          <w:sz w:val="20"/>
          <w:szCs w:val="20"/>
          <w:color w:val="auto"/>
        </w:rPr>
      </w:pPr>
    </w:p>
    <w:p>
      <w:pPr>
        <w:ind w:left="201" w:hanging="201"/>
        <w:spacing w:after="0"/>
        <w:tabs>
          <w:tab w:leader="none" w:pos="201"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Interpretation</w:t>
      </w:r>
    </w:p>
    <w:p>
      <w:pPr>
        <w:spacing w:after="0" w:line="90" w:lineRule="exact"/>
        <w:rPr>
          <w:sz w:val="20"/>
          <w:szCs w:val="20"/>
          <w:color w:val="auto"/>
        </w:rPr>
      </w:pPr>
    </w:p>
    <w:p>
      <w:pPr>
        <w:ind w:left="1" w:firstLine="164"/>
        <w:spacing w:after="0" w:line="320" w:lineRule="auto"/>
        <w:rPr>
          <w:sz w:val="20"/>
          <w:szCs w:val="20"/>
          <w:color w:val="auto"/>
        </w:rPr>
      </w:pPr>
      <w:r>
        <w:rPr>
          <w:rFonts w:ascii="Arial" w:cs="Arial" w:eastAsia="Arial" w:hAnsi="Arial"/>
          <w:sz w:val="12"/>
          <w:szCs w:val="12"/>
          <w:color w:val="auto"/>
        </w:rPr>
        <w:t>It is intended that Options granted under the French Option Plan shall qualify for the favorable tax and social security treatment applicable to Options granted under Sections L. 225-177 to L. 225-186-1 of the French Commercial Code, as amended, and in accordance with the relevant provisions set forth by French tax law and the French tax administration, but no undertaking is made to maintain such status.</w:t>
      </w:r>
    </w:p>
    <w:p>
      <w:pPr>
        <w:spacing w:after="0" w:line="25" w:lineRule="exact"/>
        <w:rPr>
          <w:sz w:val="20"/>
          <w:szCs w:val="20"/>
          <w:color w:val="auto"/>
        </w:rPr>
      </w:pPr>
    </w:p>
    <w:p>
      <w:pPr>
        <w:ind w:left="1" w:right="340" w:firstLine="161"/>
        <w:spacing w:after="0" w:line="276" w:lineRule="auto"/>
        <w:rPr>
          <w:sz w:val="20"/>
          <w:szCs w:val="20"/>
          <w:color w:val="auto"/>
        </w:rPr>
      </w:pPr>
      <w:r>
        <w:rPr>
          <w:rFonts w:ascii="Arial" w:cs="Arial" w:eastAsia="Arial" w:hAnsi="Arial"/>
          <w:sz w:val="13"/>
          <w:szCs w:val="13"/>
          <w:color w:val="auto"/>
        </w:rPr>
        <w:t>The terms of the French Option Plan shall be interpreted accordingly and in accordance with the relevant provisions set forth by French tax and social security laws, as well as the French tax and social security administrations and the relevant guidelines released by the French tax and social security authorities and subject to the fulfillment of legal, tax and reporting obligations.</w:t>
      </w:r>
    </w:p>
    <w:p>
      <w:pPr>
        <w:spacing w:after="0" w:line="49" w:lineRule="exact"/>
        <w:rPr>
          <w:sz w:val="20"/>
          <w:szCs w:val="20"/>
          <w:color w:val="auto"/>
        </w:rPr>
      </w:pPr>
    </w:p>
    <w:p>
      <w:pPr>
        <w:ind w:left="1" w:right="580" w:firstLine="164"/>
        <w:spacing w:after="0" w:line="276" w:lineRule="auto"/>
        <w:rPr>
          <w:sz w:val="20"/>
          <w:szCs w:val="20"/>
          <w:color w:val="auto"/>
        </w:rPr>
      </w:pPr>
      <w:r>
        <w:rPr>
          <w:rFonts w:ascii="Arial" w:cs="Arial" w:eastAsia="Arial" w:hAnsi="Arial"/>
          <w:sz w:val="13"/>
          <w:szCs w:val="13"/>
          <w:color w:val="auto"/>
        </w:rPr>
        <w:t>In the event of any conflict between the provisions of the French Option Plan and the U.S. Plan, the provisions of this French Option Plan shall control for any grants of Options made thereunder to French Participants.</w:t>
      </w:r>
    </w:p>
    <w:p>
      <w:pPr>
        <w:spacing w:after="0" w:line="124" w:lineRule="exact"/>
        <w:rPr>
          <w:sz w:val="20"/>
          <w:szCs w:val="20"/>
          <w:color w:val="auto"/>
        </w:rPr>
      </w:pPr>
    </w:p>
    <w:p>
      <w:pPr>
        <w:ind w:left="181" w:hanging="181"/>
        <w:spacing w:after="0"/>
        <w:tabs>
          <w:tab w:leader="none" w:pos="181"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Employment Rights</w:t>
      </w:r>
    </w:p>
    <w:p>
      <w:pPr>
        <w:spacing w:after="0" w:line="90" w:lineRule="exact"/>
        <w:rPr>
          <w:sz w:val="20"/>
          <w:szCs w:val="20"/>
          <w:color w:val="auto"/>
        </w:rPr>
      </w:pPr>
    </w:p>
    <w:p>
      <w:pPr>
        <w:ind w:left="1" w:right="180" w:firstLine="161"/>
        <w:spacing w:after="0" w:line="276" w:lineRule="auto"/>
        <w:rPr>
          <w:sz w:val="20"/>
          <w:szCs w:val="20"/>
          <w:color w:val="auto"/>
        </w:rPr>
      </w:pPr>
      <w:r>
        <w:rPr>
          <w:rFonts w:ascii="Arial" w:cs="Arial" w:eastAsia="Arial" w:hAnsi="Arial"/>
          <w:sz w:val="13"/>
          <w:szCs w:val="13"/>
          <w:color w:val="auto"/>
        </w:rPr>
        <w:t>The adoption of this French Option Plan shall not confer upon the French Participant, or any employees of a French entity, any employment rights and shall not be construed as a part of any employment contracts that a French Subsidiary has with its employees.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35" w:name="page136"/>
    <w:bookmarkEnd w:id="135"/>
    <w:p>
      <w:pPr>
        <w:ind w:left="201" w:hanging="201"/>
        <w:spacing w:after="0"/>
        <w:tabs>
          <w:tab w:leader="none" w:pos="201"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Non-Transferability</w:t>
      </w:r>
      <w:r>
        <w:rPr>
          <w:rFonts w:ascii="Arial" w:cs="Arial" w:eastAsia="Arial" w:hAnsi="Arial"/>
          <w:sz w:val="13"/>
          <w:szCs w:val="13"/>
          <w:b w:val="1"/>
          <w:bCs w:val="1"/>
          <w:color w:val="auto"/>
        </w:rPr>
        <w:t>.</w:t>
      </w:r>
    </w:p>
    <w:p>
      <w:pPr>
        <w:spacing w:after="0" w:line="90"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Notwithstanding any provision in the U.S. Plan to the contrary and, except in the case of death and in accordance with local applicable laws, the French-qualified Options shall not be transferred to any third party. In addition, the French-qualified Options are only exercisable by the French Participant during the lifetime of the French Participant.</w:t>
      </w:r>
    </w:p>
    <w:p>
      <w:pPr>
        <w:spacing w:after="0" w:line="124" w:lineRule="exact"/>
        <w:rPr>
          <w:sz w:val="20"/>
          <w:szCs w:val="20"/>
          <w:color w:val="auto"/>
        </w:rPr>
      </w:pPr>
    </w:p>
    <w:p>
      <w:pPr>
        <w:ind w:left="201" w:hanging="201"/>
        <w:spacing w:after="0"/>
        <w:tabs>
          <w:tab w:leader="none" w:pos="201"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Subject to the terms of the U.S. Plan, the Board or Committee reserves the right to amend or terminate the French Option Plan at any time.</w:t>
      </w:r>
    </w:p>
    <w:p>
      <w:pPr>
        <w:spacing w:after="0" w:line="161" w:lineRule="exact"/>
        <w:rPr>
          <w:sz w:val="20"/>
          <w:szCs w:val="20"/>
          <w:color w:val="auto"/>
        </w:rPr>
      </w:pPr>
    </w:p>
    <w:p>
      <w:pPr>
        <w:ind w:left="201" w:hanging="201"/>
        <w:spacing w:after="0"/>
        <w:tabs>
          <w:tab w:leader="none" w:pos="201"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Effective Date</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French Option Plan is effective as of September 15, 2009.</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16" w:right="279" w:bottom="1440" w:gutter="0" w:footer="0" w:header="0"/>
        </w:sectPr>
      </w:pPr>
    </w:p>
    <w:bookmarkStart w:id="136" w:name="page137"/>
    <w:bookmarkEnd w:id="136"/>
    <w:p>
      <w:pPr>
        <w:jc w:val="center"/>
        <w:ind w:right="-240"/>
        <w:spacing w:after="0"/>
        <w:rPr>
          <w:sz w:val="20"/>
          <w:szCs w:val="20"/>
          <w:color w:val="auto"/>
        </w:rPr>
      </w:pPr>
      <w:r>
        <w:rPr>
          <w:rFonts w:ascii="Arial" w:cs="Arial" w:eastAsia="Arial" w:hAnsi="Arial"/>
          <w:sz w:val="13"/>
          <w:szCs w:val="13"/>
          <w:b w:val="1"/>
          <w:bCs w:val="1"/>
          <w:color w:val="auto"/>
        </w:rPr>
        <w:t>APPENDIX C</w:t>
      </w:r>
    </w:p>
    <w:p>
      <w:pPr>
        <w:spacing w:after="0" w:line="19"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color w:val="auto"/>
        </w:rPr>
        <w:t>AUSTRALIAN ADDENDUM</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 PURPOSE</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2"/>
          <w:szCs w:val="12"/>
          <w:color w:val="auto"/>
        </w:rPr>
        <w:t>This Addendum (the “Australian Addendum”) to the Analog Devices, Inc. (“Company”) 2006 Stock Incentive Plan (as amended) (“U.S. Plan”) is adopted to set out rules which, together with those provisions of the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U.S. Plan which this Australian Addendum does not replace, will:</w:t>
      </w:r>
    </w:p>
    <w:p>
      <w:pPr>
        <w:spacing w:after="0" w:line="79" w:lineRule="exact"/>
        <w:rPr>
          <w:sz w:val="20"/>
          <w:szCs w:val="20"/>
          <w:color w:val="auto"/>
        </w:rPr>
      </w:pPr>
    </w:p>
    <w:p>
      <w:pPr>
        <w:ind w:left="341" w:hanging="341"/>
        <w:spacing w:after="0"/>
        <w:tabs>
          <w:tab w:leader="none" w:pos="34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govern the operation of the Plan with respect to Australian resident employees of the Company and its Australian Subsidiaries; and</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provide for the Plan to comply with ASIC Class Order 03/184 (“Class Order”), relevant provisions of the Corporations Act and ASIC Regulatory Guide 49.</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2. DEFINITIONS AND INTERPRETATION</w:t>
      </w:r>
    </w:p>
    <w:p>
      <w:pPr>
        <w:spacing w:after="0" w:line="90" w:lineRule="exact"/>
        <w:rPr>
          <w:sz w:val="20"/>
          <w:szCs w:val="20"/>
          <w:color w:val="auto"/>
        </w:rPr>
      </w:pPr>
    </w:p>
    <w:p>
      <w:pPr>
        <w:ind w:left="1" w:right="320"/>
        <w:spacing w:after="0" w:line="276" w:lineRule="auto"/>
        <w:rPr>
          <w:sz w:val="20"/>
          <w:szCs w:val="20"/>
          <w:color w:val="auto"/>
        </w:rPr>
      </w:pPr>
      <w:r>
        <w:rPr>
          <w:rFonts w:ascii="Arial" w:cs="Arial" w:eastAsia="Arial" w:hAnsi="Arial"/>
          <w:sz w:val="13"/>
          <w:szCs w:val="13"/>
          <w:color w:val="auto"/>
        </w:rPr>
        <w:t>Except as set out in this clause 2, capitalised terms used in this document have the meaning ascribed to them in the U.S. Plan. If any conflict occurs between the provisions of this Australian Addendum and the provisions of the U.S. Plan, these provisions prevail.</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For the purposes of this Australian Addendum:</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ASIC </w:t>
      </w:r>
      <w:r>
        <w:rPr>
          <w:rFonts w:ascii="Arial" w:cs="Arial" w:eastAsia="Arial" w:hAnsi="Arial"/>
          <w:sz w:val="13"/>
          <w:szCs w:val="13"/>
          <w:color w:val="auto"/>
        </w:rPr>
        <w:t>means the Australian Securities and Investments Commission;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Associated Body Corporate </w:t>
      </w:r>
      <w:r>
        <w:rPr>
          <w:rFonts w:ascii="Arial" w:cs="Arial" w:eastAsia="Arial" w:hAnsi="Arial"/>
          <w:sz w:val="13"/>
          <w:szCs w:val="13"/>
          <w:color w:val="auto"/>
        </w:rPr>
        <w:t>means, as determined in accordance with the Corporations Act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body corporate:</w:t>
      </w:r>
    </w:p>
    <w:p>
      <w:pPr>
        <w:spacing w:after="0" w:line="86" w:lineRule="exact"/>
        <w:rPr>
          <w:sz w:val="20"/>
          <w:szCs w:val="20"/>
          <w:color w:val="auto"/>
        </w:rPr>
      </w:pPr>
    </w:p>
    <w:p>
      <w:pPr>
        <w:ind w:left="341" w:hanging="341"/>
        <w:spacing w:after="0"/>
        <w:tabs>
          <w:tab w:leader="none" w:pos="34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that is a related body corporate of the Company;</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that has voting power in the Company of not less than 20%; or</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 which the Company has voting power of not less than 20%;</w:t>
      </w:r>
    </w:p>
    <w:p>
      <w:pPr>
        <w:spacing w:after="0" w:line="86" w:lineRule="exact"/>
        <w:rPr>
          <w:sz w:val="20"/>
          <w:szCs w:val="20"/>
          <w:color w:val="auto"/>
        </w:rPr>
      </w:pPr>
    </w:p>
    <w:p>
      <w:pPr>
        <w:ind w:left="1" w:right="4380"/>
        <w:spacing w:after="0" w:line="378" w:lineRule="auto"/>
        <w:rPr>
          <w:sz w:val="20"/>
          <w:szCs w:val="20"/>
          <w:color w:val="auto"/>
        </w:rPr>
      </w:pPr>
      <w:r>
        <w:rPr>
          <w:rFonts w:ascii="Arial" w:cs="Arial" w:eastAsia="Arial" w:hAnsi="Arial"/>
          <w:sz w:val="13"/>
          <w:szCs w:val="13"/>
          <w:b w:val="1"/>
          <w:bCs w:val="1"/>
          <w:i w:val="1"/>
          <w:iCs w:val="1"/>
          <w:color w:val="auto"/>
        </w:rPr>
        <w:t xml:space="preserve">Australian Award </w:t>
      </w:r>
      <w:r>
        <w:rPr>
          <w:rFonts w:ascii="Arial" w:cs="Arial" w:eastAsia="Arial" w:hAnsi="Arial"/>
          <w:sz w:val="13"/>
          <w:szCs w:val="13"/>
          <w:color w:val="auto"/>
        </w:rPr>
        <w:t>means the award of an Option, Share, Restricted Stock Unit or Dividend Equivalent under the terms of the Plan;</w:t>
      </w:r>
      <w:r>
        <w:rPr>
          <w:rFonts w:ascii="Arial" w:cs="Arial" w:eastAsia="Arial" w:hAnsi="Arial"/>
          <w:sz w:val="13"/>
          <w:szCs w:val="13"/>
          <w:b w:val="1"/>
          <w:bCs w:val="1"/>
          <w:i w:val="1"/>
          <w:iCs w:val="1"/>
          <w:color w:val="auto"/>
        </w:rPr>
        <w:t xml:space="preserve"> Australian Offerees </w:t>
      </w:r>
      <w:r>
        <w:rPr>
          <w:rFonts w:ascii="Arial" w:cs="Arial" w:eastAsia="Arial" w:hAnsi="Arial"/>
          <w:sz w:val="13"/>
          <w:szCs w:val="13"/>
          <w:color w:val="auto"/>
        </w:rPr>
        <w:t>means all persons to whom an offer of an Australian Award is made in Australia under the Plan;</w:t>
      </w:r>
      <w:r>
        <w:rPr>
          <w:rFonts w:ascii="Arial" w:cs="Arial" w:eastAsia="Arial" w:hAnsi="Arial"/>
          <w:sz w:val="13"/>
          <w:szCs w:val="13"/>
          <w:b w:val="1"/>
          <w:bCs w:val="1"/>
          <w:i w:val="1"/>
          <w:iCs w:val="1"/>
          <w:color w:val="auto"/>
        </w:rPr>
        <w:t xml:space="preserve"> Australian Subsidiary </w:t>
      </w:r>
      <w:r>
        <w:rPr>
          <w:rFonts w:ascii="Arial" w:cs="Arial" w:eastAsia="Arial" w:hAnsi="Arial"/>
          <w:sz w:val="13"/>
          <w:szCs w:val="13"/>
          <w:color w:val="auto"/>
        </w:rPr>
        <w:t>means an Australian Associated Body Corporate;</w:t>
      </w:r>
      <w:r>
        <w:rPr>
          <w:rFonts w:ascii="Arial" w:cs="Arial" w:eastAsia="Arial" w:hAnsi="Arial"/>
          <w:sz w:val="13"/>
          <w:szCs w:val="13"/>
          <w:b w:val="1"/>
          <w:bCs w:val="1"/>
          <w:i w:val="1"/>
          <w:iCs w:val="1"/>
          <w:color w:val="auto"/>
        </w:rPr>
        <w:t xml:space="preserve"> Common Stock </w:t>
      </w:r>
      <w:r>
        <w:rPr>
          <w:rFonts w:ascii="Arial" w:cs="Arial" w:eastAsia="Arial" w:hAnsi="Arial"/>
          <w:sz w:val="13"/>
          <w:szCs w:val="13"/>
          <w:color w:val="auto"/>
        </w:rPr>
        <w:t>means the common stock of the Company;</w:t>
      </w:r>
    </w:p>
    <w:p>
      <w:pPr>
        <w:spacing w:after="0" w:line="2"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Company </w:t>
      </w:r>
      <w:r>
        <w:rPr>
          <w:rFonts w:ascii="Arial" w:cs="Arial" w:eastAsia="Arial" w:hAnsi="Arial"/>
          <w:sz w:val="13"/>
          <w:szCs w:val="13"/>
          <w:color w:val="auto"/>
        </w:rPr>
        <w:t>means Analog Devices, Inc.;</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Corporations Act </w:t>
      </w:r>
      <w:r>
        <w:rPr>
          <w:rFonts w:ascii="Arial" w:cs="Arial" w:eastAsia="Arial" w:hAnsi="Arial"/>
          <w:sz w:val="13"/>
          <w:szCs w:val="13"/>
          <w:color w:val="auto"/>
        </w:rPr>
        <w:t>means Corporations Act 2001 (Cth);</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Dividend Equivalent </w:t>
      </w:r>
      <w:r>
        <w:rPr>
          <w:rFonts w:ascii="Arial" w:cs="Arial" w:eastAsia="Arial" w:hAnsi="Arial"/>
          <w:sz w:val="13"/>
          <w:szCs w:val="13"/>
          <w:color w:val="auto"/>
        </w:rPr>
        <w:t>means a right to receive a cash payment equal to the amount of any dividends that the Company may declare on its Shares that may be granted in connection with</w:t>
      </w:r>
    </w:p>
    <w:p>
      <w:pPr>
        <w:spacing w:after="0" w:line="145"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1"/>
          </w:cols>
          <w:pgMar w:left="219" w:top="736" w:right="439" w:bottom="1440" w:gutter="0" w:footer="0" w:header="0"/>
        </w:sectPr>
      </w:pPr>
    </w:p>
    <w:bookmarkStart w:id="137" w:name="page138"/>
    <w:bookmarkEnd w:id="137"/>
    <w:p>
      <w:pPr>
        <w:ind w:left="1"/>
        <w:spacing w:after="0"/>
        <w:rPr>
          <w:sz w:val="20"/>
          <w:szCs w:val="20"/>
          <w:color w:val="auto"/>
        </w:rPr>
      </w:pPr>
      <w:r>
        <w:rPr>
          <w:rFonts w:ascii="Arial" w:cs="Arial" w:eastAsia="Arial" w:hAnsi="Arial"/>
          <w:sz w:val="13"/>
          <w:szCs w:val="13"/>
          <w:color w:val="auto"/>
        </w:rPr>
        <w:t>any award of Restricted Stock Units at the Company’s discretion, in accordance with the U.S. Plan;</w:t>
      </w:r>
    </w:p>
    <w:p>
      <w:pPr>
        <w:spacing w:after="0" w:line="86" w:lineRule="exact"/>
        <w:rPr>
          <w:sz w:val="20"/>
          <w:szCs w:val="20"/>
          <w:color w:val="auto"/>
        </w:rPr>
      </w:pPr>
    </w:p>
    <w:p>
      <w:pPr>
        <w:ind w:left="1" w:right="3540"/>
        <w:spacing w:after="0" w:line="378" w:lineRule="auto"/>
        <w:rPr>
          <w:sz w:val="20"/>
          <w:szCs w:val="20"/>
          <w:color w:val="auto"/>
        </w:rPr>
      </w:pPr>
      <w:r>
        <w:rPr>
          <w:rFonts w:ascii="Arial" w:cs="Arial" w:eastAsia="Arial" w:hAnsi="Arial"/>
          <w:sz w:val="13"/>
          <w:szCs w:val="13"/>
          <w:b w:val="1"/>
          <w:bCs w:val="1"/>
          <w:i w:val="1"/>
          <w:iCs w:val="1"/>
          <w:color w:val="auto"/>
        </w:rPr>
        <w:t xml:space="preserve">Offer </w:t>
      </w:r>
      <w:r>
        <w:rPr>
          <w:rFonts w:ascii="Arial" w:cs="Arial" w:eastAsia="Arial" w:hAnsi="Arial"/>
          <w:sz w:val="13"/>
          <w:szCs w:val="13"/>
          <w:color w:val="auto"/>
        </w:rPr>
        <w:t>means an offer received in Australia to acquire Shares, Options, Restricted Stock Units or Dividend Equivalents under the terms of the Plan;</w:t>
      </w:r>
      <w:r>
        <w:rPr>
          <w:rFonts w:ascii="Arial" w:cs="Arial" w:eastAsia="Arial" w:hAnsi="Arial"/>
          <w:sz w:val="13"/>
          <w:szCs w:val="13"/>
          <w:b w:val="1"/>
          <w:bCs w:val="1"/>
          <w:i w:val="1"/>
          <w:iCs w:val="1"/>
          <w:color w:val="auto"/>
        </w:rPr>
        <w:t xml:space="preserve"> Option </w:t>
      </w:r>
      <w:r>
        <w:rPr>
          <w:rFonts w:ascii="Arial" w:cs="Arial" w:eastAsia="Arial" w:hAnsi="Arial"/>
          <w:sz w:val="13"/>
          <w:szCs w:val="13"/>
          <w:color w:val="auto"/>
        </w:rPr>
        <w:t>means an option to acquire a Share;</w:t>
      </w:r>
    </w:p>
    <w:p>
      <w:pPr>
        <w:spacing w:after="0" w:line="1"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Plan </w:t>
      </w:r>
      <w:r>
        <w:rPr>
          <w:rFonts w:ascii="Arial" w:cs="Arial" w:eastAsia="Arial" w:hAnsi="Arial"/>
          <w:sz w:val="13"/>
          <w:szCs w:val="13"/>
          <w:color w:val="auto"/>
        </w:rPr>
        <w:t>means the U.S. Plan as modified for implementation in Australia by this Australian Addendum;</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Share </w:t>
      </w:r>
      <w:r>
        <w:rPr>
          <w:rFonts w:ascii="Arial" w:cs="Arial" w:eastAsia="Arial" w:hAnsi="Arial"/>
          <w:sz w:val="13"/>
          <w:szCs w:val="13"/>
          <w:color w:val="auto"/>
        </w:rPr>
        <w:t>means a share of Common Stock; and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i w:val="1"/>
          <w:iCs w:val="1"/>
          <w:color w:val="auto"/>
        </w:rPr>
        <w:t xml:space="preserve">Restricted Stock Unit </w:t>
      </w:r>
      <w:r>
        <w:rPr>
          <w:rFonts w:ascii="Arial" w:cs="Arial" w:eastAsia="Arial" w:hAnsi="Arial"/>
          <w:sz w:val="13"/>
          <w:szCs w:val="13"/>
          <w:color w:val="auto"/>
        </w:rPr>
        <w:t>means an unfunded promise by the Company to deliver the number of Shares underlying the Restricted Stock Unit following the lapse of specified restrictions.</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3. FORM OF AWARDS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Company may only grant Australian Awards under the Plan in Australia.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Options and Restricted Stock Units may be offered for no more than nominal consideration (i.e. consideration of not more than one (1) cent per Option/Restricted Stock Unit).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4. AUSTRALIAN OFFEREES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Company may extend an Offer only to Australian Offerees who at the time of the Offer are full or part-time employees or directors of the Company or an Associated Body Corporate.</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5. NO CONTRIBUTION OR TRUST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An Offer must not involve a contribution plan or any offer, issue or sale being made through a trust.</w:t>
      </w:r>
    </w:p>
    <w:p>
      <w:pPr>
        <w:spacing w:after="0" w:line="161" w:lineRule="exact"/>
        <w:rPr>
          <w:sz w:val="20"/>
          <w:szCs w:val="20"/>
          <w:color w:val="auto"/>
        </w:rPr>
      </w:pPr>
    </w:p>
    <w:p>
      <w:pPr>
        <w:ind w:left="121" w:hanging="121"/>
        <w:spacing w:after="0"/>
        <w:tabs>
          <w:tab w:leader="none" w:pos="121"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AUSTRALIAN OFFER DOCUMENT</w:t>
      </w:r>
    </w:p>
    <w:p>
      <w:pPr>
        <w:spacing w:after="0" w:line="86" w:lineRule="exact"/>
        <w:rPr>
          <w:rFonts w:ascii="Arial" w:cs="Arial" w:eastAsia="Arial" w:hAnsi="Arial"/>
          <w:sz w:val="13"/>
          <w:szCs w:val="13"/>
          <w:b w:val="1"/>
          <w:bCs w:val="1"/>
          <w:color w:val="auto"/>
        </w:rPr>
      </w:pPr>
    </w:p>
    <w:p>
      <w:pPr>
        <w:ind w:left="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6.1 Form of Offer</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Company shall make an Offer in Australia to participate in the Plan via a written document (“Offer Document”) which must set out the terms of the Offer and include or be accompanied by the following:</w:t>
      </w:r>
    </w:p>
    <w:p>
      <w:pPr>
        <w:spacing w:after="0" w:line="98" w:lineRule="exact"/>
        <w:rPr>
          <w:sz w:val="20"/>
          <w:szCs w:val="20"/>
          <w:color w:val="auto"/>
        </w:rPr>
      </w:pPr>
    </w:p>
    <w:p>
      <w:pPr>
        <w:ind w:left="341" w:hanging="341"/>
        <w:spacing w:after="0"/>
        <w:tabs>
          <w:tab w:leader="none" w:pos="341"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 summary or a copy of the Plan;</w:t>
      </w:r>
    </w:p>
    <w:p>
      <w:pPr>
        <w:spacing w:after="0" w:line="96" w:lineRule="exact"/>
        <w:rPr>
          <w:rFonts w:ascii="Arial" w:cs="Arial" w:eastAsia="Arial" w:hAnsi="Arial"/>
          <w:sz w:val="13"/>
          <w:szCs w:val="13"/>
          <w:color w:val="auto"/>
        </w:rPr>
      </w:pPr>
    </w:p>
    <w:p>
      <w:pPr>
        <w:ind w:left="341" w:hanging="341"/>
        <w:spacing w:after="0" w:line="320" w:lineRule="auto"/>
        <w:tabs>
          <w:tab w:leader="none" w:pos="341" w:val="left"/>
        </w:tabs>
        <w:numPr>
          <w:ilvl w:val="0"/>
          <w:numId w:val="136"/>
        </w:numPr>
        <w:rPr>
          <w:rFonts w:ascii="Arial" w:cs="Arial" w:eastAsia="Arial" w:hAnsi="Arial"/>
          <w:sz w:val="12"/>
          <w:szCs w:val="12"/>
          <w:color w:val="auto"/>
        </w:rPr>
      </w:pPr>
      <w:r>
        <w:rPr>
          <w:rFonts w:ascii="Arial" w:cs="Arial" w:eastAsia="Arial" w:hAnsi="Arial"/>
          <w:sz w:val="12"/>
          <w:szCs w:val="12"/>
          <w:color w:val="auto"/>
        </w:rPr>
        <w:t>where only a summary of the Plan is provided, an undertaking that during the period (“Offer Period”) in which an Australian Award may be issued or Shares may be acquired through exercise of an Australian Award, the Company or its Australian Subsidiary will, within a reasonable period of an Australian Offeree so requesting, provide the offeree without charge with a copy of the Plan.</w:t>
      </w:r>
    </w:p>
    <w:p>
      <w:pPr>
        <w:spacing w:after="0" w:line="84"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1"/>
          </w:cols>
          <w:pgMar w:left="219" w:top="720" w:right="459" w:bottom="1440" w:gutter="0" w:footer="0" w:header="0"/>
        </w:sectPr>
      </w:pPr>
    </w:p>
    <w:bookmarkStart w:id="138" w:name="page139"/>
    <w:bookmarkEnd w:id="138"/>
    <w:p>
      <w:pPr>
        <w:ind w:left="1"/>
        <w:spacing w:after="0"/>
        <w:rPr>
          <w:sz w:val="20"/>
          <w:szCs w:val="20"/>
          <w:color w:val="auto"/>
        </w:rPr>
      </w:pPr>
      <w:r>
        <w:rPr>
          <w:rFonts w:ascii="Arial" w:cs="Arial" w:eastAsia="Arial" w:hAnsi="Arial"/>
          <w:sz w:val="13"/>
          <w:szCs w:val="13"/>
          <w:color w:val="auto"/>
        </w:rPr>
        <w:t>The Company must take reasonable steps to ensure that any Australian Offeree to whom an Offer is made is given a copy of the Offer Document.</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6.2 Australian Dollar Equivalent of Exercise and Issue Price</w:t>
      </w:r>
    </w:p>
    <w:p>
      <w:pPr>
        <w:spacing w:after="0" w:line="90" w:lineRule="exact"/>
        <w:rPr>
          <w:sz w:val="20"/>
          <w:szCs w:val="20"/>
          <w:color w:val="auto"/>
        </w:rPr>
      </w:pPr>
    </w:p>
    <w:p>
      <w:pPr>
        <w:ind w:left="1" w:right="60"/>
        <w:spacing w:after="0" w:line="276" w:lineRule="auto"/>
        <w:rPr>
          <w:sz w:val="20"/>
          <w:szCs w:val="20"/>
          <w:color w:val="auto"/>
        </w:rPr>
      </w:pPr>
      <w:r>
        <w:rPr>
          <w:rFonts w:ascii="Arial" w:cs="Arial" w:eastAsia="Arial" w:hAnsi="Arial"/>
          <w:sz w:val="13"/>
          <w:szCs w:val="13"/>
          <w:color w:val="auto"/>
        </w:rPr>
        <w:t>If the Offer requires the Australian Offeree to pay a purchase price to receive the Australian Award granted under the Plan, the Offer Document must specify the Australian dollar equivalent of the purchase price of the Australian Award as at the date of the Offer.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For the offer of Options, the Offer Document must specify the Australian dollar equivalent of the exercise price of the Options (“Exercise Price”) at the date of the Offer.</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For offers of Shares, the Offer Document must specify the Australian dollar equivalent of the issue price of the Shares the subject of the Offer (“Issue Price”) as at the date of the Offer.</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6.3 Updated Price Information</w:t>
      </w:r>
    </w:p>
    <w:p>
      <w:pPr>
        <w:spacing w:after="0" w:line="90" w:lineRule="exact"/>
        <w:rPr>
          <w:sz w:val="20"/>
          <w:szCs w:val="20"/>
          <w:color w:val="auto"/>
        </w:rPr>
      </w:pPr>
    </w:p>
    <w:p>
      <w:pPr>
        <w:ind w:left="1" w:right="180"/>
        <w:spacing w:after="0" w:line="276" w:lineRule="auto"/>
        <w:rPr>
          <w:sz w:val="20"/>
          <w:szCs w:val="20"/>
          <w:color w:val="auto"/>
        </w:rPr>
      </w:pPr>
      <w:r>
        <w:rPr>
          <w:rFonts w:ascii="Arial" w:cs="Arial" w:eastAsia="Arial" w:hAnsi="Arial"/>
          <w:sz w:val="13"/>
          <w:szCs w:val="13"/>
          <w:color w:val="auto"/>
        </w:rPr>
        <w:t>The Offer Document must include an undertaking that, and an explanation of the way in which the Company or its Australian Subsidiary will (during the Offer Period and within a reasonable period of an Australian Offeree so requesting), make available to the Australian Offeree the following information:</w:t>
      </w:r>
    </w:p>
    <w:p>
      <w:pPr>
        <w:spacing w:after="0" w:line="49" w:lineRule="exact"/>
        <w:rPr>
          <w:sz w:val="20"/>
          <w:szCs w:val="20"/>
          <w:color w:val="auto"/>
        </w:rPr>
      </w:pPr>
    </w:p>
    <w:p>
      <w:pPr>
        <w:ind w:left="341" w:hanging="341"/>
        <w:spacing w:after="0"/>
        <w:tabs>
          <w:tab w:leader="none" w:pos="34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Australian dollar equivalent of the current market price of a share of Common Stock as at the date of the Australian Offeree’s request;</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 the case of the Options, the Australian dollar equivalent of the Exercise Price, as at the date of the Australian Offeree’s request; and</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 the case of Shares, if there is an Issue Price, the Australian dollar equivalent of the Issue Price as at the date of the Australian Offeree’s request.</w:t>
      </w:r>
    </w:p>
    <w:p>
      <w:pPr>
        <w:spacing w:after="0" w:line="86" w:lineRule="exact"/>
        <w:rPr>
          <w:sz w:val="20"/>
          <w:szCs w:val="20"/>
          <w:color w:val="auto"/>
        </w:rPr>
      </w:pPr>
    </w:p>
    <w:p>
      <w:pPr>
        <w:ind w:left="1"/>
        <w:spacing w:after="0" w:line="276" w:lineRule="auto"/>
        <w:rPr>
          <w:sz w:val="20"/>
          <w:szCs w:val="20"/>
          <w:color w:val="auto"/>
        </w:rPr>
      </w:pPr>
      <w:r>
        <w:rPr>
          <w:rFonts w:ascii="Arial" w:cs="Arial" w:eastAsia="Arial" w:hAnsi="Arial"/>
          <w:sz w:val="13"/>
          <w:szCs w:val="13"/>
          <w:color w:val="auto"/>
        </w:rPr>
        <w:t>For the purposes of this clause 6.3, the current market price of a share of Common Stock shall be taken as the price published as the closing sales price for such stock on the trading day preceding the date of the request, as traded on the New York Stock Exchange. Please note that for Australian tax purposes, market value is defined differently.</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6.4 Exchange Rate for Australian Dollar Equivalent</w:t>
      </w:r>
    </w:p>
    <w:p>
      <w:pPr>
        <w:spacing w:after="0" w:line="90" w:lineRule="exact"/>
        <w:rPr>
          <w:sz w:val="20"/>
          <w:szCs w:val="20"/>
          <w:color w:val="auto"/>
        </w:rPr>
      </w:pPr>
    </w:p>
    <w:p>
      <w:pPr>
        <w:ind w:left="1" w:right="80"/>
        <w:spacing w:after="0" w:line="276" w:lineRule="auto"/>
        <w:rPr>
          <w:sz w:val="20"/>
          <w:szCs w:val="20"/>
          <w:color w:val="auto"/>
        </w:rPr>
      </w:pPr>
      <w:r>
        <w:rPr>
          <w:rFonts w:ascii="Arial" w:cs="Arial" w:eastAsia="Arial" w:hAnsi="Arial"/>
          <w:sz w:val="13"/>
          <w:szCs w:val="13"/>
          <w:color w:val="auto"/>
        </w:rPr>
        <w:t>For the purposes of clauses 6.2 and 6.3, the Australian dollar equivalent of the Exercise Price, Issue Price and current market price of a share of Common Stock are calculated by reference to the relevant exchange rate published by an Australian bank no earlier than the business day before the day to which the price relates.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6.5 General Advice Only</w:t>
      </w:r>
    </w:p>
    <w:p>
      <w:pPr>
        <w:spacing w:after="0" w:line="90" w:lineRule="exact"/>
        <w:rPr>
          <w:sz w:val="20"/>
          <w:szCs w:val="20"/>
          <w:color w:val="auto"/>
        </w:rPr>
      </w:pPr>
    </w:p>
    <w:p>
      <w:pPr>
        <w:ind w:left="1" w:right="260"/>
        <w:spacing w:after="0" w:line="276" w:lineRule="auto"/>
        <w:rPr>
          <w:sz w:val="20"/>
          <w:szCs w:val="20"/>
          <w:color w:val="auto"/>
        </w:rPr>
      </w:pPr>
      <w:r>
        <w:rPr>
          <w:rFonts w:ascii="Arial" w:cs="Arial" w:eastAsia="Arial" w:hAnsi="Arial"/>
          <w:sz w:val="13"/>
          <w:szCs w:val="13"/>
          <w:color w:val="auto"/>
        </w:rPr>
        <w:t>The Offer Document will include a statement to the effect that any advice given by the Company or an Australian Subsidiary in connection with the Offer is general advice only, and that Australian Offerees should consider obtaining their own financial product advice from an independent person who is licensed by ASIC to give such advice.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39" w:name="page140"/>
    <w:bookmarkEnd w:id="139"/>
    <w:p>
      <w:pPr>
        <w:ind w:left="1"/>
        <w:spacing w:after="0"/>
        <w:rPr>
          <w:sz w:val="20"/>
          <w:szCs w:val="20"/>
          <w:color w:val="auto"/>
        </w:rPr>
      </w:pPr>
      <w:r>
        <w:rPr>
          <w:rFonts w:ascii="Arial" w:cs="Arial" w:eastAsia="Arial" w:hAnsi="Arial"/>
          <w:sz w:val="13"/>
          <w:szCs w:val="13"/>
          <w:b w:val="1"/>
          <w:bCs w:val="1"/>
          <w:color w:val="auto"/>
        </w:rPr>
        <w:t>7. RESTRICTION ON CAPITAL RAISING: 5% LIMIT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2"/>
          <w:szCs w:val="12"/>
          <w:color w:val="auto"/>
        </w:rPr>
        <w:t>In the case where an Offer under the Plan may involve or result in the issue of shares of Common Stock (including as a result of the exercise or upon the vesting of any Australian Award), the number of shares of</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Common Stock that are the subject of the Offer when aggregated with:</w:t>
      </w:r>
    </w:p>
    <w:p>
      <w:pPr>
        <w:spacing w:after="0" w:line="79" w:lineRule="exact"/>
        <w:rPr>
          <w:sz w:val="20"/>
          <w:szCs w:val="20"/>
          <w:color w:val="auto"/>
        </w:rPr>
      </w:pPr>
    </w:p>
    <w:p>
      <w:pPr>
        <w:ind w:left="341" w:hanging="341"/>
        <w:spacing w:after="0" w:line="276" w:lineRule="auto"/>
        <w:tabs>
          <w:tab w:leader="none" w:pos="34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number of shares of Common Stock in the same class which would be issued were each outstanding offer with respect to shares of Common Stock, units of shares of Common Stock and options to acquire unissued shares of Common Stock, made under an employee share scheme, to be accepted or exercised (as the case may be); and</w:t>
      </w:r>
    </w:p>
    <w:p>
      <w:pPr>
        <w:spacing w:after="0" w:line="59" w:lineRule="exact"/>
        <w:rPr>
          <w:rFonts w:ascii="Arial" w:cs="Arial" w:eastAsia="Arial" w:hAnsi="Arial"/>
          <w:sz w:val="13"/>
          <w:szCs w:val="13"/>
          <w:color w:val="auto"/>
        </w:rPr>
      </w:pPr>
    </w:p>
    <w:p>
      <w:pPr>
        <w:ind w:left="341" w:right="260" w:hanging="341"/>
        <w:spacing w:after="0" w:line="276" w:lineRule="auto"/>
        <w:tabs>
          <w:tab w:leader="none" w:pos="34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number of shares of Common Stock in the same class issued during the previous five years under the Plan or any other employee share scheme extended only to full or part time employees (including directors) of the Company and its Associated Bodies Corporate;</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disregarding any offer made, or option acquired or shares of Common Stock issued by way of or as a result of:</w:t>
      </w:r>
    </w:p>
    <w:p>
      <w:pPr>
        <w:spacing w:after="0" w:line="86" w:lineRule="exact"/>
        <w:rPr>
          <w:sz w:val="20"/>
          <w:szCs w:val="20"/>
          <w:color w:val="auto"/>
        </w:rPr>
      </w:pPr>
    </w:p>
    <w:p>
      <w:pPr>
        <w:ind w:left="341" w:hanging="341"/>
        <w:spacing w:after="0"/>
        <w:tabs>
          <w:tab w:leader="none" w:pos="34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offer, to a person situated at the time of receipt of the offer outside Australia; or</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offer that was an excluded offer or invitation within the meaning of the Corporations Law as it stood prior to 13 March 2000</w:t>
      </w:r>
      <w:r>
        <w:rPr>
          <w:rFonts w:ascii="Arial" w:cs="Arial" w:eastAsia="Arial" w:hAnsi="Arial"/>
          <w:sz w:val="13"/>
          <w:szCs w:val="13"/>
          <w:i w:val="1"/>
          <w:iCs w:val="1"/>
          <w:color w:val="auto"/>
        </w:rPr>
        <w:t>;</w:t>
      </w:r>
      <w:r>
        <w:rPr>
          <w:rFonts w:ascii="Arial" w:cs="Arial" w:eastAsia="Arial" w:hAnsi="Arial"/>
          <w:sz w:val="13"/>
          <w:szCs w:val="13"/>
          <w:color w:val="auto"/>
        </w:rPr>
        <w:t xml:space="preserve"> or</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offer that did not need disclosure to investors because of section 708 of the Corporations Act;</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offer that did not require the giving of a Product Disclosure Statement (within the meaning of the Corporations Act) because of section 1012D of the Corporations Act;</w:t>
      </w:r>
    </w:p>
    <w:p>
      <w:pPr>
        <w:spacing w:after="0" w:line="96" w:lineRule="exact"/>
        <w:rPr>
          <w:rFonts w:ascii="Arial" w:cs="Arial" w:eastAsia="Arial" w:hAnsi="Arial"/>
          <w:sz w:val="13"/>
          <w:szCs w:val="13"/>
          <w:color w:val="auto"/>
        </w:rPr>
      </w:pPr>
    </w:p>
    <w:p>
      <w:pPr>
        <w:ind w:left="341" w:hanging="341"/>
        <w:spacing w:after="0"/>
        <w:tabs>
          <w:tab w:leader="none" w:pos="341" w:val="left"/>
        </w:tabs>
        <w:numPr>
          <w:ilvl w:val="0"/>
          <w:numId w:val="139"/>
        </w:numPr>
        <w:rPr>
          <w:rFonts w:ascii="Arial" w:cs="Arial" w:eastAsia="Arial" w:hAnsi="Arial"/>
          <w:sz w:val="13"/>
          <w:szCs w:val="13"/>
          <w:color w:val="auto"/>
        </w:rPr>
      </w:pPr>
      <w:r>
        <w:rPr>
          <w:rFonts w:ascii="Arial" w:cs="Arial" w:eastAsia="Arial" w:hAnsi="Arial"/>
          <w:sz w:val="13"/>
          <w:szCs w:val="13"/>
          <w:color w:val="auto"/>
        </w:rPr>
        <w:t>an offer made under a disclosure document or a Product Disclosure Statement,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must not exceed 5% of the total number of issued shares in that class of shares of Common Stock as at the time of the offer.</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8. LOAN OR FINANCIAL ASSISTANCE</w:t>
      </w:r>
    </w:p>
    <w:p>
      <w:pPr>
        <w:spacing w:after="0" w:line="90" w:lineRule="exact"/>
        <w:rPr>
          <w:sz w:val="20"/>
          <w:szCs w:val="20"/>
          <w:color w:val="auto"/>
        </w:rPr>
      </w:pPr>
    </w:p>
    <w:p>
      <w:pPr>
        <w:ind w:left="1" w:right="20"/>
        <w:spacing w:after="0" w:line="276" w:lineRule="auto"/>
        <w:rPr>
          <w:sz w:val="20"/>
          <w:szCs w:val="20"/>
          <w:color w:val="auto"/>
        </w:rPr>
      </w:pPr>
      <w:r>
        <w:rPr>
          <w:rFonts w:ascii="Arial" w:cs="Arial" w:eastAsia="Arial" w:hAnsi="Arial"/>
          <w:sz w:val="13"/>
          <w:szCs w:val="13"/>
          <w:color w:val="auto"/>
        </w:rPr>
        <w:t>If the Company or an Associated Body Corporate offers an Australian Offeree any loan or other financial assistance for the purpose of acquiring any financial product to which the Offer relates, the Offer Document must disclose the conditions, obligations and risks associated with such loan or financial assistance.</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9. LODGEMENT OF OFFER DOCUMENT WITH ASIC</w:t>
      </w:r>
    </w:p>
    <w:p>
      <w:pPr>
        <w:spacing w:after="0" w:line="90" w:lineRule="exact"/>
        <w:rPr>
          <w:sz w:val="20"/>
          <w:szCs w:val="20"/>
          <w:color w:val="auto"/>
        </w:rPr>
      </w:pPr>
    </w:p>
    <w:p>
      <w:pPr>
        <w:ind w:left="1" w:right="420"/>
        <w:spacing w:after="0" w:line="276" w:lineRule="auto"/>
        <w:rPr>
          <w:sz w:val="20"/>
          <w:szCs w:val="20"/>
          <w:color w:val="auto"/>
        </w:rPr>
      </w:pPr>
      <w:r>
        <w:rPr>
          <w:rFonts w:ascii="Arial" w:cs="Arial" w:eastAsia="Arial" w:hAnsi="Arial"/>
          <w:sz w:val="13"/>
          <w:szCs w:val="13"/>
          <w:color w:val="auto"/>
        </w:rPr>
        <w:t>The Company shall lodge a copy of the Offer Document (which need not contain details of the offer particular to the Australian Offeree such as the identity or entitlement of the Australian Offeree) and each accompanying document to ASIC not later than 7 days after the first provision of that material to an Australian Offeree.</w:t>
      </w:r>
    </w:p>
    <w:p>
      <w:pPr>
        <w:spacing w:after="0" w:line="108"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1"/>
          </w:cols>
          <w:pgMar w:left="219" w:top="716" w:right="45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b w:val="1"/>
          <w:bCs w:val="1"/>
          <w:color w:val="auto"/>
        </w:rPr>
        <w:t>10. COMPLIANCE WITH UNDERTAKINGS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The Company or an Australian Subsidiary shall comply with any undertaking required to be made in the Offer Document by the Class Order, such as the undertaking to provide pricing information on request.</w:t>
      </w:r>
    </w:p>
    <w:p>
      <w:pPr>
        <w:spacing w:after="0" w:line="267"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 * * *</w:t>
      </w:r>
    </w:p>
    <w:p>
      <w:pPr>
        <w:spacing w:after="0" w:line="14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B-12</w:t>
      </w:r>
    </w:p>
    <w:p>
      <w:pPr>
        <w:sectPr>
          <w:pgSz w:w="11900" w:h="16838" w:orient="portrait"/>
          <w:cols w:equalWidth="0" w:num="1">
            <w:col w:w="10900"/>
          </w:cols>
          <w:pgMar w:left="220" w:top="716" w:right="7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98855" cy="3181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2006 STOCK INCENTIVE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NON-QUALIFIED STOCK OPTION Private &amp;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Confidential (Addressee Only)</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2006 Stock Incentive Plan: Director Version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Division: ABC Division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Location: Norwood, MA</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3"/>
          <w:szCs w:val="13"/>
          <w:color w:val="auto"/>
        </w:rPr>
        <w:t>We are pleased to advise you that you have been granted an option to purchase that number of shares of Analog Devices, Inc. Common Stock set forth below subject to the terms and conditions of the Analog Devices, Inc. 2006 Stock Incentive Plan (the “Plan”) and this Non-Qualified Stock Option Agreement (the “Option”). The grant of this Option reflects Analog’s confidence in your commitment and contributions to the success and continued growth of Analog Devices, Inc. (the “Company”).</w:t>
      </w:r>
    </w:p>
    <w:p>
      <w:pPr>
        <w:spacing w:after="0" w:line="57"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GRANT OF OPTION: This Agreement confirms that, subject to the terms and conditions of the Plan, the Company has granted to you (the “Optionee”), effective on the Date of Grant set forth below, an option to purchase shares of the Company’s Common Stock (the “Option Shares”)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Date of Grant:</w:t>
            </w:r>
          </w:p>
        </w:tc>
        <w:tc>
          <w:tcPr>
            <w:tcW w:w="5220" w:type="dxa"/>
            <w:vAlign w:val="bottom"/>
            <w:gridSpan w:val="2"/>
          </w:tcPr>
          <w:p>
            <w:pPr>
              <w:jc w:val="right"/>
              <w:spacing w:after="0"/>
              <w:rPr>
                <w:sz w:val="20"/>
                <w:szCs w:val="20"/>
                <w:color w:val="auto"/>
              </w:rPr>
            </w:pPr>
            <w:r>
              <w:rPr>
                <w:rFonts w:ascii="Arial" w:cs="Arial" w:eastAsia="Arial" w:hAnsi="Arial"/>
                <w:sz w:val="13"/>
                <w:szCs w:val="13"/>
                <w:color w:val="auto"/>
              </w:rPr>
              <w:t>March xx, 20[11]</w:t>
            </w:r>
          </w:p>
        </w:tc>
      </w:tr>
      <w:tr>
        <w:trPr>
          <w:trHeight w:val="157"/>
        </w:trPr>
        <w:tc>
          <w:tcPr>
            <w:tcW w:w="6140" w:type="dxa"/>
            <w:vAlign w:val="bottom"/>
          </w:tcPr>
          <w:p>
            <w:pPr>
              <w:spacing w:after="0"/>
              <w:rPr>
                <w:sz w:val="20"/>
                <w:szCs w:val="20"/>
                <w:color w:val="auto"/>
              </w:rPr>
            </w:pPr>
            <w:r>
              <w:rPr>
                <w:rFonts w:ascii="Arial" w:cs="Arial" w:eastAsia="Arial" w:hAnsi="Arial"/>
                <w:sz w:val="13"/>
                <w:szCs w:val="13"/>
                <w:color w:val="auto"/>
              </w:rPr>
              <w:t>Number of Option Shares Granted:</w:t>
            </w:r>
          </w:p>
        </w:tc>
        <w:tc>
          <w:tcPr>
            <w:tcW w:w="46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[xx]</w:t>
            </w:r>
          </w:p>
        </w:tc>
      </w:tr>
      <w:tr>
        <w:trPr>
          <w:trHeight w:val="165"/>
        </w:trPr>
        <w:tc>
          <w:tcPr>
            <w:tcW w:w="6140" w:type="dxa"/>
            <w:vAlign w:val="bottom"/>
          </w:tcPr>
          <w:p>
            <w:pPr>
              <w:spacing w:after="0"/>
              <w:rPr>
                <w:sz w:val="20"/>
                <w:szCs w:val="20"/>
                <w:color w:val="auto"/>
              </w:rPr>
            </w:pPr>
            <w:r>
              <w:rPr>
                <w:rFonts w:ascii="Arial" w:cs="Arial" w:eastAsia="Arial" w:hAnsi="Arial"/>
                <w:sz w:val="13"/>
                <w:szCs w:val="13"/>
                <w:color w:val="auto"/>
              </w:rPr>
              <w:t>Option Exercise Price Per Share:</w:t>
            </w:r>
          </w:p>
        </w:tc>
        <w:tc>
          <w:tcPr>
            <w:tcW w:w="4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[xx]</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ALL TERMS NOT DEFINED HEREIN SHALL HAVE THE MEANINGS ASSIGNED TO SUCH TERMS IN THE PLAN.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EXERCISE OF OPTION: The Option is exercisable in full on the earlier of March xx, 20[12] or the date of the Company’s next annual meeting of shareholders.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TERM OF OPTION; TERMINATION OF SERVICE:</w:t>
      </w:r>
    </w:p>
    <w:p>
      <w:pPr>
        <w:spacing w:after="0" w:line="86" w:lineRule="exact"/>
        <w:rPr>
          <w:sz w:val="20"/>
          <w:szCs w:val="20"/>
          <w:color w:val="auto"/>
        </w:rPr>
      </w:pPr>
    </w:p>
    <w:p>
      <w:pPr>
        <w:ind w:left="680" w:right="40" w:hanging="337"/>
        <w:spacing w:after="0" w:line="320" w:lineRule="auto"/>
        <w:tabs>
          <w:tab w:leader="none" w:pos="6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Except as otherwise provided below, (a) unless earlier exercised, the Option shall terminate on, and shall not be exercisable after, three (3) months after the Optionee ceases to be a Director of the Company and (b) the Option shall be exercisable by the Optionee (or his or her successor in interest) only to the extent that such Option was exercisable on or prior to the date of such termination.</w:t>
      </w:r>
    </w:p>
    <w:p>
      <w:pPr>
        <w:spacing w:after="0" w:line="35" w:lineRule="exact"/>
        <w:rPr>
          <w:rFonts w:ascii="Arial" w:cs="Arial" w:eastAsia="Arial" w:hAnsi="Arial"/>
          <w:sz w:val="12"/>
          <w:szCs w:val="12"/>
          <w:color w:val="auto"/>
        </w:rPr>
      </w:pPr>
    </w:p>
    <w:p>
      <w:pPr>
        <w:ind w:left="680" w:right="120" w:hanging="337"/>
        <w:spacing w:after="0" w:line="276" w:lineRule="auto"/>
        <w:tabs>
          <w:tab w:leader="none" w:pos="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If the Optionee </w:t>
      </w:r>
      <w:r>
        <w:rPr>
          <w:rFonts w:ascii="Arial" w:cs="Arial" w:eastAsia="Arial" w:hAnsi="Arial"/>
          <w:sz w:val="13"/>
          <w:szCs w:val="13"/>
          <w:u w:val="single" w:color="auto"/>
          <w:color w:val="auto"/>
        </w:rPr>
        <w:t>dies</w:t>
      </w:r>
      <w:r>
        <w:rPr>
          <w:rFonts w:ascii="Arial" w:cs="Arial" w:eastAsia="Arial" w:hAnsi="Arial"/>
          <w:sz w:val="13"/>
          <w:szCs w:val="13"/>
          <w:color w:val="auto"/>
        </w:rPr>
        <w:t xml:space="preserve"> while a Director of the Company, the Option shall become exercisable in full on the date of death and shall continue to be exercisable (by the Optionee’s successor in interest) until the date that is ten (10) years after the Date of Grant, at which time the Option shall terminate.</w:t>
      </w:r>
    </w:p>
    <w:p>
      <w:pPr>
        <w:spacing w:after="0" w:line="59" w:lineRule="exact"/>
        <w:rPr>
          <w:rFonts w:ascii="Arial" w:cs="Arial" w:eastAsia="Arial" w:hAnsi="Arial"/>
          <w:sz w:val="13"/>
          <w:szCs w:val="13"/>
          <w:color w:val="auto"/>
        </w:rPr>
      </w:pPr>
    </w:p>
    <w:p>
      <w:pPr>
        <w:jc w:val="both"/>
        <w:ind w:left="680" w:hanging="337"/>
        <w:spacing w:after="0" w:line="264" w:lineRule="auto"/>
        <w:tabs>
          <w:tab w:leader="none" w:pos="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If the Optionee ceases to be a Director by reason of </w:t>
      </w:r>
      <w:r>
        <w:rPr>
          <w:rFonts w:ascii="Arial" w:cs="Arial" w:eastAsia="Arial" w:hAnsi="Arial"/>
          <w:sz w:val="13"/>
          <w:szCs w:val="13"/>
          <w:u w:val="single" w:color="auto"/>
          <w:color w:val="auto"/>
        </w:rPr>
        <w:t>retirement</w:t>
      </w:r>
      <w:r>
        <w:rPr>
          <w:rFonts w:ascii="Arial" w:cs="Arial" w:eastAsia="Arial" w:hAnsi="Arial"/>
          <w:sz w:val="13"/>
          <w:szCs w:val="13"/>
          <w:color w:val="auto"/>
        </w:rPr>
        <w:t xml:space="preserve"> as a Director, this Option shall cease vesting at the time the Optionee ceases to be a Director, and any Option Shares that are vested on the date of such retirement shall continue to be exercisable until the date that is ten (10) years after the Date of Grant. For purposes of this provision, “retirement” shall mean any mutually agreed departure from the Board after a Director has reached the age of 60.</w:t>
      </w:r>
    </w:p>
    <w:p>
      <w:pPr>
        <w:spacing w:after="0" w:line="66" w:lineRule="exact"/>
        <w:rPr>
          <w:rFonts w:ascii="Arial" w:cs="Arial" w:eastAsia="Arial" w:hAnsi="Arial"/>
          <w:sz w:val="13"/>
          <w:szCs w:val="13"/>
          <w:color w:val="auto"/>
        </w:rPr>
      </w:pPr>
    </w:p>
    <w:p>
      <w:pPr>
        <w:ind w:left="680" w:right="120" w:hanging="337"/>
        <w:spacing w:after="0" w:line="276" w:lineRule="auto"/>
        <w:tabs>
          <w:tab w:leader="none" w:pos="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If the Optionee ceases to be a Director by reason of the Director’s </w:t>
      </w:r>
      <w:r>
        <w:rPr>
          <w:rFonts w:ascii="Arial" w:cs="Arial" w:eastAsia="Arial" w:hAnsi="Arial"/>
          <w:sz w:val="13"/>
          <w:szCs w:val="13"/>
          <w:u w:val="single" w:color="auto"/>
          <w:color w:val="auto"/>
        </w:rPr>
        <w:t>removal under Section 2.7 of the Company’s Bylaws</w:t>
      </w:r>
      <w:r>
        <w:rPr>
          <w:rFonts w:ascii="Arial" w:cs="Arial" w:eastAsia="Arial" w:hAnsi="Arial"/>
          <w:sz w:val="13"/>
          <w:szCs w:val="13"/>
          <w:color w:val="auto"/>
        </w:rPr>
        <w:t>, this Option shall, at the time the Optionee ceases to be a Director, terminate and all Option Shares that are then vested shall forthwith cease to be exercisable.</w:t>
      </w:r>
    </w:p>
    <w:p>
      <w:pPr>
        <w:spacing w:after="0" w:line="59" w:lineRule="exact"/>
        <w:rPr>
          <w:sz w:val="20"/>
          <w:szCs w:val="20"/>
          <w:color w:val="auto"/>
        </w:rPr>
      </w:pPr>
    </w:p>
    <w:p>
      <w:pPr>
        <w:jc w:val="both"/>
        <w:ind w:left="680" w:right="100" w:hanging="337"/>
        <w:spacing w:after="0" w:line="264" w:lineRule="auto"/>
        <w:tabs>
          <w:tab w:leader="none" w:pos="68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 xml:space="preserve">If the Optionee ceases to be a Director by reason of </w:t>
      </w: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(as determined by the Company), the Option Shares which are not exercisable as of the date of disability shall become exercisable on the date that they otherwise would have become exercisable if the Optionee’s service as a Director had not been terminated due to disability. Any Option Shares that are exercisable shall continue to be exercisable until the date that is ten (10) years after the Date of Grant, at which time the Option shall terminate.</w:t>
      </w:r>
    </w:p>
    <w:p>
      <w:pPr>
        <w:spacing w:after="0" w:line="67" w:lineRule="exact"/>
        <w:rPr>
          <w:sz w:val="20"/>
          <w:szCs w:val="20"/>
          <w:color w:val="auto"/>
        </w:rPr>
      </w:pPr>
    </w:p>
    <w:p>
      <w:pPr>
        <w:ind w:left="680" w:right="60" w:hanging="337"/>
        <w:spacing w:after="0" w:line="280" w:lineRule="auto"/>
        <w:tabs>
          <w:tab w:leader="none" w:pos="6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 xml:space="preserve">If the Optionee becomes an </w:t>
      </w:r>
      <w:r>
        <w:rPr>
          <w:rFonts w:ascii="Arial" w:cs="Arial" w:eastAsia="Arial" w:hAnsi="Arial"/>
          <w:sz w:val="12"/>
          <w:szCs w:val="12"/>
          <w:u w:val="single" w:color="auto"/>
          <w:color w:val="auto"/>
        </w:rPr>
        <w:t>employee</w:t>
      </w:r>
      <w:r>
        <w:rPr>
          <w:rFonts w:ascii="Arial" w:cs="Arial" w:eastAsia="Arial" w:hAnsi="Arial"/>
          <w:sz w:val="12"/>
          <w:szCs w:val="12"/>
          <w:color w:val="auto"/>
        </w:rPr>
        <w:t xml:space="preserve"> of the Company and in connection with such employment ceases to serve as a Director, this Option shall continue to vest in accordance with the terms hereof until the date that the Optionee’s employment with the Company is terminated, and any Option Shares that are exercisable on the date of such termination shall continue to be exercisable for a period of three</w:t>
      </w:r>
    </w:p>
    <w:p>
      <w:pPr>
        <w:ind w:left="680"/>
        <w:spacing w:after="0"/>
        <w:rPr>
          <w:rFonts w:ascii="Arial" w:cs="Arial" w:eastAsia="Arial" w:hAnsi="Arial"/>
          <w:sz w:val="12"/>
          <w:szCs w:val="12"/>
          <w:color w:val="auto"/>
        </w:rPr>
      </w:pPr>
      <w:r>
        <w:rPr>
          <w:rFonts w:ascii="Arial" w:cs="Arial" w:eastAsia="Arial" w:hAnsi="Arial"/>
          <w:sz w:val="13"/>
          <w:szCs w:val="13"/>
          <w:color w:val="auto"/>
        </w:rPr>
        <w:t>(3) months following such termination date, provided that in no event shall the Option be exercisable later than the date that is ten (10) years after the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used herein, the terms “employment” and “employee” shall mean and include any one of the following relationships with the Company or one of its subsidiaries: director, employee, consultant or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42" w:name="page143"/>
    <w:bookmarkEnd w:id="142"/>
    <w:p>
      <w:pPr>
        <w:ind w:left="460"/>
        <w:spacing w:after="0"/>
        <w:rPr>
          <w:sz w:val="20"/>
          <w:szCs w:val="20"/>
          <w:color w:val="auto"/>
        </w:rPr>
      </w:pPr>
      <w:r>
        <w:rPr>
          <w:rFonts w:ascii="Arial" w:cs="Arial" w:eastAsia="Arial" w:hAnsi="Arial"/>
          <w:sz w:val="13"/>
          <w:szCs w:val="13"/>
          <w:color w:val="auto"/>
        </w:rPr>
        <w:t>PAYMENT OF PURCHASE PRICE: The following payment methods may be used to purchase Option Shares in accordance with the terms of the Plan:</w:t>
      </w:r>
    </w:p>
    <w:p>
      <w:pPr>
        <w:spacing w:after="0" w:line="86" w:lineRule="exact"/>
        <w:rPr>
          <w:sz w:val="20"/>
          <w:szCs w:val="20"/>
          <w:color w:val="auto"/>
        </w:rPr>
      </w:pPr>
    </w:p>
    <w:p>
      <w:pPr>
        <w:ind w:left="680" w:hanging="337"/>
        <w:spacing w:after="0"/>
        <w:tabs>
          <w:tab w:leader="none" w:pos="6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 cashless exercise in a manner described in Section 5(f)(2) of the Plan.</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Cash or check payable to the Company.</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Delivery by the Optionee of shares of Common Stock of the Company owned by the Optionee and subject to such other terms and conditions contained in the Plan.</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Any combination of the above methods.</w:t>
      </w:r>
    </w:p>
    <w:p>
      <w:pPr>
        <w:spacing w:after="0" w:line="86" w:lineRule="exact"/>
        <w:rPr>
          <w:sz w:val="20"/>
          <w:szCs w:val="20"/>
          <w:color w:val="auto"/>
        </w:rPr>
      </w:pPr>
    </w:p>
    <w:p>
      <w:pPr>
        <w:ind w:right="460" w:firstLine="328"/>
        <w:spacing w:after="0" w:line="320" w:lineRule="auto"/>
        <w:rPr>
          <w:sz w:val="20"/>
          <w:szCs w:val="20"/>
          <w:color w:val="auto"/>
        </w:rPr>
      </w:pPr>
      <w:r>
        <w:rPr>
          <w:rFonts w:ascii="Arial" w:cs="Arial" w:eastAsia="Arial" w:hAnsi="Arial"/>
          <w:sz w:val="12"/>
          <w:szCs w:val="12"/>
          <w:color w:val="auto"/>
        </w:rPr>
        <w:t>NON-TRANSFERABILITY OF OPTION: Except as provided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25" w:lineRule="exact"/>
        <w:rPr>
          <w:sz w:val="20"/>
          <w:szCs w:val="20"/>
          <w:color w:val="auto"/>
        </w:rPr>
      </w:pPr>
    </w:p>
    <w:p>
      <w:pPr>
        <w:ind w:right="40" w:firstLine="320"/>
        <w:spacing w:after="0" w:line="276" w:lineRule="auto"/>
        <w:rPr>
          <w:sz w:val="20"/>
          <w:szCs w:val="20"/>
          <w:color w:val="auto"/>
        </w:rPr>
      </w:pPr>
      <w:r>
        <w:rPr>
          <w:rFonts w:ascii="Arial" w:cs="Arial" w:eastAsia="Arial" w:hAnsi="Arial"/>
          <w:sz w:val="13"/>
          <w:szCs w:val="13"/>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49" w:lineRule="exact"/>
        <w:rPr>
          <w:sz w:val="20"/>
          <w:szCs w:val="20"/>
          <w:color w:val="auto"/>
        </w:rPr>
      </w:pPr>
    </w:p>
    <w:p>
      <w:pPr>
        <w:ind w:right="460" w:firstLine="328"/>
        <w:spacing w:after="0" w:line="276" w:lineRule="auto"/>
        <w:rPr>
          <w:sz w:val="20"/>
          <w:szCs w:val="20"/>
          <w:color w:val="auto"/>
        </w:rPr>
      </w:pPr>
      <w:r>
        <w:rPr>
          <w:rFonts w:ascii="Arial" w:cs="Arial" w:eastAsia="Arial" w:hAnsi="Arial"/>
          <w:sz w:val="13"/>
          <w:szCs w:val="13"/>
          <w:color w:val="auto"/>
        </w:rPr>
        <w:t>CHANGE IN CONTROL: Upon the occurrence of a Change in Control Event (as defined in Section 11(b) of the Plan), this Option shall vest and be exercisable in full, whether or not then exercisable in accordance with its terms, and shall continue to be exercisable until the date that is ten (10) years after the Date of Grant.</w:t>
      </w:r>
    </w:p>
    <w:p>
      <w:pPr>
        <w:spacing w:after="0" w:line="49" w:lineRule="exact"/>
        <w:rPr>
          <w:sz w:val="20"/>
          <w:szCs w:val="20"/>
          <w:color w:val="auto"/>
        </w:rPr>
      </w:pPr>
    </w:p>
    <w:p>
      <w:pPr>
        <w:ind w:firstLine="325"/>
        <w:spacing w:after="0" w:line="276" w:lineRule="auto"/>
        <w:rPr>
          <w:sz w:val="20"/>
          <w:szCs w:val="20"/>
          <w:color w:val="auto"/>
        </w:rPr>
      </w:pPr>
      <w:r>
        <w:rPr>
          <w:rFonts w:ascii="Arial" w:cs="Arial" w:eastAsia="Arial" w:hAnsi="Arial"/>
          <w:sz w:val="13"/>
          <w:szCs w:val="13"/>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 in accordance with Section 12(e) of the Plan.</w:t>
      </w:r>
    </w:p>
    <w:p>
      <w:pPr>
        <w:spacing w:after="0" w:line="49"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A copy of the Plan prospectus is available from the Stock Plan Administrator, Stock_Plan_Admin@Analog.com. If you have any questions regarding your stock option, please contact the Stock Plan Administrator or Fran Sarro, Assistant Treasurer, at (781) 461-3907 or email Fran.Sarro@Analog.com.</w:t>
      </w:r>
    </w:p>
    <w:p>
      <w:pPr>
        <w:sectPr>
          <w:pgSz w:w="11900" w:h="16838" w:orient="portrait"/>
          <w:cols w:equalWidth="0" w:num="1">
            <w:col w:w="11380"/>
          </w:cols>
          <w:pgMar w:left="220" w:top="720" w:right="29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Chairman of the Board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&amp; Chief Executive Officer</w:t>
      </w:r>
    </w:p>
    <w:p>
      <w:pPr>
        <w:sectPr>
          <w:pgSz w:w="11900" w:h="16838" w:orient="portrait"/>
          <w:cols w:equalWidth="0" w:num="2">
            <w:col w:w="4700" w:space="720"/>
            <w:col w:w="5960"/>
          </w:cols>
          <w:pgMar w:left="220" w:top="720" w:right="29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3"/>
          <w:szCs w:val="13"/>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98855" cy="3181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RESTRICTED STOCK UNIT AGREEMENT GRANT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RESTRICTED STOCK UNIT DIRECTORS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Private &amp; Confidential (Addressee Only)</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2006 Stock Incentive Plan: Director RSU Version</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Division: ABC Division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Location: US</w:t>
      </w:r>
    </w:p>
    <w:p>
      <w:pPr>
        <w:spacing w:after="0" w:line="79" w:lineRule="exact"/>
        <w:rPr>
          <w:sz w:val="20"/>
          <w:szCs w:val="20"/>
          <w:color w:val="auto"/>
        </w:rPr>
      </w:pPr>
    </w:p>
    <w:p>
      <w:pPr>
        <w:ind w:left="1" w:right="220"/>
        <w:spacing w:after="0" w:line="276" w:lineRule="auto"/>
        <w:rPr>
          <w:sz w:val="20"/>
          <w:szCs w:val="20"/>
          <w:color w:val="auto"/>
        </w:rPr>
      </w:pPr>
      <w:r>
        <w:rPr>
          <w:rFonts w:ascii="Arial" w:cs="Arial" w:eastAsia="Arial" w:hAnsi="Arial"/>
          <w:sz w:val="13"/>
          <w:szCs w:val="13"/>
          <w:color w:val="auto"/>
        </w:rPr>
        <w:t>We are pleased to advise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49" w:lineRule="exact"/>
        <w:rPr>
          <w:sz w:val="20"/>
          <w:szCs w:val="20"/>
          <w:color w:val="auto"/>
        </w:rPr>
      </w:pPr>
    </w:p>
    <w:p>
      <w:pPr>
        <w:ind w:left="341" w:hanging="341"/>
        <w:spacing w:after="0"/>
        <w:tabs>
          <w:tab w:leader="none" w:pos="341"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Restricted Stock Unit</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ind w:left="341" w:right="140"/>
        <w:spacing w:after="0" w:line="276" w:lineRule="auto"/>
        <w:rPr>
          <w:rFonts w:ascii="Arial" w:cs="Arial" w:eastAsia="Arial" w:hAnsi="Arial"/>
          <w:sz w:val="13"/>
          <w:szCs w:val="13"/>
          <w:color w:val="auto"/>
        </w:rPr>
      </w:pPr>
      <w:r>
        <w:rPr>
          <w:rFonts w:ascii="Arial" w:cs="Arial" w:eastAsia="Arial" w:hAnsi="Arial"/>
          <w:sz w:val="13"/>
          <w:szCs w:val="13"/>
          <w:color w:val="auto"/>
        </w:rPr>
        <w:t>This agreement confirms that, subject to the terms and conditions of the Analog Devices, Inc. 2006 Stock Incentive Plan (the “Plan”), the Company has granted to the Participant (the “Participant”), effective on the Date of Grant set forth below, that number of RSUs set forth below:</w:t>
      </w:r>
    </w:p>
    <w:p>
      <w:pPr>
        <w:sectPr>
          <w:pgSz w:w="11900" w:h="16838" w:orient="portrait"/>
          <w:cols w:equalWidth="0" w:num="1">
            <w:col w:w="11461"/>
          </w:cols>
          <w:pgMar w:left="219" w:top="127" w:right="219" w:bottom="1440" w:gutter="0" w:footer="0" w:header="0"/>
        </w:sectPr>
      </w:pP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of Grant:</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1"/>
          <w:szCs w:val="11"/>
          <w:color w:val="auto"/>
        </w:rPr>
        <w:t>Number of RSUs:</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Vesting Schedule: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March xx, 20[11]</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[xxx]</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The RSUs shall vest on the earlier of March xx, 20[12] or the date of the Company’s next annual meeting of shareholders</w:t>
      </w:r>
    </w:p>
    <w:p>
      <w:pPr>
        <w:spacing w:after="0" w:line="102" w:lineRule="exact"/>
        <w:rPr>
          <w:sz w:val="20"/>
          <w:szCs w:val="20"/>
          <w:color w:val="auto"/>
        </w:rPr>
      </w:pPr>
    </w:p>
    <w:p>
      <w:pPr>
        <w:sectPr>
          <w:pgSz w:w="11900" w:h="16838" w:orient="portrait"/>
          <w:cols w:equalWidth="0" w:num="2">
            <w:col w:w="2381" w:space="720"/>
            <w:col w:w="8360"/>
          </w:cols>
          <w:pgMar w:left="219" w:top="127" w:right="219" w:bottom="1440" w:gutter="0" w:footer="0" w:header="0"/>
          <w:type w:val="continuous"/>
        </w:sectPr>
      </w:pPr>
    </w:p>
    <w:p>
      <w:pPr>
        <w:ind w:left="341" w:right="60"/>
        <w:spacing w:after="0" w:line="264" w:lineRule="auto"/>
        <w:rPr>
          <w:sz w:val="20"/>
          <w:szCs w:val="20"/>
          <w:color w:val="auto"/>
        </w:rPr>
      </w:pPr>
      <w:r>
        <w:rPr>
          <w:rFonts w:ascii="Arial" w:cs="Arial" w:eastAsia="Arial" w:hAnsi="Arial"/>
          <w:sz w:val="13"/>
          <w:szCs w:val="13"/>
          <w:color w:val="auto"/>
        </w:rPr>
        <w:t>Each one (1) RSU shall, if and when it vests in accordance with this Award,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57" w:lineRule="exact"/>
        <w:rPr>
          <w:sz w:val="20"/>
          <w:szCs w:val="20"/>
          <w:color w:val="auto"/>
        </w:rPr>
      </w:pPr>
    </w:p>
    <w:p>
      <w:pPr>
        <w:ind w:left="341" w:hanging="341"/>
        <w:spacing w:after="0"/>
        <w:tabs>
          <w:tab w:leader="none" w:pos="341"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Vesting and Conversion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right="20" w:hanging="337"/>
        <w:spacing w:after="0" w:line="281" w:lineRule="auto"/>
        <w:tabs>
          <w:tab w:leader="none" w:pos="681" w:val="left"/>
        </w:tabs>
        <w:numPr>
          <w:ilvl w:val="1"/>
          <w:numId w:val="145"/>
        </w:numPr>
        <w:rPr>
          <w:rFonts w:ascii="Arial" w:cs="Arial" w:eastAsia="Arial" w:hAnsi="Arial"/>
          <w:sz w:val="12"/>
          <w:szCs w:val="12"/>
          <w:color w:val="auto"/>
        </w:rPr>
      </w:pPr>
      <w:r>
        <w:rPr>
          <w:rFonts w:ascii="Arial" w:cs="Arial" w:eastAsia="Arial" w:hAnsi="Arial"/>
          <w:sz w:val="12"/>
          <w:szCs w:val="12"/>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58" w:lineRule="exact"/>
        <w:rPr>
          <w:rFonts w:ascii="Arial" w:cs="Arial" w:eastAsia="Arial" w:hAnsi="Arial"/>
          <w:sz w:val="12"/>
          <w:szCs w:val="12"/>
          <w:color w:val="auto"/>
        </w:rPr>
      </w:pPr>
    </w:p>
    <w:p>
      <w:pPr>
        <w:ind w:left="681" w:right="80" w:hanging="337"/>
        <w:spacing w:after="0" w:line="320" w:lineRule="auto"/>
        <w:tabs>
          <w:tab w:leader="none" w:pos="681" w:val="left"/>
        </w:tabs>
        <w:numPr>
          <w:ilvl w:val="1"/>
          <w:numId w:val="145"/>
        </w:numPr>
        <w:rPr>
          <w:rFonts w:ascii="Arial" w:cs="Arial" w:eastAsia="Arial" w:hAnsi="Arial"/>
          <w:sz w:val="12"/>
          <w:szCs w:val="12"/>
          <w:color w:val="auto"/>
        </w:rPr>
      </w:pPr>
      <w:r>
        <w:rPr>
          <w:rFonts w:ascii="Arial" w:cs="Arial" w:eastAsia="Arial" w:hAnsi="Arial"/>
          <w:sz w:val="12"/>
          <w:szCs w:val="12"/>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35" w:lineRule="exact"/>
        <w:rPr>
          <w:rFonts w:ascii="Arial" w:cs="Arial" w:eastAsia="Arial" w:hAnsi="Arial"/>
          <w:sz w:val="12"/>
          <w:szCs w:val="12"/>
          <w:color w:val="auto"/>
        </w:rPr>
      </w:pPr>
    </w:p>
    <w:p>
      <w:pPr>
        <w:ind w:left="681" w:hanging="337"/>
        <w:spacing w:after="0"/>
        <w:tabs>
          <w:tab w:leader="none" w:pos="681" w:val="left"/>
        </w:tabs>
        <w:numPr>
          <w:ilvl w:val="1"/>
          <w:numId w:val="145"/>
        </w:numPr>
        <w:rPr>
          <w:rFonts w:ascii="Arial" w:cs="Arial" w:eastAsia="Arial" w:hAnsi="Arial"/>
          <w:sz w:val="13"/>
          <w:szCs w:val="13"/>
          <w:color w:val="auto"/>
        </w:rPr>
      </w:pPr>
      <w:r>
        <w:rPr>
          <w:rFonts w:ascii="Arial" w:cs="Arial" w:eastAsia="Arial" w:hAnsi="Arial"/>
          <w:sz w:val="13"/>
          <w:szCs w:val="13"/>
          <w:color w:val="auto"/>
        </w:rPr>
        <w:t xml:space="preserve">In the event the Participant </w:t>
      </w:r>
      <w:r>
        <w:rPr>
          <w:rFonts w:ascii="Arial" w:cs="Arial" w:eastAsia="Arial" w:hAnsi="Arial"/>
          <w:sz w:val="13"/>
          <w:szCs w:val="13"/>
          <w:u w:val="single" w:color="auto"/>
          <w:color w:val="auto"/>
        </w:rPr>
        <w:t>dies</w:t>
      </w:r>
      <w:r>
        <w:rPr>
          <w:rFonts w:ascii="Arial" w:cs="Arial" w:eastAsia="Arial" w:hAnsi="Arial"/>
          <w:sz w:val="13"/>
          <w:szCs w:val="13"/>
          <w:color w:val="auto"/>
        </w:rPr>
        <w:t xml:space="preserve"> while a Director of the Company, all Unvested RSUs shall vest in full as of the date of the Participant’s death.</w:t>
      </w:r>
    </w:p>
    <w:p>
      <w:pPr>
        <w:spacing w:after="0" w:line="96" w:lineRule="exact"/>
        <w:rPr>
          <w:rFonts w:ascii="Arial" w:cs="Arial" w:eastAsia="Arial" w:hAnsi="Arial"/>
          <w:sz w:val="13"/>
          <w:szCs w:val="13"/>
          <w:color w:val="auto"/>
        </w:rPr>
      </w:pPr>
    </w:p>
    <w:p>
      <w:pPr>
        <w:ind w:left="681" w:right="80" w:hanging="337"/>
        <w:spacing w:after="0" w:line="264" w:lineRule="auto"/>
        <w:tabs>
          <w:tab w:leader="none" w:pos="681" w:val="left"/>
        </w:tabs>
        <w:numPr>
          <w:ilvl w:val="1"/>
          <w:numId w:val="145"/>
        </w:numPr>
        <w:rPr>
          <w:rFonts w:ascii="Arial" w:cs="Arial" w:eastAsia="Arial" w:hAnsi="Arial"/>
          <w:sz w:val="13"/>
          <w:szCs w:val="13"/>
          <w:color w:val="auto"/>
        </w:rPr>
      </w:pPr>
      <w:r>
        <w:rPr>
          <w:rFonts w:ascii="Arial" w:cs="Arial" w:eastAsia="Arial" w:hAnsi="Arial"/>
          <w:sz w:val="13"/>
          <w:szCs w:val="13"/>
          <w:color w:val="auto"/>
        </w:rPr>
        <w:t xml:space="preserve">In the event the Participant ceases to be a Director by reason of a </w:t>
      </w:r>
      <w:r>
        <w:rPr>
          <w:rFonts w:ascii="Arial" w:cs="Arial" w:eastAsia="Arial" w:hAnsi="Arial"/>
          <w:sz w:val="13"/>
          <w:szCs w:val="13"/>
          <w:u w:val="single" w:color="auto"/>
          <w:color w:val="auto"/>
        </w:rPr>
        <w:t>Disability</w:t>
      </w:r>
      <w:r>
        <w:rPr>
          <w:rFonts w:ascii="Arial" w:cs="Arial" w:eastAsia="Arial" w:hAnsi="Arial"/>
          <w:sz w:val="13"/>
          <w:szCs w:val="13"/>
          <w:color w:val="auto"/>
        </w:rPr>
        <w:t xml:space="preserve"> (as defined below), the Unvested RSUs as of the date of the Participant cease to be a Director shall vest in full as of such date. For the purpose of this Award, “Disability” means (i) the Participant’s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66" w:lineRule="exact"/>
        <w:rPr>
          <w:rFonts w:ascii="Arial" w:cs="Arial" w:eastAsia="Arial" w:hAnsi="Arial"/>
          <w:sz w:val="13"/>
          <w:szCs w:val="13"/>
          <w:color w:val="auto"/>
        </w:rPr>
      </w:pPr>
    </w:p>
    <w:p>
      <w:pPr>
        <w:ind w:left="681" w:right="240" w:hanging="337"/>
        <w:spacing w:after="0" w:line="276" w:lineRule="auto"/>
        <w:tabs>
          <w:tab w:leader="none" w:pos="681" w:val="left"/>
        </w:tabs>
        <w:numPr>
          <w:ilvl w:val="1"/>
          <w:numId w:val="145"/>
        </w:numPr>
        <w:rPr>
          <w:rFonts w:ascii="Arial" w:cs="Arial" w:eastAsia="Arial" w:hAnsi="Arial"/>
          <w:sz w:val="13"/>
          <w:szCs w:val="13"/>
          <w:color w:val="auto"/>
        </w:rPr>
      </w:pPr>
      <w:r>
        <w:rPr>
          <w:rFonts w:ascii="Arial" w:cs="Arial" w:eastAsia="Arial" w:hAnsi="Arial"/>
          <w:sz w:val="13"/>
          <w:szCs w:val="13"/>
          <w:color w:val="auto"/>
        </w:rPr>
        <w:t xml:space="preserve">If the Participant becomes an </w:t>
      </w:r>
      <w:r>
        <w:rPr>
          <w:rFonts w:ascii="Arial" w:cs="Arial" w:eastAsia="Arial" w:hAnsi="Arial"/>
          <w:sz w:val="13"/>
          <w:szCs w:val="13"/>
          <w:u w:val="single" w:color="auto"/>
          <w:color w:val="auto"/>
        </w:rPr>
        <w:t>employee</w:t>
      </w:r>
      <w:r>
        <w:rPr>
          <w:rFonts w:ascii="Arial" w:cs="Arial" w:eastAsia="Arial" w:hAnsi="Arial"/>
          <w:sz w:val="13"/>
          <w:szCs w:val="13"/>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type w:val="continuous"/>
        </w:sectPr>
      </w:pPr>
    </w:p>
    <w:bookmarkStart w:id="144" w:name="page145"/>
    <w:bookmarkEnd w:id="14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563245</wp:posOffset>
            </wp:positionV>
            <wp:extent cx="998855" cy="318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ind w:left="681" w:hanging="337"/>
        <w:spacing w:after="0"/>
        <w:tabs>
          <w:tab w:leader="none" w:pos="681" w:val="left"/>
        </w:tabs>
        <w:numPr>
          <w:ilvl w:val="1"/>
          <w:numId w:val="146"/>
        </w:numPr>
        <w:rPr>
          <w:rFonts w:ascii="Arial" w:cs="Arial" w:eastAsia="Arial" w:hAnsi="Arial"/>
          <w:sz w:val="13"/>
          <w:szCs w:val="13"/>
          <w:color w:val="auto"/>
        </w:rPr>
      </w:pPr>
      <w:r>
        <w:rPr>
          <w:rFonts w:ascii="Arial" w:cs="Arial" w:eastAsia="Arial" w:hAnsi="Arial"/>
          <w:sz w:val="13"/>
          <w:szCs w:val="13"/>
          <w:color w:val="auto"/>
        </w:rPr>
        <w:t>Notwithstanding anything in the Plan or herein, all Unvested RSUs shall vest in full as of a Change in Control Event (as defined in the Plan).</w:t>
      </w:r>
    </w:p>
    <w:p>
      <w:pPr>
        <w:spacing w:after="0" w:line="96" w:lineRule="exact"/>
        <w:rPr>
          <w:rFonts w:ascii="Arial" w:cs="Arial" w:eastAsia="Arial" w:hAnsi="Arial"/>
          <w:sz w:val="13"/>
          <w:szCs w:val="13"/>
          <w:color w:val="auto"/>
        </w:rPr>
      </w:pPr>
    </w:p>
    <w:p>
      <w:pPr>
        <w:ind w:left="681" w:right="160" w:hanging="337"/>
        <w:spacing w:after="0" w:line="276" w:lineRule="auto"/>
        <w:tabs>
          <w:tab w:leader="none" w:pos="681" w:val="left"/>
        </w:tabs>
        <w:numPr>
          <w:ilvl w:val="1"/>
          <w:numId w:val="146"/>
        </w:numPr>
        <w:rPr>
          <w:rFonts w:ascii="Arial" w:cs="Arial" w:eastAsia="Arial" w:hAnsi="Arial"/>
          <w:sz w:val="13"/>
          <w:szCs w:val="13"/>
          <w:color w:val="auto"/>
        </w:rPr>
      </w:pPr>
      <w:r>
        <w:rPr>
          <w:rFonts w:ascii="Arial" w:cs="Arial" w:eastAsia="Arial" w:hAnsi="Arial"/>
          <w:sz w:val="13"/>
          <w:szCs w:val="13"/>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49" w:lineRule="exact"/>
        <w:rPr>
          <w:rFonts w:ascii="Arial" w:cs="Arial" w:eastAsia="Arial" w:hAnsi="Arial"/>
          <w:sz w:val="13"/>
          <w:szCs w:val="13"/>
          <w:color w:val="auto"/>
        </w:rPr>
      </w:pPr>
    </w:p>
    <w:p>
      <w:pPr>
        <w:ind w:left="341" w:hanging="341"/>
        <w:spacing w:after="0"/>
        <w:tabs>
          <w:tab w:leader="none" w:pos="341"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Restrictions on Transfer</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hanging="337"/>
        <w:spacing w:after="0"/>
        <w:tabs>
          <w:tab w:leader="none" w:pos="681" w:val="left"/>
        </w:tabs>
        <w:numPr>
          <w:ilvl w:val="1"/>
          <w:numId w:val="147"/>
        </w:numPr>
        <w:rPr>
          <w:rFonts w:ascii="Arial" w:cs="Arial" w:eastAsia="Arial" w:hAnsi="Arial"/>
          <w:sz w:val="13"/>
          <w:szCs w:val="13"/>
          <w:color w:val="auto"/>
        </w:rPr>
      </w:pPr>
      <w:r>
        <w:rPr>
          <w:rFonts w:ascii="Arial" w:cs="Arial" w:eastAsia="Arial" w:hAnsi="Arial"/>
          <w:sz w:val="13"/>
          <w:szCs w:val="13"/>
          <w:color w:val="auto"/>
        </w:rPr>
        <w:t>The Participant shall not sell, assign, transfer, pledge or otherwise encumber any RSUs, either voluntarily or by operation of law.</w:t>
      </w:r>
    </w:p>
    <w:p>
      <w:pPr>
        <w:spacing w:after="0" w:line="86" w:lineRule="exact"/>
        <w:rPr>
          <w:rFonts w:ascii="Arial" w:cs="Arial" w:eastAsia="Arial" w:hAnsi="Arial"/>
          <w:sz w:val="13"/>
          <w:szCs w:val="13"/>
          <w:color w:val="auto"/>
        </w:rPr>
      </w:pPr>
    </w:p>
    <w:p>
      <w:pPr>
        <w:ind w:left="681" w:hanging="337"/>
        <w:spacing w:after="0" w:line="276" w:lineRule="auto"/>
        <w:tabs>
          <w:tab w:leader="none" w:pos="681" w:val="left"/>
        </w:tabs>
        <w:numPr>
          <w:ilvl w:val="1"/>
          <w:numId w:val="147"/>
        </w:numPr>
        <w:rPr>
          <w:rFonts w:ascii="Arial" w:cs="Arial" w:eastAsia="Arial" w:hAnsi="Arial"/>
          <w:sz w:val="13"/>
          <w:szCs w:val="13"/>
          <w:color w:val="auto"/>
        </w:rPr>
      </w:pPr>
      <w:r>
        <w:rPr>
          <w:rFonts w:ascii="Arial" w:cs="Arial" w:eastAsia="Arial" w:hAnsi="Arial"/>
          <w:sz w:val="13"/>
          <w:szCs w:val="13"/>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49" w:lineRule="exact"/>
        <w:rPr>
          <w:rFonts w:ascii="Arial" w:cs="Arial" w:eastAsia="Arial" w:hAnsi="Arial"/>
          <w:sz w:val="13"/>
          <w:szCs w:val="13"/>
          <w:color w:val="auto"/>
        </w:rPr>
      </w:pPr>
    </w:p>
    <w:p>
      <w:pPr>
        <w:ind w:left="341" w:right="40" w:hanging="341"/>
        <w:spacing w:after="0" w:line="296" w:lineRule="auto"/>
        <w:tabs>
          <w:tab w:leader="none" w:pos="341"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Not a Shareholder</w:t>
      </w:r>
      <w:r>
        <w:rPr>
          <w:rFonts w:ascii="Arial" w:cs="Arial" w:eastAsia="Arial" w:hAnsi="Arial"/>
          <w:sz w:val="12"/>
          <w:szCs w:val="12"/>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39" w:lineRule="exact"/>
        <w:rPr>
          <w:rFonts w:ascii="Arial" w:cs="Arial" w:eastAsia="Arial" w:hAnsi="Arial"/>
          <w:sz w:val="12"/>
          <w:szCs w:val="12"/>
          <w:color w:val="auto"/>
        </w:rPr>
      </w:pPr>
    </w:p>
    <w:p>
      <w:pPr>
        <w:ind w:left="341" w:right="640" w:hanging="341"/>
        <w:spacing w:after="0" w:line="320" w:lineRule="auto"/>
        <w:tabs>
          <w:tab w:leader="none" w:pos="341"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Provisions of the Plan</w:t>
      </w:r>
      <w:r>
        <w:rPr>
          <w:rFonts w:ascii="Arial" w:cs="Arial" w:eastAsia="Arial" w:hAnsi="Arial"/>
          <w:sz w:val="12"/>
          <w:szCs w:val="12"/>
          <w:color w:val="auto"/>
        </w:rPr>
        <w:t>. The RSUs and Shares, including the grant and issuance thereof, are subject to the provisions of the Plan. A copy of the Plan prospectus is available on the Company’s Intranet at www.analog.com/employee (from Signals home page, click Knowledge Centers, HR, Employee Stock Programs. The related documents can be found in the right-hand column).</w:t>
      </w:r>
    </w:p>
    <w:p>
      <w:pPr>
        <w:spacing w:after="0" w:line="25" w:lineRule="exact"/>
        <w:rPr>
          <w:rFonts w:ascii="Arial" w:cs="Arial" w:eastAsia="Arial" w:hAnsi="Arial"/>
          <w:sz w:val="12"/>
          <w:szCs w:val="12"/>
          <w:color w:val="auto"/>
        </w:rPr>
      </w:pPr>
    </w:p>
    <w:p>
      <w:pPr>
        <w:ind w:left="341" w:right="400" w:hanging="341"/>
        <w:spacing w:after="0" w:line="276" w:lineRule="auto"/>
        <w:tabs>
          <w:tab w:leader="none" w:pos="341"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Consideration</w:t>
      </w:r>
      <w:r>
        <w:rPr>
          <w:rFonts w:ascii="Arial" w:cs="Arial" w:eastAsia="Arial" w:hAnsi="Arial"/>
          <w:sz w:val="13"/>
          <w:szCs w:val="13"/>
          <w:color w:val="auto"/>
        </w:rPr>
        <w:t>. Any Shares that are issued and any cash payment that is delivered, in either case upon settlement of the RSUs pursuant to this Award, will be in consideration of the Participant’s service as a member of the Board of Directors of the Company and/or his continued employment with the Company, which consideration is deemed sufficient.</w:t>
      </w:r>
    </w:p>
    <w:p>
      <w:pPr>
        <w:spacing w:after="0" w:line="49" w:lineRule="exact"/>
        <w:rPr>
          <w:rFonts w:ascii="Arial" w:cs="Arial" w:eastAsia="Arial" w:hAnsi="Arial"/>
          <w:sz w:val="13"/>
          <w:szCs w:val="13"/>
          <w:color w:val="auto"/>
        </w:rPr>
      </w:pPr>
    </w:p>
    <w:p>
      <w:pPr>
        <w:ind w:left="341" w:hanging="341"/>
        <w:spacing w:after="0"/>
        <w:tabs>
          <w:tab w:leader="none" w:pos="341"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Withholding Taxes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right="100" w:hanging="337"/>
        <w:spacing w:after="0" w:line="258" w:lineRule="auto"/>
        <w:tabs>
          <w:tab w:leader="none" w:pos="681" w:val="left"/>
        </w:tabs>
        <w:numPr>
          <w:ilvl w:val="1"/>
          <w:numId w:val="147"/>
        </w:numPr>
        <w:rPr>
          <w:rFonts w:ascii="Arial" w:cs="Arial" w:eastAsia="Arial" w:hAnsi="Arial"/>
          <w:sz w:val="13"/>
          <w:szCs w:val="13"/>
          <w:color w:val="auto"/>
        </w:rPr>
      </w:pPr>
      <w:r>
        <w:rPr>
          <w:rFonts w:ascii="Arial" w:cs="Arial" w:eastAsia="Arial" w:hAnsi="Arial"/>
          <w:sz w:val="13"/>
          <w:szCs w:val="13"/>
          <w:color w:val="auto"/>
        </w:rPr>
        <w:t>Regardless of any action the Company takes with respect to any or all income tax (including U.S. federal, state and local taxes and/or non-U.S. taxes), social insurance, payroll tax, payment on account or other tax-related withholding (“Tax-Related Items”), the Participant acknowledges that the ultimate liability for all Tax-Related Items legally due by the Participant is and remains the Participant’s responsibility, and that the Company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w:t>
      </w:r>
    </w:p>
    <w:p>
      <w:pPr>
        <w:spacing w:after="0" w:line="71" w:lineRule="exact"/>
        <w:rPr>
          <w:rFonts w:ascii="Arial" w:cs="Arial" w:eastAsia="Arial" w:hAnsi="Arial"/>
          <w:sz w:val="13"/>
          <w:szCs w:val="13"/>
          <w:color w:val="auto"/>
        </w:rPr>
      </w:pPr>
    </w:p>
    <w:p>
      <w:pPr>
        <w:ind w:left="681" w:right="20" w:hanging="337"/>
        <w:spacing w:after="0" w:line="279" w:lineRule="auto"/>
        <w:tabs>
          <w:tab w:leader="none" w:pos="681" w:val="left"/>
        </w:tabs>
        <w:numPr>
          <w:ilvl w:val="1"/>
          <w:numId w:val="147"/>
        </w:numPr>
        <w:rPr>
          <w:rFonts w:ascii="Arial" w:cs="Arial" w:eastAsia="Arial" w:hAnsi="Arial"/>
          <w:sz w:val="12"/>
          <w:szCs w:val="12"/>
          <w:color w:val="auto"/>
        </w:rPr>
      </w:pPr>
      <w:r>
        <w:rPr>
          <w:rFonts w:ascii="Arial" w:cs="Arial" w:eastAsia="Arial" w:hAnsi="Arial"/>
          <w:sz w:val="12"/>
          <w:szCs w:val="12"/>
          <w:color w:val="auto"/>
        </w:rPr>
        <w:t>Prior to the delivery of Shares upon the vesting of the RSUs, if any taxing jurisdiction requires withholding of Tax-Related Items, 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New York Stock Exchange on the applicable vesting date). No fractional Shares will be withheld or issued pursuant to the grant of the RSUs and the issuance of Shares hereunder. Alternatively, the Company may, in its discretion, withhold any amount necessary to pay the Tax-Related Items from the Participant’s salary or other amounts payable to the Participant, with no withholding in Shares. 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of Directors)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50" w:lineRule="exact"/>
        <w:rPr>
          <w:rFonts w:ascii="Arial" w:cs="Arial" w:eastAsia="Arial" w:hAnsi="Arial"/>
          <w:sz w:val="12"/>
          <w:szCs w:val="12"/>
          <w:color w:val="auto"/>
        </w:rPr>
      </w:pPr>
    </w:p>
    <w:p>
      <w:pPr>
        <w:ind w:left="341" w:right="40" w:hanging="341"/>
        <w:spacing w:after="0" w:line="264" w:lineRule="auto"/>
        <w:tabs>
          <w:tab w:leader="none" w:pos="341"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Option of Company to Deliver Cash</w:t>
      </w:r>
      <w:r>
        <w:rPr>
          <w:rFonts w:ascii="Arial" w:cs="Arial" w:eastAsia="Arial" w:hAnsi="Arial"/>
          <w:sz w:val="13"/>
          <w:szCs w:val="13"/>
          <w:color w:val="auto"/>
        </w:rPr>
        <w:t>. Notwithstanding any of the other provisions of this Award and except where otherwise prohibited under local law or where cash settlement may present adverse tax consequences to the Participant, at the time the RSUs vest, the Company may elect, in the sole discretion of the Compensation Committee of the Board of Directors, to deliver by wire transfer to the Participant in lieu of Shares an equivalent amount of cash (determined by reference to the closing price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145" w:name="page146"/>
    <w:bookmarkEnd w:id="14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563245</wp:posOffset>
            </wp:positionV>
            <wp:extent cx="998855" cy="3181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ind w:left="341" w:right="200"/>
        <w:spacing w:after="0" w:line="276" w:lineRule="auto"/>
        <w:rPr>
          <w:sz w:val="20"/>
          <w:szCs w:val="20"/>
          <w:color w:val="auto"/>
        </w:rPr>
      </w:pPr>
      <w:r>
        <w:rPr>
          <w:rFonts w:ascii="Arial" w:cs="Arial" w:eastAsia="Arial" w:hAnsi="Arial"/>
          <w:sz w:val="13"/>
          <w:szCs w:val="13"/>
          <w:color w:val="auto"/>
        </w:rPr>
        <w:t>Common Stock on the New York Stock Exchange on the applicable vesting date). If the Company elects to deliver cash to the Participant, the Company is authorized to retain such amount as is sufficient n the opinion of the Company to satisfy the tax withholding obligations of the Company pursuant to Section 7 herein.</w:t>
      </w:r>
    </w:p>
    <w:p>
      <w:pPr>
        <w:spacing w:after="0" w:line="49" w:lineRule="exact"/>
        <w:rPr>
          <w:sz w:val="20"/>
          <w:szCs w:val="20"/>
          <w:color w:val="auto"/>
        </w:rPr>
      </w:pPr>
    </w:p>
    <w:p>
      <w:pPr>
        <w:ind w:left="341" w:hanging="341"/>
        <w:spacing w:after="0" w:line="258" w:lineRule="auto"/>
        <w:tabs>
          <w:tab w:leader="none" w:pos="341"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71" w:lineRule="exact"/>
        <w:rPr>
          <w:rFonts w:ascii="Arial" w:cs="Arial" w:eastAsia="Arial" w:hAnsi="Arial"/>
          <w:sz w:val="13"/>
          <w:szCs w:val="13"/>
          <w:color w:val="auto"/>
        </w:rPr>
      </w:pPr>
    </w:p>
    <w:p>
      <w:pPr>
        <w:ind w:left="341" w:right="20"/>
        <w:spacing w:after="0" w:line="255" w:lineRule="auto"/>
        <w:rPr>
          <w:rFonts w:ascii="Arial" w:cs="Arial" w:eastAsia="Arial" w:hAnsi="Arial"/>
          <w:sz w:val="13"/>
          <w:szCs w:val="13"/>
          <w:color w:val="auto"/>
        </w:rPr>
      </w:pPr>
      <w:r>
        <w:rPr>
          <w:rFonts w:ascii="Arial" w:cs="Arial" w:eastAsia="Arial" w:hAnsi="Arial"/>
          <w:sz w:val="13"/>
          <w:szCs w:val="13"/>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75" w:lineRule="exact"/>
        <w:rPr>
          <w:rFonts w:ascii="Arial" w:cs="Arial" w:eastAsia="Arial" w:hAnsi="Arial"/>
          <w:sz w:val="13"/>
          <w:szCs w:val="13"/>
          <w:color w:val="auto"/>
        </w:rPr>
      </w:pPr>
    </w:p>
    <w:p>
      <w:pPr>
        <w:ind w:left="341" w:right="20"/>
        <w:spacing w:after="0" w:line="285" w:lineRule="auto"/>
        <w:rPr>
          <w:rFonts w:ascii="Arial" w:cs="Arial" w:eastAsia="Arial" w:hAnsi="Arial"/>
          <w:sz w:val="13"/>
          <w:szCs w:val="13"/>
          <w:color w:val="auto"/>
        </w:rPr>
      </w:pPr>
      <w:r>
        <w:rPr>
          <w:rFonts w:ascii="Arial" w:cs="Arial" w:eastAsia="Arial" w:hAnsi="Arial"/>
          <w:sz w:val="12"/>
          <w:szCs w:val="12"/>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55"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2"/>
          <w:szCs w:val="12"/>
          <w:color w:val="auto"/>
        </w:rPr>
        <w:t>The Participant may, at any time, exercise the Participant’s rights provided under applicable personal data protection laws, which may include the right to (a) obtain confirmation as to the existence of the Data,</w:t>
      </w:r>
    </w:p>
    <w:p>
      <w:pPr>
        <w:spacing w:after="0" w:line="26" w:lineRule="exact"/>
        <w:rPr>
          <w:rFonts w:ascii="Arial" w:cs="Arial" w:eastAsia="Arial" w:hAnsi="Arial"/>
          <w:sz w:val="13"/>
          <w:szCs w:val="13"/>
          <w:color w:val="auto"/>
        </w:rPr>
      </w:pPr>
    </w:p>
    <w:p>
      <w:pPr>
        <w:ind w:left="341" w:right="160" w:hanging="7"/>
        <w:spacing w:after="0" w:line="258" w:lineRule="auto"/>
        <w:tabs>
          <w:tab w:leader="none" w:pos="527" w:val="left"/>
        </w:tabs>
        <w:numPr>
          <w:ilvl w:val="1"/>
          <w:numId w:val="148"/>
        </w:numPr>
        <w:rPr>
          <w:rFonts w:ascii="Arial" w:cs="Arial" w:eastAsia="Arial" w:hAnsi="Arial"/>
          <w:sz w:val="13"/>
          <w:szCs w:val="13"/>
          <w:color w:val="auto"/>
        </w:rPr>
      </w:pPr>
      <w:r>
        <w:rPr>
          <w:rFonts w:ascii="Arial" w:cs="Arial" w:eastAsia="Arial" w:hAnsi="Arial"/>
          <w:sz w:val="13"/>
          <w:szCs w:val="13"/>
          <w:color w:val="auto"/>
        </w:rPr>
        <w:t>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70" w:lineRule="exact"/>
        <w:rPr>
          <w:rFonts w:ascii="Arial" w:cs="Arial" w:eastAsia="Arial" w:hAnsi="Arial"/>
          <w:sz w:val="13"/>
          <w:szCs w:val="13"/>
          <w:color w:val="auto"/>
        </w:rPr>
      </w:pPr>
    </w:p>
    <w:p>
      <w:pPr>
        <w:ind w:left="341" w:right="80" w:hanging="341"/>
        <w:spacing w:after="0" w:line="258" w:lineRule="auto"/>
        <w:tabs>
          <w:tab w:leader="none" w:pos="341"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Repatriation: Compliance with Laws</w:t>
      </w:r>
      <w:r>
        <w:rPr>
          <w:rFonts w:ascii="Arial" w:cs="Arial" w:eastAsia="Arial" w:hAnsi="Arial"/>
          <w:sz w:val="13"/>
          <w:szCs w:val="13"/>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71" w:lineRule="exact"/>
        <w:rPr>
          <w:rFonts w:ascii="Arial" w:cs="Arial" w:eastAsia="Arial" w:hAnsi="Arial"/>
          <w:sz w:val="13"/>
          <w:szCs w:val="13"/>
          <w:color w:val="auto"/>
        </w:rPr>
      </w:pPr>
    </w:p>
    <w:p>
      <w:pPr>
        <w:ind w:left="341" w:hanging="341"/>
        <w:spacing w:after="0"/>
        <w:tabs>
          <w:tab w:leader="none" w:pos="341"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right="140" w:hanging="337"/>
        <w:spacing w:after="0" w:line="260" w:lineRule="auto"/>
        <w:tabs>
          <w:tab w:leader="none" w:pos="681" w:val="left"/>
        </w:tabs>
        <w:numPr>
          <w:ilvl w:val="1"/>
          <w:numId w:val="149"/>
        </w:numPr>
        <w:rPr>
          <w:rFonts w:ascii="Arial" w:cs="Arial" w:eastAsia="Arial" w:hAnsi="Arial"/>
          <w:sz w:val="13"/>
          <w:szCs w:val="13"/>
          <w:color w:val="auto"/>
        </w:rPr>
      </w:pPr>
      <w:r>
        <w:rPr>
          <w:rFonts w:ascii="Arial" w:cs="Arial" w:eastAsia="Arial" w:hAnsi="Arial"/>
          <w:sz w:val="13"/>
          <w:szCs w:val="13"/>
          <w:u w:val="single" w:color="auto"/>
          <w:color w:val="auto"/>
        </w:rPr>
        <w:t>No Rights to Board Service</w:t>
      </w:r>
      <w:r>
        <w:rPr>
          <w:rFonts w:ascii="Arial" w:cs="Arial" w:eastAsia="Arial" w:hAnsi="Arial"/>
          <w:sz w:val="13"/>
          <w:szCs w:val="13"/>
          <w:color w:val="auto"/>
        </w:rPr>
        <w:t>. The grant of the RSUs shall not confer upon the Participant any right to continue to serve on the Board of Directors of the Company or, if applicable, as an employee of the Company or its subsidiaries, nor limit in any way the terms of the Participant’s service on the Board of Directors, including for removal therefrom. The vesting of the RSUs pursuant to Section 2 hereof is earned only by satisfaction of the performance conditions, if any, and continuing service on the Board of Directors or as otherwise set forth in Section 2 (not through the act of being elected, hired or engaged or being granted the RSUs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146" w:name="page147"/>
    <w:bookmarkEnd w:id="146"/>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563245</wp:posOffset>
            </wp:positionV>
            <wp:extent cx="998855" cy="3181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ind w:left="337" w:right="40" w:hanging="337"/>
        <w:spacing w:after="0" w:line="289" w:lineRule="auto"/>
        <w:tabs>
          <w:tab w:leader="none" w:pos="337"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Discretionary Nature</w:t>
      </w:r>
      <w:r>
        <w:rPr>
          <w:rFonts w:ascii="Arial" w:cs="Arial" w:eastAsia="Arial" w:hAnsi="Arial"/>
          <w:sz w:val="12"/>
          <w:szCs w:val="12"/>
          <w:color w:val="auto"/>
        </w:rPr>
        <w:t>. The Participant acknowledges and agrees that the Plan is discretionary in nature and may be amended, cancelled, or terminated by the Company, in its sole discretion, at any time.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w:t>
      </w:r>
    </w:p>
    <w:p>
      <w:pPr>
        <w:spacing w:after="0" w:line="52" w:lineRule="exact"/>
        <w:rPr>
          <w:rFonts w:ascii="Arial" w:cs="Arial" w:eastAsia="Arial" w:hAnsi="Arial"/>
          <w:sz w:val="12"/>
          <w:szCs w:val="12"/>
          <w:color w:val="auto"/>
        </w:rPr>
      </w:pPr>
    </w:p>
    <w:p>
      <w:pPr>
        <w:ind w:left="337" w:right="100" w:hanging="337"/>
        <w:spacing w:after="0" w:line="334" w:lineRule="auto"/>
        <w:tabs>
          <w:tab w:leader="none" w:pos="337"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Exclusion from Termination Indemnities and Other Benefits</w:t>
      </w:r>
      <w:r>
        <w:rPr>
          <w:rFonts w:ascii="Arial" w:cs="Arial" w:eastAsia="Arial" w:hAnsi="Arial"/>
          <w:sz w:val="11"/>
          <w:szCs w:val="11"/>
          <w:color w:val="auto"/>
        </w:rPr>
        <w:t>. The Participant’s participation in the Plan is voluntary. The value of the RSUs and any other awards granted under the Plan is an extraordinary item of compensation outside the scope of the Participant’s service on the Board of Directors of the Company. Any grant under the Plan, including the grant of the RSUs, is not part of normal or expected compensation for purposes of calculating any severance, resignation, redundancy, end of service payments, bonuses, long-service awards, pension, or retirement benefits or similar payments.</w:t>
      </w:r>
    </w:p>
    <w:p>
      <w:pPr>
        <w:spacing w:after="0" w:line="32" w:lineRule="exact"/>
        <w:rPr>
          <w:rFonts w:ascii="Arial" w:cs="Arial" w:eastAsia="Arial" w:hAnsi="Arial"/>
          <w:sz w:val="11"/>
          <w:szCs w:val="11"/>
          <w:color w:val="auto"/>
        </w:rPr>
      </w:pPr>
    </w:p>
    <w:p>
      <w:pPr>
        <w:ind w:left="337" w:right="40" w:hanging="337"/>
        <w:spacing w:after="0" w:line="276"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59" w:lineRule="exact"/>
        <w:rPr>
          <w:rFonts w:ascii="Arial" w:cs="Arial" w:eastAsia="Arial" w:hAnsi="Arial"/>
          <w:sz w:val="13"/>
          <w:szCs w:val="13"/>
          <w:color w:val="auto"/>
        </w:rPr>
      </w:pPr>
    </w:p>
    <w:p>
      <w:pPr>
        <w:ind w:left="337" w:right="180" w:hanging="337"/>
        <w:spacing w:after="0" w:line="276"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Waiver</w:t>
      </w:r>
      <w:r>
        <w:rPr>
          <w:rFonts w:ascii="Arial" w:cs="Arial" w:eastAsia="Arial" w:hAnsi="Arial"/>
          <w:sz w:val="13"/>
          <w:szCs w:val="13"/>
          <w:color w:val="auto"/>
        </w:rPr>
        <w:t>. Any provision for the benefit of the Company contained in this Award may be waived, either generally or in any particular instance, by the Compensation Committee of the Board of Directors of the Company.</w:t>
      </w:r>
    </w:p>
    <w:p>
      <w:pPr>
        <w:spacing w:after="0" w:line="59" w:lineRule="exact"/>
        <w:rPr>
          <w:rFonts w:ascii="Arial" w:cs="Arial" w:eastAsia="Arial" w:hAnsi="Arial"/>
          <w:sz w:val="13"/>
          <w:szCs w:val="13"/>
          <w:color w:val="auto"/>
        </w:rPr>
      </w:pPr>
    </w:p>
    <w:p>
      <w:pPr>
        <w:ind w:left="337" w:right="320" w:hanging="337"/>
        <w:spacing w:after="0" w:line="276"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Binding Effect</w:t>
      </w:r>
      <w:r>
        <w:rPr>
          <w:rFonts w:ascii="Arial" w:cs="Arial" w:eastAsia="Arial" w:hAnsi="Arial"/>
          <w:sz w:val="13"/>
          <w:szCs w:val="13"/>
          <w:color w:val="auto"/>
        </w:rPr>
        <w:t>. This Award shall be binding upon and inure to the benefit of the Company and the Participant and their respective heirs, executors, administrators, legal representatives, successors and assigns, subject to the restrictions on transfer set forth in Section 3 of this Award.</w:t>
      </w:r>
    </w:p>
    <w:p>
      <w:pPr>
        <w:spacing w:after="0" w:line="59" w:lineRule="exact"/>
        <w:rPr>
          <w:rFonts w:ascii="Arial" w:cs="Arial" w:eastAsia="Arial" w:hAnsi="Arial"/>
          <w:sz w:val="13"/>
          <w:szCs w:val="13"/>
          <w:color w:val="auto"/>
        </w:rPr>
      </w:pPr>
    </w:p>
    <w:p>
      <w:pPr>
        <w:ind w:left="337" w:hanging="337"/>
        <w:spacing w:after="0" w:line="260"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69" w:lineRule="exact"/>
        <w:rPr>
          <w:rFonts w:ascii="Arial" w:cs="Arial" w:eastAsia="Arial" w:hAnsi="Arial"/>
          <w:sz w:val="13"/>
          <w:szCs w:val="13"/>
          <w:color w:val="auto"/>
        </w:rPr>
      </w:pPr>
    </w:p>
    <w:p>
      <w:pPr>
        <w:ind w:left="337" w:right="320" w:hanging="337"/>
        <w:spacing w:after="0" w:line="276"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Pronouns</w:t>
      </w:r>
      <w:r>
        <w:rPr>
          <w:rFonts w:ascii="Arial" w:cs="Arial" w:eastAsia="Arial" w:hAnsi="Arial"/>
          <w:sz w:val="13"/>
          <w:szCs w:val="13"/>
          <w:color w:val="auto"/>
        </w:rPr>
        <w:t>. Whenever the context may require, any pronouns used in this Award shall include the corresponding masculine, feminine or neuter forms, and the singular form of nouns and pronouns shall include the plural, and vice versa.</w:t>
      </w:r>
    </w:p>
    <w:p>
      <w:pPr>
        <w:spacing w:after="0" w:line="59" w:lineRule="exact"/>
        <w:rPr>
          <w:rFonts w:ascii="Arial" w:cs="Arial" w:eastAsia="Arial" w:hAnsi="Arial"/>
          <w:sz w:val="13"/>
          <w:szCs w:val="13"/>
          <w:color w:val="auto"/>
        </w:rPr>
      </w:pPr>
    </w:p>
    <w:p>
      <w:pPr>
        <w:ind w:left="337" w:hanging="337"/>
        <w:spacing w:after="0"/>
        <w:tabs>
          <w:tab w:leader="none" w:pos="337"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This Award and the Plan constitute the entire understanding between the parties, and supersede all prior agreements and understandings, relating to the subject matter of these documents.</w:t>
      </w:r>
    </w:p>
    <w:p>
      <w:pPr>
        <w:spacing w:after="0" w:line="119" w:lineRule="exact"/>
        <w:rPr>
          <w:rFonts w:ascii="Arial" w:cs="Arial" w:eastAsia="Arial" w:hAnsi="Arial"/>
          <w:sz w:val="11"/>
          <w:szCs w:val="11"/>
          <w:color w:val="auto"/>
        </w:rPr>
      </w:pPr>
    </w:p>
    <w:p>
      <w:pPr>
        <w:ind w:left="337" w:hanging="337"/>
        <w:spacing w:after="0"/>
        <w:tabs>
          <w:tab w:leader="none" w:pos="337"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Award shall be construed, interpreted and enforced in accordance with the internal laws of the Commonwealth of Massachusetts without regard to any applicable conflicts of laws.</w:t>
      </w:r>
    </w:p>
    <w:p>
      <w:pPr>
        <w:spacing w:after="0" w:line="107" w:lineRule="exact"/>
        <w:rPr>
          <w:rFonts w:ascii="Arial" w:cs="Arial" w:eastAsia="Arial" w:hAnsi="Arial"/>
          <w:sz w:val="12"/>
          <w:szCs w:val="12"/>
          <w:color w:val="auto"/>
        </w:rPr>
      </w:pPr>
    </w:p>
    <w:p>
      <w:pPr>
        <w:ind w:left="337" w:right="60" w:hanging="337"/>
        <w:spacing w:after="0" w:line="276"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Interpretation</w:t>
      </w:r>
      <w:r>
        <w:rPr>
          <w:rFonts w:ascii="Arial" w:cs="Arial" w:eastAsia="Arial" w:hAnsi="Arial"/>
          <w:sz w:val="13"/>
          <w:szCs w:val="13"/>
          <w:color w:val="auto"/>
        </w:rPr>
        <w:t>. The interpretation and construction of any terms or conditions of this Award or the Plan, or other matters related to the Plan, by the Compensation Committee of the Board of Directors of the Company shall be final and conclusive.</w:t>
      </w:r>
    </w:p>
    <w:p>
      <w:pPr>
        <w:spacing w:after="0" w:line="59" w:lineRule="exact"/>
        <w:rPr>
          <w:rFonts w:ascii="Arial" w:cs="Arial" w:eastAsia="Arial" w:hAnsi="Arial"/>
          <w:sz w:val="13"/>
          <w:szCs w:val="13"/>
          <w:color w:val="auto"/>
        </w:rPr>
      </w:pPr>
    </w:p>
    <w:p>
      <w:pPr>
        <w:ind w:left="337" w:right="20" w:hanging="337"/>
        <w:spacing w:after="0" w:line="371" w:lineRule="auto"/>
        <w:tabs>
          <w:tab w:leader="none" w:pos="337"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Participant’s Acceptance</w:t>
      </w:r>
      <w:r>
        <w:rPr>
          <w:rFonts w:ascii="Arial" w:cs="Arial" w:eastAsia="Arial" w:hAnsi="Arial"/>
          <w:sz w:val="11"/>
          <w:szCs w:val="11"/>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1" w:lineRule="exact"/>
        <w:rPr>
          <w:rFonts w:ascii="Arial" w:cs="Arial" w:eastAsia="Arial" w:hAnsi="Arial"/>
          <w:sz w:val="11"/>
          <w:szCs w:val="11"/>
          <w:color w:val="auto"/>
        </w:rPr>
      </w:pPr>
    </w:p>
    <w:p>
      <w:pPr>
        <w:ind w:left="337" w:right="180" w:hanging="337"/>
        <w:spacing w:after="0" w:line="264"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Electronic Delivery</w:t>
      </w:r>
      <w:r>
        <w:rPr>
          <w:rFonts w:ascii="Arial" w:cs="Arial" w:eastAsia="Arial" w:hAnsi="Arial"/>
          <w:sz w:val="13"/>
          <w:szCs w:val="13"/>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66" w:lineRule="exact"/>
        <w:rPr>
          <w:rFonts w:ascii="Arial" w:cs="Arial" w:eastAsia="Arial" w:hAnsi="Arial"/>
          <w:sz w:val="13"/>
          <w:szCs w:val="13"/>
          <w:color w:val="auto"/>
        </w:rPr>
      </w:pPr>
    </w:p>
    <w:p>
      <w:pPr>
        <w:jc w:val="both"/>
        <w:ind w:left="337" w:right="40" w:hanging="337"/>
        <w:spacing w:after="0" w:line="264" w:lineRule="auto"/>
        <w:tabs>
          <w:tab w:leader="none" w:pos="337"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English Language</w:t>
      </w:r>
      <w:r>
        <w:rPr>
          <w:rFonts w:ascii="Arial" w:cs="Arial" w:eastAsia="Arial" w:hAnsi="Arial"/>
          <w:sz w:val="13"/>
          <w:szCs w:val="13"/>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275590</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17"/>
          </w:cols>
          <w:pgMar w:left="563" w:top="1440" w:right="219" w:bottom="1440" w:gutter="0" w:footer="0" w:header="0"/>
        </w:sectPr>
      </w:pPr>
    </w:p>
    <w:bookmarkStart w:id="147" w:name="page148"/>
    <w:bookmarkEnd w:id="14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563245</wp:posOffset>
            </wp:positionV>
            <wp:extent cx="998855" cy="3181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998855" cy="318135"/>
                    </a:xfrm>
                    <a:prstGeom prst="rect">
                      <a:avLst/>
                    </a:prstGeom>
                    <a:noFill/>
                  </pic:spPr>
                </pic:pic>
              </a:graphicData>
            </a:graphic>
          </wp:anchor>
        </w:drawing>
      </w:r>
    </w:p>
    <w:p>
      <w:pPr>
        <w:ind w:left="680" w:right="60" w:hanging="337"/>
        <w:spacing w:after="0" w:line="289" w:lineRule="auto"/>
        <w:tabs>
          <w:tab w:leader="none" w:pos="680"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Addendum</w:t>
      </w:r>
      <w:r>
        <w:rPr>
          <w:rFonts w:ascii="Arial" w:cs="Arial" w:eastAsia="Arial" w:hAnsi="Arial"/>
          <w:sz w:val="12"/>
          <w:szCs w:val="12"/>
          <w:color w:val="auto"/>
        </w:rPr>
        <w:t>. Notwithstanding any provisions herein to the contrary, the RSUs shall be subject to any special terms and conditions for the Participant’s country of residence (and, if any, country of employment, if different), as may be set forth in an addendum to this Agreement (the “Addendum”). Further, if the Participant transfers the Participant’s residence and/or employment to another country reflected in an Addendum, the special terms and conditions for such country will apply to the Participant to the extent the Company determines, in its sole discretion, that the application of such terms and conditions is necessary or advisable in order to comply with local law or to facilitate the administration of the Plan. Any Addendum shall constitute part of this Agreement.</w:t>
      </w:r>
    </w:p>
    <w:p>
      <w:pPr>
        <w:spacing w:after="0" w:line="52" w:lineRule="exact"/>
        <w:rPr>
          <w:rFonts w:ascii="Arial" w:cs="Arial" w:eastAsia="Arial" w:hAnsi="Arial"/>
          <w:sz w:val="12"/>
          <w:szCs w:val="12"/>
          <w:color w:val="auto"/>
        </w:rPr>
      </w:pPr>
    </w:p>
    <w:p>
      <w:pPr>
        <w:ind w:left="680" w:hanging="337"/>
        <w:spacing w:after="0" w:line="296" w:lineRule="auto"/>
        <w:tabs>
          <w:tab w:leader="none" w:pos="680"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Additional Requirements</w:t>
      </w:r>
      <w:r>
        <w:rPr>
          <w:rFonts w:ascii="Arial" w:cs="Arial" w:eastAsia="Arial" w:hAnsi="Arial"/>
          <w:sz w:val="12"/>
          <w:szCs w:val="12"/>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49" w:lineRule="exact"/>
        <w:rPr>
          <w:rFonts w:ascii="Arial" w:cs="Arial" w:eastAsia="Arial" w:hAnsi="Arial"/>
          <w:sz w:val="12"/>
          <w:szCs w:val="12"/>
          <w:color w:val="auto"/>
        </w:rPr>
      </w:pPr>
    </w:p>
    <w:p>
      <w:pPr>
        <w:ind w:left="680" w:right="20" w:hanging="337"/>
        <w:spacing w:after="0" w:line="264" w:lineRule="auto"/>
        <w:tabs>
          <w:tab w:leader="none" w:pos="68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Private Placement</w:t>
      </w:r>
      <w:r>
        <w:rPr>
          <w:rFonts w:ascii="Arial" w:cs="Arial" w:eastAsia="Arial" w:hAnsi="Arial"/>
          <w:sz w:val="13"/>
          <w:szCs w:val="13"/>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66" w:lineRule="exact"/>
        <w:rPr>
          <w:rFonts w:ascii="Arial" w:cs="Arial" w:eastAsia="Arial" w:hAnsi="Arial"/>
          <w:sz w:val="13"/>
          <w:szCs w:val="13"/>
          <w:color w:val="auto"/>
        </w:rPr>
      </w:pPr>
    </w:p>
    <w:p>
      <w:pPr>
        <w:ind w:left="680" w:right="220" w:hanging="337"/>
        <w:spacing w:after="0" w:line="264" w:lineRule="auto"/>
        <w:tabs>
          <w:tab w:leader="none" w:pos="68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Directors of the Company.</w:t>
      </w:r>
    </w:p>
    <w:p>
      <w:pPr>
        <w:spacing w:after="0" w:line="66" w:lineRule="exact"/>
        <w:rPr>
          <w:rFonts w:ascii="Arial" w:cs="Arial" w:eastAsia="Arial" w:hAnsi="Arial"/>
          <w:sz w:val="13"/>
          <w:szCs w:val="13"/>
          <w:color w:val="auto"/>
        </w:rPr>
      </w:pPr>
    </w:p>
    <w:p>
      <w:pPr>
        <w:ind w:left="680" w:hanging="337"/>
        <w:spacing w:after="0"/>
        <w:tabs>
          <w:tab w:leader="none" w:pos="68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This Award may be amended or modified only by a written instrument executed by both the Company and the Participant.</w:t>
      </w:r>
    </w:p>
    <w:p>
      <w:pPr>
        <w:sectPr>
          <w:pgSz w:w="11900" w:h="16838" w:orient="portrait"/>
          <w:cols w:equalWidth="0" w:num="1">
            <w:col w:w="11400"/>
          </w:cols>
          <w:pgMar w:left="220" w:top="1440" w:right="27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Ray Stata</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Chairman of the Board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&amp; Chief Executive Officer</w:t>
      </w:r>
    </w:p>
    <w:p>
      <w:pPr>
        <w:sectPr>
          <w:pgSz w:w="11900" w:h="16838" w:orient="portrait"/>
          <w:cols w:equalWidth="0" w:num="2">
            <w:col w:w="5120" w:space="720"/>
            <w:col w:w="5560"/>
          </w:cols>
          <w:pgMar w:left="220" w:top="1440" w:right="27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Exhibit 12.1</w:t>
            </w:r>
          </w:p>
        </w:tc>
      </w:tr>
      <w:tr>
        <w:trPr>
          <w:trHeight w:val="38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gridSpan w:val="4"/>
          </w:tcPr>
          <w:p>
            <w:pPr>
              <w:ind w:left="580"/>
              <w:spacing w:after="0"/>
              <w:rPr>
                <w:sz w:val="20"/>
                <w:szCs w:val="20"/>
                <w:color w:val="auto"/>
              </w:rPr>
            </w:pPr>
            <w:r>
              <w:rPr>
                <w:rFonts w:ascii="Arial" w:cs="Arial" w:eastAsia="Arial" w:hAnsi="Arial"/>
                <w:sz w:val="13"/>
                <w:szCs w:val="13"/>
                <w:b w:val="1"/>
                <w:bCs w:val="1"/>
                <w:color w:val="auto"/>
              </w:rPr>
              <w:t>Analog Devices, Inc.</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80" w:type="dxa"/>
            <w:vAlign w:val="bottom"/>
            <w:gridSpan w:val="7"/>
          </w:tcPr>
          <w:p>
            <w:pPr>
              <w:jc w:val="right"/>
              <w:ind w:right="840"/>
              <w:spacing w:after="0"/>
              <w:rPr>
                <w:sz w:val="20"/>
                <w:szCs w:val="20"/>
                <w:color w:val="auto"/>
              </w:rPr>
            </w:pPr>
            <w:r>
              <w:rPr>
                <w:rFonts w:ascii="Arial" w:cs="Arial" w:eastAsia="Arial" w:hAnsi="Arial"/>
                <w:sz w:val="13"/>
                <w:szCs w:val="13"/>
                <w:b w:val="1"/>
                <w:bCs w:val="1"/>
                <w:color w:val="auto"/>
                <w:w w:val="97"/>
              </w:rPr>
              <w:t>Ratio of Earnings to Fixed Charges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7"/>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0"/>
                <w:szCs w:val="10"/>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November 3,</w:t>
            </w:r>
          </w:p>
        </w:tc>
        <w:tc>
          <w:tcPr>
            <w:tcW w:w="60" w:type="dxa"/>
            <w:vAlign w:val="bottom"/>
          </w:tcPr>
          <w:p>
            <w:pPr>
              <w:spacing w:after="0"/>
              <w:rPr>
                <w:sz w:val="7"/>
                <w:szCs w:val="7"/>
                <w:color w:val="auto"/>
              </w:rPr>
            </w:pPr>
          </w:p>
        </w:tc>
        <w:tc>
          <w:tcPr>
            <w:tcW w:w="940" w:type="dxa"/>
            <w:vAlign w:val="bottom"/>
            <w:gridSpan w:val="2"/>
          </w:tcPr>
          <w:p>
            <w:pPr>
              <w:jc w:val="right"/>
              <w:ind w:right="360"/>
              <w:spacing w:after="0" w:line="81" w:lineRule="exact"/>
              <w:rPr>
                <w:sz w:val="20"/>
                <w:szCs w:val="20"/>
                <w:color w:val="auto"/>
              </w:rPr>
            </w:pPr>
            <w:r>
              <w:rPr>
                <w:rFonts w:ascii="Arial" w:cs="Arial" w:eastAsia="Arial" w:hAnsi="Arial"/>
                <w:sz w:val="9"/>
                <w:szCs w:val="9"/>
                <w:b w:val="1"/>
                <w:bCs w:val="1"/>
                <w:color w:val="auto"/>
              </w:rPr>
              <w:t>November 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2"/>
          </w:tcPr>
          <w:p>
            <w:pPr>
              <w:jc w:val="center"/>
              <w:ind w:right="760"/>
              <w:spacing w:after="0" w:line="81" w:lineRule="exact"/>
              <w:rPr>
                <w:sz w:val="20"/>
                <w:szCs w:val="20"/>
                <w:color w:val="auto"/>
              </w:rPr>
            </w:pPr>
            <w:r>
              <w:rPr>
                <w:rFonts w:ascii="Arial" w:cs="Arial" w:eastAsia="Arial" w:hAnsi="Arial"/>
                <w:sz w:val="9"/>
                <w:szCs w:val="9"/>
                <w:b w:val="1"/>
                <w:bCs w:val="1"/>
                <w:color w:val="auto"/>
              </w:rPr>
              <w:t>October 31,</w:t>
            </w:r>
          </w:p>
        </w:tc>
        <w:tc>
          <w:tcPr>
            <w:tcW w:w="80" w:type="dxa"/>
            <w:vAlign w:val="bottom"/>
          </w:tcPr>
          <w:p>
            <w:pPr>
              <w:spacing w:after="0"/>
              <w:rPr>
                <w:sz w:val="7"/>
                <w:szCs w:val="7"/>
                <w:color w:val="auto"/>
              </w:rPr>
            </w:pPr>
          </w:p>
        </w:tc>
        <w:tc>
          <w:tcPr>
            <w:tcW w:w="940" w:type="dxa"/>
            <w:vAlign w:val="bottom"/>
            <w:gridSpan w:val="2"/>
          </w:tcPr>
          <w:p>
            <w:pPr>
              <w:jc w:val="right"/>
              <w:ind w:right="420"/>
              <w:spacing w:after="0" w:line="81" w:lineRule="exact"/>
              <w:rPr>
                <w:sz w:val="20"/>
                <w:szCs w:val="20"/>
                <w:color w:val="auto"/>
              </w:rPr>
            </w:pPr>
            <w:r>
              <w:rPr>
                <w:rFonts w:ascii="Arial" w:cs="Arial" w:eastAsia="Arial" w:hAnsi="Arial"/>
                <w:sz w:val="9"/>
                <w:szCs w:val="9"/>
                <w:b w:val="1"/>
                <w:bCs w:val="1"/>
                <w:color w:val="auto"/>
              </w:rPr>
              <w:t>October 30,</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auto"/>
              </w:rPr>
              <w:t>October 29,</w:t>
            </w:r>
          </w:p>
        </w:tc>
        <w:tc>
          <w:tcPr>
            <w:tcW w:w="100" w:type="dxa"/>
            <w:vAlign w:val="bottom"/>
          </w:tcPr>
          <w:p>
            <w:pPr>
              <w:spacing w:after="0"/>
              <w:rPr>
                <w:sz w:val="7"/>
                <w:szCs w:val="7"/>
                <w:color w:val="auto"/>
              </w:rPr>
            </w:pPr>
          </w:p>
        </w:tc>
      </w:tr>
      <w:tr>
        <w:trPr>
          <w:trHeight w:val="125"/>
        </w:trPr>
        <w:tc>
          <w:tcPr>
            <w:tcW w:w="4580" w:type="dxa"/>
            <w:vAlign w:val="bottom"/>
            <w:gridSpan w:val="2"/>
          </w:tcPr>
          <w:p>
            <w:pPr>
              <w:spacing w:after="0"/>
              <w:rPr>
                <w:sz w:val="20"/>
                <w:szCs w:val="20"/>
                <w:color w:val="auto"/>
              </w:rPr>
            </w:pPr>
            <w:r>
              <w:rPr>
                <w:rFonts w:ascii="Arial" w:cs="Arial" w:eastAsia="Arial" w:hAnsi="Arial"/>
                <w:sz w:val="10"/>
                <w:szCs w:val="10"/>
                <w:color w:val="auto"/>
              </w:rPr>
              <w:t>(In thousands, except ratios)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57"/>
              <w:spacing w:after="0"/>
              <w:rPr>
                <w:sz w:val="20"/>
                <w:szCs w:val="20"/>
                <w:color w:val="auto"/>
              </w:rPr>
            </w:pPr>
            <w:r>
              <w:rPr>
                <w:rFonts w:ascii="Arial" w:cs="Arial" w:eastAsia="Arial" w:hAnsi="Arial"/>
                <w:sz w:val="10"/>
                <w:szCs w:val="10"/>
                <w:b w:val="1"/>
                <w:bCs w:val="1"/>
                <w:color w:val="auto"/>
              </w:rPr>
              <w:t>2010</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45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Determination of earnings:</w:t>
            </w:r>
          </w:p>
        </w:tc>
        <w:tc>
          <w:tcPr>
            <w:tcW w:w="5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4560" w:type="dxa"/>
            <w:vAlign w:val="bottom"/>
          </w:tcPr>
          <w:p>
            <w:pPr>
              <w:ind w:left="280"/>
              <w:spacing w:after="0"/>
              <w:rPr>
                <w:sz w:val="20"/>
                <w:szCs w:val="20"/>
                <w:color w:val="auto"/>
              </w:rPr>
            </w:pPr>
            <w:r>
              <w:rPr>
                <w:rFonts w:ascii="Arial" w:cs="Arial" w:eastAsia="Arial" w:hAnsi="Arial"/>
                <w:sz w:val="13"/>
                <w:szCs w:val="13"/>
                <w:color w:val="auto"/>
              </w:rPr>
              <w:t>Income from continuing operations before provision for taxes on income</w:t>
            </w:r>
          </w:p>
        </w:tc>
        <w:tc>
          <w:tcPr>
            <w:tcW w:w="660" w:type="dxa"/>
            <w:vAlign w:val="bottom"/>
            <w:gridSpan w:val="2"/>
          </w:tcPr>
          <w:p>
            <w:pPr>
              <w:ind w:left="58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661,457</w:t>
            </w:r>
          </w:p>
        </w:tc>
        <w:tc>
          <w:tcPr>
            <w:tcW w:w="7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666,102</w:t>
            </w:r>
          </w:p>
        </w:tc>
        <w:tc>
          <w:tcPr>
            <w:tcW w:w="3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3"/>
                <w:szCs w:val="13"/>
                <w:color w:val="auto"/>
              </w:rPr>
              <w:t>297,444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901,665</w:t>
            </w:r>
          </w:p>
        </w:tc>
        <w:tc>
          <w:tcPr>
            <w:tcW w:w="34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1,061,447</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Capitalized interest</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982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4560" w:type="dxa"/>
            <w:vAlign w:val="bottom"/>
          </w:tcPr>
          <w:p>
            <w:pPr>
              <w:ind w:left="280"/>
              <w:spacing w:after="0"/>
              <w:rPr>
                <w:sz w:val="20"/>
                <w:szCs w:val="20"/>
                <w:color w:val="auto"/>
              </w:rPr>
            </w:pPr>
            <w:r>
              <w:rPr>
                <w:rFonts w:ascii="Arial" w:cs="Arial" w:eastAsia="Arial" w:hAnsi="Arial"/>
                <w:sz w:val="13"/>
                <w:szCs w:val="13"/>
                <w:color w:val="auto"/>
              </w:rPr>
              <w:t>Fixed charges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1,834</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1,607</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3"/>
                <w:szCs w:val="13"/>
                <w:color w:val="auto"/>
              </w:rPr>
              <w:t>5,243</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11,388</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19,892</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earnings as defined</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664,273</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668,691</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303,669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913,493</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1,081,393</w:t>
            </w:r>
          </w:p>
        </w:tc>
        <w:tc>
          <w:tcPr>
            <w:tcW w:w="100" w:type="dxa"/>
            <w:vAlign w:val="bottom"/>
            <w:shd w:val="clear" w:color="auto" w:fill="CCEEFF"/>
          </w:tcPr>
          <w:p>
            <w:pPr>
              <w:spacing w:after="0"/>
              <w:rPr>
                <w:sz w:val="14"/>
                <w:szCs w:val="14"/>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3"/>
                <w:szCs w:val="13"/>
                <w:color w:val="auto"/>
              </w:rPr>
              <w:t>Fixed Charges:</w:t>
            </w: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4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and amortization expense</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3,853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10,226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18,892</w:t>
            </w:r>
          </w:p>
        </w:tc>
      </w:tr>
      <w:tr>
        <w:trPr>
          <w:trHeight w:val="157"/>
        </w:trPr>
        <w:tc>
          <w:tcPr>
            <w:tcW w:w="20" w:type="dxa"/>
            <w:vAlign w:val="bottom"/>
          </w:tcPr>
          <w:p>
            <w:pPr>
              <w:spacing w:after="0"/>
              <w:rPr>
                <w:sz w:val="13"/>
                <w:szCs w:val="13"/>
                <w:color w:val="auto"/>
              </w:rPr>
            </w:pPr>
          </w:p>
        </w:tc>
        <w:tc>
          <w:tcPr>
            <w:tcW w:w="4560" w:type="dxa"/>
            <w:vAlign w:val="bottom"/>
          </w:tcPr>
          <w:p>
            <w:pPr>
              <w:ind w:left="280"/>
              <w:spacing w:after="0"/>
              <w:rPr>
                <w:sz w:val="20"/>
                <w:szCs w:val="20"/>
                <w:color w:val="auto"/>
              </w:rPr>
            </w:pPr>
            <w:r>
              <w:rPr>
                <w:rFonts w:ascii="Arial" w:cs="Arial" w:eastAsia="Arial" w:hAnsi="Arial"/>
                <w:sz w:val="13"/>
                <w:szCs w:val="13"/>
                <w:color w:val="auto"/>
              </w:rPr>
              <w:t>Interest portion of rent expense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1,827</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1,526</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3"/>
                <w:szCs w:val="13"/>
                <w:color w:val="auto"/>
              </w:rPr>
              <w:t>1,390</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1,162</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Fixed charges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5,243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11,388</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19,892</w:t>
            </w:r>
          </w:p>
        </w:tc>
      </w:tr>
      <w:tr>
        <w:trPr>
          <w:trHeight w:val="157"/>
        </w:trPr>
        <w:tc>
          <w:tcPr>
            <w:tcW w:w="20" w:type="dxa"/>
            <w:vAlign w:val="bottom"/>
          </w:tcPr>
          <w:p>
            <w:pPr>
              <w:spacing w:after="0"/>
              <w:rPr>
                <w:sz w:val="13"/>
                <w:szCs w:val="13"/>
                <w:color w:val="auto"/>
              </w:rPr>
            </w:pPr>
          </w:p>
        </w:tc>
        <w:tc>
          <w:tcPr>
            <w:tcW w:w="4560" w:type="dxa"/>
            <w:vAlign w:val="bottom"/>
          </w:tcPr>
          <w:p>
            <w:pPr>
              <w:ind w:left="280"/>
              <w:spacing w:after="0"/>
              <w:rPr>
                <w:sz w:val="20"/>
                <w:szCs w:val="20"/>
                <w:color w:val="auto"/>
              </w:rPr>
            </w:pPr>
            <w:r>
              <w:rPr>
                <w:rFonts w:ascii="Arial" w:cs="Arial" w:eastAsia="Arial" w:hAnsi="Arial"/>
                <w:sz w:val="13"/>
                <w:szCs w:val="13"/>
                <w:color w:val="auto"/>
              </w:rPr>
              <w:t>Capitalized interest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fixed charges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5,243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11,388</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19,892</w:t>
            </w:r>
          </w:p>
        </w:tc>
      </w:tr>
      <w:tr>
        <w:trPr>
          <w:trHeight w:val="29"/>
        </w:trPr>
        <w:tc>
          <w:tcPr>
            <w:tcW w:w="4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3"/>
                <w:szCs w:val="13"/>
                <w:color w:val="auto"/>
              </w:rPr>
              <w:t>Ratio of earnings to fixed charges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362.2</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416.1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3"/>
                <w:szCs w:val="13"/>
                <w:color w:val="auto"/>
              </w:rPr>
              <w:t>57.9</w:t>
            </w:r>
          </w:p>
        </w:tc>
        <w:tc>
          <w:tcPr>
            <w:tcW w:w="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80.2</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54.4</w:t>
            </w:r>
          </w:p>
        </w:tc>
      </w:tr>
      <w:tr>
        <w:trPr>
          <w:trHeight w:val="30"/>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ectPr>
          <w:pgSz w:w="11900" w:h="16838" w:orient="portrait"/>
          <w:cols w:equalWidth="0" w:num="1">
            <w:col w:w="11460"/>
          </w:cols>
          <w:pgMar w:left="220" w:top="127" w:right="2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13"/>
                <w:szCs w:val="13"/>
                <w:color w:val="auto"/>
              </w:rPr>
            </w:pPr>
          </w:p>
        </w:tc>
        <w:tc>
          <w:tcPr>
            <w:tcW w:w="7780" w:type="dxa"/>
            <w:vAlign w:val="bottom"/>
            <w:gridSpan w:val="3"/>
          </w:tcPr>
          <w:p>
            <w:pPr>
              <w:jc w:val="center"/>
              <w:ind w:right="3616"/>
              <w:spacing w:after="0"/>
              <w:rPr>
                <w:sz w:val="20"/>
                <w:szCs w:val="20"/>
                <w:color w:val="auto"/>
              </w:rPr>
            </w:pPr>
            <w:r>
              <w:rPr>
                <w:rFonts w:ascii="Arial" w:cs="Arial" w:eastAsia="Arial" w:hAnsi="Arial"/>
                <w:sz w:val="13"/>
                <w:szCs w:val="13"/>
                <w:b w:val="1"/>
                <w:bCs w:val="1"/>
                <w:color w:val="auto"/>
              </w:rPr>
              <w:t>SUBSIDIARIES OF ANALOG DEVICES, INC.</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7780" w:type="dxa"/>
            <w:vAlign w:val="bottom"/>
            <w:gridSpan w:val="3"/>
          </w:tcPr>
          <w:p>
            <w:pPr>
              <w:jc w:val="center"/>
              <w:ind w:right="3616"/>
              <w:spacing w:after="0"/>
              <w:rPr>
                <w:sz w:val="20"/>
                <w:szCs w:val="20"/>
                <w:color w:val="auto"/>
              </w:rPr>
            </w:pPr>
            <w:r>
              <w:rPr>
                <w:rFonts w:ascii="Arial" w:cs="Arial" w:eastAsia="Arial" w:hAnsi="Arial"/>
                <w:sz w:val="13"/>
                <w:szCs w:val="13"/>
                <w:b w:val="1"/>
                <w:bCs w:val="1"/>
                <w:color w:val="auto"/>
                <w:w w:val="89"/>
              </w:rPr>
              <w:t>As of October 29, 2011</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0"/>
                <w:szCs w:val="10"/>
                <w:b w:val="1"/>
                <w:bCs w:val="1"/>
                <w:color w:val="auto"/>
              </w:rPr>
              <w:t>State or Other</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40" w:type="dxa"/>
            <w:vAlign w:val="bottom"/>
          </w:tcPr>
          <w:p>
            <w:pPr>
              <w:spacing w:after="0" w:line="108" w:lineRule="exact"/>
              <w:rPr>
                <w:sz w:val="20"/>
                <w:szCs w:val="20"/>
                <w:color w:val="auto"/>
              </w:rPr>
            </w:pPr>
            <w:r>
              <w:rPr>
                <w:rFonts w:ascii="Arial" w:cs="Arial" w:eastAsia="Arial" w:hAnsi="Arial"/>
                <w:sz w:val="10"/>
                <w:szCs w:val="10"/>
                <w:b w:val="1"/>
                <w:bCs w:val="1"/>
                <w:color w:val="auto"/>
              </w:rPr>
              <w:t>Jurisdiction of</w:t>
            </w:r>
          </w:p>
        </w:tc>
        <w:tc>
          <w:tcPr>
            <w:tcW w:w="0" w:type="dxa"/>
            <w:vAlign w:val="bottom"/>
          </w:tcPr>
          <w:p>
            <w:pPr>
              <w:spacing w:after="0"/>
              <w:rPr>
                <w:sz w:val="1"/>
                <w:szCs w:val="1"/>
                <w:color w:val="auto"/>
              </w:rPr>
            </w:pPr>
          </w:p>
        </w:tc>
      </w:tr>
      <w:tr>
        <w:trPr>
          <w:trHeight w:val="108"/>
        </w:trPr>
        <w:tc>
          <w:tcPr>
            <w:tcW w:w="3680" w:type="dxa"/>
            <w:vAlign w:val="bottom"/>
            <w:vMerge w:val="restart"/>
          </w:tcPr>
          <w:p>
            <w:pPr>
              <w:spacing w:after="0"/>
              <w:rPr>
                <w:sz w:val="20"/>
                <w:szCs w:val="20"/>
                <w:color w:val="auto"/>
              </w:rPr>
            </w:pPr>
            <w:r>
              <w:rPr>
                <w:rFonts w:ascii="Arial" w:cs="Arial" w:eastAsia="Arial" w:hAnsi="Arial"/>
                <w:sz w:val="10"/>
                <w:szCs w:val="10"/>
                <w:b w:val="1"/>
                <w:bCs w:val="1"/>
                <w:color w:val="auto"/>
              </w:rPr>
              <w:t>Name of Subsidiary</w:t>
            </w: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40" w:type="dxa"/>
            <w:vAlign w:val="bottom"/>
          </w:tcPr>
          <w:p>
            <w:pPr>
              <w:spacing w:after="0" w:line="108" w:lineRule="exact"/>
              <w:rPr>
                <w:sz w:val="20"/>
                <w:szCs w:val="20"/>
                <w:color w:val="auto"/>
              </w:rPr>
            </w:pPr>
            <w:r>
              <w:rPr>
                <w:rFonts w:ascii="Arial" w:cs="Arial" w:eastAsia="Arial" w:hAnsi="Arial"/>
                <w:sz w:val="10"/>
                <w:szCs w:val="10"/>
                <w:b w:val="1"/>
                <w:bCs w:val="1"/>
                <w:color w:val="auto"/>
              </w:rPr>
              <w:t>Incorporation or</w:t>
            </w:r>
          </w:p>
        </w:tc>
        <w:tc>
          <w:tcPr>
            <w:tcW w:w="0" w:type="dxa"/>
            <w:vAlign w:val="bottom"/>
          </w:tcPr>
          <w:p>
            <w:pPr>
              <w:spacing w:after="0"/>
              <w:rPr>
                <w:sz w:val="1"/>
                <w:szCs w:val="1"/>
                <w:color w:val="auto"/>
              </w:rPr>
            </w:pPr>
          </w:p>
        </w:tc>
      </w:tr>
      <w:tr>
        <w:trPr>
          <w:trHeight w:val="125"/>
        </w:trPr>
        <w:tc>
          <w:tcPr>
            <w:tcW w:w="3680" w:type="dxa"/>
            <w:vAlign w:val="bottom"/>
            <w:tcBorders>
              <w:bottom w:val="single" w:sz="8" w:color="auto"/>
            </w:tcBorders>
            <w:vMerge w:val="continue"/>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Organization</w:t>
            </w:r>
          </w:p>
        </w:tc>
        <w:tc>
          <w:tcPr>
            <w:tcW w:w="0" w:type="dxa"/>
            <w:vAlign w:val="bottom"/>
          </w:tcPr>
          <w:p>
            <w:pPr>
              <w:spacing w:after="0"/>
              <w:rPr>
                <w:sz w:val="1"/>
                <w:szCs w:val="1"/>
                <w:color w:val="auto"/>
              </w:rPr>
            </w:pPr>
          </w:p>
        </w:tc>
      </w:tr>
      <w:tr>
        <w:trPr>
          <w:trHeight w:val="138"/>
        </w:trPr>
        <w:tc>
          <w:tcPr>
            <w:tcW w:w="3680" w:type="dxa"/>
            <w:vAlign w:val="bottom"/>
          </w:tcPr>
          <w:p>
            <w:pPr>
              <w:spacing w:after="0" w:line="139" w:lineRule="exact"/>
              <w:rPr>
                <w:sz w:val="20"/>
                <w:szCs w:val="20"/>
                <w:color w:val="auto"/>
              </w:rPr>
            </w:pPr>
            <w:r>
              <w:rPr>
                <w:rFonts w:ascii="Arial" w:cs="Arial" w:eastAsia="Arial" w:hAnsi="Arial"/>
                <w:sz w:val="13"/>
                <w:szCs w:val="13"/>
                <w:color w:val="auto"/>
              </w:rPr>
              <w:t>Analog Devices Limited</w:t>
            </w: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spacing w:after="0" w:line="139" w:lineRule="exact"/>
              <w:rPr>
                <w:sz w:val="20"/>
                <w:szCs w:val="20"/>
                <w:color w:val="auto"/>
              </w:rPr>
            </w:pPr>
            <w:r>
              <w:rPr>
                <w:rFonts w:ascii="Arial" w:cs="Arial" w:eastAsia="Arial" w:hAnsi="Arial"/>
                <w:sz w:val="13"/>
                <w:szCs w:val="13"/>
                <w:color w:val="auto"/>
              </w:rPr>
              <w:t>United Kingdom</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SAS</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K.K.</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A/S</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A.B.</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(Finland) Oy</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SRL</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GMBH</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Korea,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Integrant Technologies, Inc.</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Korea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B.V.</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Holdings, B.V.</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Nederland, B.V.</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(Philippines), Inc.</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Gen. Trias, Inc.</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Realty Holdings, Inc. (40% owned)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The Philippines</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Taiwan,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Taiwan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Hong Kong,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Hong Kong</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Pty,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Australia Pty.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India Private Limited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Financial Services Limited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Israel,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Israel</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(China) Co.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(Shanghai) Co.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China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Canada, Ltd.</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Analog Devices S.L.</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ADI Micromachines, Inc.</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Lyric Semiconductor, Inc.</w:t>
            </w: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20"/>
                <w:szCs w:val="20"/>
                <w:color w:val="auto"/>
              </w:rPr>
            </w:pPr>
            <w:r>
              <w:rPr>
                <w:rFonts w:ascii="Arial" w:cs="Arial" w:eastAsia="Arial" w:hAnsi="Arial"/>
                <w:sz w:val="13"/>
                <w:szCs w:val="13"/>
                <w:color w:val="auto"/>
              </w:rPr>
              <w:t>Analog Devices International, Inc.</w:t>
            </w: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6" w:right="2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auto"/>
        </w:rPr>
        <w:t>Exhibit 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 333-47789, 333-48243, 333-56529, 333-57444, 333-69359, 333-79551, 333-87055, 333-50092, 333-53314, 333-53828, 333-75170, 333-113510, 333-132409, 33-156309 and 333-163653, and Form S-3 Nos. 333-08505, 333-08509, 333-17651, 333-87053, 333-48928, 333-51530, 333-53660 and 333-160215) of Analog Devices, Inc. and in the related Prospectuses of our reports dated November 22, 2011, with respect to the consolidated financial statements and schedule of Analog Devices, Inc., and the effectiveness of internal control over financial reporting of Analog Devices, Inc., included in this Annual Report (Form 10-K) for the year ended October 29, 2011.</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November 22, 2011</w:t>
      </w:r>
    </w:p>
    <w:p>
      <w:pPr>
        <w:sectPr>
          <w:pgSz w:w="11900" w:h="16838" w:orient="portrait"/>
          <w:cols w:equalWidth="0" w:num="1">
            <w:col w:w="11460"/>
          </w:cols>
          <w:pgMar w:left="220" w:top="127" w:right="2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Jerald G. Fishman, certify that:</w:t>
      </w:r>
    </w:p>
    <w:p>
      <w:pPr>
        <w:spacing w:after="0" w:line="86" w:lineRule="exact"/>
        <w:rPr>
          <w:sz w:val="20"/>
          <w:szCs w:val="20"/>
          <w:color w:val="auto"/>
        </w:rPr>
      </w:pPr>
    </w:p>
    <w:p>
      <w:pPr>
        <w:ind w:left="300" w:hanging="138"/>
        <w:spacing w:after="0"/>
        <w:tabs>
          <w:tab w:leader="none" w:pos="30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60" w:firstLine="172"/>
        <w:spacing w:after="0" w:line="276" w:lineRule="auto"/>
        <w:tabs>
          <w:tab w:leader="none" w:pos="51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26" w:val="left"/>
        </w:tabs>
        <w:numPr>
          <w:ilvl w:val="1"/>
          <w:numId w:val="15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1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1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60" w:firstLine="162"/>
        <w:spacing w:after="0" w:line="276" w:lineRule="auto"/>
        <w:tabs>
          <w:tab w:leader="none" w:pos="29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400" w:firstLine="172"/>
        <w:spacing w:after="0" w:line="276" w:lineRule="auto"/>
        <w:tabs>
          <w:tab w:leader="none" w:pos="51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10795</wp:posOffset>
            </wp:positionV>
            <wp:extent cx="324548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President and Chief</w:t>
      </w:r>
    </w:p>
    <w:p>
      <w:pPr>
        <w:spacing w:after="0" w:line="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Executive Officer</w:t>
      </w:r>
    </w:p>
    <w:p>
      <w:pPr>
        <w:spacing w:after="0" w:line="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(Principal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2011</w:t>
      </w:r>
    </w:p>
    <w:p>
      <w:pPr>
        <w:sectPr>
          <w:pgSz w:w="11900" w:h="16838" w:orient="portrait"/>
          <w:cols w:equalWidth="0" w:num="1">
            <w:col w:w="11460"/>
          </w:cols>
          <w:pgMar w:left="220" w:top="127"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David A. Zinsner, certify that:</w:t>
      </w:r>
    </w:p>
    <w:p>
      <w:pPr>
        <w:spacing w:after="0" w:line="86" w:lineRule="exact"/>
        <w:rPr>
          <w:sz w:val="20"/>
          <w:szCs w:val="20"/>
          <w:color w:val="auto"/>
        </w:rPr>
      </w:pPr>
    </w:p>
    <w:p>
      <w:pPr>
        <w:ind w:left="300" w:hanging="138"/>
        <w:spacing w:after="0"/>
        <w:tabs>
          <w:tab w:leader="none" w:pos="3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Analog Devices,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5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5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right="460" w:firstLine="172"/>
        <w:spacing w:after="0" w:line="276" w:lineRule="auto"/>
        <w:tabs>
          <w:tab w:leader="none" w:pos="518" w:val="left"/>
        </w:tabs>
        <w:numPr>
          <w:ilvl w:val="1"/>
          <w:numId w:val="15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26" w:val="left"/>
        </w:tabs>
        <w:numPr>
          <w:ilvl w:val="1"/>
          <w:numId w:val="15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00" w:firstLine="172"/>
        <w:spacing w:after="0" w:line="276" w:lineRule="auto"/>
        <w:tabs>
          <w:tab w:leader="none" w:pos="518" w:val="left"/>
        </w:tabs>
        <w:numPr>
          <w:ilvl w:val="1"/>
          <w:numId w:val="15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26" w:val="left"/>
        </w:tabs>
        <w:numPr>
          <w:ilvl w:val="1"/>
          <w:numId w:val="15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60" w:firstLine="162"/>
        <w:spacing w:after="0" w:line="276" w:lineRule="auto"/>
        <w:tabs>
          <w:tab w:leader="none" w:pos="29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400" w:firstLine="172"/>
        <w:spacing w:after="0" w:line="276" w:lineRule="auto"/>
        <w:tabs>
          <w:tab w:leader="none" w:pos="518"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10795</wp:posOffset>
            </wp:positionV>
            <wp:extent cx="324548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David A. Zinsner</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Vice President, Finance</w:t>
      </w:r>
    </w:p>
    <w:p>
      <w:pPr>
        <w:spacing w:after="0" w:line="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and Chief Financial Officer</w:t>
      </w:r>
    </w:p>
    <w:p>
      <w:pPr>
        <w:spacing w:after="0" w:line="8"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(Principal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2011</w:t>
      </w:r>
    </w:p>
    <w:p>
      <w:pPr>
        <w:sectPr>
          <w:pgSz w:w="11900" w:h="16838" w:orient="portrait"/>
          <w:cols w:equalWidth="0" w:num="1">
            <w:col w:w="11460"/>
          </w:cols>
          <w:pgMar w:left="220" w:top="127" w:right="2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In connection with the Annual Report on Form 10-K of Analog Devices, Inc. (the “Company”) for the period ended October 29, 2011 as filed with the Securities and Exchange Commission on the date hereof (the “Report”), the undersigned, Jerald G. Fishman, Chief Executive Officer of the Company, hereby certifies, pursuant to 18 U.S.C. Section 1350, that:</w:t>
      </w:r>
    </w:p>
    <w:p>
      <w:pPr>
        <w:spacing w:after="0" w:line="49" w:lineRule="exact"/>
        <w:rPr>
          <w:sz w:val="20"/>
          <w:szCs w:val="20"/>
          <w:color w:val="auto"/>
        </w:rPr>
      </w:pPr>
    </w:p>
    <w:p>
      <w:pPr>
        <w:ind w:left="580" w:hanging="188"/>
        <w:spacing w:after="0"/>
        <w:tabs>
          <w:tab w:leader="none" w:pos="58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10795</wp:posOffset>
            </wp:positionV>
            <wp:extent cx="324548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Jerald G. Fishman</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2011</w:t>
      </w:r>
    </w:p>
    <w:p>
      <w:pPr>
        <w:sectPr>
          <w:pgSz w:w="11900" w:h="16838" w:orient="portrait"/>
          <w:cols w:equalWidth="0" w:num="1">
            <w:col w:w="11460"/>
          </w:cols>
          <w:pgMar w:left="220" w:top="127"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In connection with the Annual Report on Form 10-K of Analog Devices, Inc. (the “Company”) for the period ended October 29, 2011 as filed with the Securities and Exchange Commission on the date hereof (the “Report”), the undersigned, David A. Zinsner, Chief Financial Officer of the Company, hereby certifies, pursuant to 18 U.S.C. Section 1350, that:</w:t>
      </w:r>
    </w:p>
    <w:p>
      <w:pPr>
        <w:spacing w:after="0" w:line="49" w:lineRule="exact"/>
        <w:rPr>
          <w:sz w:val="20"/>
          <w:szCs w:val="20"/>
          <w:color w:val="auto"/>
        </w:rPr>
      </w:pPr>
    </w:p>
    <w:p>
      <w:pPr>
        <w:ind w:left="580" w:hanging="188"/>
        <w:spacing w:after="0"/>
        <w:tabs>
          <w:tab w:leader="none" w:pos="5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10795</wp:posOffset>
            </wp:positionV>
            <wp:extent cx="324548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45485" cy="635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3"/>
          <w:szCs w:val="13"/>
          <w:color w:val="auto"/>
        </w:rPr>
        <w:t>David A. Zinsner</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Dated: November 22,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o"/>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1)"/>
      <w:numFmt w:val="lowerLetter"/>
      <w:start w:val="1"/>
    </w:lvl>
  </w:abstractNum>
  <w:abstractNum w:abstractNumId="9">
    <w:nsid w:val="7FFFCA11"/>
    <w:multiLevelType w:val="hybridMultilevel"/>
    <w:lvl w:ilvl="0">
      <w:lvlJc w:val="left"/>
      <w:lvlText w:val="(%1)"/>
      <w:numFmt w:val="lowerLetter"/>
      <w:start w:val="3"/>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1)"/>
      <w:numFmt w:val="lowerLetter"/>
      <w:start w:val="1"/>
    </w:lvl>
  </w:abstractNum>
  <w:abstractNum w:abstractNumId="14">
    <w:nsid w:val="6EB5BD4"/>
    <w:multiLevelType w:val="hybridMultilevel"/>
    <w:lvl w:ilvl="0">
      <w:lvlJc w:val="left"/>
      <w:lvlText w:val="(%1)"/>
      <w:numFmt w:val="lowerLetter"/>
      <w:start w:val="5"/>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1."/>
      <w:numFmt w:val="decimal"/>
      <w:start w:val="1"/>
    </w:lvl>
  </w:abstractNum>
  <w:abstractNum w:abstractNumId="17">
    <w:nsid w:val="885E1B"/>
    <w:multiLevelType w:val="hybridMultilevel"/>
    <w:lvl w:ilvl="0">
      <w:lvlJc w:val="left"/>
      <w:lvlText w:val="%1."/>
      <w:numFmt w:val="decimal"/>
      <w:start w:val="2"/>
    </w:lvl>
  </w:abstractNum>
  <w:abstractNum w:abstractNumId="18">
    <w:nsid w:val="76272110"/>
    <w:multiLevelType w:val="hybridMultilevel"/>
    <w:lvl w:ilvl="0">
      <w:lvlJc w:val="left"/>
      <w:lvlText w:val="%1."/>
      <w:numFmt w:val="lowerLetter"/>
      <w:start w:val="1"/>
    </w:lvl>
  </w:abstractNum>
  <w:abstractNum w:abstractNumId="19">
    <w:nsid w:val="4C04A8AF"/>
    <w:multiLevelType w:val="hybridMultilevel"/>
    <w:lvl w:ilvl="0">
      <w:lvlJc w:val="left"/>
      <w:lvlText w:val="%1."/>
      <w:numFmt w:val="lowerLetter"/>
      <w:start w:val="2"/>
    </w:lvl>
  </w:abstractNum>
  <w:abstractNum w:abstractNumId="20">
    <w:nsid w:val="1716703B"/>
    <w:multiLevelType w:val="hybridMultilevel"/>
    <w:lvl w:ilvl="0">
      <w:lvlJc w:val="left"/>
      <w:lvlText w:val="%1."/>
      <w:numFmt w:val="lowerLetter"/>
      <w:start w:val="3"/>
    </w:lvl>
  </w:abstractNum>
  <w:abstractNum w:abstractNumId="21">
    <w:nsid w:val="14E17E33"/>
    <w:multiLevelType w:val="hybridMultilevel"/>
    <w:lvl w:ilvl="0">
      <w:lvlJc w:val="left"/>
      <w:lvlText w:val="%1."/>
      <w:numFmt w:val="lowerLetter"/>
      <w:start w:val="4"/>
    </w:lvl>
  </w:abstractNum>
  <w:abstractNum w:abstractNumId="22">
    <w:nsid w:val="3222E7CD"/>
    <w:multiLevelType w:val="hybridMultilevel"/>
    <w:lvl w:ilvl="0">
      <w:lvlJc w:val="left"/>
      <w:lvlText w:val="%1."/>
      <w:numFmt w:val="lowerLetter"/>
      <w:start w:val="5"/>
    </w:lvl>
  </w:abstractNum>
  <w:abstractNum w:abstractNumId="23">
    <w:nsid w:val="74DE0EE3"/>
    <w:multiLevelType w:val="hybridMultilevel"/>
    <w:lvl w:ilvl="0">
      <w:lvlJc w:val="left"/>
      <w:lvlText w:val="%1."/>
      <w:numFmt w:val="lowerLetter"/>
      <w:start w:val="6"/>
    </w:lvl>
  </w:abstractNum>
  <w:abstractNum w:abstractNumId="24">
    <w:nsid w:val="68EBC550"/>
    <w:multiLevelType w:val="hybridMultilevel"/>
    <w:lvl w:ilvl="0">
      <w:lvlJc w:val="left"/>
      <w:lvlText w:val="%1."/>
      <w:numFmt w:val="lowerLetter"/>
      <w:start w:val="7"/>
    </w:lvl>
  </w:abstractNum>
  <w:abstractNum w:abstractNumId="25">
    <w:nsid w:val="2DF6D648"/>
    <w:multiLevelType w:val="hybridMultilevel"/>
    <w:lvl w:ilvl="0">
      <w:lvlJc w:val="left"/>
      <w:lvlText w:val="%1."/>
      <w:numFmt w:val="lowerLetter"/>
      <w:start w:val="8"/>
    </w:lvl>
  </w:abstractNum>
  <w:abstractNum w:abstractNumId="26">
    <w:nsid w:val="46B7D447"/>
    <w:multiLevelType w:val="hybridMultilevel"/>
    <w:lvl w:ilvl="0">
      <w:lvlJc w:val="left"/>
      <w:lvlText w:val="%1."/>
      <w:numFmt w:val="lowerRoman"/>
      <w:start w:val="1"/>
    </w:lvl>
  </w:abstractNum>
  <w:abstractNum w:abstractNumId="27">
    <w:nsid w:val="4A2AC315"/>
    <w:multiLevelType w:val="hybridMultilevel"/>
    <w:lvl w:ilvl="0">
      <w:lvlJc w:val="left"/>
      <w:lvlText w:val="(%1)"/>
      <w:numFmt w:val="lowerRoman"/>
      <w:start w:val="1"/>
    </w:lvl>
  </w:abstractNum>
  <w:abstractNum w:abstractNumId="28">
    <w:nsid w:val="39EE015C"/>
    <w:multiLevelType w:val="hybridMultilevel"/>
    <w:lvl w:ilvl="0">
      <w:lvlJc w:val="left"/>
      <w:lvlText w:val="%1."/>
      <w:numFmt w:val="lowerLetter"/>
      <w:start w:val="10"/>
    </w:lvl>
  </w:abstractNum>
  <w:abstractNum w:abstractNumId="29">
    <w:nsid w:val="57FC4FBB"/>
    <w:multiLevelType w:val="hybridMultilevel"/>
    <w:lvl w:ilvl="0">
      <w:lvlJc w:val="left"/>
      <w:lvlText w:val="(%1)"/>
      <w:numFmt w:val="decimal"/>
      <w:start w:val="1"/>
    </w:lvl>
  </w:abstractNum>
  <w:abstractNum w:abstractNumId="30">
    <w:nsid w:val="CC1016F"/>
    <w:multiLevelType w:val="hybridMultilevel"/>
    <w:lvl w:ilvl="0">
      <w:lvlJc w:val="left"/>
      <w:lvlText w:val="(%1)"/>
      <w:numFmt w:val="decimal"/>
      <w:start w:val="2"/>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1."/>
      <w:numFmt w:val="lowerLetter"/>
      <w:start w:val="11"/>
    </w:lvl>
  </w:abstractNum>
  <w:abstractNum w:abstractNumId="34">
    <w:nsid w:val="7F01579B"/>
    <w:multiLevelType w:val="hybridMultilevel"/>
    <w:lvl w:ilvl="0">
      <w:lvlJc w:val="left"/>
      <w:lvlText w:val="%1."/>
      <w:numFmt w:val="lowerLetter"/>
      <w:start w:val="12"/>
    </w:lvl>
  </w:abstractNum>
  <w:abstractNum w:abstractNumId="35">
    <w:nsid w:val="49DA307D"/>
    <w:multiLevelType w:val="hybridMultilevel"/>
    <w:lvl w:ilvl="0">
      <w:lvlJc w:val="left"/>
      <w:lvlText w:val="%1."/>
      <w:numFmt w:val="lowerLetter"/>
      <w:start w:val="13"/>
    </w:lvl>
  </w:abstractNum>
  <w:abstractNum w:abstractNumId="36">
    <w:nsid w:val="7055A5F5"/>
    <w:multiLevelType w:val="hybridMultilevel"/>
    <w:lvl w:ilvl="0">
      <w:lvlJc w:val="left"/>
      <w:lvlText w:val="%1."/>
      <w:numFmt w:val="lowerLetter"/>
      <w:start w:val="14"/>
    </w:lvl>
  </w:abstractNum>
  <w:abstractNum w:abstractNumId="37">
    <w:nsid w:val="5FB8370B"/>
    <w:multiLevelType w:val="hybridMultilevel"/>
    <w:lvl w:ilvl="0">
      <w:lvlJc w:val="left"/>
      <w:lvlText w:val="%1."/>
      <w:numFmt w:val="lowerLetter"/>
      <w:start w:val="15"/>
    </w:lvl>
  </w:abstractNum>
  <w:abstractNum w:abstractNumId="38">
    <w:nsid w:val="50801EE1"/>
    <w:multiLevelType w:val="hybridMultilevel"/>
    <w:lvl w:ilvl="0">
      <w:lvlJc w:val="left"/>
      <w:lvlText w:val="%1."/>
      <w:numFmt w:val="lowerLetter"/>
      <w:start w:val="16"/>
    </w:lvl>
  </w:abstractNum>
  <w:abstractNum w:abstractNumId="39">
    <w:nsid w:val="488AC1A"/>
    <w:multiLevelType w:val="hybridMultilevel"/>
    <w:lvl w:ilvl="0">
      <w:lvlJc w:val="left"/>
      <w:lvlText w:val="%1."/>
      <w:numFmt w:val="lowerLetter"/>
      <w:start w:val="17"/>
    </w:lvl>
  </w:abstractNum>
  <w:abstractNum w:abstractNumId="40">
    <w:nsid w:val="5FB8011C"/>
    <w:multiLevelType w:val="hybridMultilevel"/>
    <w:lvl w:ilvl="0">
      <w:lvlJc w:val="left"/>
      <w:lvlText w:val="%1."/>
      <w:numFmt w:val="lowerLetter"/>
      <w:start w:val="18"/>
    </w:lvl>
  </w:abstractNum>
  <w:abstractNum w:abstractNumId="41">
    <w:nsid w:val="6AA78F7F"/>
    <w:multiLevelType w:val="hybridMultilevel"/>
    <w:lvl w:ilvl="0">
      <w:lvlJc w:val="left"/>
      <w:lvlText w:val="%1."/>
      <w:numFmt w:val="lowerLetter"/>
      <w:start w:val="19"/>
    </w:lvl>
  </w:abstractNum>
  <w:abstractNum w:abstractNumId="42">
    <w:nsid w:val="7672BD23"/>
    <w:multiLevelType w:val="hybridMultilevel"/>
    <w:lvl w:ilvl="0">
      <w:lvlJc w:val="left"/>
      <w:lvlText w:val="%1."/>
      <w:numFmt w:val="lowerLetter"/>
      <w:start w:val="20"/>
    </w:lvl>
  </w:abstractNum>
  <w:abstractNum w:abstractNumId="43">
    <w:nsid w:val="6FC75AF8"/>
    <w:multiLevelType w:val="hybridMultilevel"/>
    <w:lvl w:ilvl="0">
      <w:lvlJc w:val="left"/>
      <w:lvlText w:val="%1."/>
      <w:numFmt w:val="lowerLetter"/>
      <w:start w:val="21"/>
    </w:lvl>
  </w:abstractNum>
  <w:abstractNum w:abstractNumId="44">
    <w:nsid w:val="6A5F7029"/>
    <w:multiLevelType w:val="hybridMultilevel"/>
    <w:lvl w:ilvl="0">
      <w:lvlJc w:val="left"/>
      <w:lvlText w:val="%1."/>
      <w:numFmt w:val="decimal"/>
      <w:start w:val="3"/>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1)"/>
      <w:numFmt w:val="decimal"/>
      <w:start w:val="1"/>
    </w:lvl>
  </w:abstractNum>
  <w:abstractNum w:abstractNumId="47">
    <w:nsid w:val="73A1821B"/>
    <w:multiLevelType w:val="hybridMultilevel"/>
    <w:lvl w:ilvl="0">
      <w:lvlJc w:val="left"/>
      <w:lvlText w:val="%1."/>
      <w:numFmt w:val="decimal"/>
      <w:start w:val="4"/>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1."/>
      <w:numFmt w:val="decimal"/>
      <w:start w:val="5"/>
    </w:lvl>
  </w:abstractNum>
  <w:abstractNum w:abstractNumId="51">
    <w:nsid w:val="14FCE74E"/>
    <w:multiLevelType w:val="hybridMultilevel"/>
    <w:lvl w:ilvl="0">
      <w:lvlJc w:val="left"/>
      <w:lvlText w:val="%1."/>
      <w:numFmt w:val="decimal"/>
      <w:start w:val="6"/>
    </w:lvl>
  </w:abstractNum>
  <w:abstractNum w:abstractNumId="52">
    <w:nsid w:val="6A3DD3E8"/>
    <w:multiLevelType w:val="hybridMultilevel"/>
    <w:lvl w:ilvl="0">
      <w:lvlJc w:val="left"/>
      <w:lvlText w:val="%1."/>
      <w:numFmt w:val="decimal"/>
      <w:start w:val="7"/>
    </w:lvl>
  </w:abstractNum>
  <w:abstractNum w:abstractNumId="53">
    <w:nsid w:val="71C91298"/>
    <w:multiLevelType w:val="hybridMultilevel"/>
    <w:lvl w:ilvl="0">
      <w:lvlJc w:val="left"/>
      <w:lvlText w:val="%1."/>
      <w:numFmt w:val="decimal"/>
      <w:start w:val="8"/>
    </w:lvl>
  </w:abstractNum>
  <w:abstractNum w:abstractNumId="54">
    <w:nsid w:val="9DAF632"/>
    <w:multiLevelType w:val="hybridMultilevel"/>
    <w:lvl w:ilvl="0">
      <w:lvlJc w:val="left"/>
      <w:lvlText w:val="%1."/>
      <w:numFmt w:val="decimal"/>
      <w:start w:val="10"/>
    </w:lvl>
  </w:abstractNum>
  <w:abstractNum w:abstractNumId="55">
    <w:nsid w:val="53299938"/>
    <w:multiLevelType w:val="hybridMultilevel"/>
    <w:lvl w:ilvl="0">
      <w:lvlJc w:val="left"/>
      <w:lvlText w:val="%1."/>
      <w:numFmt w:val="decimal"/>
      <w:start w:val="11"/>
    </w:lvl>
  </w:abstractNum>
  <w:abstractNum w:abstractNumId="56">
    <w:nsid w:val="1FBFE8E0"/>
    <w:multiLevelType w:val="hybridMultilevel"/>
    <w:lvl w:ilvl="0">
      <w:lvlJc w:val="left"/>
      <w:lvlText w:val="%1."/>
      <w:numFmt w:val="decimal"/>
      <w:start w:val="12"/>
    </w:lvl>
  </w:abstractNum>
  <w:abstractNum w:abstractNumId="57">
    <w:nsid w:val="5092CA79"/>
    <w:multiLevelType w:val="hybridMultilevel"/>
    <w:lvl w:ilvl="0">
      <w:lvlJc w:val="left"/>
      <w:lvlText w:val="%1."/>
      <w:numFmt w:val="decimal"/>
      <w:start w:val="13"/>
    </w:lvl>
  </w:abstractNum>
  <w:abstractNum w:abstractNumId="58">
    <w:nsid w:val="1D545C4D"/>
    <w:multiLevelType w:val="hybridMultilevel"/>
    <w:lvl w:ilvl="0">
      <w:lvlJc w:val="left"/>
      <w:lvlText w:val="(%1)"/>
      <w:numFmt w:val="decimal"/>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1."/>
      <w:numFmt w:val="decimal"/>
      <w:start w:val="15"/>
    </w:lvl>
  </w:abstractNum>
  <w:abstractNum w:abstractNumId="61">
    <w:nsid w:val="2A155DBC"/>
    <w:multiLevelType w:val="hybridMultilevel"/>
    <w:lvl w:ilvl="0">
      <w:lvlJc w:val="left"/>
      <w:lvlText w:val="%1."/>
      <w:numFmt w:val="decimal"/>
      <w:start w:val="16"/>
    </w:lvl>
  </w:abstractNum>
  <w:abstractNum w:abstractNumId="62">
    <w:nsid w:val="1D9F6E5F"/>
    <w:multiLevelType w:val="hybridMultilevel"/>
    <w:lvl w:ilvl="0">
      <w:lvlJc w:val="left"/>
      <w:lvlText w:val="%1."/>
      <w:numFmt w:val="decimal"/>
      <w:start w:val="17"/>
    </w:lvl>
  </w:abstractNum>
  <w:abstractNum w:abstractNumId="63">
    <w:nsid w:val="97E1B4E"/>
    <w:multiLevelType w:val="hybridMultilevel"/>
    <w:lvl w:ilvl="0">
      <w:lvlJc w:val="left"/>
      <w:lvlText w:val="(%1)"/>
      <w:numFmt w:val="lowerLetter"/>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1)"/>
      <w:numFmt w:val="lowerLetter"/>
      <w:start w:val="3"/>
    </w:lvl>
  </w:abstractNum>
  <w:abstractNum w:abstractNumId="66">
    <w:nsid w:val="53584BCB"/>
    <w:multiLevelType w:val="hybridMultilevel"/>
    <w:lvl w:ilvl="0">
      <w:lvlJc w:val="left"/>
      <w:lvlText w:val="(%1)"/>
      <w:numFmt w:val="lowerLetter"/>
      <w:start w:val="4"/>
    </w:lvl>
  </w:abstractNum>
  <w:abstractNum w:abstractNumId="67">
    <w:nsid w:val="415E286C"/>
    <w:multiLevelType w:val="hybridMultilevel"/>
    <w:lvl w:ilvl="0">
      <w:lvlJc w:val="left"/>
      <w:lvlText w:val="(%1)"/>
      <w:numFmt w:val="lowerLetter"/>
      <w:start w:val="1"/>
    </w:lvl>
  </w:abstractNum>
  <w:abstractNum w:abstractNumId="68">
    <w:nsid w:val="7C58FD05"/>
    <w:multiLevelType w:val="hybridMultilevel"/>
    <w:lvl w:ilvl="0">
      <w:lvlJc w:val="left"/>
      <w:lvlText w:val="%1."/>
      <w:numFmt w:val="decimal"/>
      <w:start w:val="1"/>
    </w:lvl>
  </w:abstractNum>
  <w:abstractNum w:abstractNumId="69">
    <w:nsid w:val="23D86AAC"/>
    <w:multiLevelType w:val="hybridMultilevel"/>
    <w:lvl w:ilvl="0">
      <w:lvlJc w:val="left"/>
      <w:lvlText w:val="(%1)"/>
      <w:numFmt w:val="lowerLetter"/>
      <w:start w:val="2"/>
    </w:lvl>
  </w:abstractNum>
  <w:abstractNum w:abstractNumId="70">
    <w:nsid w:val="45E6D486"/>
    <w:multiLevelType w:val="hybridMultilevel"/>
    <w:lvl w:ilvl="0">
      <w:lvlJc w:val="left"/>
      <w:lvlText w:val="(%1)"/>
      <w:numFmt w:val="lowerLetter"/>
      <w:start w:val="3"/>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1."/>
      <w:numFmt w:val="decimal"/>
      <w:start w:val="1"/>
    </w:lvl>
  </w:abstractNum>
  <w:abstractNum w:abstractNumId="74">
    <w:nsid w:val="4BD8591A"/>
    <w:multiLevelType w:val="hybridMultilevel"/>
    <w:lvl w:ilvl="0">
      <w:lvlJc w:val="left"/>
      <w:lvlText w:val="%1."/>
      <w:numFmt w:val="decimal"/>
      <w:start w:val="2"/>
    </w:lvl>
  </w:abstractNum>
  <w:abstractNum w:abstractNumId="75">
    <w:nsid w:val="78DF6A55"/>
    <w:multiLevelType w:val="hybridMultilevel"/>
    <w:lvl w:ilvl="0">
      <w:lvlJc w:val="left"/>
      <w:lvlText w:val="%1."/>
      <w:numFmt w:val="decimal"/>
      <w:start w:val="3"/>
    </w:lvl>
    <w:lvl w:ilvl="1">
      <w:lvlJc w:val="left"/>
      <w:lvlText w:val="(%2)"/>
      <w:numFmt w:val="lowerLetter"/>
      <w:start w:val="1"/>
    </w:lvl>
  </w:abstractNum>
  <w:abstractNum w:abstractNumId="76">
    <w:nsid w:val="39B7AAA2"/>
    <w:multiLevelType w:val="hybridMultilevel"/>
    <w:lvl w:ilvl="0">
      <w:lvlJc w:val="left"/>
      <w:lvlText w:val="%1"/>
      <w:numFmt w:val="decimal"/>
      <w:start w:val="1"/>
    </w:lvl>
    <w:lvl w:ilvl="1">
      <w:lvlJc w:val="left"/>
      <w:lvlText w:val="(%2)"/>
      <w:numFmt w:val="lowerLetter"/>
      <w:start w:val="3"/>
    </w:lvl>
  </w:abstractNum>
  <w:abstractNum w:abstractNumId="77">
    <w:nsid w:val="2B0D8DBE"/>
    <w:multiLevelType w:val="hybridMultilevel"/>
    <w:lvl w:ilvl="0">
      <w:lvlJc w:val="left"/>
      <w:lvlText w:val="%1."/>
      <w:numFmt w:val="decimal"/>
      <w:start w:val="4"/>
    </w:lvl>
    <w:lvl w:ilvl="1">
      <w:lvlJc w:val="left"/>
      <w:lvlText w:val="(%2)"/>
      <w:numFmt w:val="lowerLetter"/>
      <w:start w:val="1"/>
    </w:lvl>
  </w:abstractNum>
  <w:abstractNum w:abstractNumId="78">
    <w:nsid w:val="6C80EC70"/>
    <w:multiLevelType w:val="hybridMultilevel"/>
    <w:lvl w:ilvl="0">
      <w:lvlJc w:val="left"/>
      <w:lvlText w:val="(%1)"/>
      <w:numFmt w:val="lowerLetter"/>
      <w:start w:val="2"/>
    </w:lvl>
  </w:abstractNum>
  <w:abstractNum w:abstractNumId="79">
    <w:nsid w:val="379E21B5"/>
    <w:multiLevelType w:val="hybridMultilevel"/>
    <w:lvl w:ilvl="0">
      <w:lvlJc w:val="left"/>
      <w:lvlText w:val="%1"/>
      <w:numFmt w:val="decimal"/>
      <w:start w:val="1"/>
    </w:lvl>
    <w:lvl w:ilvl="1">
      <w:lvlJc w:val="left"/>
      <w:lvlText w:val="(%2)"/>
      <w:numFmt w:val="lowerLetter"/>
      <w:start w:val="3"/>
    </w:lvl>
  </w:abstractNum>
  <w:abstractNum w:abstractNumId="80">
    <w:nsid w:val="69E373"/>
    <w:multiLevelType w:val="hybridMultilevel"/>
    <w:lvl w:ilvl="0">
      <w:lvlJc w:val="left"/>
      <w:lvlText w:val="%1."/>
      <w:numFmt w:val="decimal"/>
      <w:start w:val="5"/>
    </w:lvl>
    <w:lvl w:ilvl="1">
      <w:lvlJc w:val="left"/>
      <w:lvlText w:val="(%2)"/>
      <w:numFmt w:val="lowerLetter"/>
      <w:start w:val="1"/>
    </w:lvl>
  </w:abstractNum>
  <w:abstractNum w:abstractNumId="81">
    <w:nsid w:val="2C27173B"/>
    <w:multiLevelType w:val="hybridMultilevel"/>
    <w:lvl w:ilvl="0">
      <w:lvlJc w:val="left"/>
      <w:lvlText w:val="(%1)"/>
      <w:numFmt w:val="lowerLetter"/>
      <w:start w:val="5"/>
    </w:lvl>
    <w:lvl w:ilvl="1">
      <w:lvlJc w:val="left"/>
      <w:lvlText w:val="(%2)"/>
      <w:numFmt w:val="decimal"/>
      <w:start w:val="1"/>
    </w:lvl>
  </w:abstractNum>
  <w:abstractNum w:abstractNumId="82">
    <w:nsid w:val="4C9B0904"/>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83">
    <w:nsid w:val="6AA7B75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84">
    <w:nsid w:val="1DF029D3"/>
    <w:multiLevelType w:val="hybridMultilevel"/>
    <w:lvl w:ilvl="0">
      <w:lvlJc w:val="left"/>
      <w:lvlText w:val="%1"/>
      <w:numFmt w:val="decimal"/>
      <w:start w:val="1"/>
    </w:lvl>
    <w:lvl w:ilvl="1">
      <w:lvlJc w:val="left"/>
      <w:lvlText w:val="(%2)"/>
      <w:numFmt w:val="lowerLetter"/>
      <w:start w:val="5"/>
    </w:lvl>
  </w:abstractNum>
  <w:abstractNum w:abstractNumId="85">
    <w:nsid w:val="5675FF36"/>
    <w:multiLevelType w:val="hybridMultilevel"/>
    <w:lvl w:ilvl="0">
      <w:lvlJc w:val="left"/>
      <w:lvlText w:val="%1."/>
      <w:numFmt w:val="decimal"/>
      <w:start w:val="7"/>
    </w:lvl>
    <w:lvl w:ilvl="1">
      <w:lvlJc w:val="left"/>
      <w:lvlText w:val="(%2)"/>
      <w:numFmt w:val="lowerLetter"/>
      <w:start w:val="1"/>
    </w:lvl>
  </w:abstractNum>
  <w:abstractNum w:abstractNumId="86">
    <w:nsid w:val="3DD15094"/>
    <w:multiLevelType w:val="hybridMultilevel"/>
    <w:lvl w:ilvl="0">
      <w:lvlJc w:val="left"/>
      <w:lvlText w:val="%1."/>
      <w:numFmt w:val="decimal"/>
      <w:start w:val="8"/>
    </w:lvl>
    <w:lvl w:ilvl="1">
      <w:lvlJc w:val="left"/>
      <w:lvlText w:val="(%2)"/>
      <w:numFmt w:val="lowerLetter"/>
      <w:start w:val="1"/>
    </w:lvl>
  </w:abstractNum>
  <w:abstractNum w:abstractNumId="87">
    <w:nsid w:val="3DB012B3"/>
    <w:multiLevelType w:val="hybridMultilevel"/>
    <w:lvl w:ilvl="0">
      <w:lvlJc w:val="left"/>
      <w:lvlText w:val="(%1)"/>
      <w:numFmt w:val="lowerLetter"/>
      <w:start w:val="2"/>
    </w:lvl>
  </w:abstractNum>
  <w:abstractNum w:abstractNumId="88">
    <w:nsid w:val="2708C9A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Roman"/>
      <w:start w:val="1"/>
    </w:lvl>
  </w:abstractNum>
  <w:abstractNum w:abstractNumId="89">
    <w:nsid w:val="5B25ACE2"/>
    <w:multiLevelType w:val="hybridMultilevel"/>
    <w:lvl w:ilvl="0">
      <w:lvlJc w:val="left"/>
      <w:lvlText w:val="(%1)"/>
      <w:numFmt w:val="lowerLetter"/>
      <w:start w:val="2"/>
    </w:lvl>
    <w:lvl w:ilvl="1">
      <w:lvlJc w:val="left"/>
      <w:lvlText w:val="(%2)"/>
      <w:numFmt w:val="lowerRoman"/>
      <w:start w:val="1"/>
    </w:lvl>
  </w:abstractNum>
  <w:abstractNum w:abstractNumId="90">
    <w:nsid w:val="175DFCF0"/>
    <w:multiLevelType w:val="hybridMultilevel"/>
    <w:lvl w:ilvl="0">
      <w:lvlJc w:val="left"/>
      <w:lvlText w:val="%1"/>
      <w:numFmt w:val="lowerLetter"/>
      <w:start w:val="1"/>
    </w:lvl>
    <w:lvl w:ilvl="1">
      <w:lvlJc w:val="left"/>
      <w:lvlText w:val="(%2)"/>
      <w:numFmt w:val="lowerLetter"/>
      <w:start w:val="61"/>
    </w:lvl>
  </w:abstractNum>
  <w:abstractNum w:abstractNumId="91">
    <w:nsid w:val="4F97E3E4"/>
    <w:multiLevelType w:val="hybridMultilevel"/>
    <w:lvl w:ilvl="0">
      <w:lvlJc w:val="left"/>
      <w:lvlText w:val="(%1)"/>
      <w:numFmt w:val="lowerLetter"/>
      <w:start w:val="3"/>
    </w:lvl>
    <w:lvl w:ilvl="1">
      <w:lvlJc w:val="left"/>
      <w:lvlText w:val="(%2)"/>
      <w:numFmt w:val="lowerLetter"/>
      <w:start w:val="9"/>
    </w:lvl>
  </w:abstractNum>
  <w:abstractNum w:abstractNumId="92">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3">
    <w:nsid w:val="34FD6B4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4">
    <w:nsid w:val="5915FF32"/>
    <w:multiLevelType w:val="hybridMultilevel"/>
    <w:lvl w:ilvl="0">
      <w:lvlJc w:val="left"/>
      <w:lvlText w:val="(%1)"/>
      <w:numFmt w:val="lowerLetter"/>
      <w:start w:val="2"/>
    </w:lvl>
  </w:abstractNum>
  <w:abstractNum w:abstractNumId="95">
    <w:nsid w:val="56438D15"/>
    <w:multiLevelType w:val="hybridMultilevel"/>
    <w:lvl w:ilvl="0">
      <w:lvlJc w:val="left"/>
      <w:lvlText w:val="(%1)"/>
      <w:numFmt w:val="decimal"/>
      <w:start w:val="3"/>
    </w:lvl>
    <w:lvl w:ilvl="1">
      <w:lvlJc w:val="left"/>
      <w:lvlText w:val="(%2)"/>
      <w:numFmt w:val="lowerLetter"/>
      <w:start w:val="1"/>
    </w:lvl>
  </w:abstractNum>
  <w:abstractNum w:abstractNumId="96">
    <w:nsid w:val="519E3149"/>
    <w:multiLevelType w:val="hybridMultilevel"/>
    <w:lvl w:ilvl="0">
      <w:lvlJc w:val="left"/>
      <w:lvlText w:val="(%1)"/>
      <w:numFmt w:val="lowerLetter"/>
      <w:start w:val="3"/>
    </w:lvl>
    <w:lvl w:ilvl="1">
      <w:lvlJc w:val="left"/>
      <w:lvlText w:val="(%2)"/>
      <w:numFmt w:val="lowerRoman"/>
      <w:start w:val="1"/>
    </w:lvl>
  </w:abstractNum>
  <w:abstractNum w:abstractNumId="97">
    <w:nsid w:val="2C6E4AF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8">
    <w:nsid w:val="17A1B582"/>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99">
    <w:nsid w:val="4DF72E4E"/>
    <w:multiLevelType w:val="hybridMultilevel"/>
    <w:lvl w:ilvl="0">
      <w:lvlJc w:val="left"/>
      <w:lvlText w:val="%1"/>
      <w:numFmt w:val="lowerLetter"/>
      <w:start w:val="1"/>
    </w:lvl>
    <w:lvl w:ilvl="1">
      <w:lvlJc w:val="left"/>
      <w:lvlText w:val="(%2)"/>
      <w:numFmt w:val="lowerLetter"/>
      <w:start w:val="6"/>
    </w:lvl>
  </w:abstractNum>
  <w:abstractNum w:abstractNumId="100">
    <w:nsid w:val="5046B5A9"/>
    <w:multiLevelType w:val="hybridMultilevel"/>
    <w:lvl w:ilvl="0">
      <w:lvlJc w:val="left"/>
      <w:lvlText w:val="(%1)"/>
      <w:numFmt w:val="lowerLetter"/>
      <w:start w:val="9"/>
    </w:lvl>
    <w:lvl w:ilvl="1">
      <w:lvlJc w:val="left"/>
      <w:lvlText w:val="(%2)"/>
      <w:numFmt w:val="lowerLetter"/>
      <w:start w:val="8"/>
    </w:lvl>
  </w:abstractNum>
  <w:abstractNum w:abstractNumId="101">
    <w:nsid w:val="5D888A08"/>
    <w:multiLevelType w:val="hybridMultilevel"/>
    <w:lvl w:ilvl="0">
      <w:lvlJc w:val="left"/>
      <w:lvlText w:val="%1."/>
      <w:numFmt w:val="decimal"/>
      <w:start w:val="13"/>
    </w:lvl>
    <w:lvl w:ilvl="1">
      <w:lvlJc w:val="left"/>
      <w:lvlText w:val="(%2)"/>
      <w:numFmt w:val="lowerLetter"/>
      <w:start w:val="1"/>
    </w:lvl>
  </w:abstractNum>
  <w:abstractNum w:abstractNumId="102">
    <w:nsid w:val="2A082C70"/>
    <w:multiLevelType w:val="hybridMultilevel"/>
    <w:lvl w:ilvl="0">
      <w:lvlJc w:val="left"/>
      <w:lvlText w:val="(%1)"/>
      <w:numFmt w:val="lowerLetter"/>
      <w:start w:val="3"/>
    </w:lvl>
  </w:abstractNum>
  <w:abstractNum w:abstractNumId="103">
    <w:nsid w:val="5EC6AFD4"/>
    <w:multiLevelType w:val="hybridMultilevel"/>
    <w:lvl w:ilvl="0">
      <w:lvlJc w:val="left"/>
      <w:lvlText w:val="(%1)"/>
      <w:numFmt w:val="upperLetter"/>
      <w:start w:val="3"/>
    </w:lvl>
    <w:lvl w:ilvl="1">
      <w:lvlJc w:val="left"/>
      <w:lvlText w:val="(%2)"/>
      <w:numFmt w:val="lowerLetter"/>
      <w:start w:val="5"/>
    </w:lvl>
    <w:lvl w:ilvl="2">
      <w:lvlJc w:val="left"/>
      <w:lvlText w:val="(%3)"/>
      <w:numFmt w:val="decimal"/>
      <w:start w:val="1"/>
    </w:lvl>
  </w:abstractNum>
  <w:abstractNum w:abstractNumId="104">
    <w:nsid w:val="19E21BB2"/>
    <w:multiLevelType w:val="hybridMultilevel"/>
    <w:lvl w:ilvl="0">
      <w:lvlJc w:val="left"/>
      <w:lvlText w:val="%1"/>
      <w:numFmt w:val="lowerLetter"/>
      <w:start w:val="1"/>
    </w:lvl>
    <w:lvl w:ilvl="1">
      <w:lvlJc w:val="left"/>
      <w:lvlText w:val="(%2)"/>
      <w:numFmt w:val="decimal"/>
      <w:start w:val="3"/>
    </w:lvl>
  </w:abstractNum>
  <w:abstractNum w:abstractNumId="105">
    <w:nsid w:val="75E0858A"/>
    <w:multiLevelType w:val="hybridMultilevel"/>
    <w:lvl w:ilvl="0">
      <w:lvlJc w:val="left"/>
      <w:lvlText w:val="(%1)"/>
      <w:numFmt w:val="lowerLetter"/>
      <w:start w:val="7"/>
    </w:lvl>
    <w:lvl w:ilvl="1">
      <w:lvlJc w:val="left"/>
      <w:lvlText w:val="%2"/>
      <w:numFmt w:val="decimal"/>
      <w:start w:val="1"/>
    </w:lvl>
  </w:abstractNum>
  <w:abstractNum w:abstractNumId="106">
    <w:nsid w:val="57A61A29"/>
    <w:multiLevelType w:val="hybridMultilevel"/>
    <w:lvl w:ilvl="0">
      <w:lvlJc w:val="left"/>
      <w:lvlText w:val="%1."/>
      <w:numFmt w:val="decimal"/>
      <w:start w:val="1"/>
    </w:lvl>
  </w:abstractNum>
  <w:abstractNum w:abstractNumId="107">
    <w:nsid w:val="5399C654"/>
    <w:multiLevelType w:val="hybridMultilevel"/>
    <w:lvl w:ilvl="0">
      <w:lvlJc w:val="left"/>
      <w:lvlText w:val="%1."/>
      <w:numFmt w:val="decimal"/>
      <w:start w:val="1"/>
    </w:lvl>
  </w:abstractNum>
  <w:abstractNum w:abstractNumId="108">
    <w:nsid w:val="20EE1348"/>
    <w:multiLevelType w:val="hybridMultilevel"/>
    <w:lvl w:ilvl="0">
      <w:lvlJc w:val="left"/>
      <w:lvlText w:val="%1."/>
      <w:numFmt w:val="decimal"/>
      <w:start w:val="2"/>
    </w:lvl>
  </w:abstractNum>
  <w:abstractNum w:abstractNumId="109">
    <w:nsid w:val="4427069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10">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11">
    <w:nsid w:val="2157F6B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12">
    <w:nsid w:val="704E1DD5"/>
    <w:multiLevelType w:val="hybridMultilevel"/>
    <w:lvl w:ilvl="0">
      <w:lvlJc w:val="left"/>
      <w:lvlText w:val="(%1)"/>
      <w:numFmt w:val="lowerLetter"/>
      <w:start w:val="5"/>
    </w:lvl>
  </w:abstractNum>
  <w:abstractNum w:abstractNumId="113">
    <w:nsid w:val="57D2F10E"/>
    <w:multiLevelType w:val="hybridMultilevel"/>
    <w:lvl w:ilvl="0">
      <w:lvlJc w:val="left"/>
      <w:lvlText w:val="%1."/>
      <w:numFmt w:val="decimal"/>
      <w:start w:val="3"/>
    </w:lvl>
  </w:abstractNum>
  <w:abstractNum w:abstractNumId="114">
    <w:nsid w:val="BFFAE18"/>
    <w:multiLevelType w:val="hybridMultilevel"/>
    <w:lvl w:ilvl="0">
      <w:lvlJc w:val="left"/>
      <w:lvlText w:val="%1."/>
      <w:numFmt w:val="decimal"/>
      <w:start w:val="4"/>
    </w:lvl>
  </w:abstractNum>
  <w:abstractNum w:abstractNumId="115">
    <w:nsid w:val="E3E47A8"/>
    <w:multiLevelType w:val="hybridMultilevel"/>
    <w:lvl w:ilvl="0">
      <w:lvlJc w:val="left"/>
      <w:lvlText w:val="%1."/>
      <w:numFmt w:val="decimal"/>
      <w:start w:val="5"/>
    </w:lvl>
  </w:abstractNum>
  <w:abstractNum w:abstractNumId="116">
    <w:nsid w:val="2E48F04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17">
    <w:nsid w:val="49D0FE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18">
    <w:nsid w:val="4BEE5A5B"/>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119">
    <w:nsid w:val="5551B9F3"/>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120">
    <w:nsid w:val="24F6AB8E"/>
    <w:multiLevelType w:val="hybridMultilevel"/>
    <w:lvl w:ilvl="0">
      <w:lvlJc w:val="left"/>
      <w:lvlText w:val="(%1)"/>
      <w:numFmt w:val="lowerRoman"/>
      <w:start w:val="2"/>
    </w:lvl>
  </w:abstractNum>
  <w:abstractNum w:abstractNumId="121">
    <w:nsid w:val="634C574C"/>
    <w:multiLevelType w:val="hybridMultilevel"/>
    <w:lvl w:ilvl="0">
      <w:lvlJc w:val="left"/>
      <w:lvlText w:val="%1"/>
      <w:numFmt w:val="decimal"/>
      <w:start w:val="1"/>
    </w:lvl>
    <w:lvl w:ilvl="1">
      <w:lvlJc w:val="left"/>
      <w:lvlText w:val="(%2)"/>
      <w:numFmt w:val="lowerLetter"/>
      <w:start w:val="3"/>
    </w:lvl>
  </w:abstractNum>
  <w:abstractNum w:abstractNumId="122">
    <w:nsid w:val="24E99DD7"/>
    <w:multiLevelType w:val="hybridMultilevel"/>
    <w:lvl w:ilvl="0">
      <w:lvlJc w:val="left"/>
      <w:lvlText w:val="%1."/>
      <w:numFmt w:val="decimal"/>
      <w:start w:val="7"/>
    </w:lvl>
    <w:lvl w:ilvl="1">
      <w:lvlJc w:val="left"/>
      <w:lvlText w:val="(%2)"/>
      <w:numFmt w:val="lowerLetter"/>
      <w:start w:val="1"/>
    </w:lvl>
  </w:abstractNum>
  <w:abstractNum w:abstractNumId="123">
    <w:nsid w:val="2A31B62D"/>
    <w:multiLevelType w:val="hybridMultilevel"/>
    <w:lvl w:ilvl="0">
      <w:lvlJc w:val="left"/>
      <w:lvlText w:val="(%1)"/>
      <w:numFmt w:val="lowerLetter"/>
      <w:start w:val="2"/>
    </w:lvl>
  </w:abstractNum>
  <w:abstractNum w:abstractNumId="124">
    <w:nsid w:val="1849C29B"/>
    <w:multiLevelType w:val="hybridMultilevel"/>
    <w:lvl w:ilvl="0">
      <w:lvlJc w:val="left"/>
      <w:lvlText w:val="%1"/>
      <w:numFmt w:val="decimal"/>
      <w:start w:val="1"/>
    </w:lvl>
    <w:lvl w:ilvl="1">
      <w:lvlJc w:val="left"/>
      <w:lvlText w:val="(%2)"/>
      <w:numFmt w:val="lowerLetter"/>
      <w:start w:val="4"/>
    </w:lvl>
  </w:abstractNum>
  <w:abstractNum w:abstractNumId="125">
    <w:nsid w:val="7DFF9D09"/>
    <w:multiLevelType w:val="hybridMultilevel"/>
    <w:lvl w:ilvl="0">
      <w:lvlJc w:val="left"/>
      <w:lvlText w:val="%1."/>
      <w:numFmt w:val="decimal"/>
      <w:start w:val="8"/>
    </w:lvl>
    <w:lvl w:ilvl="1">
      <w:lvlJc w:val="left"/>
      <w:lvlText w:val="(%2)"/>
      <w:numFmt w:val="lowerLetter"/>
      <w:start w:val="1"/>
    </w:lvl>
  </w:abstractNum>
  <w:abstractNum w:abstractNumId="126">
    <w:nsid w:val="754342"/>
    <w:multiLevelType w:val="hybridMultilevel"/>
    <w:lvl w:ilvl="0">
      <w:lvlJc w:val="left"/>
      <w:lvlText w:val="%1."/>
      <w:numFmt w:val="decimal"/>
      <w:start w:val="9"/>
    </w:lvl>
  </w:abstractNum>
  <w:abstractNum w:abstractNumId="127">
    <w:nsid w:val="69E7F3E5"/>
    <w:multiLevelType w:val="hybridMultilevel"/>
    <w:lvl w:ilvl="0">
      <w:lvlJc w:val="left"/>
      <w:lvlText w:val="%1."/>
      <w:numFmt w:val="decimal"/>
      <w:start w:val="10"/>
    </w:lvl>
  </w:abstractNum>
  <w:abstractNum w:abstractNumId="128">
    <w:nsid w:val="2A6DE806"/>
    <w:multiLevelType w:val="hybridMultilevel"/>
    <w:lvl w:ilvl="0">
      <w:lvlJc w:val="left"/>
      <w:lvlText w:val="%1."/>
      <w:numFmt w:val="decimal"/>
      <w:start w:val="11"/>
    </w:lvl>
  </w:abstractNum>
  <w:abstractNum w:abstractNumId="129">
    <w:nsid w:val="1816F8C4"/>
    <w:multiLevelType w:val="hybridMultilevel"/>
    <w:lvl w:ilvl="0">
      <w:lvlJc w:val="left"/>
      <w:lvlText w:val="%1."/>
      <w:numFmt w:val="decimal"/>
      <w:start w:val="12"/>
    </w:lvl>
  </w:abstractNum>
  <w:abstractNum w:abstractNumId="130">
    <w:nsid w:val="37DF2233"/>
    <w:multiLevelType w:val="hybridMultilevel"/>
    <w:lvl w:ilvl="0">
      <w:lvlJc w:val="left"/>
      <w:lvlText w:val="%1."/>
      <w:numFmt w:val="decimal"/>
      <w:start w:val="14"/>
    </w:lvl>
  </w:abstractNum>
  <w:abstractNum w:abstractNumId="131">
    <w:nsid w:val="7AB49DAF"/>
    <w:multiLevelType w:val="hybridMultilevel"/>
    <w:lvl w:ilvl="0">
      <w:lvlJc w:val="left"/>
      <w:lvlText w:val="%1."/>
      <w:numFmt w:val="decimal"/>
      <w:start w:val="16"/>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1"/>
    </w:lvl>
  </w:abstractNum>
  <w:abstractNum w:abstractNumId="134">
    <w:nsid w:val="597B4D84"/>
    <w:multiLevelType w:val="hybridMultilevel"/>
    <w:lvl w:ilvl="0">
      <w:lvlJc w:val="left"/>
      <w:lvlText w:val="%1."/>
      <w:numFmt w:val="decimal"/>
      <w:start w:val="6"/>
    </w:lvl>
  </w:abstractNum>
  <w:abstractNum w:abstractNumId="135">
    <w:nsid w:val="F819E7F"/>
    <w:multiLevelType w:val="hybridMultilevel"/>
    <w:lvl w:ilvl="0">
      <w:lvlJc w:val="left"/>
      <w:lvlText w:val="(%1)"/>
      <w:numFmt w:val="lowerLetter"/>
      <w:start w:val="1"/>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lowerLetter"/>
      <w:start w:val="1"/>
    </w:lvl>
  </w:abstractNum>
  <w:abstractNum w:abstractNumId="138">
    <w:nsid w:val="631B64D4"/>
    <w:multiLevelType w:val="hybridMultilevel"/>
    <w:lvl w:ilvl="0">
      <w:lvlJc w:val="left"/>
      <w:lvlText w:val="(%1)"/>
      <w:numFmt w:val="lowerLetter"/>
      <w:start w:val="3"/>
    </w:lvl>
  </w:abstractNum>
  <w:abstractNum w:abstractNumId="139">
    <w:nsid w:val="78B5E776"/>
    <w:multiLevelType w:val="hybridMultilevel"/>
    <w:lvl w:ilvl="0">
      <w:lvlJc w:val="left"/>
      <w:lvlText w:val="%1."/>
      <w:numFmt w:val="decimal"/>
      <w:start w:val="1"/>
    </w:lvl>
  </w:abstractNum>
  <w:abstractNum w:abstractNumId="140">
    <w:nsid w:val="75486E47"/>
    <w:multiLevelType w:val="hybridMultilevel"/>
    <w:lvl w:ilvl="0">
      <w:lvlJc w:val="left"/>
      <w:lvlText w:val="5"/>
      <w:numFmt w:val="bullet"/>
      <w:start w:val="1"/>
    </w:lvl>
  </w:abstractNum>
  <w:abstractNum w:abstractNumId="141">
    <w:nsid w:val="6E534CDE"/>
    <w:multiLevelType w:val="hybridMultilevel"/>
    <w:lvl w:ilvl="0">
      <w:lvlJc w:val="left"/>
      <w:lvlText w:val="%1."/>
      <w:numFmt w:val="decimal"/>
      <w:start w:val="6"/>
    </w:lvl>
  </w:abstractNum>
  <w:abstractNum w:abstractNumId="142">
    <w:nsid w:val="1A0DDE32"/>
    <w:multiLevelType w:val="hybridMultilevel"/>
    <w:lvl w:ilvl="0">
      <w:lvlJc w:val="left"/>
      <w:lvlText w:val="%1."/>
      <w:numFmt w:val="decimal"/>
      <w:start w:val="1"/>
    </w:lvl>
  </w:abstractNum>
  <w:abstractNum w:abstractNumId="143">
    <w:nsid w:val="65968C1C"/>
    <w:multiLevelType w:val="hybridMultilevel"/>
    <w:lvl w:ilvl="0">
      <w:lvlJc w:val="left"/>
      <w:lvlText w:val="%1."/>
      <w:numFmt w:val="decimal"/>
      <w:start w:val="1"/>
    </w:lvl>
  </w:abstractNum>
  <w:abstractNum w:abstractNumId="144">
    <w:nsid w:val="46263DEC"/>
    <w:multiLevelType w:val="hybridMultilevel"/>
    <w:lvl w:ilvl="0">
      <w:lvlJc w:val="left"/>
      <w:lvlText w:val="%1."/>
      <w:numFmt w:val="decimal"/>
      <w:start w:val="2"/>
    </w:lvl>
    <w:lvl w:ilvl="1">
      <w:lvlJc w:val="left"/>
      <w:lvlText w:val="(%2)"/>
      <w:numFmt w:val="lowerLetter"/>
      <w:start w:val="1"/>
    </w:lvl>
  </w:abstractNum>
  <w:abstractNum w:abstractNumId="145">
    <w:nsid w:val="260D8C4A"/>
    <w:multiLevelType w:val="hybridMultilevel"/>
    <w:lvl w:ilvl="0">
      <w:lvlJc w:val="left"/>
      <w:lvlText w:val="%1"/>
      <w:numFmt w:val="decimal"/>
      <w:start w:val="1"/>
    </w:lvl>
    <w:lvl w:ilvl="1">
      <w:lvlJc w:val="left"/>
      <w:lvlText w:val="(%2)"/>
      <w:numFmt w:val="lowerLetter"/>
      <w:start w:val="6"/>
    </w:lvl>
  </w:abstractNum>
  <w:abstractNum w:abstractNumId="146">
    <w:nsid w:val="73D4D3C4"/>
    <w:multiLevelType w:val="hybridMultilevel"/>
    <w:lvl w:ilvl="0">
      <w:lvlJc w:val="left"/>
      <w:lvlText w:val="%1."/>
      <w:numFmt w:val="decimal"/>
      <w:start w:val="3"/>
    </w:lvl>
    <w:lvl w:ilvl="1">
      <w:lvlJc w:val="left"/>
      <w:lvlText w:val="(%2)"/>
      <w:numFmt w:val="lowerLetter"/>
      <w:start w:val="1"/>
    </w:lvl>
  </w:abstractNum>
  <w:abstractNum w:abstractNumId="147">
    <w:nsid w:val="746F2E30"/>
    <w:multiLevelType w:val="hybridMultilevel"/>
    <w:lvl w:ilvl="0">
      <w:lvlJc w:val="left"/>
      <w:lvlText w:val="%1."/>
      <w:numFmt w:val="decimal"/>
      <w:start w:val="9"/>
    </w:lvl>
    <w:lvl w:ilvl="1">
      <w:lvlJc w:val="left"/>
      <w:lvlText w:val="(%2)"/>
      <w:numFmt w:val="lowerLetter"/>
      <w:start w:val="2"/>
    </w:lvl>
  </w:abstractNum>
  <w:abstractNum w:abstractNumId="148">
    <w:nsid w:val="6FDE8AF6"/>
    <w:multiLevelType w:val="hybridMultilevel"/>
    <w:lvl w:ilvl="0">
      <w:lvlJc w:val="left"/>
      <w:lvlText w:val="%1"/>
      <w:numFmt w:val="decimal"/>
      <w:start w:val="1"/>
    </w:lvl>
    <w:lvl w:ilvl="1">
      <w:lvlJc w:val="left"/>
      <w:lvlText w:val="(%2)"/>
      <w:numFmt w:val="lowerLetter"/>
      <w:start w:val="1"/>
    </w:lvl>
  </w:abstractNum>
  <w:abstractNum w:abstractNumId="149">
    <w:nsid w:val="3FC32E20"/>
    <w:multiLevelType w:val="hybridMultilevel"/>
    <w:lvl w:ilvl="0">
      <w:lvlJc w:val="left"/>
      <w:lvlText w:val="(%1)"/>
      <w:numFmt w:val="lowerLetter"/>
      <w:start w:val="2"/>
    </w:lvl>
  </w:abstractNum>
  <w:abstractNum w:abstractNumId="150">
    <w:nsid w:val="49C0E823"/>
    <w:multiLevelType w:val="hybridMultilevel"/>
    <w:lvl w:ilvl="0">
      <w:lvlJc w:val="left"/>
      <w:lvlText w:val="(%1)"/>
      <w:numFmt w:val="lowerLetter"/>
      <w:start w:val="15"/>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2019-12-09T21:57:47Z</dcterms:created>
  <dcterms:modified xsi:type="dcterms:W3CDTF">2019-12-09T21:57:47Z</dcterms:modified>
</cp:coreProperties>
</file>