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611505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577215</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50800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91440</wp:posOffset>
            </wp:positionV>
            <wp:extent cx="1714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3" w:lineRule="exact"/>
        <w:rPr>
          <w:sz w:val="24"/>
          <w:szCs w:val="24"/>
          <w:color w:val="auto"/>
        </w:rPr>
      </w:pPr>
    </w:p>
    <w:p>
      <w:pPr>
        <w:ind w:left="680" w:right="40" w:hanging="654"/>
        <w:spacing w:after="0" w:line="231" w:lineRule="auto"/>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January 30, 2021</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680" w:hanging="641"/>
        <w:spacing w:after="0" w:line="231" w:lineRule="auto"/>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3800" w:type="dxa"/>
        <w:tblCellMar>
          <w:top w:w="0" w:type="dxa"/>
          <w:left w:w="0" w:type="dxa"/>
          <w:bottom w:w="0" w:type="dxa"/>
          <w:right w:w="0" w:type="dxa"/>
        </w:tblCellMar>
      </w:tblPr>
      <w:tr>
        <w:trPr>
          <w:trHeight w:val="180"/>
        </w:trPr>
        <w:tc>
          <w:tcPr>
            <w:tcW w:w="292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rPr>
              <w:t>For the transition period from</w:t>
            </w:r>
          </w:p>
        </w:tc>
        <w:tc>
          <w:tcPr>
            <w:tcW w:w="72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rPr>
              <w:t>to</w:t>
            </w:r>
          </w:p>
        </w:tc>
      </w:tr>
      <w:tr>
        <w:trPr>
          <w:trHeight w:val="20"/>
        </w:trPr>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2440" w:type="dxa"/>
            <w:vAlign w:val="bottom"/>
            <w:gridSpan w:val="2"/>
          </w:tcPr>
          <w:p>
            <w:pPr>
              <w:ind w:left="260"/>
              <w:spacing w:after="0"/>
              <w:rPr>
                <w:sz w:val="20"/>
                <w:szCs w:val="20"/>
                <w:color w:val="auto"/>
              </w:rPr>
            </w:pPr>
            <w:r>
              <w:rPr>
                <w:rFonts w:ascii="Arial" w:cs="Arial" w:eastAsia="Arial" w:hAnsi="Arial"/>
                <w:sz w:val="18"/>
                <w:szCs w:val="18"/>
                <w:b w:val="1"/>
                <w:bCs w:val="1"/>
                <w:color w:val="auto"/>
                <w:w w:val="89"/>
              </w:rPr>
              <w:t>Commission File No. 1-7819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81"/>
        </w:trPr>
        <w:tc>
          <w:tcPr>
            <w:tcW w:w="480" w:type="dxa"/>
            <w:vAlign w:val="bottom"/>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r>
    </w:tbl>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34" w:lineRule="exact"/>
        <w:rPr>
          <w:sz w:val="24"/>
          <w:szCs w:val="24"/>
          <w:color w:val="auto"/>
        </w:rPr>
      </w:pPr>
    </w:p>
    <w:tbl>
      <w:tblPr>
        <w:tblLayout w:type="fixed"/>
        <w:tblInd w:w="1080" w:type="dxa"/>
        <w:tblCellMar>
          <w:top w:w="0" w:type="dxa"/>
          <w:left w:w="0" w:type="dxa"/>
          <w:bottom w:w="0" w:type="dxa"/>
          <w:right w:w="0" w:type="dxa"/>
        </w:tblCellMar>
      </w:tblPr>
      <w:tr>
        <w:trPr>
          <w:trHeight w:val="229"/>
        </w:trPr>
        <w:tc>
          <w:tcPr>
            <w:tcW w:w="2360" w:type="dxa"/>
            <w:vAlign w:val="bottom"/>
          </w:tcPr>
          <w:p>
            <w:pPr>
              <w:jc w:val="center"/>
              <w:ind w:left="1039"/>
              <w:spacing w:after="0"/>
              <w:rPr>
                <w:sz w:val="20"/>
                <w:szCs w:val="20"/>
                <w:color w:val="auto"/>
              </w:rPr>
            </w:pPr>
            <w:r>
              <w:rPr>
                <w:rFonts w:ascii="Arial" w:cs="Arial" w:eastAsia="Arial" w:hAnsi="Arial"/>
                <w:sz w:val="18"/>
                <w:szCs w:val="18"/>
                <w:b w:val="1"/>
                <w:bCs w:val="1"/>
                <w:color w:val="auto"/>
                <w:w w:val="86"/>
              </w:rPr>
              <w:t>Massachusetts</w:t>
            </w:r>
          </w:p>
        </w:tc>
        <w:tc>
          <w:tcPr>
            <w:tcW w:w="1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700" w:type="dxa"/>
            <w:vAlign w:val="bottom"/>
          </w:tcPr>
          <w:p>
            <w:pPr>
              <w:jc w:val="right"/>
              <w:ind w:right="519"/>
              <w:spacing w:after="0"/>
              <w:rPr>
                <w:sz w:val="20"/>
                <w:szCs w:val="20"/>
                <w:color w:val="auto"/>
              </w:rPr>
            </w:pPr>
            <w:r>
              <w:rPr>
                <w:rFonts w:ascii="Arial" w:cs="Arial" w:eastAsia="Arial" w:hAnsi="Arial"/>
                <w:sz w:val="18"/>
                <w:szCs w:val="18"/>
                <w:b w:val="1"/>
                <w:bCs w:val="1"/>
                <w:color w:val="auto"/>
              </w:rPr>
              <w:t>04-2348234</w:t>
            </w:r>
          </w:p>
        </w:tc>
        <w:tc>
          <w:tcPr>
            <w:tcW w:w="0" w:type="dxa"/>
            <w:vAlign w:val="bottom"/>
          </w:tcPr>
          <w:p>
            <w:pPr>
              <w:spacing w:after="0"/>
              <w:rPr>
                <w:sz w:val="1"/>
                <w:szCs w:val="1"/>
                <w:color w:val="auto"/>
              </w:rPr>
            </w:pPr>
          </w:p>
        </w:tc>
      </w:tr>
      <w:tr>
        <w:trPr>
          <w:trHeight w:val="182"/>
        </w:trPr>
        <w:tc>
          <w:tcPr>
            <w:tcW w:w="3580" w:type="dxa"/>
            <w:vAlign w:val="bottom"/>
            <w:gridSpan w:val="2"/>
          </w:tcPr>
          <w:p>
            <w:pPr>
              <w:jc w:val="center"/>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180" w:type="dxa"/>
            <w:vAlign w:val="bottom"/>
          </w:tcPr>
          <w:p>
            <w:pPr>
              <w:spacing w:after="0"/>
              <w:rPr>
                <w:sz w:val="15"/>
                <w:szCs w:val="15"/>
                <w:color w:val="auto"/>
              </w:rPr>
            </w:pPr>
          </w:p>
        </w:tc>
        <w:tc>
          <w:tcPr>
            <w:tcW w:w="2700" w:type="dxa"/>
            <w:vAlign w:val="bottom"/>
          </w:tcPr>
          <w:p>
            <w:pPr>
              <w:jc w:val="center"/>
              <w:ind w:left="559"/>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331"/>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One Analog Way,</w:t>
            </w:r>
          </w:p>
        </w:tc>
        <w:tc>
          <w:tcPr>
            <w:tcW w:w="1220" w:type="dxa"/>
            <w:vAlign w:val="bottom"/>
          </w:tcPr>
          <w:p>
            <w:pPr>
              <w:ind w:left="40"/>
              <w:spacing w:after="0"/>
              <w:rPr>
                <w:sz w:val="20"/>
                <w:szCs w:val="20"/>
                <w:color w:val="auto"/>
              </w:rPr>
            </w:pPr>
            <w:r>
              <w:rPr>
                <w:rFonts w:ascii="Arial" w:cs="Arial" w:eastAsia="Arial" w:hAnsi="Arial"/>
                <w:sz w:val="18"/>
                <w:szCs w:val="18"/>
                <w:b w:val="1"/>
                <w:bCs w:val="1"/>
                <w:color w:val="auto"/>
              </w:rPr>
              <w:t>Wilmington,</w:t>
            </w:r>
          </w:p>
        </w:tc>
        <w:tc>
          <w:tcPr>
            <w:tcW w:w="2180" w:type="dxa"/>
            <w:vAlign w:val="bottom"/>
          </w:tcPr>
          <w:p>
            <w:pPr>
              <w:jc w:val="right"/>
              <w:ind w:right="1690"/>
              <w:spacing w:after="0"/>
              <w:rPr>
                <w:sz w:val="20"/>
                <w:szCs w:val="20"/>
                <w:color w:val="auto"/>
              </w:rPr>
            </w:pPr>
            <w:r>
              <w:rPr>
                <w:rFonts w:ascii="Arial" w:cs="Arial" w:eastAsia="Arial" w:hAnsi="Arial"/>
                <w:sz w:val="18"/>
                <w:szCs w:val="18"/>
                <w:b w:val="1"/>
                <w:bCs w:val="1"/>
                <w:color w:val="auto"/>
              </w:rPr>
              <w:t>MA</w:t>
            </w:r>
          </w:p>
        </w:tc>
        <w:tc>
          <w:tcPr>
            <w:tcW w:w="2700" w:type="dxa"/>
            <w:vAlign w:val="bottom"/>
          </w:tcPr>
          <w:p>
            <w:pPr>
              <w:jc w:val="right"/>
              <w:ind w:right="719"/>
              <w:spacing w:after="0"/>
              <w:rPr>
                <w:sz w:val="20"/>
                <w:szCs w:val="20"/>
                <w:color w:val="auto"/>
              </w:rPr>
            </w:pPr>
            <w:r>
              <w:rPr>
                <w:rFonts w:ascii="Arial" w:cs="Arial" w:eastAsia="Arial" w:hAnsi="Arial"/>
                <w:sz w:val="18"/>
                <w:szCs w:val="18"/>
                <w:b w:val="1"/>
                <w:bCs w:val="1"/>
                <w:color w:val="auto"/>
              </w:rPr>
              <w:t>01887</w:t>
            </w:r>
          </w:p>
        </w:tc>
        <w:tc>
          <w:tcPr>
            <w:tcW w:w="0" w:type="dxa"/>
            <w:vAlign w:val="bottom"/>
          </w:tcPr>
          <w:p>
            <w:pPr>
              <w:spacing w:after="0"/>
              <w:rPr>
                <w:sz w:val="1"/>
                <w:szCs w:val="1"/>
                <w:color w:val="auto"/>
              </w:rPr>
            </w:pPr>
          </w:p>
        </w:tc>
      </w:tr>
      <w:tr>
        <w:trPr>
          <w:trHeight w:val="182"/>
        </w:trPr>
        <w:tc>
          <w:tcPr>
            <w:tcW w:w="3580" w:type="dxa"/>
            <w:vAlign w:val="bottom"/>
            <w:gridSpan w:val="2"/>
          </w:tcPr>
          <w:p>
            <w:pPr>
              <w:jc w:val="center"/>
              <w:ind w:right="1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1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(781) 329-4700</w:t>
            </w:r>
          </w:p>
        </w:tc>
        <w:tc>
          <w:tcPr>
            <w:tcW w:w="2700" w:type="dxa"/>
            <w:vAlign w:val="bottom"/>
          </w:tcPr>
          <w:p>
            <w:pPr>
              <w:jc w:val="center"/>
              <w:ind w:left="559"/>
              <w:spacing w:after="0"/>
              <w:rPr>
                <w:sz w:val="20"/>
                <w:szCs w:val="20"/>
                <w:color w:val="auto"/>
              </w:rPr>
            </w:pPr>
            <w:r>
              <w:rPr>
                <w:rFonts w:ascii="Arial" w:cs="Arial" w:eastAsia="Arial" w:hAnsi="Arial"/>
                <w:sz w:val="14"/>
                <w:szCs w:val="14"/>
                <w:i w:val="1"/>
                <w:iCs w:val="1"/>
                <w:color w:val="auto"/>
                <w:w w:val="93"/>
              </w:rPr>
              <w:t>(Zip Code)</w:t>
            </w:r>
          </w:p>
        </w:tc>
        <w:tc>
          <w:tcPr>
            <w:tcW w:w="0" w:type="dxa"/>
            <w:vAlign w:val="bottom"/>
          </w:tcPr>
          <w:p>
            <w:pPr>
              <w:spacing w:after="0"/>
              <w:rPr>
                <w:sz w:val="1"/>
                <w:szCs w:val="1"/>
                <w:color w:val="auto"/>
              </w:rPr>
            </w:pPr>
          </w:p>
        </w:tc>
      </w:tr>
      <w:tr>
        <w:trPr>
          <w:trHeight w:val="221"/>
        </w:trPr>
        <w:tc>
          <w:tcPr>
            <w:tcW w:w="2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8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56515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00"/>
          </w:cols>
          <w:pgMar w:left="320" w:top="998" w:right="379" w:bottom="1440" w:gutter="0" w:footer="0" w:header="0"/>
        </w:sectPr>
      </w:pPr>
    </w:p>
    <w:p>
      <w:pPr>
        <w:spacing w:after="0" w:line="113"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180" w:space="720"/>
            <w:col w:w="1760" w:space="720"/>
            <w:col w:w="3820"/>
          </w:cols>
          <w:pgMar w:left="320" w:top="998"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38" w:lineRule="exact"/>
        <w:rPr>
          <w:sz w:val="24"/>
          <w:szCs w:val="24"/>
          <w:color w:val="auto"/>
        </w:rPr>
      </w:pPr>
    </w:p>
    <w:p>
      <w:pPr>
        <w:sectPr>
          <w:pgSz w:w="11900" w:h="16838" w:orient="portrait"/>
          <w:cols w:equalWidth="0" w:num="3">
            <w:col w:w="4740" w:space="720"/>
            <w:col w:w="1800" w:space="720"/>
            <w:col w:w="3220"/>
          </w:cols>
          <w:pgMar w:left="320" w:top="998" w:right="379" w:bottom="1440" w:gutter="0" w:footer="0" w:header="0"/>
          <w:type w:val="continuous"/>
        </w:sectPr>
      </w:pPr>
    </w:p>
    <w:p>
      <w:pPr>
        <w:ind w:right="2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60" w:firstLine="445"/>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4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73" w:lineRule="exact"/>
        <w:rPr>
          <w:sz w:val="24"/>
          <w:szCs w:val="24"/>
          <w:color w:val="auto"/>
        </w:rPr>
      </w:pPr>
    </w:p>
    <w:p>
      <w:pPr>
        <w:ind w:right="2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5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January 30, 2021 there were 368,893,742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4"/>
          </w:tcPr>
          <w:p>
            <w:pPr>
              <w:jc w:val="right"/>
              <w:ind w:right="127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6"/>
                <w:szCs w:val="16"/>
                <w:color w:val="auto"/>
              </w:rPr>
            </w:pPr>
          </w:p>
        </w:tc>
        <w:tc>
          <w:tcPr>
            <w:tcW w:w="1680" w:type="dxa"/>
            <w:vAlign w:val="bottom"/>
          </w:tcPr>
          <w:p>
            <w:pPr>
              <w:jc w:val="right"/>
              <w:ind w:right="371"/>
              <w:spacing w:after="0"/>
              <w:rPr>
                <w:sz w:val="20"/>
                <w:szCs w:val="20"/>
                <w:color w:val="auto"/>
              </w:rPr>
            </w:pPr>
            <w:r>
              <w:rPr>
                <w:rFonts w:ascii="Arial" w:cs="Arial" w:eastAsia="Arial" w:hAnsi="Arial"/>
                <w:sz w:val="14"/>
                <w:szCs w:val="14"/>
                <w:b w:val="1"/>
                <w:bCs w:val="1"/>
                <w:color w:val="auto"/>
              </w:rPr>
              <w:t>February 1, 2020</w:t>
            </w:r>
          </w:p>
        </w:tc>
      </w:tr>
      <w:tr>
        <w:trPr>
          <w:trHeight w:val="224"/>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1,558,458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1,303,565</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513,087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455,423</w:t>
            </w:r>
          </w:p>
        </w:tc>
      </w:tr>
      <w:tr>
        <w:trPr>
          <w:trHeight w:val="223"/>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1,045,371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848,142</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257,073</w:t>
            </w:r>
          </w:p>
        </w:tc>
      </w:tr>
      <w:tr>
        <w:trPr>
          <w:trHeight w:val="230"/>
        </w:trPr>
        <w:tc>
          <w:tcPr>
            <w:tcW w:w="7100" w:type="dxa"/>
            <w:vAlign w:val="bottom"/>
          </w:tcPr>
          <w:p>
            <w:pPr>
              <w:ind w:left="68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185,275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199,280</w:t>
            </w:r>
          </w:p>
        </w:tc>
      </w:tr>
      <w:tr>
        <w:trPr>
          <w:trHeight w:val="229"/>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107,225</w:t>
            </w:r>
          </w:p>
        </w:tc>
      </w:tr>
      <w:tr>
        <w:trPr>
          <w:trHeight w:val="229"/>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Special charges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11,136</w:t>
            </w:r>
          </w:p>
        </w:tc>
      </w:tr>
      <w:tr>
        <w:trPr>
          <w:trHeight w:val="223"/>
        </w:trPr>
        <w:tc>
          <w:tcPr>
            <w:tcW w:w="7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574,714</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463,860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273,428</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7100" w:type="dxa"/>
            <w:vAlign w:val="bottom"/>
          </w:tcPr>
          <w:p>
            <w:pPr>
              <w:ind w:left="6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42,479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48,813</w:t>
            </w:r>
          </w:p>
        </w:tc>
      </w:tr>
      <w:tr>
        <w:trPr>
          <w:trHeight w:val="230"/>
        </w:trPr>
        <w:tc>
          <w:tcPr>
            <w:tcW w:w="7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r>
      <w:tr>
        <w:trPr>
          <w:trHeight w:val="230"/>
        </w:trPr>
        <w:tc>
          <w:tcPr>
            <w:tcW w:w="71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r>
      <w:tr>
        <w:trPr>
          <w:trHeight w:val="223"/>
        </w:trPr>
        <w:tc>
          <w:tcPr>
            <w:tcW w:w="7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47,211</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436,618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226,217</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22,343</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388,519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203,874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369,203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368,241</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372,264</w:t>
            </w:r>
          </w:p>
        </w:tc>
      </w:tr>
      <w:tr>
        <w:trPr>
          <w:trHeight w:val="270"/>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0.55</w:t>
            </w:r>
          </w:p>
        </w:tc>
      </w:tr>
    </w:tbl>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bookmarkStart w:id="2" w:name="page3"/>
    <w:bookmarkEnd w:id="2"/>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2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6"/>
                <w:szCs w:val="16"/>
                <w:color w:val="auto"/>
              </w:rPr>
            </w:pPr>
          </w:p>
        </w:tc>
        <w:tc>
          <w:tcPr>
            <w:tcW w:w="1680" w:type="dxa"/>
            <w:vAlign w:val="bottom"/>
          </w:tcPr>
          <w:p>
            <w:pPr>
              <w:jc w:val="right"/>
              <w:ind w:right="373"/>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24"/>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203,874</w:t>
            </w:r>
          </w:p>
        </w:tc>
        <w:tc>
          <w:tcPr>
            <w:tcW w:w="0" w:type="dxa"/>
            <w:vAlign w:val="bottom"/>
          </w:tcPr>
          <w:p>
            <w:pPr>
              <w:spacing w:after="0"/>
              <w:rPr>
                <w:sz w:val="1"/>
                <w:szCs w:val="1"/>
                <w:color w:val="auto"/>
              </w:rPr>
            </w:pP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75"/>
        </w:trPr>
        <w:tc>
          <w:tcPr>
            <w:tcW w:w="72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Change in fair value of derivative instruments designated as cash flow hedges (net of taxes of</w:t>
            </w:r>
          </w:p>
        </w:tc>
        <w:tc>
          <w:tcPr>
            <w:tcW w:w="2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$6,661 and $5,459, respectively)</w:t>
            </w:r>
          </w:p>
        </w:tc>
        <w:tc>
          <w:tcPr>
            <w:tcW w:w="2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20" w:type="dxa"/>
            <w:vAlign w:val="bottom"/>
          </w:tcPr>
          <w:p>
            <w:pPr>
              <w:ind w:left="140"/>
              <w:spacing w:after="0" w:line="176" w:lineRule="exact"/>
              <w:rPr>
                <w:sz w:val="20"/>
                <w:szCs w:val="20"/>
                <w:color w:val="auto"/>
              </w:rPr>
            </w:pPr>
            <w:r>
              <w:rPr>
                <w:rFonts w:ascii="Arial" w:cs="Arial" w:eastAsia="Arial" w:hAnsi="Arial"/>
                <w:sz w:val="18"/>
                <w:szCs w:val="18"/>
                <w:color w:val="auto"/>
                <w:w w:val="93"/>
              </w:rPr>
              <w:t>Changes in pension plans including transition obligation, net actuarial loss and foreign currency</w:t>
            </w:r>
          </w:p>
        </w:tc>
        <w:tc>
          <w:tcPr>
            <w:tcW w:w="2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adjustments (net of taxes of $86 and $160, respectively)</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191,905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216"/>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1,055,860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826,964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737,536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618,640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608,260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131,074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116,032</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2,624,741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2,517,688</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at Cost</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 and buildings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974,604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Machinery and equipment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2,713,926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2,667,846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Office equipment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85,291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Leasehold improvements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157,915</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3,885,656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2,815,730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2,765,095</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plant and equipment</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1,129,214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1,120,561</w:t>
            </w:r>
          </w:p>
        </w:tc>
        <w:tc>
          <w:tcPr>
            <w:tcW w:w="0" w:type="dxa"/>
            <w:vAlign w:val="bottom"/>
          </w:tcPr>
          <w:p>
            <w:pPr>
              <w:spacing w:after="0"/>
              <w:rPr>
                <w:sz w:val="1"/>
                <w:szCs w:val="1"/>
                <w:color w:val="auto"/>
              </w:rPr>
            </w:pP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86,729</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12,282,751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12,278,425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3,650,280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1,466,489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1,503,064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309,720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311,856</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17,686,155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17,830,354</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21,440,110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21,468,603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227,423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227,273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Debt, current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399,220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901,923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955,633</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1,676,757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1,364,986</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4,747,347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5,145,102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1,862,068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1,919,595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592,281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591,780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473,911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449,195</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7,675,607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8,105,672</w:t>
            </w:r>
          </w:p>
        </w:tc>
        <w:tc>
          <w:tcPr>
            <w:tcW w:w="0" w:type="dxa"/>
            <w:vAlign w:val="bottom"/>
          </w:tcPr>
          <w:p>
            <w:pPr>
              <w:spacing w:after="0"/>
              <w:rPr>
                <w:sz w:val="1"/>
                <w:szCs w:val="1"/>
                <w:color w:val="auto"/>
              </w:rPr>
            </w:pPr>
          </w:p>
        </w:tc>
      </w:tr>
      <w:tr>
        <w:trPr>
          <w:trHeight w:val="213"/>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Commitments and contingencies</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580" w:type="dxa"/>
            <w:vAlign w:val="bottom"/>
          </w:tcPr>
          <w:p>
            <w:pPr>
              <w:ind w:left="140"/>
              <w:spacing w:after="0" w:line="166" w:lineRule="exact"/>
              <w:rPr>
                <w:sz w:val="20"/>
                <w:szCs w:val="20"/>
                <w:color w:val="auto"/>
              </w:rPr>
            </w:pPr>
            <w:r>
              <w:rPr>
                <w:rFonts w:ascii="Arial" w:cs="Arial" w:eastAsia="Arial" w:hAnsi="Arial"/>
                <w:sz w:val="16"/>
                <w:szCs w:val="16"/>
                <w:color w:val="auto"/>
              </w:rPr>
              <w:t>Common stock, 0.16 2/3 par value, 1,200,000,000 shares authorized, 368,893,742 shares outstanding</w:t>
            </w:r>
          </w:p>
        </w:tc>
        <w:tc>
          <w:tcPr>
            <w:tcW w:w="2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61,484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61,582</w:t>
            </w:r>
          </w:p>
        </w:tc>
        <w:tc>
          <w:tcPr>
            <w:tcW w:w="0" w:type="dxa"/>
            <w:vAlign w:val="bottom"/>
          </w:tcPr>
          <w:p>
            <w:pPr>
              <w:spacing w:after="0"/>
              <w:rPr>
                <w:sz w:val="1"/>
                <w:szCs w:val="1"/>
                <w:color w:val="auto"/>
              </w:rPr>
            </w:pPr>
          </w:p>
        </w:tc>
      </w:tr>
      <w:tr>
        <w:trPr>
          <w:trHeight w:val="209"/>
        </w:trPr>
        <w:tc>
          <w:tcPr>
            <w:tcW w:w="7580" w:type="dxa"/>
            <w:vAlign w:val="bottom"/>
          </w:tcPr>
          <w:p>
            <w:pPr>
              <w:ind w:left="140"/>
              <w:spacing w:after="0"/>
              <w:rPr>
                <w:sz w:val="20"/>
                <w:szCs w:val="20"/>
                <w:color w:val="auto"/>
              </w:rPr>
            </w:pPr>
            <w:r>
              <w:rPr>
                <w:rFonts w:ascii="Arial" w:cs="Arial" w:eastAsia="Arial" w:hAnsi="Arial"/>
                <w:sz w:val="16"/>
                <w:szCs w:val="16"/>
                <w:color w:val="auto"/>
              </w:rPr>
              <w:t>(369,484,899 on October 31, 2020)</w:t>
            </w:r>
          </w:p>
        </w:tc>
        <w:tc>
          <w:tcPr>
            <w:tcW w:w="2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in excess of par value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4,849,185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4,949,586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7,395,578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7,236,238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(249,461)</w:t>
            </w:r>
          </w:p>
        </w:tc>
        <w:tc>
          <w:tcPr>
            <w:tcW w:w="0" w:type="dxa"/>
            <w:vAlign w:val="bottom"/>
          </w:tcPr>
          <w:p>
            <w:pPr>
              <w:spacing w:after="0"/>
              <w:rPr>
                <w:sz w:val="1"/>
                <w:szCs w:val="1"/>
                <w:color w:val="auto"/>
              </w:rPr>
            </w:pPr>
          </w:p>
        </w:tc>
      </w:tr>
      <w:tr>
        <w:trPr>
          <w:trHeight w:val="20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12,087,746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11,997,945</w:t>
            </w:r>
          </w:p>
        </w:tc>
        <w:tc>
          <w:tcPr>
            <w:tcW w:w="0" w:type="dxa"/>
            <w:vAlign w:val="bottom"/>
          </w:tcPr>
          <w:p>
            <w:pPr>
              <w:spacing w:after="0"/>
              <w:rPr>
                <w:sz w:val="1"/>
                <w:szCs w:val="1"/>
                <w:color w:val="auto"/>
              </w:rPr>
            </w:pPr>
          </w:p>
        </w:tc>
      </w:tr>
      <w:tr>
        <w:trPr>
          <w:trHeight w:val="235"/>
        </w:trPr>
        <w:tc>
          <w:tcPr>
            <w:tcW w:w="7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21,440,110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21,468,603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Three Months Ended January 30,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369,485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4,949,586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$0.62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8"/>
                <w:szCs w:val="18"/>
                <w:color w:val="auto"/>
                <w:w w:val="90"/>
              </w:rPr>
              <w:t>(156,877)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JANUARY 30, 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4,849,185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7,395,578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(218,501)</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9"/>
        </w:trPr>
        <w:tc>
          <w:tcPr>
            <w:tcW w:w="4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4"/>
              </w:rPr>
              <w:t>Three Months Ended February 1, 2020</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November 2,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368,302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4,936,349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6,899,253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(187,799)</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Effect of Accounting Standards Update 2018-02</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Dividends declared and paid - $0.54 per share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(199,160)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stock as charitable contribution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6"/>
              <w:spacing w:after="0"/>
              <w:rPr>
                <w:sz w:val="20"/>
                <w:szCs w:val="20"/>
                <w:color w:val="auto"/>
              </w:rPr>
            </w:pPr>
            <w:r>
              <w:rPr>
                <w:rFonts w:ascii="Arial" w:cs="Arial" w:eastAsia="Arial" w:hAnsi="Arial"/>
                <w:sz w:val="18"/>
                <w:szCs w:val="18"/>
                <w:color w:val="auto"/>
                <w:w w:val="90"/>
              </w:rPr>
              <w:t>(105,878)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FEBRUARY 1,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4,923,947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6,906,346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(202,147)</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107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2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Arial" w:cs="Arial" w:eastAsia="Arial" w:hAnsi="Arial"/>
                <w:sz w:val="14"/>
                <w:szCs w:val="14"/>
                <w:b w:val="1"/>
                <w:bCs w:val="1"/>
                <w:color w:val="auto"/>
              </w:rPr>
              <w:t>February 1, 2020</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388,519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203,874</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56,309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59,863</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144,069</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36,638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37,501</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(13,982)</w:t>
            </w:r>
          </w:p>
        </w:tc>
      </w:tr>
      <w:tr>
        <w:trPr>
          <w:trHeight w:val="213"/>
        </w:trPr>
        <w:tc>
          <w:tcPr>
            <w:tcW w:w="7600" w:type="dxa"/>
            <w:vAlign w:val="bottom"/>
          </w:tcPr>
          <w:p>
            <w:pPr>
              <w:ind w:left="680"/>
              <w:spacing w:after="0"/>
              <w:rPr>
                <w:sz w:val="20"/>
                <w:szCs w:val="20"/>
                <w:color w:val="auto"/>
              </w:rPr>
            </w:pPr>
            <w:r>
              <w:rPr>
                <w:rFonts w:ascii="Arial" w:cs="Arial" w:eastAsia="Arial" w:hAnsi="Arial"/>
                <w:sz w:val="16"/>
                <w:szCs w:val="16"/>
                <w:color w:val="auto"/>
              </w:rPr>
              <w:t>Non-cash contribution to charitable foundation</w:t>
            </w:r>
          </w:p>
        </w:tc>
        <w:tc>
          <w:tcPr>
            <w:tcW w:w="2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40,000</w:t>
            </w:r>
          </w:p>
        </w:tc>
      </w:tr>
      <w:tr>
        <w:trPr>
          <w:trHeight w:val="219"/>
        </w:trPr>
        <w:tc>
          <w:tcPr>
            <w:tcW w:w="76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non-cash activity</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(156,741)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(124,009)</w:t>
            </w: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adjustments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39,422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145,774</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427,941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349,648</w:t>
            </w: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Proceeds from other investments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18,566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(54,839)</w:t>
            </w:r>
          </w:p>
        </w:tc>
      </w:tr>
      <w:tr>
        <w:trPr>
          <w:trHeight w:val="230"/>
        </w:trPr>
        <w:tc>
          <w:tcPr>
            <w:tcW w:w="7600" w:type="dxa"/>
            <w:vAlign w:val="bottom"/>
          </w:tcPr>
          <w:p>
            <w:pPr>
              <w:ind w:left="360"/>
              <w:spacing w:after="0"/>
              <w:rPr>
                <w:sz w:val="20"/>
                <w:szCs w:val="20"/>
                <w:color w:val="auto"/>
              </w:rPr>
            </w:pPr>
            <w:r>
              <w:rPr>
                <w:rFonts w:ascii="Arial" w:cs="Arial" w:eastAsia="Arial" w:hAnsi="Arial"/>
                <w:sz w:val="16"/>
                <w:szCs w:val="16"/>
                <w:color w:val="auto"/>
              </w:rPr>
              <w:t>Cash paid for asset acquisition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(22,522)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acquisitions, net of cash acquired</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assets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(75,071)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(54,732)</w:t>
            </w:r>
          </w:p>
        </w:tc>
      </w:tr>
      <w:tr>
        <w:trPr>
          <w:trHeight w:val="193"/>
        </w:trPr>
        <w:tc>
          <w:tcPr>
            <w:tcW w:w="76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payments to shareholders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(199,160)</w:t>
            </w:r>
          </w:p>
        </w:tc>
      </w:tr>
      <w:tr>
        <w:trPr>
          <w:trHeight w:val="213"/>
        </w:trPr>
        <w:tc>
          <w:tcPr>
            <w:tcW w:w="7600" w:type="dxa"/>
            <w:vAlign w:val="bottom"/>
          </w:tcPr>
          <w:p>
            <w:pPr>
              <w:ind w:left="360"/>
              <w:spacing w:after="0"/>
              <w:rPr>
                <w:sz w:val="20"/>
                <w:szCs w:val="20"/>
                <w:color w:val="auto"/>
              </w:rPr>
            </w:pPr>
            <w:r>
              <w:rPr>
                <w:rFonts w:ascii="Arial" w:cs="Arial" w:eastAsia="Arial" w:hAnsi="Arial"/>
                <w:sz w:val="16"/>
                <w:szCs w:val="16"/>
                <w:color w:val="auto"/>
              </w:rPr>
              <w:t>Repurchase of common stock</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(157,057)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(106,030)</w:t>
            </w:r>
          </w:p>
        </w:tc>
      </w:tr>
      <w:tr>
        <w:trPr>
          <w:trHeight w:val="219"/>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plans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16,113</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Changes in other financing activities</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w:t>
            </w:r>
          </w:p>
        </w:tc>
      </w:tr>
      <w:tr>
        <w:trPr>
          <w:trHeight w:val="212"/>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for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(363,823)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(289,572)</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r>
      <w:tr>
        <w:trPr>
          <w:trHeight w:val="21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6,086</w:t>
            </w:r>
          </w:p>
        </w:tc>
      </w:tr>
      <w:tr>
        <w:trPr>
          <w:trHeight w:val="20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1,055,860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648,322</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1,048,063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654,408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both"/>
        <w:ind w:left="2660" w:right="2640" w:firstLine="25"/>
        <w:spacing w:after="0" w:line="302" w:lineRule="auto"/>
        <w:rPr>
          <w:sz w:val="20"/>
          <w:szCs w:val="20"/>
          <w:color w:val="auto"/>
        </w:rPr>
      </w:pPr>
      <w:r>
        <w:rPr>
          <w:rFonts w:ascii="Arial" w:cs="Arial" w:eastAsia="Arial" w:hAnsi="Arial"/>
          <w:sz w:val="16"/>
          <w:szCs w:val="16"/>
          <w:b w:val="1"/>
          <w:bCs w:val="1"/>
          <w:color w:val="auto"/>
        </w:rPr>
        <w:t>NOTES TO CONDENSED CONSOLIDATED FINANCIAL STATEMENTS FOR THE THREE MONTHS ENDED JANUARY 30, 2021 (UNAUDITED) (all tabular amounts in thousands except per share amounts and percentages)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31, 2020 (fiscal 2020) and related notes. The results of operations for the interim periods shown in this report are not necessarily indicative of the results that may be expected for the fiscal year ending October 30, 2021 (fiscal 2021) or any future period.</w:t>
      </w:r>
    </w:p>
    <w:p>
      <w:pPr>
        <w:spacing w:after="0" w:line="13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2021 presentation.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60" w:firstLine="445"/>
        <w:spacing w:after="0" w:line="342" w:lineRule="auto"/>
        <w:rPr>
          <w:sz w:val="20"/>
          <w:szCs w:val="20"/>
          <w:color w:val="auto"/>
        </w:rPr>
      </w:pPr>
      <w:r>
        <w:rPr>
          <w:rFonts w:ascii="Arial" w:cs="Arial" w:eastAsia="Arial" w:hAnsi="Arial"/>
          <w:sz w:val="16"/>
          <w:szCs w:val="16"/>
          <w:color w:val="auto"/>
        </w:rPr>
        <w:t xml:space="preserve">On July 12, 2020, the Company entered into a definitive agreement (the Merger Agreement) to acquire Maxim Integrated Products, Inc. (Maxim), an independent manufacturer of innovative analog and mixed-signal products and technologies. See Note 13, </w:t>
      </w:r>
      <w:r>
        <w:rPr>
          <w:rFonts w:ascii="Arial" w:cs="Arial" w:eastAsia="Arial" w:hAnsi="Arial"/>
          <w:sz w:val="16"/>
          <w:szCs w:val="16"/>
          <w:i w:val="1"/>
          <w:iCs w:val="1"/>
          <w:color w:val="auto"/>
        </w:rPr>
        <w:t>Acquisitions</w:t>
      </w:r>
      <w:r>
        <w:rPr>
          <w:rFonts w:ascii="Arial" w:cs="Arial" w:eastAsia="Arial" w:hAnsi="Arial"/>
          <w:sz w:val="16"/>
          <w:szCs w:val="16"/>
          <w:color w:val="auto"/>
        </w:rPr>
        <w:t>, for additional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 and Shareholders' Equity</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Company’s stock option activity as of January 30, 2021 and changes during the three-month period then ended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Average</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41"/>
        </w:trPr>
        <w:tc>
          <w:tcPr>
            <w:tcW w:w="5440" w:type="dxa"/>
            <w:vAlign w:val="bottom"/>
          </w:tcPr>
          <w:p>
            <w:pPr>
              <w:spacing w:after="0"/>
              <w:rPr>
                <w:sz w:val="3"/>
                <w:szCs w:val="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3"/>
                <w:szCs w:val="3"/>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 Exercise</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Contractual</w:t>
            </w: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Per Share</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in Years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4"/>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October 31, 2020</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Options 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$144.06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Options forfeited</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$85.53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Options outstanding at January 30,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$79.71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$289,219</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January 30,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$61.96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$199,072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Options vested or expected to vest at January 30, 2021 (1)</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4,158</w:t>
            </w:r>
          </w:p>
        </w:tc>
        <w:tc>
          <w:tcPr>
            <w:tcW w:w="15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$78.63</w:t>
            </w:r>
          </w:p>
        </w:tc>
        <w:tc>
          <w:tcPr>
            <w:tcW w:w="1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5.9</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$285,622</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60" w:hanging="328"/>
        <w:spacing w:after="0" w:line="277"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16"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the first quarter of fiscal 2021, the Company issued a special performance stock option award to the Company's chief executive officer. The performance stock option award is exercisable for up to 460,000 shares of the Company's common stock (the Target Number of Shares) at an exercise price per share of $144.06, which was the closing price of the Company's common stock on the date of grant, and vests subject to the satisfaction of certain target stock price thresholds during a five-year period, measured on the basis of the average of the closing prices of the Company's common stock over 70 consecutive trading days. The actual number of shares that will become exercisable will range from 0% to a maximum of 100% of the Target Number of Shares based on the attainment of such target stock price thresholds at any time during a five-year period from December 15, 2020 to December 15, 2025. The grant date fair value of the award was calculated using the Monte Carlo simulation model which utilizes multiple input variables that determine the probability of satisfying the performance conditions stipulated in the award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ind w:right="580" w:firstLine="405"/>
        <w:spacing w:after="0" w:line="342" w:lineRule="auto"/>
        <w:rPr>
          <w:sz w:val="20"/>
          <w:szCs w:val="20"/>
          <w:color w:val="auto"/>
        </w:rPr>
      </w:pPr>
      <w:r>
        <w:rPr>
          <w:rFonts w:ascii="Arial" w:cs="Arial" w:eastAsia="Arial" w:hAnsi="Arial"/>
          <w:sz w:val="16"/>
          <w:szCs w:val="16"/>
          <w:color w:val="auto"/>
        </w:rPr>
        <w:t>During the three-month periods ended January 30, 2021 and February 1, 2020, the total intrinsic value of options exercised (i.e., the difference between the market price at exercise and the price paid by the employee to exercise the options) was $30.4 million and $20.3 million, respectively.</w:t>
      </w:r>
    </w:p>
    <w:p>
      <w:pPr>
        <w:spacing w:after="0" w:line="70" w:lineRule="exact"/>
        <w:rPr>
          <w:sz w:val="20"/>
          <w:szCs w:val="20"/>
          <w:color w:val="auto"/>
        </w:rPr>
      </w:pPr>
    </w:p>
    <w:p>
      <w:pPr>
        <w:ind w:right="320" w:firstLine="405"/>
        <w:spacing w:after="0" w:line="276" w:lineRule="auto"/>
        <w:rPr>
          <w:sz w:val="20"/>
          <w:szCs w:val="20"/>
          <w:color w:val="auto"/>
        </w:rPr>
      </w:pPr>
      <w:r>
        <w:rPr>
          <w:rFonts w:ascii="Arial" w:cs="Arial" w:eastAsia="Arial" w:hAnsi="Arial"/>
          <w:sz w:val="18"/>
          <w:szCs w:val="18"/>
          <w:color w:val="auto"/>
        </w:rPr>
        <w:t>A summary of the Company’s restricted stock unit/award activity as of January 30, 2021 and changes during the three-month period then ended is presented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Stock Units/Awards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Average Grant-</w:t>
            </w:r>
          </w:p>
        </w:tc>
      </w:tr>
      <w:tr>
        <w:trPr>
          <w:trHeight w:val="162"/>
        </w:trPr>
        <w:tc>
          <w:tcPr>
            <w:tcW w:w="8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Date Fair Value</w:t>
            </w:r>
          </w:p>
        </w:tc>
      </w:tr>
      <w:tr>
        <w:trPr>
          <w:trHeight w:val="186"/>
        </w:trPr>
        <w:tc>
          <w:tcPr>
            <w:tcW w:w="8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October 31, 2020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$91.54</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Units/Awards 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196</w:t>
            </w:r>
          </w:p>
        </w:tc>
        <w:tc>
          <w:tcPr>
            <w:tcW w:w="1540" w:type="dxa"/>
            <w:vAlign w:val="bottom"/>
            <w:gridSpan w:val="2"/>
          </w:tcPr>
          <w:p>
            <w:pPr>
              <w:jc w:val="right"/>
              <w:ind w:right="4"/>
              <w:spacing w:after="0"/>
              <w:rPr>
                <w:sz w:val="20"/>
                <w:szCs w:val="20"/>
                <w:color w:val="auto"/>
              </w:rPr>
            </w:pPr>
            <w:r>
              <w:rPr>
                <w:rFonts w:ascii="Arial" w:cs="Arial" w:eastAsia="Arial" w:hAnsi="Arial"/>
                <w:sz w:val="18"/>
                <w:szCs w:val="18"/>
                <w:color w:val="auto"/>
              </w:rPr>
              <w:t>$138.21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Restrictions lapsed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5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$86.08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54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$99.73</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stock units/awards outstanding at January 30,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w:t>
            </w:r>
          </w:p>
        </w:tc>
        <w:tc>
          <w:tcPr>
            <w:tcW w:w="15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$92.02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In the first quarter of fiscal 2021, the Company issued approximately 110,000 performance-based restricted stock units (Maxim Integration PRSUs) related to the Company's planned acquisition of Maxim to a select group of employees. The number of Maxim Integration PRSUs that may be earned will range from 0% to a maximum of 200% of the issued amount of Maxim Integration PRSUs and will be determined according to the achievement of certain performance metrics. Any shares earned will vest on the 60th day following the two-year anniversary of the closing of the Maxim acquisition. If the Maxim acquisition does not close, the awards will be cancelled. The grant date fair value of these awards were calculated using the value of the Company's common stock on the date of grant, reduced by the present value of dividends expected to be paid on the Company's common stock prior to vesting. The grant-date fair value of these awards is also impacted by the number of units that are expected to vest during the performance period and is adjusted through the related stock-based compensation expense at each reporting period based on the probability of achievement of that performance condition.</w:t>
      </w:r>
    </w:p>
    <w:p>
      <w:pPr>
        <w:spacing w:after="0" w:line="19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January 30, 2021, there was $267.1 million of total unrecognized compensation cost related to unvested stock-based awards comprised of stock options and restricted stock units/awards. That cost is expected to be recognized over a weighted-average period of 1.3 years. The total grant-date fair values of awards that vested during the three-month periods ended January 30, 2021 and February 1, 2020 were approximately $15.6 million and $14.8 million, respectively.</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123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6"/>
                <w:szCs w:val="16"/>
                <w:color w:val="auto"/>
              </w:rPr>
            </w:pPr>
          </w:p>
        </w:tc>
        <w:tc>
          <w:tcPr>
            <w:tcW w:w="1660" w:type="dxa"/>
            <w:vAlign w:val="bottom"/>
          </w:tcPr>
          <w:p>
            <w:pPr>
              <w:jc w:val="right"/>
              <w:ind w:right="354"/>
              <w:spacing w:after="0"/>
              <w:rPr>
                <w:sz w:val="20"/>
                <w:szCs w:val="20"/>
                <w:color w:val="auto"/>
              </w:rPr>
            </w:pPr>
            <w:r>
              <w:rPr>
                <w:rFonts w:ascii="Arial" w:cs="Arial" w:eastAsia="Arial" w:hAnsi="Arial"/>
                <w:sz w:val="14"/>
                <w:szCs w:val="14"/>
                <w:b w:val="1"/>
                <w:bCs w:val="1"/>
                <w:color w:val="auto"/>
              </w:rPr>
              <w:t>February 1, 2020</w:t>
            </w:r>
          </w:p>
        </w:tc>
      </w:tr>
      <w:tr>
        <w:trPr>
          <w:trHeight w:val="224"/>
        </w:trPr>
        <w:tc>
          <w:tcPr>
            <w:tcW w:w="71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r>
      <w:tr>
        <w:trPr>
          <w:trHeight w:val="230"/>
        </w:trPr>
        <w:tc>
          <w:tcPr>
            <w:tcW w:w="71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18,321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17,605</w:t>
            </w:r>
          </w:p>
        </w:tc>
      </w:tr>
      <w:tr>
        <w:trPr>
          <w:trHeight w:val="229"/>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15,332</w:t>
            </w:r>
          </w:p>
        </w:tc>
      </w:tr>
      <w:tr>
        <w:trPr>
          <w:trHeight w:val="223"/>
        </w:trPr>
        <w:tc>
          <w:tcPr>
            <w:tcW w:w="7160" w:type="dxa"/>
            <w:vAlign w:val="bottom"/>
          </w:tcPr>
          <w:p>
            <w:pPr>
              <w:ind w:left="6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37,501</w:t>
            </w:r>
          </w:p>
        </w:tc>
      </w:tr>
      <w:tr>
        <w:trPr>
          <w:trHeight w:val="21"/>
        </w:trPr>
        <w:tc>
          <w:tcPr>
            <w:tcW w:w="7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0" w:firstLine="405"/>
        <w:spacing w:after="0" w:line="277" w:lineRule="auto"/>
        <w:rPr>
          <w:sz w:val="20"/>
          <w:szCs w:val="20"/>
          <w:color w:val="auto"/>
        </w:rPr>
      </w:pPr>
      <w:r>
        <w:rPr>
          <w:rFonts w:ascii="Arial" w:cs="Arial" w:eastAsia="Arial" w:hAnsi="Arial"/>
          <w:sz w:val="18"/>
          <w:szCs w:val="18"/>
          <w:color w:val="auto"/>
        </w:rPr>
        <w:t>As of January 30, 2021 and October 31, 2020, the Company capitalized $5.7 million and $5.8 million, respectively, of stock-based compensation in Inventories on the Condensed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71" w:lineRule="exact"/>
        <w:rPr>
          <w:sz w:val="20"/>
          <w:szCs w:val="20"/>
          <w:color w:val="auto"/>
        </w:rPr>
      </w:pPr>
    </w:p>
    <w:p>
      <w:pPr>
        <w:ind w:right="100" w:firstLine="445"/>
        <w:spacing w:after="0" w:line="275" w:lineRule="auto"/>
        <w:rPr>
          <w:sz w:val="20"/>
          <w:szCs w:val="20"/>
          <w:color w:val="auto"/>
        </w:rPr>
      </w:pPr>
      <w:r>
        <w:rPr>
          <w:rFonts w:ascii="Arial" w:cs="Arial" w:eastAsia="Arial" w:hAnsi="Arial"/>
          <w:sz w:val="17"/>
          <w:szCs w:val="17"/>
          <w:color w:val="auto"/>
        </w:rPr>
        <w:t>As of January 30, 2021, the Company had repurchased a total of approximately 157.1 million shares of its common stock for approximately $6.4 billion under the Company's share repurchase program. As of January 30, 2021, an additional $1.7 billion remains available for repurchase of shares under the current authorized program. The Company also repurchases shares in settlement of employee tax withholding obligations due upon the vesting of restricted stock units/awards or the exercise of stock options. Future repurchases of common stock will be dependent upon the Company's financial position, results of operations, outlook, liquidity, and other factors deemed relevant by the Company.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4"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three months of fiscal 2021.</w:t>
      </w:r>
    </w:p>
    <w:tbl>
      <w:tblPr>
        <w:tblLayout w:type="fixed"/>
        <w:tblInd w:w="0" w:type="dxa"/>
        <w:tblCellMar>
          <w:top w:w="0" w:type="dxa"/>
          <w:left w:w="0" w:type="dxa"/>
          <w:bottom w:w="0" w:type="dxa"/>
          <w:right w:w="0" w:type="dxa"/>
        </w:tblCellMar>
      </w:tblPr>
      <w:tr>
        <w:trPr>
          <w:trHeight w:val="163"/>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3"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(172,670)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(249,461)</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40,763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out of other comprehensive income (loss)</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Arial" w:cs="Arial" w:eastAsia="Arial" w:hAnsi="Arial"/>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(218,501)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4"/>
                <w:szCs w:val="14"/>
                <w:b w:val="1"/>
                <w:bCs w:val="1"/>
                <w:color w:val="auto"/>
              </w:rPr>
              <w:t>Three Months Ended</w:t>
            </w: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Component</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2021</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February 1, 2020</w:t>
            </w:r>
          </w:p>
        </w:tc>
        <w:tc>
          <w:tcPr>
            <w:tcW w:w="44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Unrealized holding losses (gains) on derivatives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Currency 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(80)</w:t>
            </w:r>
          </w:p>
        </w:tc>
        <w:tc>
          <w:tcPr>
            <w:tcW w:w="4400" w:type="dxa"/>
            <w:vAlign w:val="bottom"/>
          </w:tcPr>
          <w:p>
            <w:pPr>
              <w:ind w:left="12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532</w:t>
            </w:r>
          </w:p>
        </w:tc>
        <w:tc>
          <w:tcPr>
            <w:tcW w:w="4400" w:type="dxa"/>
            <w:vAlign w:val="bottom"/>
          </w:tcPr>
          <w:p>
            <w:pPr>
              <w:ind w:left="120"/>
              <w:spacing w:after="0"/>
              <w:rPr>
                <w:sz w:val="20"/>
                <w:szCs w:val="20"/>
                <w:color w:val="auto"/>
              </w:rPr>
            </w:pPr>
            <w:r>
              <w:rPr>
                <w:rFonts w:ascii="Arial" w:cs="Arial" w:eastAsia="Arial" w:hAnsi="Arial"/>
                <w:sz w:val="18"/>
                <w:szCs w:val="18"/>
                <w:color w:val="auto"/>
              </w:rPr>
              <w:t>Selling, marketing, general and administrative</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derivatives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156"/>
        </w:trPr>
        <w:tc>
          <w:tcPr>
            <w:tcW w:w="3160" w:type="dxa"/>
            <w:vAlign w:val="bottom"/>
          </w:tcPr>
          <w:p>
            <w:pPr>
              <w:ind w:left="240"/>
              <w:spacing w:after="0" w:line="156" w:lineRule="exact"/>
              <w:rPr>
                <w:sz w:val="20"/>
                <w:szCs w:val="20"/>
                <w:color w:val="auto"/>
              </w:rPr>
            </w:pPr>
            <w:r>
              <w:rPr>
                <w:rFonts w:ascii="Arial" w:cs="Arial" w:eastAsia="Arial" w:hAnsi="Arial"/>
                <w:sz w:val="18"/>
                <w:szCs w:val="18"/>
                <w:color w:val="auto"/>
              </w:rPr>
              <w:t>Effect of Accounting Standards</w:t>
            </w:r>
          </w:p>
        </w:tc>
        <w:tc>
          <w:tcPr>
            <w:tcW w:w="360" w:type="dxa"/>
            <w:vAlign w:val="bottom"/>
          </w:tcPr>
          <w:p>
            <w:pPr>
              <w:spacing w:after="0"/>
              <w:rPr>
                <w:sz w:val="13"/>
                <w:szCs w:val="13"/>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(2,379)</w:t>
            </w:r>
          </w:p>
        </w:tc>
        <w:tc>
          <w:tcPr>
            <w:tcW w:w="4400" w:type="dxa"/>
            <w:vAlign w:val="bottom"/>
            <w:vMerge w:val="restart"/>
          </w:tcPr>
          <w:p>
            <w:pPr>
              <w:ind w:left="120"/>
              <w:spacing w:after="0"/>
              <w:rPr>
                <w:sz w:val="20"/>
                <w:szCs w:val="20"/>
                <w:color w:val="auto"/>
              </w:rPr>
            </w:pPr>
            <w:r>
              <w:rPr>
                <w:rFonts w:ascii="Arial" w:cs="Arial" w:eastAsia="Arial" w:hAnsi="Arial"/>
                <w:sz w:val="18"/>
                <w:szCs w:val="18"/>
                <w:color w:val="auto"/>
              </w:rPr>
              <w:t>Retained earnings</w:t>
            </w:r>
          </w:p>
        </w:tc>
        <w:tc>
          <w:tcPr>
            <w:tcW w:w="0" w:type="dxa"/>
            <w:vAlign w:val="bottom"/>
          </w:tcPr>
          <w:p>
            <w:pPr>
              <w:spacing w:after="0"/>
              <w:rPr>
                <w:sz w:val="1"/>
                <w:szCs w:val="1"/>
                <w:color w:val="auto"/>
              </w:rPr>
            </w:pPr>
          </w:p>
        </w:tc>
      </w:tr>
      <w:tr>
        <w:trPr>
          <w:trHeight w:val="229"/>
        </w:trPr>
        <w:tc>
          <w:tcPr>
            <w:tcW w:w="3160" w:type="dxa"/>
            <w:vAlign w:val="bottom"/>
          </w:tcPr>
          <w:p>
            <w:pPr>
              <w:ind w:left="240"/>
              <w:spacing w:after="0"/>
              <w:rPr>
                <w:sz w:val="20"/>
                <w:szCs w:val="20"/>
                <w:color w:val="auto"/>
              </w:rPr>
            </w:pPr>
            <w:r>
              <w:rPr>
                <w:rFonts w:ascii="Arial" w:cs="Arial" w:eastAsia="Arial" w:hAnsi="Arial"/>
                <w:sz w:val="18"/>
                <w:szCs w:val="18"/>
                <w:color w:val="auto"/>
              </w:rPr>
              <w:t>Update 2018-02</w:t>
            </w:r>
          </w:p>
        </w:tc>
        <w:tc>
          <w:tcPr>
            <w:tcW w:w="3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4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gridSpan w:val="3"/>
          </w:tcPr>
          <w:p>
            <w:pPr>
              <w:spacing w:after="0" w:line="20" w:lineRule="exact"/>
              <w:rPr>
                <w:sz w:val="1"/>
                <w:szCs w:val="1"/>
                <w:color w:val="auto"/>
              </w:rPr>
            </w:pPr>
          </w:p>
        </w:tc>
        <w:tc>
          <w:tcPr>
            <w:tcW w:w="1900" w:type="dxa"/>
            <w:vAlign w:val="bottom"/>
            <w:tcBorders>
              <w:top w:val="single" w:sz="8" w:color="CCEEFF"/>
            </w:tcBorders>
            <w:gridSpan w:val="3"/>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1"/>
              </w:rPr>
              <w:t>Amortization of pension components included in the computation of net periodic pension cost</w:t>
            </w:r>
          </w:p>
        </w:tc>
        <w:tc>
          <w:tcPr>
            <w:tcW w:w="4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40"/>
              <w:spacing w:after="0"/>
              <w:rPr>
                <w:sz w:val="20"/>
                <w:szCs w:val="20"/>
                <w:color w:val="auto"/>
              </w:rPr>
            </w:pPr>
            <w:r>
              <w:rPr>
                <w:rFonts w:ascii="Arial" w:cs="Arial" w:eastAsia="Arial" w:hAnsi="Arial"/>
                <w:sz w:val="18"/>
                <w:szCs w:val="18"/>
                <w:color w:val="auto"/>
              </w:rPr>
              <w:t>Actuarial losses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648</w:t>
            </w: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4400" w:type="dxa"/>
            <w:vAlign w:val="bottom"/>
          </w:tcPr>
          <w:p>
            <w:pPr>
              <w:ind w:left="1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
              <w:spacing w:after="0" w:line="176" w:lineRule="exact"/>
              <w:rPr>
                <w:sz w:val="20"/>
                <w:szCs w:val="20"/>
                <w:color w:val="auto"/>
              </w:rPr>
            </w:pPr>
            <w:r>
              <w:rPr>
                <w:rFonts w:ascii="Arial" w:cs="Arial" w:eastAsia="Arial" w:hAnsi="Arial"/>
                <w:sz w:val="18"/>
                <w:szCs w:val="18"/>
                <w:color w:val="auto"/>
                <w:w w:val="99"/>
              </w:rPr>
              <w:t>Total amounts reclassified out of AOCI,</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(967)</w:t>
            </w:r>
          </w:p>
        </w:tc>
        <w:tc>
          <w:tcPr>
            <w:tcW w:w="4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60" w:type="dxa"/>
            <w:vAlign w:val="bottom"/>
          </w:tcPr>
          <w:p>
            <w:pPr>
              <w:ind w:left="20"/>
              <w:spacing w:after="0" w:line="202" w:lineRule="exact"/>
              <w:rPr>
                <w:sz w:val="20"/>
                <w:szCs w:val="20"/>
                <w:color w:val="auto"/>
              </w:rPr>
            </w:pPr>
            <w:r>
              <w:rPr>
                <w:rFonts w:ascii="Arial" w:cs="Arial" w:eastAsia="Arial" w:hAnsi="Arial"/>
                <w:sz w:val="18"/>
                <w:szCs w:val="18"/>
                <w:color w:val="auto"/>
              </w:rPr>
              <w:t>net of tax</w:t>
            </w:r>
          </w:p>
        </w:tc>
        <w:tc>
          <w:tcPr>
            <w:tcW w:w="360" w:type="dxa"/>
            <w:vAlign w:val="bottom"/>
            <w:tcBorders>
              <w:bottom w:val="single" w:sz="8" w:color="auto"/>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4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Realized gains or losses on investments are determined based on the specific identification basis and are recognized in nonoperating expense</w:t>
      </w:r>
    </w:p>
    <w:p>
      <w:pPr>
        <w:spacing w:after="0" w:line="35"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(income). There were no material net realized gains or losses from the sales of available-for-sale investments during any of the fiscal periods presented.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jc w:val="right"/>
              <w:ind w:right="12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30, 2021</w:t>
            </w:r>
          </w:p>
        </w:tc>
        <w:tc>
          <w:tcPr>
            <w:tcW w:w="280" w:type="dxa"/>
            <w:vAlign w:val="bottom"/>
          </w:tcPr>
          <w:p>
            <w:pPr>
              <w:spacing w:after="0"/>
              <w:rPr>
                <w:sz w:val="16"/>
                <w:szCs w:val="16"/>
                <w:color w:val="auto"/>
              </w:rPr>
            </w:pPr>
          </w:p>
        </w:tc>
        <w:tc>
          <w:tcPr>
            <w:tcW w:w="1680" w:type="dxa"/>
            <w:vAlign w:val="bottom"/>
          </w:tcPr>
          <w:p>
            <w:pPr>
              <w:jc w:val="right"/>
              <w:ind w:right="372"/>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24"/>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388,519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203,874</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368,241</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2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369,203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368,241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Assumed exercise of common stock equivalents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0" w:type="dxa"/>
            <w:vAlign w:val="bottom"/>
          </w:tcPr>
          <w:p>
            <w:pPr>
              <w:spacing w:after="0"/>
              <w:rPr>
                <w:sz w:val="1"/>
                <w:szCs w:val="1"/>
                <w:color w:val="auto"/>
              </w:rPr>
            </w:pP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Weighted-average common and common equivalent shares</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373,106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372,264</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shares related to:</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stock-based awards</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75" w:lineRule="exact"/>
        <w:rPr>
          <w:sz w:val="20"/>
          <w:szCs w:val="20"/>
          <w:color w:val="auto"/>
        </w:rPr>
      </w:pPr>
    </w:p>
    <w:p>
      <w:pPr>
        <w:ind w:right="720" w:firstLine="445"/>
        <w:spacing w:after="0" w:line="269" w:lineRule="auto"/>
        <w:rPr>
          <w:sz w:val="20"/>
          <w:szCs w:val="20"/>
          <w:color w:val="auto"/>
        </w:rPr>
      </w:pPr>
      <w:r>
        <w:rPr>
          <w:rFonts w:ascii="Arial" w:cs="Arial" w:eastAsia="Arial" w:hAnsi="Arial"/>
          <w:sz w:val="18"/>
          <w:szCs w:val="18"/>
          <w:color w:val="auto"/>
        </w:rPr>
        <w:t>The following table is a quarterly roll-forward from October 31, 2020 to January 30, 2021 of the employee separation and exit cost accruals established related to existing restructuring actions: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18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Closure of Manufacturing</w:t>
            </w:r>
          </w:p>
        </w:tc>
        <w:tc>
          <w:tcPr>
            <w:tcW w:w="180" w:type="dxa"/>
            <w:vAlign w:val="bottom"/>
          </w:tcPr>
          <w:p>
            <w:pPr>
              <w:spacing w:after="0"/>
              <w:rPr>
                <w:sz w:val="12"/>
                <w:szCs w:val="12"/>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Repositioning Action</w:t>
            </w:r>
          </w:p>
        </w:tc>
        <w:tc>
          <w:tcPr>
            <w:tcW w:w="280" w:type="dxa"/>
            <w:vAlign w:val="bottom"/>
          </w:tcPr>
          <w:p>
            <w:pPr>
              <w:spacing w:after="0"/>
              <w:rPr>
                <w:sz w:val="12"/>
                <w:szCs w:val="12"/>
                <w:color w:val="auto"/>
              </w:rPr>
            </w:pPr>
          </w:p>
        </w:tc>
        <w:tc>
          <w:tcPr>
            <w:tcW w:w="14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Other Actions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Facilities</w:t>
            </w: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31, 2020</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First quarter fiscal 2021 special charges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other payments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3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30, 2021</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 accrued liabilities</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Repositioning Action</w:t>
      </w:r>
    </w:p>
    <w:p>
      <w:pPr>
        <w:spacing w:after="0" w:line="171" w:lineRule="exact"/>
        <w:rPr>
          <w:sz w:val="20"/>
          <w:szCs w:val="20"/>
          <w:color w:val="auto"/>
        </w:rPr>
      </w:pPr>
    </w:p>
    <w:p>
      <w:pPr>
        <w:ind w:right="200" w:firstLine="405"/>
        <w:spacing w:after="0" w:line="296" w:lineRule="auto"/>
        <w:rPr>
          <w:sz w:val="20"/>
          <w:szCs w:val="20"/>
          <w:color w:val="auto"/>
        </w:rPr>
      </w:pPr>
      <w:r>
        <w:rPr>
          <w:rFonts w:ascii="Arial" w:cs="Arial" w:eastAsia="Arial" w:hAnsi="Arial"/>
          <w:sz w:val="16"/>
          <w:szCs w:val="16"/>
          <w:color w:val="auto"/>
        </w:rPr>
        <w:t>The Company recorded special charges of $137.5 million on a cumulative basis through January 30, 2021, as a result of organizational initiatives to better align the global workforce with the Company's long-term strategic plan. Approximately $123.3 million of the total charges was for severance and fringe benefit costs in accordance with either the Company's ongoing benefit plan or statutory requirements for the impacted manufacturing, engineering and selling, marketing, general and administrative (SMG&amp;A) employees. The remaining $14.2 million of the charges were recorded in fiscal 2019 and related to the write-off of acquired intellectual property due to the Company's decision to discontinue certain product development strategies.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Manufacturing Facilities</w:t>
      </w:r>
    </w:p>
    <w:p>
      <w:pPr>
        <w:spacing w:after="0" w:line="171" w:lineRule="exact"/>
        <w:rPr>
          <w:sz w:val="20"/>
          <w:szCs w:val="20"/>
          <w:color w:val="auto"/>
        </w:rPr>
      </w:pPr>
    </w:p>
    <w:p>
      <w:pPr>
        <w:jc w:val="both"/>
        <w:ind w:right="260" w:firstLine="405"/>
        <w:spacing w:after="0" w:line="287" w:lineRule="auto"/>
        <w:rPr>
          <w:sz w:val="20"/>
          <w:szCs w:val="20"/>
          <w:color w:val="auto"/>
        </w:rPr>
      </w:pPr>
      <w:r>
        <w:rPr>
          <w:rFonts w:ascii="Arial" w:cs="Arial" w:eastAsia="Arial" w:hAnsi="Arial"/>
          <w:sz w:val="16"/>
          <w:szCs w:val="16"/>
          <w:color w:val="auto"/>
        </w:rPr>
        <w:t>The Company recorded special charges of $55.4 million on a cumulative basis through January 30, 2021 as a result of its decision to consolidate certain wafer and test facility operations acquired as part of the acquisition of Linear Technology Corporation (Linear). The Company plans to close its Hillview wafer fabrication facility located in Milpitas, California in fiscal 2021 and its Singapore test facility in the fiscal year ending October 29, 2022.</w:t>
      </w:r>
    </w:p>
    <w:p>
      <w:pPr>
        <w:spacing w:after="0" w:line="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Company intends to transfer Hillview wafer fabrication production to its other internal facilities and to external foundries. In addition, the Company is planning to transition testing operations currently handled in its Singapore facility to its facilities in Penang, Malaysia and the Philippines, and also to its outsourced assembly and test partners. The special charges include severance and fringe benefit costs, in accordance with the Company's ongoing benefit plan or statutory requirements at foreign locations, one-time termination benefits for the impacted manufacturing, engineering and SMG&amp;A employees and other exit costs. These one-time termination benefits are being recognized over the future service period required for employees to earn these benefits.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 Property, Plant and Equipment</w:t>
      </w:r>
    </w:p>
    <w:p>
      <w:pPr>
        <w:spacing w:after="0" w:line="10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 xml:space="preserve">As discussed in Note 5, </w:t>
      </w:r>
      <w:r>
        <w:rPr>
          <w:rFonts w:ascii="Arial" w:cs="Arial" w:eastAsia="Arial" w:hAnsi="Arial"/>
          <w:sz w:val="16"/>
          <w:szCs w:val="16"/>
          <w:i w:val="1"/>
          <w:iCs w:val="1"/>
          <w:color w:val="auto"/>
        </w:rPr>
        <w:t>Special Charges</w:t>
      </w:r>
      <w:r>
        <w:rPr>
          <w:rFonts w:ascii="Arial" w:cs="Arial" w:eastAsia="Arial" w:hAnsi="Arial"/>
          <w:sz w:val="16"/>
          <w:szCs w:val="16"/>
          <w:color w:val="auto"/>
        </w:rPr>
        <w:t>, the Company is planning to transition testing operations currently handled in its Singapore facility to its facilities in Penang, Malaysia and the Philippines, in addition to its outsourced assembly and test partners. Accordingly, management has entered into an agreement to sell the facility in Singapore in May 2021 and has determined that this facility and certain equipment therein have met the held for sale criteria as specified in ASC 360. No write-down to fair value was required upon this designation during fiscal 2020, as the fair value of the asset group, less costs to sell, was greater than its carrying value. As shown below, this carrying value was reclassified from various line items within Property, plant and equipment to Prepaid expenses and other current assets upon designation and remains in Prepaid expenses and other current assets as of January 30,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and buildings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w:t>
            </w:r>
          </w:p>
        </w:tc>
      </w:tr>
      <w:tr>
        <w:trPr>
          <w:trHeight w:val="230"/>
        </w:trPr>
        <w:tc>
          <w:tcPr>
            <w:tcW w:w="938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29"/>
        </w:trPr>
        <w:tc>
          <w:tcPr>
            <w:tcW w:w="9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Office equipment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Leasehold improvements</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5,744</w:t>
            </w:r>
          </w:p>
        </w:tc>
      </w:tr>
      <w:tr>
        <w:trPr>
          <w:trHeight w:val="223"/>
        </w:trPr>
        <w:tc>
          <w:tcPr>
            <w:tcW w:w="93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43,860</w:t>
            </w:r>
          </w:p>
        </w:tc>
      </w:tr>
      <w:tr>
        <w:trPr>
          <w:trHeight w:val="230"/>
        </w:trPr>
        <w:tc>
          <w:tcPr>
            <w:tcW w:w="9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(21,706)</w:t>
            </w:r>
          </w:p>
        </w:tc>
      </w:tr>
      <w:tr>
        <w:trPr>
          <w:trHeight w:val="248"/>
        </w:trPr>
        <w:tc>
          <w:tcPr>
            <w:tcW w:w="9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property, plant and equipment reclassified to Prepaid expenses and other current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22,154</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7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 designs, develops, manufactures and markets a broad range of integrated circuits. The Company operates and tracks its results in one reportable segment based on the aggregation of eight operating segments</w:t>
      </w:r>
      <w:r>
        <w:rPr>
          <w:rFonts w:ascii="Arial" w:cs="Arial" w:eastAsia="Arial" w:hAnsi="Arial"/>
          <w:sz w:val="18"/>
          <w:szCs w:val="18"/>
          <w:color w:val="EE2724"/>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7"/>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6"/>
              </w:rPr>
              <w:t>January 30,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13"/>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Borders>
              <w:bottom w:val="single" w:sz="8" w:color="auto"/>
            </w:tcBorders>
          </w:tcPr>
          <w:p>
            <w:pPr>
              <w:spacing w:after="0"/>
              <w:rPr>
                <w:sz w:val="16"/>
                <w:szCs w:val="16"/>
                <w:color w:val="auto"/>
              </w:rPr>
            </w:pPr>
          </w:p>
        </w:tc>
      </w:tr>
      <w:tr>
        <w:trPr>
          <w:trHeight w:val="183"/>
        </w:trPr>
        <w:tc>
          <w:tcPr>
            <w:tcW w:w="4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Y/Y%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Revenue</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r>
      <w:tr>
        <w:trPr>
          <w:trHeight w:val="224"/>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855,454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687,685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281,049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241,804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245,250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176,705</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168,364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1,558,458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1,303,565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6"/>
              <w:spacing w:after="0"/>
              <w:rPr>
                <w:sz w:val="20"/>
                <w:szCs w:val="20"/>
                <w:color w:val="auto"/>
              </w:rPr>
            </w:pPr>
            <w:r>
              <w:rPr>
                <w:rFonts w:ascii="Arial" w:cs="Arial" w:eastAsia="Arial" w:hAnsi="Arial"/>
                <w:sz w:val="14"/>
                <w:szCs w:val="14"/>
                <w:b w:val="1"/>
                <w:bCs w:val="1"/>
                <w:color w:val="auto"/>
              </w:rPr>
              <w:t>January 30, 2021</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Borders>
              <w:bottom w:val="single" w:sz="8" w:color="auto"/>
            </w:tcBorders>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4500" w:type="dxa"/>
            <w:vAlign w:val="bottom"/>
            <w:gridSpan w:val="2"/>
          </w:tcPr>
          <w:p>
            <w:pPr>
              <w:spacing w:after="0" w:line="172" w:lineRule="exact"/>
              <w:rPr>
                <w:sz w:val="20"/>
                <w:szCs w:val="20"/>
                <w:color w:val="auto"/>
              </w:rPr>
            </w:pPr>
            <w:r>
              <w:rPr>
                <w:rFonts w:ascii="Arial" w:cs="Arial" w:eastAsia="Arial" w:hAnsi="Arial"/>
                <w:sz w:val="18"/>
                <w:szCs w:val="18"/>
                <w:color w:val="auto"/>
              </w:rPr>
              <w:t>Channel</w:t>
            </w: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74"/>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946,386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747,561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589,456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529,731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1,558,458</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1,303,565</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firstLine="44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color w:val="auto"/>
        </w:rPr>
        <w:t>The tables below, set forth by level, presents the Company’s financial assets and liabilities, excluding accrued interest components that were accounted for at fair value on a recurring basis as of January 30, 2021 and October 31, 2020. The tables exclude cash on hand and assets and liabilities that are measured at historical cost or any basis other than fair value. As of January 30, 2021 and October 31, 2020, the Company held $205.7 million and $239.6 million, respectively, of cash and held-to-maturity investments that were excluded from the tables below.</w:t>
      </w: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January 30, 2021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Fair Value measurement at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Reporting Date using:</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780" w:type="dxa"/>
            <w:vAlign w:val="bottom"/>
            <w:gridSpan w:val="3"/>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Markets for Identical</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49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822,348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822,348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Corporate obligations (1)</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investments</w:t>
            </w: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Forward foreign currency exchange contracts (2)</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derivatives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185,349</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6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9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2" w:name="page13"/>
    <w:bookmarkEnd w:id="12"/>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January 30, 2021 was $20.0 million.</w:t>
      </w:r>
    </w:p>
    <w:p>
      <w:pPr>
        <w:spacing w:after="0" w:line="23" w:lineRule="exact"/>
        <w:rPr>
          <w:rFonts w:ascii="Arial" w:cs="Arial" w:eastAsia="Arial" w:hAnsi="Arial"/>
          <w:sz w:val="18"/>
          <w:szCs w:val="18"/>
          <w:color w:val="auto"/>
        </w:rPr>
      </w:pPr>
    </w:p>
    <w:p>
      <w:pPr>
        <w:ind w:left="660" w:right="360" w:hanging="328"/>
        <w:spacing w:after="0" w:line="276" w:lineRule="auto"/>
        <w:tabs>
          <w:tab w:leader="none" w:pos="65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31, 2020</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Markets for Identical</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420" w:type="dxa"/>
            <w:vAlign w:val="bottom"/>
          </w:tcPr>
          <w:p>
            <w:pPr>
              <w:spacing w:after="0"/>
              <w:rPr>
                <w:sz w:val="12"/>
                <w:szCs w:val="12"/>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816,253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816,253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Forward foreign currency exchange contracts (1)</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investments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52,956</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869,209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874,636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Interest rate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214,586</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214,586</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214,586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360" w:hanging="328"/>
        <w:spacing w:after="0" w:line="308" w:lineRule="auto"/>
        <w:tabs>
          <w:tab w:leader="none" w:pos="654"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Company has master netting arrangements by counterparty with respect to derivative contracts. See Note 9,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these Notes to Condensed Consolidated Financial Statements for more information related to the Company's master netting arrangements.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These investments are adjusted to fair value based on quoted market prices or are determined using a yield curve model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current market rates.</w:t>
      </w:r>
    </w:p>
    <w:p>
      <w:pPr>
        <w:spacing w:after="0" w:line="116"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derivatives </w:t>
      </w:r>
      <w:r>
        <w:rPr>
          <w:rFonts w:ascii="Arial" w:cs="Arial" w:eastAsia="Arial" w:hAnsi="Arial"/>
          <w:sz w:val="18"/>
          <w:szCs w:val="18"/>
          <w:color w:val="auto"/>
        </w:rPr>
        <w:t>— The fair value of the interest rate derivatives is estimated using a discounted cash flow analysis based on the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of the derivative.</w:t>
      </w:r>
    </w:p>
    <w:p>
      <w:pPr>
        <w:spacing w:after="0" w:line="11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171"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b w:val="1"/>
          <w:bCs w:val="1"/>
          <w:i w:val="1"/>
          <w:iCs w:val="1"/>
          <w:color w:val="auto"/>
        </w:rPr>
        <w:t>Held for sale assets —</w:t>
      </w:r>
      <w:r>
        <w:rPr>
          <w:rFonts w:ascii="Arial" w:cs="Arial" w:eastAsia="Arial" w:hAnsi="Arial"/>
          <w:sz w:val="16"/>
          <w:szCs w:val="16"/>
          <w:color w:val="auto"/>
        </w:rPr>
        <w:t>The Company has classified the assets held for sale at carrying value. However, if they were to be carried at fair value,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would be considered a Level 3 fair value measurement and would be determined based on the use of appraisals and input from market participants.</w:t>
      </w:r>
    </w:p>
    <w:p>
      <w:pPr>
        <w:spacing w:after="0" w:line="29"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b w:val="1"/>
          <w:bCs w:val="1"/>
          <w:i w:val="1"/>
          <w:iCs w:val="1"/>
          <w:color w:val="auto"/>
        </w:rPr>
        <w:t xml:space="preserve">Debt — </w:t>
      </w:r>
      <w:r>
        <w:rPr>
          <w:rFonts w:ascii="Arial" w:cs="Arial" w:eastAsia="Arial" w:hAnsi="Arial"/>
          <w:sz w:val="16"/>
          <w:szCs w:val="16"/>
          <w:color w:val="auto"/>
        </w:rPr>
        <w:t>The table below presents the estimated fair value of certain financial instruments not recorded at fair value on a recurring basis.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of the term loan approximates fair value. The term loan is classified as a Level 2 measurement according to the fair value hierarchy. The fair 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January 30,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October 31, 2020</w:t>
            </w:r>
          </w:p>
        </w:tc>
        <w:tc>
          <w:tcPr>
            <w:tcW w:w="0" w:type="dxa"/>
            <w:vAlign w:val="bottom"/>
          </w:tcPr>
          <w:p>
            <w:pPr>
              <w:spacing w:after="0"/>
              <w:rPr>
                <w:sz w:val="1"/>
                <w:szCs w:val="1"/>
                <w:color w:val="auto"/>
              </w:rPr>
            </w:pPr>
          </w:p>
        </w:tc>
      </w:tr>
      <w:tr>
        <w:trPr>
          <w:trHeight w:val="134"/>
        </w:trPr>
        <w:tc>
          <w:tcPr>
            <w:tcW w:w="50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28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Principal Amount</w:t>
            </w:r>
          </w:p>
        </w:tc>
        <w:tc>
          <w:tcPr>
            <w:tcW w:w="260" w:type="dxa"/>
            <w:vAlign w:val="bottom"/>
          </w:tcPr>
          <w:p>
            <w:pPr>
              <w:spacing w:after="0"/>
              <w:rPr>
                <w:sz w:val="11"/>
                <w:szCs w:val="11"/>
                <w:color w:val="auto"/>
              </w:rPr>
            </w:pPr>
          </w:p>
        </w:tc>
        <w:tc>
          <w:tcPr>
            <w:tcW w:w="12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2.50%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406,774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408,565</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526,855</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590,115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590,177</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2.95%</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434,919</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3.90%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966,168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969,033</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3.50%</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1,015,998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1,017,505</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4.50%</w:t>
            </w:r>
          </w:p>
        </w:tc>
        <w:tc>
          <w:tcPr>
            <w:tcW w:w="424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321,995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298,153</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5.30%</w:t>
            </w: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538,788</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5,745,078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5,175,000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5,708,995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As of January 30, 2021, the Company believed that none of its unrealized losses on its available-for-sale investments were attributable to credit losses and therefore were not impaired. The investments with unrealized losses consisted primarily of corporate debt securities. In making the determination that the decline in fair value of these securities did not indicate impairment, the Company considered various factors, including, but not limited to: the extent to which fair value was less than cost; the financial condition and near-term prospects of the issuers; and the Company’s intent not to sell these securities and the assessment that it is more likely than not that the Company would not be required to sell these securities before the recovery of their amortized cost basis.</w:t>
      </w:r>
    </w:p>
    <w:p>
      <w:pPr>
        <w:spacing w:after="0" w:line="138" w:lineRule="exact"/>
        <w:rPr>
          <w:sz w:val="20"/>
          <w:szCs w:val="20"/>
          <w:color w:val="auto"/>
        </w:rPr>
      </w:pPr>
    </w:p>
    <w:p>
      <w:pPr>
        <w:ind w:right="540" w:firstLine="445"/>
        <w:spacing w:after="0" w:line="263" w:lineRule="auto"/>
        <w:rPr>
          <w:sz w:val="20"/>
          <w:szCs w:val="20"/>
          <w:color w:val="auto"/>
        </w:rPr>
      </w:pPr>
      <w:r>
        <w:rPr>
          <w:rFonts w:ascii="Arial" w:cs="Arial" w:eastAsia="Arial" w:hAnsi="Arial"/>
          <w:sz w:val="18"/>
          <w:szCs w:val="18"/>
          <w:color w:val="auto"/>
        </w:rPr>
        <w:t>Unrealized gains and losses, net of taxes, are reported as a component of AOCI in the Company’s Condensed Consolidated Statements of Stockholders’ Equity. No material amounts were reclassified out of AOCI during the three months ended January 30, 2021 and February 1, 2020 for realized gains or losses on available-for-sale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Company enters into forward foreign currency exchange contracts to offset certain operational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1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January 30, 2021 and October 31, 2020 were $217.0 million and $202.7 million, respectively. The fair values of forward foreign currency derivative instruments designated as hedging instruments in the Company’s Condensed Consolidated Balance Sheets as of January 30, 2021 and October 31, 2020 were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1139"/>
              <w:spacing w:after="0"/>
              <w:rPr>
                <w:sz w:val="20"/>
                <w:szCs w:val="20"/>
                <w:color w:val="auto"/>
              </w:rPr>
            </w:pPr>
            <w:r>
              <w:rPr>
                <w:rFonts w:ascii="Arial" w:cs="Arial" w:eastAsia="Arial" w:hAnsi="Arial"/>
                <w:sz w:val="14"/>
                <w:szCs w:val="14"/>
                <w:b w:val="1"/>
                <w:bCs w:val="1"/>
                <w:color w:val="auto"/>
              </w:rPr>
              <w:t>Fair Value At</w:t>
            </w:r>
          </w:p>
        </w:tc>
      </w:tr>
      <w:tr>
        <w:trPr>
          <w:trHeight w:val="188"/>
        </w:trPr>
        <w:tc>
          <w:tcPr>
            <w:tcW w:w="4080" w:type="dxa"/>
            <w:vAlign w:val="bottom"/>
          </w:tcPr>
          <w:p>
            <w:pPr>
              <w:spacing w:after="0"/>
              <w:rPr>
                <w:sz w:val="16"/>
                <w:szCs w:val="16"/>
                <w:color w:val="auto"/>
              </w:rPr>
            </w:pPr>
          </w:p>
        </w:tc>
        <w:tc>
          <w:tcPr>
            <w:tcW w:w="3860" w:type="dxa"/>
            <w:vAlign w:val="bottom"/>
            <w:gridSpan w:val="2"/>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 2021</w:t>
            </w:r>
          </w:p>
        </w:tc>
        <w:tc>
          <w:tcPr>
            <w:tcW w:w="20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October 31, 2020</w:t>
            </w:r>
          </w:p>
        </w:tc>
      </w:tr>
      <w:tr>
        <w:trPr>
          <w:trHeight w:val="224"/>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7,490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w:t>
            </w:r>
          </w:p>
        </w:tc>
      </w:tr>
    </w:tbl>
    <w:p>
      <w:pPr>
        <w:spacing w:after="0" w:line="148" w:lineRule="exact"/>
        <w:rPr>
          <w:sz w:val="20"/>
          <w:szCs w:val="20"/>
          <w:color w:val="auto"/>
        </w:rPr>
      </w:pPr>
    </w:p>
    <w:p>
      <w:pPr>
        <w:jc w:val="both"/>
        <w:ind w:right="440" w:firstLine="445"/>
        <w:spacing w:after="0" w:line="263" w:lineRule="auto"/>
        <w:rPr>
          <w:sz w:val="20"/>
          <w:szCs w:val="20"/>
          <w:color w:val="auto"/>
        </w:rPr>
      </w:pPr>
      <w:r>
        <w:rPr>
          <w:rFonts w:ascii="Arial" w:cs="Arial" w:eastAsia="Arial" w:hAnsi="Arial"/>
          <w:sz w:val="18"/>
          <w:szCs w:val="18"/>
          <w:color w:val="auto"/>
        </w:rPr>
        <w:t>As of January 30, 2021 and October 31, 2020, the total notional amounts of undesignated hedges related to forward foreign currency exchange contracts were $87.5 million and $62.7 million, respectively. The fair values of these hedging instruments in the Company’s Condensed Consolidated Balance Sheets were immaterial as of January 30, 2021 and October 31, 2020.</w:t>
      </w:r>
    </w:p>
    <w:p>
      <w:pPr>
        <w:spacing w:after="0" w:line="130"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The Company estimates that $5.1 million, net of tax, of settlements of forward foreign currency derivative instruments included in AOCI will be reclassified into earnings within the next 12 months.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14" w:name="page15"/>
    <w:bookmarkEnd w:id="14"/>
    <w:p>
      <w:pPr>
        <w:ind w:right="20" w:firstLine="405"/>
        <w:spacing w:after="0" w:line="311" w:lineRule="auto"/>
        <w:rPr>
          <w:sz w:val="20"/>
          <w:szCs w:val="20"/>
          <w:color w:val="auto"/>
        </w:rPr>
      </w:pPr>
      <w:r>
        <w:rPr>
          <w:rFonts w:ascii="Arial" w:cs="Arial" w:eastAsia="Arial" w:hAnsi="Arial"/>
          <w:sz w:val="16"/>
          <w:szCs w:val="16"/>
          <w:color w:val="auto"/>
        </w:rPr>
        <w:t>All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January 30, 2021 and October 31, 2020, none of the netting arrangements involved collateral.</w:t>
      </w:r>
    </w:p>
    <w:p>
      <w:pPr>
        <w:spacing w:after="0" w:line="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30, 2021</w:t>
            </w: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October 31, 2020</w:t>
            </w:r>
          </w:p>
        </w:tc>
      </w:tr>
      <w:tr>
        <w:trPr>
          <w:trHeight w:val="229"/>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amount of recognized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amounts of recognized liabilities offset in the Condensed Consolidated Balance Sheets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presented in the Condensed Consolidated Balance Sheets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45"/>
        <w:spacing w:after="0" w:line="342" w:lineRule="auto"/>
        <w:rPr>
          <w:sz w:val="20"/>
          <w:szCs w:val="20"/>
          <w:color w:val="auto"/>
        </w:rPr>
      </w:pPr>
      <w:r>
        <w:rPr>
          <w:rFonts w:ascii="Arial" w:cs="Arial" w:eastAsia="Arial" w:hAnsi="Arial"/>
          <w:sz w:val="16"/>
          <w:szCs w:val="16"/>
          <w:color w:val="auto"/>
        </w:rPr>
        <w:t>As of January 30, 2021 and October 31, 2020, the fair value of the interest rate swap agreement designated as a cash flow hedge was $185.3 million and $214.6 million, respectively, and is included within Accrued liabilities in the Company's Condensed Consolidated Balance Sheets.</w:t>
      </w:r>
    </w:p>
    <w:p>
      <w:pPr>
        <w:spacing w:after="0" w:line="70"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January 30, 2021 and October 31, 2020,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31"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January 30, 2021 and October 31, 2020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30, 2021</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Arial" w:cs="Arial" w:eastAsia="Arial" w:hAnsi="Arial"/>
                <w:sz w:val="14"/>
                <w:szCs w:val="14"/>
                <w:b w:val="1"/>
                <w:bCs w:val="1"/>
                <w:color w:val="auto"/>
              </w:rPr>
              <w:t>October 31, 2020</w:t>
            </w:r>
          </w:p>
        </w:tc>
      </w:tr>
      <w:tr>
        <w:trPr>
          <w:trHeight w:val="22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33,806</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444,083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443,690</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130,764</w:t>
            </w:r>
          </w:p>
        </w:tc>
      </w:tr>
      <w:tr>
        <w:trPr>
          <w:trHeight w:val="223"/>
        </w:trPr>
        <w:tc>
          <w:tcPr>
            <w:tcW w:w="736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608,260</w:t>
            </w: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175"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color w:val="auto"/>
        </w:rPr>
        <w:t>The Company’s effective tax rates for the three-month periods ended January 30, 2021 and February 1, 2020 were below the U.S. statutory tax rate of 21.0%, due to lower statutory tax rates applicable to the Company's operations in the foreign jurisdictions in which it earns income.</w:t>
      </w:r>
    </w:p>
    <w:p>
      <w:pPr>
        <w:spacing w:after="0" w:line="92"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The Company has numerous audits ongoing throughout the world including: an IRS income tax audit for the fiscal years ended November 3, 2018 (fiscal 2018) and November 2, 2019 (fiscal 2019); various U.S. state and local tax audits; and international audits, including the transfer pricing audit in Ireland discussed below. The Company's U.S. federal tax returns prior to the fiscal year ended October 28, 2017 (fiscal 2017) are no longer subject to examination.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5" w:name="page16"/>
    <w:bookmarkEnd w:id="15"/>
    <w:p>
      <w:pPr>
        <w:ind w:firstLine="445"/>
        <w:spacing w:after="0" w:line="283" w:lineRule="auto"/>
        <w:rPr>
          <w:sz w:val="20"/>
          <w:szCs w:val="20"/>
          <w:color w:val="auto"/>
        </w:rPr>
      </w:pPr>
      <w:r>
        <w:rPr>
          <w:rFonts w:ascii="Arial" w:cs="Arial" w:eastAsia="Arial" w:hAnsi="Arial"/>
          <w:sz w:val="16"/>
          <w:szCs w:val="16"/>
          <w:color w:val="auto"/>
        </w:rPr>
        <w:t>The Company’s Ireland tax returns prior to the fiscal year ended November 2, 2013 are no longer subject to examination. During the fourth quarter of fiscal 2018, the Company’s Irish tax resident subsidiary received an assessment for the fiscal year ended November 2, 2013 (fiscal 2013) of approximately €43.0 million, or $52.0 million (as of January 30, 2021), from the Irish Revenue Commissioners (Irish Revenue). This assessment excludes any penalties and interest. The assessment claims that the Company’s Irish entity failed to conform to 2010 OECD Transfer Pricing Guidelines. The Company strongly disagrees with the assessment and maintains that its transfer pricing is appropriate. Therefore, the Company has not recorded any additional tax liability related to fiscal 2013. The Company intends to vigorously defend its originally filed tax return position and is currently preparing for an appeal with the Irish Tax Appeals Commission, which is the normal process for the resolution of differences between Irish Revenue and taxpayers. If Irish Revenue were ultimately to prevail with respect to its assessment for fiscal 2013, such assessment and any potential impact related to other open years subsequent to fiscal 2013 could have a material unfavorable impact on the Company's income tax expense and net earnings in future periods. During fiscal 2019, Irish Revenue commenced transfer pricing audits of the fiscal years ended November 1, 2014 (fiscal 2014); October 31, 2015 (fiscal 2015); October 29, 2016 (fiscal</w:t>
      </w:r>
    </w:p>
    <w:p>
      <w:pPr>
        <w:spacing w:after="0" w:line="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2016); and fiscal 2017. However, the Company received confirmation from Irish Revenue that the audit relating to fiscal 2014 was complete and that no further tax assessment arose in respect of that period. During fiscal 2020, the Company settled the audit relating to fiscal 2015 for an additional tax payment that was not material. The audits related to fiscal 2016 and fiscal 2017 are on-going.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Instruments</w:t>
      </w:r>
    </w:p>
    <w:p>
      <w:pPr>
        <w:spacing w:after="0" w:line="104"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Measurement of Credit Losses on Financial Instruments </w:t>
      </w:r>
      <w:r>
        <w:rPr>
          <w:rFonts w:ascii="Arial" w:cs="Arial" w:eastAsia="Arial" w:hAnsi="Arial"/>
          <w:sz w:val="17"/>
          <w:szCs w:val="17"/>
          <w:color w:val="auto"/>
        </w:rPr>
        <w:t>(ASU 2016-13). ASU 2016-13 requires a financial asset (or group of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assets) measured at 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In 2019, the FASB issued ASU 2019-05, </w:t>
      </w:r>
      <w:r>
        <w:rPr>
          <w:rFonts w:ascii="Arial" w:cs="Arial" w:eastAsia="Arial" w:hAnsi="Arial"/>
          <w:sz w:val="17"/>
          <w:szCs w:val="17"/>
          <w:i w:val="1"/>
          <w:iCs w:val="1"/>
          <w:color w:val="auto"/>
        </w:rPr>
        <w:t>Financial Instruments - Credit Losses (Topic 326): Targeted Transition Relief</w:t>
      </w:r>
      <w:r>
        <w:rPr>
          <w:rFonts w:ascii="Arial" w:cs="Arial" w:eastAsia="Arial" w:hAnsi="Arial"/>
          <w:sz w:val="17"/>
          <w:szCs w:val="17"/>
          <w:color w:val="auto"/>
        </w:rPr>
        <w:t xml:space="preserve"> (ASU 2019-05) and ASU 2019-11, </w:t>
      </w:r>
      <w:r>
        <w:rPr>
          <w:rFonts w:ascii="Arial" w:cs="Arial" w:eastAsia="Arial" w:hAnsi="Arial"/>
          <w:sz w:val="17"/>
          <w:szCs w:val="17"/>
          <w:i w:val="1"/>
          <w:iCs w:val="1"/>
          <w:color w:val="auto"/>
        </w:rPr>
        <w:t>Codification Improvements to Topic 326</w:t>
      </w:r>
      <w:r>
        <w:rPr>
          <w:rFonts w:ascii="Arial" w:cs="Arial" w:eastAsia="Arial" w:hAnsi="Arial"/>
          <w:sz w:val="17"/>
          <w:szCs w:val="17"/>
          <w:color w:val="auto"/>
        </w:rPr>
        <w:t xml:space="preserve"> (ASU 2019-11). ASU 2019-05 allows an entity to irrevocably elect the fair value option for certain financial instruments. Once elected, an entity would recognize the difference between the carrying amount and the fair value of the financial instrument as part of the cumulative effect adjustments associated with the adoption of ASU 2016-13. ASU 2019-11 allows entities to exclude the accrued interest component of amortized cost from various disclosures required by ASC 326.</w:t>
      </w:r>
    </w:p>
    <w:p>
      <w:pPr>
        <w:spacing w:after="0" w:line="4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The Company is exposed to credit losses through sales of its products and certain financial instruments. The Company determines if there is an expected loss on its accounts receivables using historical collection experience, current and future economic and market conditions and a review of the current status of customers' trade accounts receivables. The Company adopted these standards effective November 1, 2020 using the modified retrospective approach, which did not have a material impact on the Company's financial position and results of operations. See Note 8,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in these Notes to Condensed Consolidated Financial Statements for more information related to how the Company assesses credit losses on its available-for-sale debt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Company adopted ASU 2019-12 in the first quarter of fiscal 2021. Upon adoption, ASU 2019-12 did not have a material impact on the Company's financial position and results of operations.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(ASU 2018-14), which modifies the disclosure requirements for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pension plans and other post-retirement plans. ASU 2018-14 is effective for fiscal years ending after December 15, 2020, with early adoption permitted. The Company adopted ASU 2018-14 in the first quarter of fiscal 2021. Upon adoption, ASU 2018-14 did not have a material impact on the Company's financial position and results of operations.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i w:val="1"/>
          <w:iCs w:val="1"/>
          <w:color w:val="auto"/>
        </w:rPr>
        <w:t>Standards to Be Implemented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Reference Rate Reform</w:t>
      </w:r>
    </w:p>
    <w:p>
      <w:pPr>
        <w:spacing w:after="0" w:line="104"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guidance for accounting for contracts, hedging relationships, and other transactions affected by reference rate</w:t>
      </w:r>
      <w:r>
        <w:rPr>
          <w:rFonts w:ascii="Arial" w:cs="Arial" w:eastAsia="Arial" w:hAnsi="Arial"/>
          <w:sz w:val="16"/>
          <w:szCs w:val="16"/>
          <w:i w:val="1"/>
          <w:iCs w:val="1"/>
          <w:color w:val="auto"/>
        </w:rPr>
        <w:t xml:space="preserve"> </w:t>
      </w:r>
      <w:r>
        <w:rPr>
          <w:rFonts w:ascii="Arial" w:cs="Arial" w:eastAsia="Arial" w:hAnsi="Arial"/>
          <w:sz w:val="16"/>
          <w:szCs w:val="16"/>
          <w:color w:val="auto"/>
        </w:rPr>
        <w:t>reform, if certain criteria are met. The provisions of this standard are available for election through December 31, 2022. The Company is currently evaluating the impact of the reference rate reform on its contracts and the resulting impact of adopting this standard on our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Acquisitions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On July 12, 2020, the Company entered into the Merger Agreement to acquire Maxim, an independent manufacturer of innovative analog and mixed-signal products and technologies. Under the terms of the Merger Agreement, Maxim stockholders will receive, for each outstanding share of Maxim common stock, 0.630 of a share of the Company’s common stock at the closing. The estimated merger consideration is approximately $27.0 billion based on the closing price of the Company's common stock on February 12, 2021. The value of the merger consideration will fluctuate based upon changes in the price of the Company's common stock and the number of shares of Maxim common stock, restricted stock awards and restricted stock unit awards outstanding on the closing date.</w:t>
      </w:r>
    </w:p>
    <w:p>
      <w:pPr>
        <w:spacing w:after="0" w:line="138" w:lineRule="exact"/>
        <w:rPr>
          <w:sz w:val="20"/>
          <w:szCs w:val="20"/>
          <w:color w:val="auto"/>
        </w:rPr>
      </w:pPr>
    </w:p>
    <w:p>
      <w:pPr>
        <w:ind w:right="160" w:firstLine="445"/>
        <w:spacing w:after="0" w:line="275" w:lineRule="auto"/>
        <w:rPr>
          <w:sz w:val="20"/>
          <w:szCs w:val="20"/>
          <w:color w:val="auto"/>
        </w:rPr>
      </w:pPr>
      <w:r>
        <w:rPr>
          <w:rFonts w:ascii="Arial" w:cs="Arial" w:eastAsia="Arial" w:hAnsi="Arial"/>
          <w:sz w:val="17"/>
          <w:szCs w:val="17"/>
          <w:color w:val="auto"/>
        </w:rPr>
        <w:t>The transaction is subject to customary closing conditions, including receipt of certain non-U.S. regulatory approvals. The waiting period under the Hart-Scott-Rodino Antitrust Improvements Act of 1976, as amended, has expired. The Merger Agreement includes termination rights for both the Company and Maxim. The Company may be required to pay Maxim a regulatory termination fee of $830.0 million in cash if the Merger Agreement is terminated in certain circumstances involving the failure to obtain required regulatory approvals. On October 8, 2020, the required shareholder approvals relating to the Merger Agreement were obtained from both the Company's shareholders and Maxim's shareholders.</w:t>
      </w:r>
    </w:p>
    <w:p>
      <w:pPr>
        <w:spacing w:after="0" w:line="122"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In the first three months of fiscal 2021, the Company incurred $15.2 million of transaction-related costs recorded within Selling, marketing, general and administrative expenses in the Company's Condensed Consolidated Statement of Income.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Maxim Merger Litigation</w:t>
      </w:r>
    </w:p>
    <w:p>
      <w:pPr>
        <w:spacing w:after="0" w:line="171"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As previously disclosed, in August and September 2020, three lawsuits were filed against the Company and/or its board of directors in connection with the Company’s proposed acquisition of Maxim: (1) Joseph Post v. Maxim Integrated Products, Inc., et al., Case No. 1:99-mc-09999 (D. Del., filed August 24, 2020) (the Post Action); (2) Coe Living Trust v. Analog Devices, Inc., et al., Case No. 1:20-cv-11682 (D. Mass., filed September 11, 2020) (the Coe Action); and (3) Delman, et al. v. Stata, et al., Case No. 2082CV00864 (Mass. Sup. Ct., Norfolk Cnty., filed September 11, 2020) (the Delman Action). The Post Action was brought by a purported shareholder of Maxim against Maxim, the members of Maxim’s board of directors, the Company and a subsidiary of the Company. The Coe Action was brought by a purported shareholder of the Company against the Company and the members of the Company’s board of directors. The Delman Action was brought by two purported shareholders of the Company against the members of the Company’s board of directors. In exchange for certain disclosures that the Company and Maxim voluntarily made in Form 8-Ks filed on September 30, 2020, the plaintiff in the Post Action filed a notice of voluntary dismissal on October 8, 2020, the plaintiff in the Coe Action filed a notice of voluntary dismissal on October 22, 2020, and the plaintiffs in the Delman Action filed a notice of dismissal subject to court approval on October 1, 2020. In each case, the notices of dismissal did not affect the rights of any other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On February 16, 2021, the Board of Directors of the Company declared a cash dividend of $0.69 per outstanding share of common stock. The dividend will be paid on March 9, 2021 to all shareholders of record at the close of business on February 26, 2021 and is expected to total approximately $254.5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7" w:name="page18"/>
    <w:bookmarkEnd w:id="17"/>
    <w:p>
      <w:pPr>
        <w:ind w:left="20"/>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ind w:right="180" w:firstLine="445"/>
        <w:spacing w:after="0" w:line="311"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31, 2020 (fiscal 2020).</w:t>
      </w:r>
    </w:p>
    <w:p>
      <w:pPr>
        <w:spacing w:after="0" w:line="95" w:lineRule="exact"/>
        <w:rPr>
          <w:sz w:val="20"/>
          <w:szCs w:val="20"/>
          <w:color w:val="auto"/>
        </w:rPr>
      </w:pPr>
    </w:p>
    <w:p>
      <w:pPr>
        <w:ind w:right="60" w:firstLine="445"/>
        <w:spacing w:after="0" w:line="285" w:lineRule="auto"/>
        <w:rPr>
          <w:sz w:val="20"/>
          <w:szCs w:val="20"/>
          <w:color w:val="auto"/>
        </w:rPr>
      </w:pPr>
      <w:r>
        <w:rPr>
          <w:rFonts w:ascii="Arial" w:cs="Arial" w:eastAsia="Arial" w:hAnsi="Arial"/>
          <w:sz w:val="16"/>
          <w:szCs w:val="16"/>
          <w:color w:val="auto"/>
        </w:rPr>
        <w:t xml:space="preserve">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the proposed acquisition of Maxim Integrated Products, Inc.; our anticipated growth and trends in our businesses; our future liquidity, capital needs and capital expenditures; </w:t>
      </w:r>
      <w:r>
        <w:rPr>
          <w:rFonts w:ascii="Arial" w:cs="Arial" w:eastAsia="Arial" w:hAnsi="Arial"/>
          <w:sz w:val="16"/>
          <w:szCs w:val="16"/>
          <w:color w:val="212529"/>
        </w:rPr>
        <w:t>the impact of the</w:t>
      </w:r>
      <w:r>
        <w:rPr>
          <w:rFonts w:ascii="Arial" w:cs="Arial" w:eastAsia="Arial" w:hAnsi="Arial"/>
          <w:sz w:val="16"/>
          <w:szCs w:val="16"/>
          <w:color w:val="auto"/>
        </w:rPr>
        <w:t xml:space="preserve"> </w:t>
      </w:r>
      <w:r>
        <w:rPr>
          <w:rFonts w:ascii="Arial" w:cs="Arial" w:eastAsia="Arial" w:hAnsi="Arial"/>
          <w:sz w:val="16"/>
          <w:szCs w:val="16"/>
          <w:color w:val="212529"/>
        </w:rPr>
        <w:t xml:space="preserve">COVID-19 pandemic on our business, financial condition and results of operations; </w:t>
      </w:r>
      <w:r>
        <w:rPr>
          <w:rFonts w:ascii="Arial" w:cs="Arial" w:eastAsia="Arial" w:hAnsi="Arial"/>
          <w:sz w:val="16"/>
          <w:szCs w:val="16"/>
          <w:color w:val="000000"/>
        </w:rPr>
        <w:t>our future market position and expected competitive changes in the</w:t>
      </w:r>
      <w:r>
        <w:rPr>
          <w:rFonts w:ascii="Arial" w:cs="Arial" w:eastAsia="Arial" w:hAnsi="Arial"/>
          <w:sz w:val="16"/>
          <w:szCs w:val="16"/>
          <w:color w:val="212529"/>
        </w:rPr>
        <w:t xml:space="preserve"> </w:t>
      </w:r>
      <w:r>
        <w:rPr>
          <w:rFonts w:ascii="Arial" w:cs="Arial" w:eastAsia="Arial" w:hAnsi="Arial"/>
          <w:sz w:val="16"/>
          <w:szCs w:val="16"/>
          <w:color w:val="000000"/>
        </w:rPr>
        <w:t>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71"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The pandemic caused by the novel strain of the coronavirus (COVID-19) has resulted in government authorities implementing numerous measures to try to contain the virus, such as travel bans and restrictions, quarantines, shelter in place orders and shutdowns. These measures have impacted and likely will continue to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Since the beginning of the third quarter of fiscal 2020, our manufacturing operations and supply chain generally stabilized at normal levels, but that could change in the future given that the COVID-19 situation remains dynamic.</w:t>
      </w:r>
    </w:p>
    <w:p>
      <w:pPr>
        <w:spacing w:after="0" w:line="12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11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While we are confident that our strategy and long-term contingency planning have positioned us well to weather the current uncertainty, we cannot at this time fully quantify or forecast the impact of COVID-19 on our business. The degree to which COVID-19 impacts our business, financial condition and results of operations will depend on future developments, which are highly uncertain, and we cannot provide assurance as to the duration and scope of the pandemic, its severity, the actions to contain the virus or treat its impact, or how quickly and to what extent normal economic and operating conditions can resume.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Acquisition of Maxim Integrated Products, Inc.</w:t>
      </w:r>
    </w:p>
    <w:p>
      <w:pPr>
        <w:spacing w:after="0" w:line="171" w:lineRule="exact"/>
        <w:rPr>
          <w:sz w:val="20"/>
          <w:szCs w:val="20"/>
          <w:color w:val="auto"/>
        </w:rPr>
      </w:pPr>
    </w:p>
    <w:p>
      <w:pPr>
        <w:ind w:right="100" w:firstLine="445"/>
        <w:spacing w:after="0" w:line="296" w:lineRule="auto"/>
        <w:rPr>
          <w:sz w:val="20"/>
          <w:szCs w:val="20"/>
          <w:color w:val="auto"/>
        </w:rPr>
      </w:pPr>
      <w:r>
        <w:rPr>
          <w:rFonts w:ascii="Arial" w:cs="Arial" w:eastAsia="Arial" w:hAnsi="Arial"/>
          <w:sz w:val="16"/>
          <w:szCs w:val="16"/>
          <w:color w:val="auto"/>
        </w:rPr>
        <w:t>On July 12, 2020, we entered into a definitive agreement (the Merger Agreement) to acquire Maxim Integrated Products, Inc. (Maxim), an independent manufacturer of innovative analog and mixed-signal products and technologies. Under the terms of the Merger Agreement, Maxim stockholders will receive, for each outstanding share of Maxim common stock, 0.630 of a share of our common stock. The estimated merger consideration is approximately $27.0 billion based on the closing price of our common stock on February 12, 2021. Following the approval of Maxim stockholders and our shareholders, as well as the expiration of the waiting-period applicable to U.S. regulatory approval, the transaction is subject to customary closing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 xml:space="preserve">conditions, including receipt of certain non-U.S. regulatory approvals. See Note 13, </w:t>
      </w:r>
      <w:r>
        <w:rPr>
          <w:rFonts w:ascii="Arial" w:cs="Arial" w:eastAsia="Arial" w:hAnsi="Arial"/>
          <w:sz w:val="18"/>
          <w:szCs w:val="18"/>
          <w:i w:val="1"/>
          <w:iCs w:val="1"/>
          <w:color w:val="auto"/>
        </w:rPr>
        <w:t>Acquisitions</w:t>
      </w:r>
      <w:r>
        <w:rPr>
          <w:rFonts w:ascii="Arial" w:cs="Arial" w:eastAsia="Arial" w:hAnsi="Arial"/>
          <w:sz w:val="18"/>
          <w:szCs w:val="18"/>
          <w:color w:val="auto"/>
        </w:rPr>
        <w:t>, in the Notes to the Condensed Consolidated Financial Statements contained in Part I, Item 1 of this Quarterly Report on Form 10-Q for further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2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Pr>
          <w:p>
            <w:pPr>
              <w:jc w:val="right"/>
              <w:ind w:right="23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1,558,458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1,303,565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254,893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388,519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203,874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45"/>
        <w:spacing w:after="0" w:line="290" w:lineRule="auto"/>
        <w:rPr>
          <w:sz w:val="20"/>
          <w:szCs w:val="20"/>
          <w:color w:val="auto"/>
        </w:rPr>
      </w:pPr>
      <w:r>
        <w:rPr>
          <w:rFonts w:ascii="Arial" w:cs="Arial" w:eastAsia="Arial" w:hAnsi="Arial"/>
          <w:sz w:val="16"/>
          <w:szCs w:val="16"/>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center"/>
              <w:ind w:left="1098"/>
              <w:spacing w:after="0"/>
              <w:rPr>
                <w:sz w:val="20"/>
                <w:szCs w:val="20"/>
                <w:color w:val="auto"/>
              </w:rPr>
            </w:pPr>
            <w:r>
              <w:rPr>
                <w:rFonts w:ascii="Arial" w:cs="Arial" w:eastAsia="Arial" w:hAnsi="Arial"/>
                <w:sz w:val="14"/>
                <w:szCs w:val="14"/>
                <w:b w:val="1"/>
                <w:bCs w:val="1"/>
                <w:color w:val="auto"/>
                <w:w w:val="95"/>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6"/>
              </w:rPr>
              <w:t>January 30, 2021</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130"/>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440" w:type="dxa"/>
            <w:vAlign w:val="bottom"/>
          </w:tcPr>
          <w:p>
            <w:pPr>
              <w:jc w:val="right"/>
              <w:ind w:right="498"/>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460" w:type="dxa"/>
            <w:vAlign w:val="bottom"/>
          </w:tcPr>
          <w:p>
            <w:pPr>
              <w:jc w:val="right"/>
              <w:ind w:right="495"/>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338"/>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855,454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687,685</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281,049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241,804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245,250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176,705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168,364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1,558,458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1,303,565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17"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Revenue increased in the three-month period ended January 30, 2021, as compared to the same period of the prior fiscal year, primarily as a result of higher demand for our products across all end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180" w:firstLine="405"/>
        <w:spacing w:after="0" w:line="279" w:lineRule="auto"/>
        <w:rPr>
          <w:sz w:val="20"/>
          <w:szCs w:val="20"/>
          <w:color w:val="auto"/>
        </w:rPr>
      </w:pPr>
      <w:r>
        <w:rPr>
          <w:rFonts w:ascii="Arial" w:cs="Arial" w:eastAsia="Arial" w:hAnsi="Arial"/>
          <w:sz w:val="17"/>
          <w:szCs w:val="17"/>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bottom w:val="single" w:sz="8" w:color="auto"/>
            </w:tcBorders>
          </w:tcPr>
          <w:p>
            <w:pPr>
              <w:spacing w:after="0"/>
              <w:rPr>
                <w:sz w:val="16"/>
                <w:szCs w:val="16"/>
                <w:color w:val="auto"/>
              </w:rPr>
            </w:pPr>
          </w:p>
        </w:tc>
      </w:tr>
      <w:tr>
        <w:trPr>
          <w:trHeight w:val="187"/>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840"/>
              <w:spacing w:after="0"/>
              <w:rPr>
                <w:sz w:val="20"/>
                <w:szCs w:val="20"/>
                <w:color w:val="auto"/>
              </w:rPr>
            </w:pPr>
            <w:r>
              <w:rPr>
                <w:rFonts w:ascii="Arial" w:cs="Arial" w:eastAsia="Arial" w:hAnsi="Arial"/>
                <w:sz w:val="14"/>
                <w:szCs w:val="14"/>
                <w:b w:val="1"/>
                <w:bCs w:val="1"/>
                <w:color w:val="auto"/>
              </w:rPr>
              <w:t>January 30, 2021</w:t>
            </w:r>
          </w:p>
        </w:tc>
        <w:tc>
          <w:tcPr>
            <w:tcW w:w="300" w:type="dxa"/>
            <w:vAlign w:val="bottom"/>
          </w:tcPr>
          <w:p>
            <w:pPr>
              <w:spacing w:after="0"/>
              <w:rPr>
                <w:sz w:val="16"/>
                <w:szCs w:val="16"/>
                <w:color w:val="auto"/>
              </w:rPr>
            </w:pPr>
          </w:p>
        </w:tc>
        <w:tc>
          <w:tcPr>
            <w:tcW w:w="3020" w:type="dxa"/>
            <w:vAlign w:val="bottom"/>
            <w:gridSpan w:val="3"/>
          </w:tcPr>
          <w:p>
            <w:pPr>
              <w:jc w:val="right"/>
              <w:ind w:right="1054"/>
              <w:spacing w:after="0"/>
              <w:rPr>
                <w:sz w:val="20"/>
                <w:szCs w:val="20"/>
                <w:color w:val="auto"/>
              </w:rPr>
            </w:pPr>
            <w:r>
              <w:rPr>
                <w:rFonts w:ascii="Arial" w:cs="Arial" w:eastAsia="Arial" w:hAnsi="Arial"/>
                <w:sz w:val="14"/>
                <w:szCs w:val="14"/>
                <w:b w:val="1"/>
                <w:bCs w:val="1"/>
                <w:color w:val="auto"/>
              </w:rPr>
              <w:t>February 1, 2020</w:t>
            </w:r>
          </w:p>
        </w:tc>
      </w:tr>
      <w:tr>
        <w:trPr>
          <w:trHeight w:val="183"/>
        </w:trPr>
        <w:tc>
          <w:tcPr>
            <w:tcW w:w="45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Revenue*</w:t>
            </w:r>
          </w:p>
        </w:tc>
      </w:tr>
      <w:tr>
        <w:trPr>
          <w:trHeight w:val="211"/>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50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946,386</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747,561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589,456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529,731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22,616</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26,273</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1,558,458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1,303,565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171"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87"/>
        </w:trPr>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22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1,045,371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848,142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197,229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65.1 %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47" w:lineRule="exact"/>
        <w:rPr>
          <w:sz w:val="20"/>
          <w:szCs w:val="20"/>
          <w:color w:val="auto"/>
        </w:rPr>
      </w:pPr>
    </w:p>
    <w:p>
      <w:pPr>
        <w:ind w:right="380" w:firstLine="445"/>
        <w:spacing w:after="0" w:line="277" w:lineRule="auto"/>
        <w:rPr>
          <w:sz w:val="20"/>
          <w:szCs w:val="20"/>
          <w:color w:val="auto"/>
        </w:rPr>
      </w:pPr>
      <w:r>
        <w:rPr>
          <w:rFonts w:ascii="Arial" w:cs="Arial" w:eastAsia="Arial" w:hAnsi="Arial"/>
          <w:sz w:val="18"/>
          <w:szCs w:val="18"/>
          <w:color w:val="auto"/>
        </w:rPr>
        <w:t>Gross margin percentage increased by 200 basis points in the three-month period ended January 30, 2021, as compared to the same period of the prior fiscal year, primarily as a result of higher utilization of our factories due to increased customer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87"/>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22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288,150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257,073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R&amp;D expenses as a % of revenue</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47" w:lineRule="exact"/>
        <w:rPr>
          <w:sz w:val="20"/>
          <w:szCs w:val="20"/>
          <w:color w:val="auto"/>
        </w:rPr>
      </w:pPr>
    </w:p>
    <w:p>
      <w:pPr>
        <w:jc w:val="both"/>
        <w:ind w:right="240" w:firstLine="445"/>
        <w:spacing w:after="0" w:line="342" w:lineRule="auto"/>
        <w:rPr>
          <w:sz w:val="20"/>
          <w:szCs w:val="20"/>
          <w:color w:val="auto"/>
        </w:rPr>
      </w:pPr>
      <w:r>
        <w:rPr>
          <w:rFonts w:ascii="Arial" w:cs="Arial" w:eastAsia="Arial" w:hAnsi="Arial"/>
          <w:sz w:val="16"/>
          <w:szCs w:val="16"/>
          <w:color w:val="auto"/>
        </w:rPr>
        <w:t>R&amp;D expenses increased in the three-month period ended January 30, 2021, as compared to the same period of the prior fiscal year, primarily as a result of higher R&amp;D employee-related variable compensation expense and salary and benefit expenses, partially offset by lower discretionary spending.</w:t>
      </w:r>
    </w:p>
    <w:p>
      <w:pPr>
        <w:spacing w:after="0" w:line="70" w:lineRule="exact"/>
        <w:rPr>
          <w:sz w:val="20"/>
          <w:szCs w:val="20"/>
          <w:color w:val="auto"/>
        </w:rPr>
      </w:pPr>
    </w:p>
    <w:p>
      <w:pPr>
        <w:ind w:right="80" w:firstLine="445"/>
        <w:spacing w:after="0" w:line="279"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 Therefore, we expect to continue to make significant R&amp;D investments in the future.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87"/>
        </w:trPr>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22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1, 2020</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SMG&amp;A expenses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185,275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199,280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SMG&amp;A expenses as a % of revenue</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47"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SMG&amp;A expenses decreased in the three-month period ended January 30, 2021, as compared to the same period of the prior fiscal year, primarily as a result of a $40.0 million charitable contribution to the Analog Devices Foundation made in the first quarter of fiscal 2020, partially offset by $15.2 million in acquisition-related transaction costs in connection with the proposed acquisition of Maxim as well as higher variable compensation expense in the first quarter of the fiscal year ending October 30, 2021 (fiscal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Operating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r>
      <w:tr>
        <w:trPr>
          <w:trHeight w:val="187"/>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 2021</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1, 2020</w:t>
            </w: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463,860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273,428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190,432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70 %</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pacing w:after="0" w:line="147"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 xml:space="preserve">The year-over-year increase in operating income in the three-month period ended January 30, 2021 was primarily the result of an increase in revenue of $254.9 million, which drove a higher gross margin of $197.2 million, and decreases of $14.0 million in SMG&amp;A expenses and $10.7 million in special charges, partially offset by a $31.1 million increase in R&amp;D expenses, as described above under the headings </w:t>
      </w:r>
      <w:r>
        <w:rPr>
          <w:rFonts w:ascii="Arial" w:cs="Arial" w:eastAsia="Arial" w:hAnsi="Arial"/>
          <w:sz w:val="17"/>
          <w:szCs w:val="17"/>
          <w:i w:val="1"/>
          <w:iCs w:val="1"/>
          <w:color w:val="auto"/>
        </w:rPr>
        <w:t>Revenue Trends by End Market, Gross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Margin, Selling, Marketing, General and Administrative (SMG&amp;A) </w:t>
      </w:r>
      <w:r>
        <w:rPr>
          <w:rFonts w:ascii="Arial" w:cs="Arial" w:eastAsia="Arial" w:hAnsi="Arial"/>
          <w:sz w:val="17"/>
          <w:szCs w:val="17"/>
          <w:color w:val="auto"/>
        </w:rPr>
        <w:t>and</w:t>
      </w:r>
      <w:r>
        <w:rPr>
          <w:rFonts w:ascii="Arial" w:cs="Arial" w:eastAsia="Arial" w:hAnsi="Arial"/>
          <w:sz w:val="17"/>
          <w:szCs w:val="17"/>
          <w:i w:val="1"/>
          <w:iCs w:val="1"/>
          <w:color w:val="auto"/>
        </w:rPr>
        <w:t xml:space="preserve"> Research and Development (R&amp;D).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7"/>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2021</w:t>
            </w:r>
          </w:p>
        </w:tc>
        <w:tc>
          <w:tcPr>
            <w:tcW w:w="12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1, 2020</w:t>
            </w:r>
          </w:p>
        </w:tc>
        <w:tc>
          <w:tcPr>
            <w:tcW w:w="240" w:type="dxa"/>
            <w:vAlign w:val="bottom"/>
          </w:tcPr>
          <w:p>
            <w:pPr>
              <w:spacing w:after="0"/>
              <w:rPr>
                <w:sz w:val="16"/>
                <w:szCs w:val="16"/>
                <w:color w:val="auto"/>
              </w:rPr>
            </w:pPr>
          </w:p>
        </w:tc>
        <w:tc>
          <w:tcPr>
            <w:tcW w:w="110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(19,969)</w:t>
            </w:r>
          </w:p>
        </w:tc>
      </w:tr>
    </w:tbl>
    <w:p>
      <w:pPr>
        <w:spacing w:after="0" w:line="148"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year-over-year decrease in nonoperating expense in the three-month period ended January 30, 2021 was primarily the result of a $16.2 million gain recorded in other investments in the first quarter of fiscal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7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76"/>
              <w:spacing w:after="0"/>
              <w:rPr>
                <w:sz w:val="20"/>
                <w:szCs w:val="20"/>
                <w:color w:val="auto"/>
              </w:rPr>
            </w:pPr>
            <w:r>
              <w:rPr>
                <w:rFonts w:ascii="Arial" w:cs="Arial" w:eastAsia="Arial" w:hAnsi="Arial"/>
                <w:sz w:val="14"/>
                <w:szCs w:val="14"/>
                <w:b w:val="1"/>
                <w:bCs w:val="1"/>
                <w:color w:val="auto"/>
                <w:w w:val="94"/>
              </w:rPr>
              <w:t>January 30, 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6"/>
                <w:szCs w:val="16"/>
                <w:color w:val="auto"/>
              </w:rPr>
            </w:pPr>
          </w:p>
        </w:tc>
        <w:tc>
          <w:tcPr>
            <w:tcW w:w="102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7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48,099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22,343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25,756</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93"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effective tax rates for the three-month periods ended January 30, 2021 and February 1, 2020 were below the U.S. statutory tax rate of 21% due to lower statutory tax rates applicable to our operations in the foreign jurisdictions in which we earn income. Our pretax income for the three-month periods ended January 30, 2021 and February 1, 2020 was primarily generated in Ireland at a tax rate of 12.5%.</w:t>
      </w:r>
    </w:p>
    <w:p>
      <w:pPr>
        <w:spacing w:after="0" w:line="76"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6"/>
                <w:szCs w:val="16"/>
                <w:color w:val="auto"/>
              </w:rPr>
            </w:pPr>
          </w:p>
        </w:tc>
      </w:tr>
      <w:tr>
        <w:trPr>
          <w:trHeight w:val="187"/>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 2021</w:t>
            </w: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1, 2020</w:t>
            </w:r>
          </w:p>
        </w:tc>
        <w:tc>
          <w:tcPr>
            <w:tcW w:w="20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388,519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203,874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184,645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148"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color w:val="auto"/>
        </w:rPr>
        <w:t>Net income increased in the three-month period ended January 30, 2021, as compared to the same period of the prior fiscal year, as a result of a $190.4 million increase in operating income and a $20.0 million decrease in nonoperating expense (income), partially offset by a $25.8 million increase in provision for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At January 30, 2021, our principal source of liquidity was $1,048.1 million of cash and cash equivalents, of which approximately $245.8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jc w:val="both"/>
        <w:ind w:right="340" w:firstLine="445"/>
        <w:spacing w:after="0" w:line="311"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transaction costs associated with our proposed merger with Maxim and dividend payments (if any) in the immediate future and for at least the next twelve months.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1114"/>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30, 2021</w:t>
            </w:r>
          </w:p>
        </w:tc>
        <w:tc>
          <w:tcPr>
            <w:tcW w:w="26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Arial" w:cs="Arial" w:eastAsia="Arial" w:hAnsi="Arial"/>
                <w:sz w:val="14"/>
                <w:szCs w:val="14"/>
                <w:b w:val="1"/>
                <w:bCs w:val="1"/>
                <w:color w:val="auto"/>
              </w:rPr>
              <w:t>February 1, 2020</w:t>
            </w:r>
          </w:p>
        </w:tc>
      </w:tr>
      <w:tr>
        <w:trPr>
          <w:trHeight w:val="224"/>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427,941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349,648</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(75,071)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(54,732)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96"/>
              <w:spacing w:after="0"/>
              <w:rPr>
                <w:sz w:val="20"/>
                <w:szCs w:val="20"/>
                <w:color w:val="auto"/>
              </w:rPr>
            </w:pPr>
            <w:r>
              <w:rPr>
                <w:rFonts w:ascii="Arial" w:cs="Arial" w:eastAsia="Arial" w:hAnsi="Arial"/>
                <w:sz w:val="18"/>
                <w:szCs w:val="18"/>
                <w:color w:val="auto"/>
              </w:rPr>
              <w:t>(363,823)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94"/>
              <w:spacing w:after="0"/>
              <w:rPr>
                <w:sz w:val="20"/>
                <w:szCs w:val="20"/>
                <w:color w:val="auto"/>
              </w:rPr>
            </w:pPr>
            <w:r>
              <w:rPr>
                <w:rFonts w:ascii="Arial" w:cs="Arial" w:eastAsia="Arial" w:hAnsi="Arial"/>
                <w:sz w:val="18"/>
                <w:szCs w:val="18"/>
                <w:color w:val="auto"/>
              </w:rPr>
              <w:t>(289,572)</w:t>
            </w:r>
          </w:p>
        </w:tc>
      </w:tr>
    </w:tbl>
    <w:p>
      <w:pPr>
        <w:spacing w:after="0" w:line="93"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following changes contributed to the net change in cash and cash equivalents in the three-month period ended January 30, 2021 as compared to the same period in fiscal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Cash provided by operating activities is net income adjusted for certain non-cash items and changes in operating assets and liabilities. The increase in cash provided by operating activities during the three-month period ended January 30, 2021, as compared to the same period of the prior fiscal year, was primarily the result of higher net income adjusted for non-cash items, partially offset by changes in working capital.</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Investing cash flows generally consist of capital expenditures and cash used for acquisitions. The increase in cash used for investing activities during the three-month period ended January 30, 2021, as compared to the same period of the prior fiscal year, was primarily the result of cash payments for an asset acquisition and higher capital additions, partially offset by proceeds from other investments.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three-month period ended January 30, 2021, as compared to the same period of the prior fiscal year, was primarily the result of increases in common stock repurchases and dividend payments to shareholders.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 2021</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2020</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826,964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737,536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89,428</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93" w:lineRule="exact"/>
        <w:rPr>
          <w:sz w:val="20"/>
          <w:szCs w:val="20"/>
          <w:color w:val="auto"/>
        </w:rPr>
      </w:pPr>
    </w:p>
    <w:p>
      <w:pPr>
        <w:ind w:right="360" w:firstLine="8"/>
        <w:spacing w:after="0" w:line="277" w:lineRule="auto"/>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use the average of the current quarter and prior quarter ending accounts receivable and ending inventory balances in our calculation of days sales outstanding and days cost of sales in inventory,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increase in accounts receivable in dollars was primarily the result of variations in the timing of collections and billings.</w:t>
      </w:r>
    </w:p>
    <w:p>
      <w:pPr>
        <w:spacing w:after="0" w:line="117" w:lineRule="exact"/>
        <w:rPr>
          <w:sz w:val="20"/>
          <w:szCs w:val="20"/>
          <w:color w:val="auto"/>
        </w:rPr>
      </w:pPr>
    </w:p>
    <w:p>
      <w:pPr>
        <w:ind w:right="140" w:firstLine="445"/>
        <w:spacing w:after="0" w:line="308" w:lineRule="auto"/>
        <w:rPr>
          <w:sz w:val="20"/>
          <w:szCs w:val="20"/>
          <w:color w:val="auto"/>
        </w:rPr>
      </w:pPr>
      <w:r>
        <w:rPr>
          <w:rFonts w:ascii="Arial" w:cs="Arial" w:eastAsia="Arial" w:hAnsi="Arial"/>
          <w:sz w:val="17"/>
          <w:szCs w:val="17"/>
          <w:color w:val="auto"/>
        </w:rPr>
        <w:t>Inventory in dollars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38"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Current liabilities increased to approximately $1,676.8 million at January 30, 2021 from approximately $1,365.0 million at the end of fiscal 2020. The increase was primarily due to an increase in the current portion of our debt, partially offset by decreases in accrued liabilities and income taxes payable.</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30, 2021, our debt obligations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Principal Amount</w:t>
            </w:r>
          </w:p>
        </w:tc>
      </w:tr>
      <w:tr>
        <w:trPr>
          <w:trHeight w:val="230"/>
        </w:trPr>
        <w:tc>
          <w:tcPr>
            <w:tcW w:w="520" w:type="dxa"/>
            <w:vAlign w:val="bottom"/>
            <w:tcBorders>
              <w:bottom w:val="single" w:sz="8" w:color="auto"/>
            </w:tcBorders>
          </w:tcPr>
          <w:p>
            <w:pPr>
              <w:spacing w:after="0"/>
              <w:rPr>
                <w:sz w:val="19"/>
                <w:szCs w:val="19"/>
                <w:color w:val="auto"/>
              </w:rPr>
            </w:pPr>
          </w:p>
        </w:tc>
        <w:tc>
          <w:tcPr>
            <w:tcW w:w="8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3-Year term loan, due March 2022</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925,000</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2.50%</w:t>
            </w:r>
          </w:p>
        </w:tc>
        <w:tc>
          <w:tcPr>
            <w:tcW w:w="85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29"/>
        </w:trPr>
        <w:tc>
          <w:tcPr>
            <w:tcW w:w="9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2.875% Senior unsecured notes, due June 2023</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3.125% Senior unsecured notes, due December 2023</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550,000</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2.95%</w:t>
            </w: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April 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8540" w:type="dxa"/>
            <w:vAlign w:val="bottom"/>
          </w:tcPr>
          <w:p>
            <w:pPr>
              <w:ind w:left="20"/>
              <w:spacing w:after="0"/>
              <w:rPr>
                <w:sz w:val="20"/>
                <w:szCs w:val="20"/>
                <w:color w:val="auto"/>
              </w:rPr>
            </w:pPr>
            <w:r>
              <w:rPr>
                <w:rFonts w:ascii="Arial" w:cs="Arial" w:eastAsia="Arial" w:hAnsi="Arial"/>
                <w:sz w:val="18"/>
                <w:szCs w:val="18"/>
                <w:color w:val="auto"/>
              </w:rPr>
              <w:t>Senior unsecured notes, due December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3.50%</w:t>
            </w: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4.50%</w:t>
            </w:r>
          </w:p>
        </w:tc>
        <w:tc>
          <w:tcPr>
            <w:tcW w:w="8540" w:type="dxa"/>
            <w:vAlign w:val="bottom"/>
          </w:tcPr>
          <w:p>
            <w:pPr>
              <w:ind w:left="20"/>
              <w:spacing w:after="0"/>
              <w:rPr>
                <w:sz w:val="20"/>
                <w:szCs w:val="20"/>
                <w:color w:val="auto"/>
              </w:rPr>
            </w:pPr>
            <w:r>
              <w:rPr>
                <w:rFonts w:ascii="Arial" w:cs="Arial" w:eastAsia="Arial" w:hAnsi="Arial"/>
                <w:sz w:val="18"/>
                <w:szCs w:val="18"/>
                <w:color w:val="auto"/>
              </w:rPr>
              <w:t>Senior unsecured 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5.30%</w:t>
            </w:r>
          </w:p>
        </w:tc>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due December 2045</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4"/>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5,175,000</w:t>
            </w:r>
          </w:p>
        </w:tc>
      </w:tr>
    </w:tbl>
    <w:p>
      <w:pPr>
        <w:spacing w:after="0" w:line="93"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January 30, 2021, we were in compliance with these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Second Amended and Restated Revolving Credit Agreement, dated as of June 28, 2019, with Bank of America N.A. as administrative agent and other banks identified therein as lenders (Revolving Credit Agreement) provides for a five-year unsecured revolving credit facility in an aggregate principal amount of up to $1.25 billion, expiring on June 28, 2024. 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January 30, 2021, we were in compliance with these covenants.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In the aggregate, our Board of Directors has authorized us to repurchase $8.2 billion of our common stock under our common stock repurchase program. Unless terminated earlier by resolution of our Board of Directors, the repurchase program will expire when we have repurchased all shares authorized under the program. As of January 30, 2021, an additional $1.7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ind w:right="40" w:firstLine="445"/>
        <w:spacing w:after="0" w:line="286" w:lineRule="auto"/>
        <w:rPr>
          <w:sz w:val="20"/>
          <w:szCs w:val="20"/>
          <w:color w:val="auto"/>
        </w:rPr>
      </w:pPr>
      <w:r>
        <w:rPr>
          <w:rFonts w:ascii="Arial" w:cs="Arial" w:eastAsia="Arial" w:hAnsi="Arial"/>
          <w:sz w:val="17"/>
          <w:szCs w:val="17"/>
          <w:color w:val="auto"/>
        </w:rPr>
        <w:t>Net additions to property, plant and equipment were $67.4 million in the first three months of fiscal 2021 and were funded with a combination of cash on hand and cash generated from operations. We expect capital expenditures for fiscal 2021 to be slightly above 4% of fiscal 2021 revenue. We expect these capital expenditures will be funded with a combination of cash on hand and cash generated from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On February 16, 2021, our Board of Directors declared a cash dividend of $0.69 per outstanding share of common stock. The dividend will be paid on March 9, 2021 to all shareholders of record at the close of business on February 26, 2021 and is expected to total approximately $254.5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There have not been any material changes during the three-month period ended January 30, 2021 to the amounts presented in the table summarizing our contractual obligations included in our Annual Report on Form 10-K for the fiscal year ended October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12,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Except for the accounting policies for credit losses and income taxes that were updated as a result of adopting ASU 2016-13 and ASU 2019-12, respectively, there were no other changes in the three-month period ended January 30, 2021 to the information provided under the heading “Critical Accounting Policies and Estimates” in the section entitled "Management's Discussion and Analysis of Financial Condition and Results of Operations" of our Annual Report on Form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20" w:right="459" w:bottom="1440" w:gutter="0" w:footer="0" w:header="0"/>
        </w:sectPr>
      </w:pPr>
    </w:p>
    <w:bookmarkStart w:id="24" w:name="page25"/>
    <w:bookmarkEnd w:id="24"/>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40" w:firstLine="445"/>
        <w:spacing w:after="0" w:line="342" w:lineRule="auto"/>
        <w:rPr>
          <w:sz w:val="20"/>
          <w:szCs w:val="20"/>
          <w:color w:val="auto"/>
        </w:rPr>
      </w:pPr>
      <w:r>
        <w:rPr>
          <w:rFonts w:ascii="Arial" w:cs="Arial" w:eastAsia="Arial" w:hAnsi="Arial"/>
          <w:sz w:val="16"/>
          <w:szCs w:val="16"/>
          <w:color w:val="auto"/>
        </w:rPr>
        <w:t>There were no material changes in the three-month period ended January 30, 2021 to the information provided under Item 7A. “Quantitative and Qualitative Disclosures about Market Risk,” set forth in our Annual Report on Form 10-K for the fiscal year ended October 31, 2020.</w:t>
      </w:r>
    </w:p>
    <w:p>
      <w:pPr>
        <w:spacing w:after="0" w:line="187"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8"/>
        <w:spacing w:after="0" w:line="287" w:lineRule="auto"/>
        <w:tabs>
          <w:tab w:leader="none" w:pos="24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our disclosure controls and procedures as of January 30, 2021.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30, 2021, our Chief Executive Officer and Chief Financial Officer concluded that, as of such date, our disclosure controls and procedures were effective at the reasonable assurance level.</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No change in our internal control over financial reporting (as defined in Rules 13a-15(f) and</w:t>
      </w:r>
    </w:p>
    <w:p>
      <w:pPr>
        <w:spacing w:after="0" w:line="34" w:lineRule="exact"/>
        <w:rPr>
          <w:rFonts w:ascii="Arial" w:cs="Arial" w:eastAsia="Arial" w:hAnsi="Arial"/>
          <w:sz w:val="17"/>
          <w:szCs w:val="17"/>
          <w:color w:val="auto"/>
        </w:rPr>
      </w:pPr>
    </w:p>
    <w:p>
      <w:pPr>
        <w:ind w:right="280"/>
        <w:spacing w:after="0" w:line="260" w:lineRule="auto"/>
        <w:rPr>
          <w:rFonts w:ascii="Arial" w:cs="Arial" w:eastAsia="Arial" w:hAnsi="Arial"/>
          <w:sz w:val="17"/>
          <w:szCs w:val="17"/>
          <w:color w:val="auto"/>
        </w:rPr>
      </w:pPr>
      <w:r>
        <w:rPr>
          <w:rFonts w:ascii="Arial" w:cs="Arial" w:eastAsia="Arial" w:hAnsi="Arial"/>
          <w:sz w:val="18"/>
          <w:szCs w:val="18"/>
          <w:color w:val="auto"/>
        </w:rPr>
        <w:t>15d-15(f) under the Exchange Act) occurred during the quarter ended January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35"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"Risk Factors” set forth in Item 1A of our Annual Report on Form 10-K for the fiscal year ended October 31,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Proposed Acquisition of Maxim Integrated Products, Inc.</w:t>
      </w:r>
    </w:p>
    <w:p>
      <w:pPr>
        <w:spacing w:after="0" w:line="13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i w:val="1"/>
          <w:iCs w:val="1"/>
          <w:color w:val="auto"/>
        </w:rPr>
        <w:t>Our ability to complete the acquisition of Maxim Integrated Products, Inc. (Maxim) is subject to various closing conditions, including the receipt of consents and approvals from governmental authorities, which may impose conditions that could adversely affect us or cause the acquisition not to be completed.</w:t>
      </w:r>
    </w:p>
    <w:p>
      <w:pPr>
        <w:spacing w:after="0" w:line="89"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On July 12, 2020, we entered into a definitive agreement (the Merger Agreement) to acquire Maxim, an independent manufacturer of innovative analog and mixed-signal products and technologies. The merger is subject to a number of conditions to closing as specified in the Merger Agreement. These closing conditions include, among others, the receipt of required approvals under certain foreign competition laws, and the absence of governmental restraints or prohibitions preventing the consummation of the merger. No assurance can be given that the required governmental and regulatory consents and approvals will be obtained or that the required conditions to closing will be satisfied, and, if all required consents and approvals are obtained and the required conditions are satisfied, no assurance can be given as to the terms, conditions and timing of such consents and approvals. Any delay in completing the merger could cause the combined company not to realize, or to be delayed in realizing, some or all of the benefits that we and Maxim expect to achieve if the merger is successfully completed within its expected time frame.</w:t>
      </w:r>
    </w:p>
    <w:p>
      <w:pPr>
        <w:spacing w:after="0" w:line="97"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Additionally, either we or Maxim may terminate the Merger Agreement under certain circumstances, including, among other reasons, if the merger is not completed by July 12, 2021 (which date may be extended under certain circumstances). Under certain circumstances, including if the proposed merger is terminated due to a failure to obtain the required regulatory clearances, we may be required to pay Maxim a termination fee of $830.0 million.</w:t>
      </w:r>
    </w:p>
    <w:p>
      <w:pPr>
        <w:spacing w:after="0" w:line="54"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We can provide no assurance that the various closing conditions will be satisfied and that the necessary approvals will be obtained, or that any required conditions will not materially adversely affect the combined company following the acquisition. In addition, we can provide no assurance that these conditions will not result in the abandonment or delay of the acquisition. The occurrence of any of these events individually or in combination could have a material adverse effect on our results of operations and the trading price of our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termination of the Merger Agreement could negatively impact our business.</w:t>
      </w:r>
    </w:p>
    <w:p>
      <w:pPr>
        <w:spacing w:after="0" w:line="144"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If the merger is not completed for any reason, our ongoing business may be adversely affected and, without realizing any of the expected benefits of having completed the merger, we would be subject to a number of risks, including the following:</w:t>
      </w:r>
    </w:p>
    <w:p>
      <w:pPr>
        <w:spacing w:after="0" w:line="7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14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merger, such as financial advisory, legal, financing and accounting costs and associated fees and expenses, whether or not the merger is completed;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subject to time-consuming and costly litigation related to the merger; and</w:t>
      </w:r>
    </w:p>
    <w:p>
      <w:pPr>
        <w:spacing w:after="0" w:line="130"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require substantial commitments of time and resources by our management, which could otherwise have been devoted to day-to-day operations or to other opportunities that may have been beneficial to our business.</w:t>
      </w:r>
    </w:p>
    <w:p>
      <w:pPr>
        <w:spacing w:after="0" w:line="65"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From and after the date of the Merger Agreement and prior to completion of the merger, the Merger Agreement restricts us from taking specified actions without Maxim’s consent and requires that our business be conducted in the ordinary course in all material respects. These restrictions may prevent us from making appropriate changes to our business or organizational structure or from pursuing attractive business opportunities that may arise prior to the completion of the merger, and could have the effect of delaying or preventing other strategic transactions. Adverse effects arising from these restrictions during the pendency of the merger could be exacerbated by any delays in consummation of the merger or termination of the Merger Agreement.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6" w:name="page27"/>
    <w:bookmarkEnd w:id="26"/>
    <w:p>
      <w:pPr>
        <w:ind w:right="440"/>
        <w:spacing w:after="0" w:line="277" w:lineRule="auto"/>
        <w:rPr>
          <w:sz w:val="20"/>
          <w:szCs w:val="20"/>
          <w:color w:val="auto"/>
        </w:rPr>
      </w:pPr>
      <w:r>
        <w:rPr>
          <w:rFonts w:ascii="Arial" w:cs="Arial" w:eastAsia="Arial" w:hAnsi="Arial"/>
          <w:sz w:val="18"/>
          <w:szCs w:val="18"/>
          <w:i w:val="1"/>
          <w:iCs w:val="1"/>
          <w:color w:val="auto"/>
        </w:rPr>
        <w:t>Whether or not the merger is completed, the announcement and pendency of the merger could cause disruptions in our business, which could have an adverse effect on our business and financial results.</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Whether or not the merger is completed, the announcement and pendency of the merger could cause disruptions in our business. Specifically</w:t>
      </w:r>
      <w:r>
        <w:rPr>
          <w:rFonts w:ascii="Arial" w:cs="Arial" w:eastAsia="Arial" w:hAnsi="Arial"/>
          <w:sz w:val="17"/>
          <w:szCs w:val="17"/>
          <w:i w:val="1"/>
          <w:iCs w:val="1"/>
          <w:color w:val="auto"/>
        </w:rPr>
        <w:t>:</w:t>
      </w:r>
    </w:p>
    <w:p>
      <w:pPr>
        <w:spacing w:after="0" w:line="88" w:lineRule="exact"/>
        <w:rPr>
          <w:sz w:val="20"/>
          <w:szCs w:val="20"/>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and Maxim’s current and prospective employees will experience uncertainty about their future roles with the combined company, which might adversely affect the two companies’ abilities to retain key managers and other employees;</w:t>
      </w:r>
    </w:p>
    <w:p>
      <w:pPr>
        <w:spacing w:after="0" w:line="21" w:lineRule="exact"/>
        <w:rPr>
          <w:rFonts w:ascii="Arial" w:cs="Arial" w:eastAsia="Arial" w:hAnsi="Arial"/>
          <w:sz w:val="18"/>
          <w:szCs w:val="18"/>
          <w:color w:val="auto"/>
        </w:rPr>
      </w:pPr>
    </w:p>
    <w:p>
      <w:pPr>
        <w:jc w:val="both"/>
        <w:ind w:left="660" w:right="220" w:hanging="328"/>
        <w:spacing w:after="0" w:line="31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uncertainty regarding the completion of the merger may cause our and Maxim’s customers, suppliers, distributors, vendors, strategic partners or others that deal with us or Maxim to delay or defer entering into contracts with us or Maxim, make other decisions concerning us or Maxim, or seek to change or cancel existing business relationships with us or Maxim, which could negatively affect our respective businesses;</w:t>
      </w:r>
    </w:p>
    <w:p>
      <w:pPr>
        <w:spacing w:after="0" w:line="13" w:lineRule="exact"/>
        <w:rPr>
          <w:rFonts w:ascii="Arial" w:cs="Arial" w:eastAsia="Arial" w:hAnsi="Arial"/>
          <w:sz w:val="16"/>
          <w:szCs w:val="16"/>
          <w:color w:val="auto"/>
        </w:rPr>
      </w:pPr>
    </w:p>
    <w:p>
      <w:pPr>
        <w:ind w:left="660" w:right="4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Merger Agreement restricts us and our subsidiaries from taking specified actions during the pendency of the merger without Maxim’s consent, which may prevent us from pursuing attractive business opportunities or strategic transactions that may arise prior to the completion of the merger;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attention of our and Maxim’s management may be directed toward the completion of the merger.</w:t>
      </w:r>
    </w:p>
    <w:p>
      <w:pPr>
        <w:spacing w:after="0" w:line="13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We have diverted significant management resources in an effort to complete the merger and are subject to restrictions contained in the Merger Agreement on the conduct of our business. If the merger is not completed, we will have incurred significant costs, including the diversion of management resources, for which we will have received little or no benefit.</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We will incur significant acquisition-related costs in connection with the Maxim acquisition, and the combined company could incur substantial expenses related to the integration of Maxim.</w:t>
      </w:r>
    </w:p>
    <w:p>
      <w:pPr>
        <w:spacing w:after="0" w:line="76"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We have incurred and expect to incur a number of non-recurring costs associated with combining the operations of the two companies, as well as transaction fees and other costs related to the merger. These costs and expenses include fees paid to financial, legal and accounting advisors, facilities and systems consolidation costs, severance and other potential employment-related costs, including severance payments that may be made to certain Maxim employees, filing fees, printing expenses and other related charges. We will need to pay some of these costs regardless of whether the merger is completed.</w:t>
      </w:r>
    </w:p>
    <w:p>
      <w:pPr>
        <w:spacing w:after="0" w:line="63"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The combined company will also incur restructuring and integration costs in connection with the merger. The costs related to restructuring will be expensed as a cost of the ongoing results of operations of either us or the combined company. There are a large number of processes, policies, procedures, operations, technologies and systems that must be integrated in connection with the merger and the integration of Maxim’s business. Although we expect that the elimination of duplicative costs, strategic benefits, and additional income, as well as the realization of other efficiencies related to the integration of the businesses, may offset incremental transaction, merger-related and restructuring costs over time, any net benefit may not be achieved in the near term or at all. We will bear many of these costs even if the merger is not completed. While we have assumed that certain expenses would be incurred in connection with the merger and the other transactions contemplated by the Merger Agreement, there are many factors beyond our control that could affect the total amount or the timing of the integration and implementation expenses.</w:t>
      </w:r>
    </w:p>
    <w:p>
      <w:pPr>
        <w:spacing w:after="0" w:line="9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89" w:lineRule="exact"/>
        <w:rPr>
          <w:sz w:val="20"/>
          <w:szCs w:val="20"/>
          <w:color w:val="auto"/>
        </w:rPr>
      </w:pPr>
    </w:p>
    <w:p>
      <w:pPr>
        <w:ind w:right="260" w:firstLine="445"/>
        <w:spacing w:after="0" w:line="275" w:lineRule="auto"/>
        <w:rPr>
          <w:sz w:val="20"/>
          <w:szCs w:val="20"/>
          <w:color w:val="auto"/>
        </w:rPr>
      </w:pPr>
      <w:r>
        <w:rPr>
          <w:rFonts w:ascii="Arial" w:cs="Arial" w:eastAsia="Arial" w:hAnsi="Arial"/>
          <w:sz w:val="17"/>
          <w:szCs w:val="17"/>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2" w:lineRule="exact"/>
        <w:rPr>
          <w:sz w:val="20"/>
          <w:szCs w:val="20"/>
          <w:color w:val="auto"/>
        </w:rPr>
      </w:pPr>
    </w:p>
    <w:p>
      <w:pPr>
        <w:ind w:right="160" w:firstLine="445"/>
        <w:spacing w:after="0" w:line="293" w:lineRule="auto"/>
        <w:rPr>
          <w:sz w:val="20"/>
          <w:szCs w:val="20"/>
          <w:color w:val="auto"/>
        </w:rPr>
      </w:pPr>
      <w:r>
        <w:rPr>
          <w:rFonts w:ascii="Arial" w:cs="Arial" w:eastAsia="Arial" w:hAnsi="Arial"/>
          <w:sz w:val="16"/>
          <w:szCs w:val="16"/>
          <w:color w:val="auto"/>
        </w:rPr>
        <w:t>The merger involves the combination of two companies which currently operate, and until the completion of the merger will continue to operate, as independent public companies. There can be no assurances that our respective businesses can be integrated successfully. It is possible that the integration process could result in the loss of key employees from both companies, the loss of customers, the disruption of our, Maxim’s or both companies’ ongoing businesses, inconsistencies in standards, controls, procedures and policies, unexpected integration issues, higher than expected integration costs and an overall post-completion integration process that takes longer than originally anticipated. The combined company will be required to devote management attention and resources to integrating its business practices and operations, and prior to the merger,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27" w:name="page28"/>
    <w:bookmarkEnd w:id="27"/>
    <w:p>
      <w:pPr>
        <w:ind w:right="600"/>
        <w:spacing w:after="0" w:line="277" w:lineRule="auto"/>
        <w:rPr>
          <w:sz w:val="20"/>
          <w:szCs w:val="20"/>
          <w:color w:val="auto"/>
        </w:rPr>
      </w:pPr>
      <w:r>
        <w:rPr>
          <w:rFonts w:ascii="Arial" w:cs="Arial" w:eastAsia="Arial" w:hAnsi="Arial"/>
          <w:sz w:val="18"/>
          <w:szCs w:val="18"/>
          <w:color w:val="auto"/>
        </w:rPr>
        <w:t>management attention and resources will be required to plan for such integration. Potential difficulties the combined company may encounter in the integration process include the following:</w:t>
      </w:r>
    </w:p>
    <w:p>
      <w:pPr>
        <w:spacing w:after="0" w:line="35" w:lineRule="exact"/>
        <w:rPr>
          <w:sz w:val="20"/>
          <w:szCs w:val="20"/>
          <w:color w:val="auto"/>
        </w:rPr>
      </w:pPr>
    </w:p>
    <w:p>
      <w:pPr>
        <w:ind w:left="660" w:right="6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2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personnel from the two companies while maintaining focus on providing consistent, high-quality products and services, especially in the COVID-19 environment which has required employees to work remotely in some locations;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and</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and/or Maxim's performance shortfalls as a result of the diversion of management’s attention caused by completing the merger and integrating the companies’ operations.</w:t>
      </w:r>
    </w:p>
    <w:p>
      <w:pPr>
        <w:spacing w:after="0" w:line="76"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Any of these factors could result in the combined company failing to realize the anticipated benefits of the acquisition, on the expected timeline or at all. An inability to realize the full extent of the anticipated benefits of the merger and the other transactions contemplated by the Merger Agreement, as well as any delays encountered in the integration process, could have an adverse effect upon the revenues, level of expenses and operating results of the combined company, which may adversely affect the value of the common stock of the combined company.</w:t>
      </w:r>
    </w:p>
    <w:p>
      <w:pPr>
        <w:spacing w:after="0" w:line="7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benefits of the integration plan may not be realized. Actual growth and cost savings, if achieved, may be lower than what we and Maxim expect and may take longer to achieve than anticipated. If we and Maxim are not able to adequately address integration challenges, we may be unable to successfully integrate their operations or realize the anticipated benefits of the integration of the two companies.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market value of our common stock could decline if large amounts of our common stock are sold following the Maxim acquisition.</w:t>
      </w:r>
    </w:p>
    <w:p>
      <w:pPr>
        <w:spacing w:after="0" w:line="13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If the merger is consummated, it is expected that we will issue a significant number of shares of our common stock to former Maxim stockholders. Former Maxim stockholders may decide not to hold the shares of our common stock that they will receive in the merger, and our shareholders may decide to reduce their investment in us as a result of the changes to our investment profile as a result of the merger. Other Maxim stockholders, such as funds with limitations on their permitted holdings of stock in individual issuers, may be required to sell the shares of our common stock that they receive in the merger. Such sales of our common stock could have the effect of depressing the market price for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Global Operations</w:t>
      </w:r>
    </w:p>
    <w:p>
      <w:pPr>
        <w:spacing w:after="0" w:line="117"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i w:val="1"/>
          <w:iCs w:val="1"/>
          <w:color w:val="auto"/>
        </w:rPr>
        <w:t>The extent to which the novel strain of the coronavirus (COVID-19) pandemic will adversely affect our business, financial condition and results of operations is uncertain.</w:t>
      </w:r>
    </w:p>
    <w:p>
      <w:pPr>
        <w:spacing w:after="0" w:line="90"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COVID-19 pandemic has resulted in government authorities implementing numerous measures to try to contain the virus, such as travel bans and restrictions, quarantines, shelter in place orders, and shutdowns. These measures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Singapore,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86"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The spread of COVID-19 has caused us to modify our business practices by, among other things, restricting employee travel, modifying employee work locations, and canceling physical participation in meetings, events and conferences. As a result of our changed workplace practices, many of our employees are temporarily working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alternations to our business practices are intended to minimize the spread of COVID-19, we cannot provide assurance that such measures will be sufficient to mitigate the risks posed by COVID-19, and if</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a significant number of our employees or members of our board of directors become ill, our ability to perform critical functions could be harmed.</w:t>
      </w:r>
    </w:p>
    <w:p>
      <w:pPr>
        <w:spacing w:after="0" w:line="156"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COVID-19 pandemic has significantly increased economic and demand uncertainty and has caused an economic slowdown that is likely to continue and could result in a global recession.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6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cannot at this time fully quantify or forecast the impact of the COVID-19 pandemic on our business. The degree to which the pandemic impacts our business, financial condition and results of operations will depend on the effectiveness of vaccines and therapeutics and future developments, which are highly uncertain, including the scope and duration of the pandemic, the actions to contain the virus or treat its impact, or how quickly and to what extent normal economic and operating conditions can resume.</w:t>
      </w:r>
    </w:p>
    <w:p>
      <w:pPr>
        <w:spacing w:after="0" w:line="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8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Continuing political and global macroeconomic uncertainty, including related to the COVID-19 pandemic, trade and political disputes between the United States and China, and the United Kingdom's withdrawal from the European Union, and uncertainty regarding the stability of global credit and financial markets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 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7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the Philippines, Singapore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30" w:lineRule="exact"/>
        <w:rPr>
          <w:sz w:val="20"/>
          <w:szCs w:val="20"/>
          <w:color w:val="auto"/>
        </w:rPr>
      </w:pPr>
    </w:p>
    <w:p>
      <w:pPr>
        <w:jc w:val="both"/>
        <w:ind w:left="660" w:right="4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legal and economic changes, crises or instability and civil unrest in markets in which we do business, including potential macroeconomic weakness related to trade and political disputes between the United States and China, the United Kingdom's withdrawal from the European Union and the implementation of the United States-Mexico-Canada Agreement;</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requirements of U.S. customs and export regulations, including the Export Administration Regulations and the International Traffic and Arms Regulations;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currency conversion risks and exchange rate and interest rate fluctuations, including the potential impact of the transition from LIBOR;</w:t>
      </w:r>
    </w:p>
    <w:p>
      <w:pPr>
        <w:spacing w:after="0" w:line="101" w:lineRule="exact"/>
        <w:rPr>
          <w:rFonts w:ascii="Arial" w:cs="Arial" w:eastAsia="Arial" w:hAnsi="Arial"/>
          <w:sz w:val="17"/>
          <w:szCs w:val="17"/>
          <w:color w:val="auto"/>
        </w:rPr>
      </w:pPr>
    </w:p>
    <w:p>
      <w:pPr>
        <w:ind w:left="660" w:right="1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policy, commercial, travel, export or taxation disputes or restrictions, government sanctions, import or export tariffs, changes to export classifications or other restrictions imposed by the U.S. government or by the governments of the countries in which we do business, particularly in China;</w:t>
      </w:r>
    </w:p>
    <w:p>
      <w:pPr>
        <w:spacing w:after="0" w:line="35"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intellectual property, anti-corruption and environmental compliance, including the Foreign Corrupt Practices Act;</w:t>
      </w:r>
    </w:p>
    <w:p>
      <w:pPr>
        <w:spacing w:after="0" w:line="1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disruption from terrorism and threats of terrorism and the response to them by the U.S. and its allies;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managerial complexities, including different employment practices and labor issues;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immigration laws, regulations and procedures and enforcement practices of various government agencies;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enforcing intellectual property rights and weaker laws protecting such rights;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disasters or public health emergencies, such as the current COVID-19 pandemic;</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 disruptions and delays and increases in labor and transportation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foreign taxes, tariffs and freight rates;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raw material costs and energy costs;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accounts receivable collections and longer collection periods;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associated with our foreign defined benefit pension plans.</w:t>
      </w:r>
    </w:p>
    <w:p>
      <w:pPr>
        <w:spacing w:after="0" w:line="144"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Any of these risks, or any other risks related to international business operations, could materially adversely affect our business, financial condition and results of operations.</w:t>
      </w:r>
    </w:p>
    <w:p>
      <w:pPr>
        <w:spacing w:after="0" w:line="76"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For example, the U.S. government has recently expanded export restrictions that limit our ability to sell to certain Chinese companies and to third parties that do business with those companies. These restrictions may negatively impact demand for our products, including by causing our current or potential customers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87"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In addition, our success in the Chinese markets may be adversely affected by China's continuously evolving policies, laws and regulations, including those relating to antitrust, cybersecurity and data protection, the environment, indigenous innovation and the promotion of a domestic semiconductor industry, and intellectual property rights and enforcement and protection of those rights.</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If we are unable to address our U.S. cash requirements, it may be necessary for us to consider repatriation of foreign earnings, which could have a material adverse effect on our results of operations and financial condition.</w:t>
      </w:r>
    </w:p>
    <w:p>
      <w:pPr>
        <w:spacing w:after="0" w:line="76"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We carry outside basis differences in certain of our subsidiaries, primarily arising from acquisition accounting adjustments and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unable to address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Industry and Partners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net income and earnings per share are difficult to predict and may materially fluctuate.</w:t>
      </w:r>
    </w:p>
    <w:p>
      <w:pPr>
        <w:spacing w:after="0" w:line="7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future revenue, gross margins, operating results, net income and earnings per share are difficult to predict and may be materially affected by a number of factors, including:</w:t>
      </w:r>
    </w:p>
    <w:p>
      <w:pPr>
        <w:spacing w:after="0" w:line="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pandemic;</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customer demand or order patterns for our products and/or for end products that incorporate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delay, reduction or cancellation of significant customer orders and our ability to manage inventory;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forecast distributor demand for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accurately estimate future distributor pricing credits and/or stock rotation rights;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30" w:name="page31"/>
    <w:bookmarkEnd w:id="30"/>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effective tax rates or new or revised tax legislation in the United States, Ireland or worldwide;</w:t>
      </w:r>
    </w:p>
    <w:p>
      <w:pPr>
        <w:spacing w:after="0" w:line="23" w:lineRule="exact"/>
        <w:rPr>
          <w:rFonts w:ascii="Arial" w:cs="Arial" w:eastAsia="Arial" w:hAnsi="Arial"/>
          <w:sz w:val="18"/>
          <w:szCs w:val="18"/>
          <w:color w:val="auto"/>
        </w:rPr>
      </w:pPr>
    </w:p>
    <w:p>
      <w:pPr>
        <w:ind w:left="660" w:right="80" w:hanging="328"/>
        <w:spacing w:after="0" w:line="285"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of new product announcements or introductions by us, our customers or our competitors and the market acceptance of such products;</w:t>
      </w:r>
    </w:p>
    <w:p>
      <w:pPr>
        <w:spacing w:after="0" w:line="99"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decisions and competitive pricing pressures;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01"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infrastructure spending by foreign governments, including China;</w:t>
      </w:r>
    </w:p>
    <w:p>
      <w:pPr>
        <w:spacing w:after="0" w:line="7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decline in the U.S. government defense budget, changes in spending or budgetary priorities, a prolonged U.S. government shutdown or delays in contract awards;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76"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recruit, hire, retain and motivate adequate numbers of engineers and other qualified employees to meet the demands of our customers;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generate new design opportunities and win competitive bid selection processes;</w:t>
      </w:r>
    </w:p>
    <w:p>
      <w:pPr>
        <w:spacing w:after="0" w:line="90"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increasing costs of providing employee benefits worldwide, including health insurance, retirement plan and pension plan contributions and retirement benefits;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7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significant litigation-related costs or product liability, warranty and/or indemnity claims, including those not covered by our suppliers or insurers;</w:t>
      </w:r>
    </w:p>
    <w:p>
      <w:pPr>
        <w:spacing w:after="0" w:line="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government, environmental and social responsibility standards;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accounting pronouncements or changes in existing accounting standards and practices; and</w:t>
      </w:r>
    </w:p>
    <w:p>
      <w:pPr>
        <w:spacing w:after="0" w:line="90"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76"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our effective tax rate and exposure to additional tax liabilities may adversely impact our results of operations.</w:t>
      </w:r>
    </w:p>
    <w:p>
      <w:pPr>
        <w:spacing w:after="0" w:line="131"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three months of the fiscal year ending October 30, 2021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including our current transfer pricing appeal in Ireland; changes in the valuation of our deferred tax assets and liabilities; adjustments to income taxes upon finalization of various tax returns; increases in expenses not</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31" w:name="page32"/>
    <w:bookmarkEnd w:id="31"/>
    <w:p>
      <w:pPr>
        <w:ind w:right="80"/>
        <w:spacing w:after="0" w:line="255" w:lineRule="auto"/>
        <w:rPr>
          <w:sz w:val="20"/>
          <w:szCs w:val="20"/>
          <w:color w:val="auto"/>
        </w:rPr>
      </w:pPr>
      <w:r>
        <w:rPr>
          <w:rFonts w:ascii="Arial" w:cs="Arial" w:eastAsia="Arial" w:hAnsi="Arial"/>
          <w:sz w:val="18"/>
          <w:szCs w:val="18"/>
          <w:color w:val="auto"/>
        </w:rPr>
        <w:t>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1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Compliance with tax legislation may require the collection of information not regularly produced within the Company,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 Actions Plans, could impact the jurisdictions where we are deemed to earn income, which could in turn adversely affect our tax liability and results of operations.</w:t>
      </w:r>
    </w:p>
    <w:p>
      <w:pPr>
        <w:spacing w:after="0" w:line="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89"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10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4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7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In addition,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 prolonged disruption of our internal manufacturing operations could have a material adverse effect on our business, financial condition and results of operations.</w:t>
      </w:r>
    </w:p>
    <w:p>
      <w:pPr>
        <w:spacing w:after="0" w:line="7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to leveraging an outsourcing model for manufacturing operations, we also rely on our internal manufacturing operations located in the United States, Ireland, the Philippines, Singapore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89"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The demand for our products is subject to the strength of our four major end markets of Industrial, Communications, Automotive and Consumer.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ind w:right="60"/>
        <w:spacing w:after="0" w:line="301" w:lineRule="auto"/>
        <w:rPr>
          <w:sz w:val="20"/>
          <w:szCs w:val="20"/>
          <w:color w:val="auto"/>
        </w:rPr>
      </w:pPr>
      <w:r>
        <w:rPr>
          <w:rFonts w:ascii="Arial" w:cs="Arial" w:eastAsia="Arial" w:hAnsi="Arial"/>
          <w:sz w:val="16"/>
          <w:szCs w:val="16"/>
          <w:color w:val="auto"/>
        </w:rPr>
        <w:t>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7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Semiconductor products are highly complex and may contain defects that affect their quality or performance. Failures in our products and services or</w:t>
      </w:r>
    </w:p>
    <w:p>
      <w:pPr>
        <w:spacing w:after="0" w:line="73"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ind w:right="60"/>
        <w:spacing w:after="0" w:line="270" w:lineRule="auto"/>
        <w:rPr>
          <w:sz w:val="20"/>
          <w:szCs w:val="20"/>
          <w:color w:val="auto"/>
        </w:rPr>
      </w:pPr>
      <w:r>
        <w:rPr>
          <w:rFonts w:ascii="Arial" w:cs="Arial" w:eastAsia="Arial" w:hAnsi="Arial"/>
          <w:sz w:val="17"/>
          <w:szCs w:val="17"/>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86" w:lineRule="exact"/>
        <w:rPr>
          <w:sz w:val="20"/>
          <w:szCs w:val="20"/>
          <w:color w:val="auto"/>
        </w:rPr>
      </w:pPr>
    </w:p>
    <w:p>
      <w:pPr>
        <w:jc w:val="both"/>
        <w:ind w:right="100" w:firstLine="486"/>
        <w:spacing w:after="0" w:line="308" w:lineRule="auto"/>
        <w:rPr>
          <w:sz w:val="20"/>
          <w:szCs w:val="20"/>
          <w:color w:val="auto"/>
        </w:rPr>
      </w:pPr>
      <w:r>
        <w:rPr>
          <w:rFonts w:ascii="Arial" w:cs="Arial" w:eastAsia="Arial" w:hAnsi="Arial"/>
          <w:sz w:val="16"/>
          <w:szCs w:val="16"/>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w:t>
      </w:r>
    </w:p>
    <w:p>
      <w:pPr>
        <w:spacing w:after="0" w:line="271" w:lineRule="auto"/>
        <w:rPr>
          <w:sz w:val="20"/>
          <w:szCs w:val="20"/>
          <w:color w:val="auto"/>
        </w:rPr>
      </w:pPr>
      <w:r>
        <w:rPr>
          <w:rFonts w:ascii="Arial" w:cs="Arial" w:eastAsia="Arial" w:hAnsi="Arial"/>
          <w:sz w:val="17"/>
          <w:szCs w:val="17"/>
          <w:color w:val="auto"/>
        </w:rPr>
        <w:t>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97"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recruit or retain our key personnel, our ability to execute our business strategy will be adversely affected.</w:t>
      </w:r>
    </w:p>
    <w:p>
      <w:pPr>
        <w:spacing w:after="0" w:line="13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The loss of key personnel or the inability to attract, hire and retain key employees with critical technical skills to achieve our strategy, including as a result of changes to immigration policies, could also have a material adverse effect on our business. We do not maintain any key person life insurance policy on any of our officers or other employees.</w:t>
      </w:r>
    </w:p>
    <w:p>
      <w:pPr>
        <w:spacing w:after="0" w:line="10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76"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spacing w:after="0" w:line="269" w:lineRule="auto"/>
        <w:rPr>
          <w:sz w:val="20"/>
          <w:szCs w:val="20"/>
          <w:color w:val="auto"/>
        </w:rPr>
      </w:pPr>
      <w:r>
        <w:rPr>
          <w:rFonts w:ascii="Arial" w:cs="Arial" w:eastAsia="Arial" w:hAnsi="Arial"/>
          <w:sz w:val="17"/>
          <w:szCs w:val="17"/>
          <w:color w:val="auto"/>
        </w:rPr>
        <w:t>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diversion of management’s attention in connection with both negotiating the transaction and integrating the acquired assets and businesses;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difficulty or delay integrating acquired technologies, operations, systems and infrastructure, and personnel with our existing businesses;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or more complex operations;</w:t>
      </w:r>
    </w:p>
    <w:p>
      <w:pPr>
        <w:spacing w:after="0" w:line="7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including research and development costs, employee compensation and benefits, and operating expenses, which may be significant;</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servicing significant debt that may be incurred in connection with acquisitions;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exposure to unforeseen liabilities or regulatory compliance issues of acquired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than expected or unexpected costs relating to or associated with an acquisition and integration of assets and businesses;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realizing expected cost savings, operating synergies and growth prospects of an acquisition in a timely manner or at all;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risk of costly and time-consuming legal proceedings.</w:t>
      </w:r>
    </w:p>
    <w:p>
      <w:pPr>
        <w:spacing w:after="0" w:line="13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14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Earthquakes,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44"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5" w:name="page36"/>
    <w:bookmarkEnd w:id="35"/>
    <w:p>
      <w:pPr>
        <w:ind w:right="120" w:firstLine="486"/>
        <w:spacing w:after="0" w:line="263" w:lineRule="auto"/>
        <w:rPr>
          <w:sz w:val="20"/>
          <w:szCs w:val="20"/>
          <w:color w:val="auto"/>
        </w:rPr>
      </w:pPr>
      <w:r>
        <w:rPr>
          <w:rFonts w:ascii="Arial" w:cs="Arial" w:eastAsia="Arial" w:hAnsi="Arial"/>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3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factors including:</w:t>
      </w:r>
    </w:p>
    <w:p>
      <w:pPr>
        <w:spacing w:after="0" w:line="7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the impact and the duration of the COVID-19 outbreak;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economic conditions generally;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90"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results and prospects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 and foreign government actions, including with respect to trade, travel, export and taxation;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rumors and speculation in the press, investment community or on social media about us, our customers or other companies in our industry;</w:t>
      </w:r>
    </w:p>
    <w:p>
      <w:pPr>
        <w:spacing w:after="0" w:line="88" w:lineRule="exact"/>
        <w:rPr>
          <w:rFonts w:ascii="Arial" w:cs="Arial" w:eastAsia="Arial" w:hAnsi="Arial"/>
          <w:sz w:val="17"/>
          <w:szCs w:val="17"/>
          <w:color w:val="auto"/>
        </w:rPr>
      </w:pPr>
    </w:p>
    <w:p>
      <w:pPr>
        <w:ind w:left="660" w:right="140" w:hanging="328"/>
        <w:spacing w:after="0" w:line="334"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144" w:lineRule="exact"/>
        <w:rPr>
          <w:sz w:val="20"/>
          <w:szCs w:val="20"/>
          <w:color w:val="auto"/>
        </w:rPr>
      </w:pPr>
    </w:p>
    <w:p>
      <w:pPr>
        <w:ind w:right="780" w:firstLine="486"/>
        <w:spacing w:after="0" w:line="342" w:lineRule="auto"/>
        <w:rPr>
          <w:sz w:val="20"/>
          <w:szCs w:val="20"/>
          <w:color w:val="auto"/>
        </w:rPr>
      </w:pPr>
      <w:r>
        <w:rPr>
          <w:rFonts w:ascii="Arial" w:cs="Arial" w:eastAsia="Arial" w:hAnsi="Arial"/>
          <w:sz w:val="16"/>
          <w:szCs w:val="16"/>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9"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4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outstanding indebtedness.</w:t>
      </w:r>
    </w:p>
    <w:p>
      <w:pPr>
        <w:spacing w:after="0" w:line="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For example, the disruption to economic activity resulting from the COVID-19 pandemic has had, and is likely to continue to have, adverse effects on our supply chain, manufacturing operations and facilities, and workforce. If we are unable to generate sufficient cash flow from operations in the future to service our outstanding debt, we may be required to, among other things:</w:t>
      </w:r>
    </w:p>
    <w:p>
      <w:pPr>
        <w:spacing w:after="0" w:line="2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borrow under our revolving credit facility;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divert funds that would otherwise be invested in growing our business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repatriate earnings as dividends from foreign locations with potential for negative tax consequences; or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selected assets.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8" w:right="399" w:bottom="1440" w:gutter="0" w:footer="0" w:header="0"/>
        </w:sectPr>
      </w:pPr>
    </w:p>
    <w:bookmarkStart w:id="36" w:name="page37"/>
    <w:bookmarkEnd w:id="36"/>
    <w:p>
      <w:pPr>
        <w:ind w:right="100" w:firstLine="486"/>
        <w:spacing w:after="0" w:line="263" w:lineRule="auto"/>
        <w:rPr>
          <w:sz w:val="20"/>
          <w:szCs w:val="20"/>
          <w:color w:val="auto"/>
        </w:rPr>
      </w:pPr>
      <w:r>
        <w:rPr>
          <w:rFonts w:ascii="Arial" w:cs="Arial" w:eastAsia="Arial" w:hAnsi="Arial"/>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the health of the debt capital markets.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term loan and outstanding debt instruments may limit our activities.</w:t>
      </w:r>
    </w:p>
    <w:p>
      <w:pPr>
        <w:spacing w:after="0" w:line="13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Our current revolving credit facility, term loan and outstanding debt instruments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and term loan require us to maintain compliance with specified financial ratios. If we breach any of the covenants under our revolving credit facility, the indentures governing our outstanding senior unsecured notes, the term loan facility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Legal, Regulatory and Compliance Matters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131"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98"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9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37" w:name="page38"/>
    <w:bookmarkEnd w:id="37"/>
    <w:p>
      <w:pPr>
        <w:ind w:right="280"/>
        <w:spacing w:after="0" w:line="277" w:lineRule="auto"/>
        <w:rPr>
          <w:sz w:val="20"/>
          <w:szCs w:val="20"/>
          <w:color w:val="auto"/>
        </w:rPr>
      </w:pPr>
      <w:r>
        <w:rPr>
          <w:rFonts w:ascii="Arial" w:cs="Arial" w:eastAsia="Arial" w:hAnsi="Arial"/>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8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many of our employees and directors are temporarily working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or acts of vandalism by third parties or our employees or contractors. Our security measures or those of our third-party service providers may not detect or prevent security breaches,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7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semiconductor industry is characterized by frequent claims and litigation involving patent and other intellectual property rights. Other</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companies or individuals have obtained patents covering a variety of semiconductor designs and processes, and we might be required to obtain licenses</w:t>
      </w:r>
    </w:p>
    <w:p>
      <w:pPr>
        <w:spacing w:after="0" w:line="58"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customer indemnity, warranty or product liability claims that could lead to significant costs and expenses as we defend those claims or pay damage awards.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environmental, health and safety (EHS) regulations, which could increase our expenses and affect our operating results.</w:t>
      </w:r>
    </w:p>
    <w:p>
      <w:pPr>
        <w:spacing w:after="0" w:line="13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3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liability for damages and remediation;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imposition of regulatory penalties and civil and criminal fines;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suspension or termination of the development, manufacture, sale or use of certain of our products;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to our manufacturing processes or a need to substitute materials that may cost more or be less available;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damage to our reputation; and/or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8" w:name="page39"/>
    <w:bookmarkEnd w:id="38"/>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expenses associated with compliance.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government contracting regulations, we could suffer a loss of revenue or incur price adjustments or other penalties.</w:t>
      </w:r>
    </w:p>
    <w:p>
      <w:pPr>
        <w:spacing w:after="0" w:line="131"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70"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1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w w:val="92"/>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34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88"/>
        </w:trPr>
        <w:tc>
          <w:tcPr>
            <w:tcW w:w="98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Paid Per Share (b)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4"/>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November 1, 2020 through November 28, 2020</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1,855,565,416</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November 29, 2020 through December 26, 2020</w:t>
            </w:r>
          </w:p>
        </w:tc>
        <w:tc>
          <w:tcPr>
            <w:tcW w:w="1600" w:type="dxa"/>
            <w:vAlign w:val="bottom"/>
          </w:tcPr>
          <w:p>
            <w:pPr>
              <w:jc w:val="right"/>
              <w:spacing w:after="0"/>
              <w:rPr>
                <w:sz w:val="20"/>
                <w:szCs w:val="20"/>
                <w:color w:val="auto"/>
              </w:rPr>
            </w:pPr>
            <w:r>
              <w:rPr>
                <w:rFonts w:ascii="Arial" w:cs="Arial" w:eastAsia="Arial" w:hAnsi="Arial"/>
                <w:sz w:val="18"/>
                <w:szCs w:val="18"/>
                <w:color w:val="auto"/>
              </w:rPr>
              <w:t>361,029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142.58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357,119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1,804,652,077</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27, 2020 through January 30,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1,743,017,175</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1,079,459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1,034,689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1,743,017,175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right="60" w:hanging="328"/>
        <w:spacing w:after="0" w:line="258" w:lineRule="auto"/>
        <w:tabs>
          <w:tab w:leader="none" w:pos="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44,770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hanging="328"/>
        <w:spacing w:after="0" w:line="273" w:lineRule="auto"/>
        <w:tabs>
          <w:tab w:leader="none" w:pos="657"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repurchased pursuant to the stock repurchase program publicly announced on August 12, 2004. Under the repurchase program, we may repurchase outstanding shares of our common stock from time to time in the open market and through privately negotiated transactions in an aggregate amount of up to $8.2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83"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On February 16, 2021, the Compensation Committee of the Board of Directors of the Company (the Board) approved Mr. Steven Pietkiewicz’s Severance Agreement and Release (the Agreement) in connection with the previously announced change in his responsibilities and planned retirement. Under the terms of the Agreement, Mr. Pietkiewicz will be eligible to receive, subject to timely execution of a supplemental release of claims and his continued retirement for at least 49 weeks following October 17, 2021 (the Retirement Date), the following payments and benefits upon his retirement: (i) cash severance in an amount equal to $424,038, payable in a lump sum (less customary payroll deductions, taxes and withholdings) within 30 days of the effective date of his supplemental release and (ii) a cash contribution to a health reimbursement account, representing the Company’s subsidy for active employees, to help offset the costs of medical insurance until Mr. Pietkiewicz turns 65.</w:t>
      </w:r>
    </w:p>
    <w:p>
      <w:pPr>
        <w:spacing w:after="0" w:line="8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Mr. Pietkiewicz is also eligible to receive the Company’s FY21 first and second quarter cash bonus payable in a lump sum at the time such bonuses are payable to other employees in the Company’s 2021 Executive Performance Incentive Plan. In addition to the foregoing payments and benefits, all outstanding stock options, RSUs, RSAs or other equity awards will continue to vest until the Retirement Date, pursuant to the terms of the applicable plan and specific grant documents. All unvested equity- and cash-based awards held by Mr. Pietkiewicz will be forfeited for no consideration as of the Retirement Date.</w:t>
      </w:r>
    </w:p>
    <w:p>
      <w:pPr>
        <w:spacing w:after="0" w:line="107" w:lineRule="exact"/>
        <w:rPr>
          <w:sz w:val="20"/>
          <w:szCs w:val="20"/>
          <w:color w:val="auto"/>
        </w:rPr>
      </w:pPr>
    </w:p>
    <w:p>
      <w:pPr>
        <w:ind w:right="500" w:firstLine="486"/>
        <w:spacing w:after="0" w:line="263" w:lineRule="auto"/>
        <w:rPr>
          <w:sz w:val="20"/>
          <w:szCs w:val="20"/>
          <w:color w:val="auto"/>
        </w:rPr>
      </w:pPr>
      <w:r>
        <w:rPr>
          <w:rFonts w:ascii="Arial" w:cs="Arial" w:eastAsia="Arial" w:hAnsi="Arial"/>
          <w:sz w:val="18"/>
          <w:szCs w:val="18"/>
          <w:color w:val="auto"/>
        </w:rPr>
        <w:t>Upon his Retirement Date, Mr. Pietkiewicz will continue to be subject to certain restrictive covenants, including non-disparagement and confidentiality covenants. The foregoing description of the Agreement is qualified in its entirety by reference to the complete copy of the Agreement attached hereto as Exhibit 10.9 and incorporated by reference herein.</w:t>
      </w:r>
    </w:p>
    <w:p>
      <w:pPr>
        <w:spacing w:after="0" w:line="89"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In addition, on February 16, 2021, the Board appointed Mr. John Hassett as Senior Vice President, Corporate Integration Management, in which role he will lead the Company’s integration management on a full-time basis. In connection with Messrs. Pietkiewicz’s and Hassett’s changed responsibilities, the Board appointed Mr. Martin Cotter as Senior Vice President, Industrial, Consumer and Multi-Markets on February 16, 2021.</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96" w:right="35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20" w:type="dxa"/>
            <w:vAlign w:val="bottom"/>
            <w:gridSpan w:val="18"/>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621"/>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480" w:type="dxa"/>
            <w:vAlign w:val="bottom"/>
          </w:tcPr>
          <w:p>
            <w:pPr>
              <w:spacing w:after="0"/>
              <w:rPr>
                <w:sz w:val="24"/>
                <w:szCs w:val="24"/>
                <w:color w:val="auto"/>
              </w:rPr>
            </w:pPr>
          </w:p>
        </w:tc>
        <w:tc>
          <w:tcPr>
            <w:tcW w:w="964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196"/>
        </w:trPr>
        <w:tc>
          <w:tcPr>
            <w:tcW w:w="700" w:type="dxa"/>
            <w:vAlign w:val="bottom"/>
            <w:tcBorders>
              <w:top w:val="single" w:sz="8" w:color="auto"/>
            </w:tcBorders>
          </w:tcPr>
          <w:p>
            <w:pPr>
              <w:jc w:val="center"/>
              <w:ind w:left="291"/>
              <w:spacing w:after="0" w:line="196" w:lineRule="exact"/>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40" w:type="dxa"/>
            <w:vAlign w:val="bottom"/>
            <w:gridSpan w:val="17"/>
          </w:tcPr>
          <w:p>
            <w:pPr>
              <w:spacing w:after="0" w:line="196" w:lineRule="exact"/>
              <w:rPr>
                <w:rFonts w:ascii="Arial" w:cs="Arial" w:eastAsia="Arial" w:hAnsi="Arial"/>
                <w:sz w:val="18"/>
                <w:szCs w:val="18"/>
                <w:color w:val="0000FF"/>
                <w:w w:val="99"/>
              </w:rPr>
            </w:pPr>
            <w:hyperlink r:id="rId57">
              <w:r>
                <w:rPr>
                  <w:rFonts w:ascii="Arial" w:cs="Arial" w:eastAsia="Arial" w:hAnsi="Arial"/>
                  <w:sz w:val="18"/>
                  <w:szCs w:val="18"/>
                  <w:u w:val="single" w:color="auto"/>
                  <w:color w:val="0000FF"/>
                  <w:w w:val="99"/>
                </w:rPr>
                <w:t>Non-Qualified Performance Stock Option Agreement – CEO Performance Stock Option Award</w:t>
              </w:r>
            </w:hyperlink>
            <w:r>
              <w:rPr>
                <w:rFonts w:ascii="Arial" w:cs="Arial" w:eastAsia="Arial" w:hAnsi="Arial"/>
                <w:sz w:val="18"/>
                <w:szCs w:val="18"/>
                <w:color w:val="000000"/>
                <w:w w:val="99"/>
              </w:rPr>
              <w:t>,</w:t>
            </w:r>
            <w:r>
              <w:rPr>
                <w:rFonts w:ascii="Arial" w:cs="Arial" w:eastAsia="Arial" w:hAnsi="Arial"/>
                <w:sz w:val="18"/>
                <w:szCs w:val="18"/>
                <w:color w:val="0000FF"/>
                <w:w w:val="99"/>
              </w:rPr>
              <w:t xml:space="preserve"> </w:t>
            </w:r>
            <w:r>
              <w:rPr>
                <w:rFonts w:ascii="Arial" w:cs="Arial" w:eastAsia="Arial" w:hAnsi="Arial"/>
                <w:sz w:val="18"/>
                <w:szCs w:val="18"/>
                <w:color w:val="000000"/>
                <w:w w:val="99"/>
              </w:rPr>
              <w:t>filed as Exhibit 10.1 to the</w:t>
            </w:r>
          </w:p>
        </w:tc>
      </w:tr>
      <w:tr>
        <w:trPr>
          <w:trHeight w:val="176"/>
        </w:trPr>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40" w:type="dxa"/>
            <w:vAlign w:val="bottom"/>
            <w:gridSpan w:val="17"/>
          </w:tcPr>
          <w:p>
            <w:pPr>
              <w:spacing w:after="0" w:line="176" w:lineRule="exact"/>
              <w:rPr>
                <w:sz w:val="20"/>
                <w:szCs w:val="20"/>
                <w:color w:val="auto"/>
              </w:rPr>
            </w:pPr>
            <w:r>
              <w:rPr>
                <w:rFonts w:ascii="Arial" w:cs="Arial" w:eastAsia="Arial" w:hAnsi="Arial"/>
                <w:sz w:val="18"/>
                <w:szCs w:val="18"/>
                <w:color w:val="auto"/>
                <w:w w:val="91"/>
              </w:rPr>
              <w:t>Company’s Current Report on Form 8-K (File No. 001-07819) as filed with the Commission on December 17, 2020 and incorporated</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herein by reference.</w:t>
            </w:r>
          </w:p>
        </w:tc>
      </w:tr>
      <w:tr>
        <w:trPr>
          <w:trHeight w:val="176"/>
        </w:trPr>
        <w:tc>
          <w:tcPr>
            <w:tcW w:w="700" w:type="dxa"/>
            <w:vAlign w:val="bottom"/>
          </w:tcPr>
          <w:p>
            <w:pPr>
              <w:jc w:val="center"/>
              <w:ind w:left="291"/>
              <w:spacing w:after="0" w:line="176" w:lineRule="exact"/>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40" w:type="dxa"/>
            <w:vAlign w:val="bottom"/>
            <w:gridSpan w:val="17"/>
          </w:tcPr>
          <w:p>
            <w:pPr>
              <w:spacing w:after="0" w:line="176" w:lineRule="exact"/>
              <w:rPr>
                <w:rFonts w:ascii="Arial" w:cs="Arial" w:eastAsia="Arial" w:hAnsi="Arial"/>
                <w:sz w:val="18"/>
                <w:szCs w:val="18"/>
                <w:color w:val="0000FF"/>
                <w:w w:val="93"/>
              </w:rPr>
            </w:pPr>
            <w:hyperlink r:id="rId58">
              <w:r>
                <w:rPr>
                  <w:rFonts w:ascii="Arial" w:cs="Arial" w:eastAsia="Arial" w:hAnsi="Arial"/>
                  <w:sz w:val="18"/>
                  <w:szCs w:val="18"/>
                  <w:u w:val="single" w:color="auto"/>
                  <w:color w:val="0000FF"/>
                  <w:w w:val="93"/>
                </w:rPr>
                <w:t>Form of Performance Restricted Stock Unit Agreement – Integration Award</w:t>
              </w:r>
            </w:hyperlink>
            <w:r>
              <w:rPr>
                <w:rFonts w:ascii="Arial" w:cs="Arial" w:eastAsia="Arial" w:hAnsi="Arial"/>
                <w:sz w:val="18"/>
                <w:szCs w:val="18"/>
                <w:color w:val="000000"/>
                <w:w w:val="93"/>
              </w:rPr>
              <w:t>,</w:t>
            </w:r>
            <w:r>
              <w:rPr>
                <w:rFonts w:ascii="Arial" w:cs="Arial" w:eastAsia="Arial" w:hAnsi="Arial"/>
                <w:sz w:val="18"/>
                <w:szCs w:val="18"/>
                <w:color w:val="0000FF"/>
                <w:w w:val="93"/>
              </w:rPr>
              <w:t xml:space="preserve"> </w:t>
            </w:r>
            <w:r>
              <w:rPr>
                <w:rFonts w:ascii="Arial" w:cs="Arial" w:eastAsia="Arial" w:hAnsi="Arial"/>
                <w:sz w:val="18"/>
                <w:szCs w:val="18"/>
                <w:color w:val="000000"/>
                <w:w w:val="93"/>
              </w:rPr>
              <w:t>filed as Exhibit 10.2 to the Company’s Current Report</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w w:val="96"/>
              </w:rPr>
              <w:t>on Form 8-K (File No. 001-07819) as filed with the Commission on December 17, 2020 and incorporated herein by reference.</w:t>
            </w:r>
          </w:p>
        </w:tc>
      </w:tr>
      <w:tr>
        <w:trPr>
          <w:trHeight w:val="176"/>
        </w:trPr>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0"/>
              </w:rPr>
              <w:t>10.3†#</w:t>
            </w:r>
          </w:p>
        </w:tc>
        <w:tc>
          <w:tcPr>
            <w:tcW w:w="480" w:type="dxa"/>
            <w:vAlign w:val="bottom"/>
          </w:tcPr>
          <w:p>
            <w:pPr>
              <w:spacing w:after="0"/>
              <w:rPr>
                <w:sz w:val="15"/>
                <w:szCs w:val="15"/>
                <w:color w:val="auto"/>
              </w:rPr>
            </w:pPr>
          </w:p>
        </w:tc>
        <w:tc>
          <w:tcPr>
            <w:tcW w:w="9640" w:type="dxa"/>
            <w:vAlign w:val="bottom"/>
            <w:gridSpan w:val="17"/>
          </w:tcPr>
          <w:p>
            <w:pPr>
              <w:spacing w:after="0" w:line="176" w:lineRule="exact"/>
              <w:rPr>
                <w:rFonts w:ascii="Arial" w:cs="Arial" w:eastAsia="Arial" w:hAnsi="Arial"/>
                <w:sz w:val="18"/>
                <w:szCs w:val="18"/>
                <w:u w:val="single" w:color="auto"/>
                <w:color w:val="0000FF"/>
                <w:w w:val="93"/>
              </w:rPr>
            </w:pPr>
            <w:hyperlink w:anchor="page44">
              <w:r>
                <w:rPr>
                  <w:rFonts w:ascii="Arial" w:cs="Arial" w:eastAsia="Arial" w:hAnsi="Arial"/>
                  <w:sz w:val="18"/>
                  <w:szCs w:val="18"/>
                  <w:u w:val="single" w:color="auto"/>
                  <w:color w:val="0000FF"/>
                  <w:w w:val="93"/>
                </w:rPr>
                <w:t>Form of Restricted Stock Unit Agreement for Non-Employee Directors for usage under the Company’s 2020 Equity Incentive Plan</w:t>
              </w:r>
            </w:hyperlink>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17"/>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adopted December 8, 2020.</w:t>
              </w:r>
            </w:hyperlink>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0"/>
              </w:rPr>
              <w:t>10.4†#</w:t>
            </w:r>
          </w:p>
        </w:tc>
        <w:tc>
          <w:tcPr>
            <w:tcW w:w="480" w:type="dxa"/>
            <w:vAlign w:val="bottom"/>
          </w:tcPr>
          <w:p>
            <w:pPr>
              <w:spacing w:after="0"/>
              <w:rPr>
                <w:sz w:val="16"/>
                <w:szCs w:val="16"/>
                <w:color w:val="auto"/>
              </w:rPr>
            </w:pPr>
          </w:p>
        </w:tc>
        <w:tc>
          <w:tcPr>
            <w:tcW w:w="9640" w:type="dxa"/>
            <w:vAlign w:val="bottom"/>
            <w:gridSpan w:val="17"/>
          </w:tcPr>
          <w:p>
            <w:pPr>
              <w:spacing w:after="0" w:line="190" w:lineRule="exact"/>
              <w:rPr>
                <w:rFonts w:ascii="Arial" w:cs="Arial" w:eastAsia="Arial" w:hAnsi="Arial"/>
                <w:sz w:val="18"/>
                <w:szCs w:val="18"/>
                <w:color w:val="0000FF"/>
                <w:w w:val="93"/>
              </w:rPr>
            </w:pPr>
            <w:hyperlink w:anchor="page52">
              <w:r>
                <w:rPr>
                  <w:rFonts w:ascii="Arial" w:cs="Arial" w:eastAsia="Arial" w:hAnsi="Arial"/>
                  <w:sz w:val="18"/>
                  <w:szCs w:val="18"/>
                  <w:color w:val="0000FF"/>
                  <w:w w:val="93"/>
                </w:rPr>
                <w:t xml:space="preserve">Form of Global </w:t>
              </w:r>
              <w:r>
                <w:rPr>
                  <w:rFonts w:ascii="Arial" w:cs="Arial" w:eastAsia="Arial" w:hAnsi="Arial"/>
                  <w:sz w:val="18"/>
                  <w:szCs w:val="18"/>
                  <w:u w:val="single" w:color="auto"/>
                  <w:color w:val="0000FF"/>
                  <w:w w:val="93"/>
                </w:rPr>
                <w:t xml:space="preserve">Non-Qualified Stock Option Agreement for Employees for usage under the Company’s 2020 </w:t>
              </w:r>
            </w:hyperlink>
            <w:r>
              <w:rPr>
                <w:rFonts w:ascii="Arial" w:cs="Arial" w:eastAsia="Arial" w:hAnsi="Arial"/>
                <w:sz w:val="18"/>
                <w:szCs w:val="18"/>
                <w:color w:val="0000FF"/>
                <w:w w:val="93"/>
              </w:rPr>
              <w:t xml:space="preserve">Equity </w:t>
            </w:r>
            <w:hyperlink w:anchor="page52">
              <w:r>
                <w:rPr>
                  <w:rFonts w:ascii="Arial" w:cs="Arial" w:eastAsia="Arial" w:hAnsi="Arial"/>
                  <w:sz w:val="18"/>
                  <w:szCs w:val="18"/>
                  <w:u w:val="single" w:color="auto"/>
                  <w:color w:val="0000FF"/>
                  <w:w w:val="93"/>
                </w:rPr>
                <w:t>Incentive Plan</w:t>
              </w:r>
            </w:hyperlink>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40" w:type="dxa"/>
            <w:vAlign w:val="bottom"/>
            <w:gridSpan w:val="17"/>
          </w:tcPr>
          <w:p>
            <w:pPr>
              <w:spacing w:after="0" w:line="195" w:lineRule="exact"/>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adopted December 8, 2020.</w:t>
              </w:r>
            </w:hyperlink>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0"/>
              </w:rPr>
              <w:t>10.5†#</w:t>
            </w:r>
          </w:p>
        </w:tc>
        <w:tc>
          <w:tcPr>
            <w:tcW w:w="480" w:type="dxa"/>
            <w:vAlign w:val="bottom"/>
          </w:tcPr>
          <w:p>
            <w:pPr>
              <w:spacing w:after="0"/>
              <w:rPr>
                <w:sz w:val="16"/>
                <w:szCs w:val="16"/>
                <w:color w:val="auto"/>
              </w:rPr>
            </w:pPr>
          </w:p>
        </w:tc>
        <w:tc>
          <w:tcPr>
            <w:tcW w:w="9640" w:type="dxa"/>
            <w:vAlign w:val="bottom"/>
            <w:gridSpan w:val="17"/>
          </w:tcPr>
          <w:p>
            <w:pPr>
              <w:spacing w:after="0" w:line="190" w:lineRule="exact"/>
              <w:rPr>
                <w:rFonts w:ascii="Arial" w:cs="Arial" w:eastAsia="Arial" w:hAnsi="Arial"/>
                <w:sz w:val="18"/>
                <w:szCs w:val="18"/>
                <w:color w:val="0000FF"/>
                <w:w w:val="91"/>
              </w:rPr>
            </w:pPr>
            <w:hyperlink w:anchor="page80">
              <w:r>
                <w:rPr>
                  <w:rFonts w:ascii="Arial" w:cs="Arial" w:eastAsia="Arial" w:hAnsi="Arial"/>
                  <w:sz w:val="18"/>
                  <w:szCs w:val="18"/>
                  <w:color w:val="0000FF"/>
                  <w:w w:val="91"/>
                </w:rPr>
                <w:t xml:space="preserve">Form of Global </w:t>
              </w:r>
              <w:r>
                <w:rPr>
                  <w:rFonts w:ascii="Arial" w:cs="Arial" w:eastAsia="Arial" w:hAnsi="Arial"/>
                  <w:sz w:val="18"/>
                  <w:szCs w:val="18"/>
                  <w:u w:val="single" w:color="auto"/>
                  <w:color w:val="0000FF"/>
                  <w:w w:val="91"/>
                </w:rPr>
                <w:t>Restricted Stock Unit Agreement for Employees for usage under the Company’s 2020 Equity Incentive Plan</w:t>
              </w:r>
              <w:r>
                <w:rPr>
                  <w:rFonts w:ascii="Arial" w:cs="Arial" w:eastAsia="Arial" w:hAnsi="Arial"/>
                  <w:sz w:val="18"/>
                  <w:szCs w:val="18"/>
                  <w:color w:val="0000FF"/>
                  <w:w w:val="91"/>
                </w:rPr>
                <w:t xml:space="preserve"> adopted</w:t>
              </w:r>
            </w:hyperlink>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17"/>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December 8, 2020.</w:t>
              </w:r>
            </w:hyperlink>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10.6†#</w:t>
            </w:r>
          </w:p>
        </w:tc>
        <w:tc>
          <w:tcPr>
            <w:tcW w:w="48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w w:val="96"/>
              </w:rPr>
            </w:pPr>
            <w:hyperlink w:anchor="page117">
              <w:r>
                <w:rPr>
                  <w:rFonts w:ascii="Arial" w:cs="Arial" w:eastAsia="Arial" w:hAnsi="Arial"/>
                  <w:sz w:val="18"/>
                  <w:szCs w:val="18"/>
                  <w:u w:val="single" w:color="auto"/>
                  <w:color w:val="0000FF"/>
                  <w:w w:val="96"/>
                </w:rPr>
                <w:t>Form of Relative Total Shareholder Return Performance</w:t>
              </w:r>
              <w:r>
                <w:rPr>
                  <w:rFonts w:ascii="Arial" w:cs="Arial" w:eastAsia="Arial" w:hAnsi="Arial"/>
                  <w:sz w:val="18"/>
                  <w:szCs w:val="18"/>
                  <w:color w:val="0000FF"/>
                  <w:w w:val="96"/>
                </w:rPr>
                <w:t xml:space="preserve"> Restricted Stock Unit Agreement for Employees for usage under the</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60" w:type="dxa"/>
            <w:vAlign w:val="bottom"/>
            <w:gridSpan w:val="9"/>
          </w:tcPr>
          <w:p>
            <w:pPr>
              <w:spacing w:after="0" w:line="156" w:lineRule="exact"/>
              <w:rPr>
                <w:rFonts w:ascii="Arial" w:cs="Arial" w:eastAsia="Arial" w:hAnsi="Arial"/>
                <w:sz w:val="18"/>
                <w:szCs w:val="18"/>
                <w:color w:val="0000FF"/>
                <w:w w:val="86"/>
              </w:rPr>
            </w:pPr>
            <w:hyperlink w:anchor="page117">
              <w:r>
                <w:rPr>
                  <w:rFonts w:ascii="Arial" w:cs="Arial" w:eastAsia="Arial" w:hAnsi="Arial"/>
                  <w:sz w:val="18"/>
                  <w:szCs w:val="18"/>
                  <w:color w:val="0000FF"/>
                  <w:w w:val="86"/>
                </w:rPr>
                <w:t xml:space="preserve">Company's 2020 Equity Incentive Plan </w:t>
              </w:r>
              <w:r>
                <w:rPr>
                  <w:rFonts w:ascii="Arial" w:cs="Arial" w:eastAsia="Arial" w:hAnsi="Arial"/>
                  <w:sz w:val="18"/>
                  <w:szCs w:val="18"/>
                  <w:u w:val="single" w:color="auto"/>
                  <w:color w:val="0000FF"/>
                  <w:w w:val="86"/>
                </w:rPr>
                <w:t>adopted December</w:t>
              </w:r>
            </w:hyperlink>
          </w:p>
        </w:tc>
        <w:tc>
          <w:tcPr>
            <w:tcW w:w="4680" w:type="dxa"/>
            <w:vAlign w:val="bottom"/>
            <w:tcBorders>
              <w:top w:val="single" w:sz="8" w:color="0000FF"/>
            </w:tcBorders>
          </w:tcPr>
          <w:p>
            <w:pPr>
              <w:jc w:val="right"/>
              <w:ind w:right="3810"/>
              <w:spacing w:after="0" w:line="156" w:lineRule="exact"/>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8, 2020.</w:t>
              </w:r>
            </w:hyperlink>
          </w:p>
        </w:tc>
        <w:tc>
          <w:tcPr>
            <w:tcW w:w="28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10.7†#</w:t>
            </w:r>
          </w:p>
        </w:tc>
        <w:tc>
          <w:tcPr>
            <w:tcW w:w="48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w w:val="93"/>
              </w:rPr>
            </w:pPr>
            <w:hyperlink w:anchor="page127">
              <w:r>
                <w:rPr>
                  <w:rFonts w:ascii="Arial" w:cs="Arial" w:eastAsia="Arial" w:hAnsi="Arial"/>
                  <w:sz w:val="18"/>
                  <w:szCs w:val="18"/>
                  <w:u w:val="single" w:color="auto"/>
                  <w:color w:val="0000FF"/>
                  <w:w w:val="93"/>
                </w:rPr>
                <w:t>Form of Financial Metric Performance Restricted Stock Unit Agreement for Employees for usage under the 2020 Equity</w:t>
              </w:r>
              <w:r>
                <w:rPr>
                  <w:rFonts w:ascii="Arial" w:cs="Arial" w:eastAsia="Arial" w:hAnsi="Arial"/>
                  <w:sz w:val="18"/>
                  <w:szCs w:val="18"/>
                  <w:color w:val="0000FF"/>
                  <w:w w:val="93"/>
                </w:rPr>
                <w:t xml:space="preserve"> Incentive</w:t>
              </w:r>
            </w:hyperlink>
          </w:p>
        </w:tc>
      </w:tr>
      <w:tr>
        <w:trPr>
          <w:trHeight w:val="155"/>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740" w:type="dxa"/>
            <w:vAlign w:val="bottom"/>
            <w:gridSpan w:val="10"/>
          </w:tcPr>
          <w:p>
            <w:pPr>
              <w:spacing w:after="0" w:line="156" w:lineRule="exact"/>
              <w:rPr>
                <w:rFonts w:ascii="Arial" w:cs="Arial" w:eastAsia="Arial" w:hAnsi="Arial"/>
                <w:sz w:val="18"/>
                <w:szCs w:val="18"/>
                <w:color w:val="0000FF"/>
              </w:rPr>
            </w:pPr>
            <w:hyperlink w:anchor="page127">
              <w:r>
                <w:rPr>
                  <w:rFonts w:ascii="Arial" w:cs="Arial" w:eastAsia="Arial" w:hAnsi="Arial"/>
                  <w:sz w:val="18"/>
                  <w:szCs w:val="18"/>
                  <w:color w:val="0000FF"/>
                </w:rPr>
                <w:t xml:space="preserve">Plan </w:t>
              </w:r>
              <w:r>
                <w:rPr>
                  <w:rFonts w:ascii="Arial" w:cs="Arial" w:eastAsia="Arial" w:hAnsi="Arial"/>
                  <w:sz w:val="18"/>
                  <w:szCs w:val="18"/>
                  <w:u w:val="single" w:color="auto"/>
                  <w:color w:val="0000FF"/>
                </w:rPr>
                <w:t>adopted December 8, 2020.</w:t>
              </w:r>
            </w:hyperlink>
          </w:p>
        </w:tc>
        <w:tc>
          <w:tcPr>
            <w:tcW w:w="46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10.8†#</w:t>
            </w:r>
          </w:p>
        </w:tc>
        <w:tc>
          <w:tcPr>
            <w:tcW w:w="48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w w:val="91"/>
              </w:rPr>
            </w:pPr>
            <w:hyperlink w:anchor="page166">
              <w:r>
                <w:rPr>
                  <w:rFonts w:ascii="Arial" w:cs="Arial" w:eastAsia="Arial" w:hAnsi="Arial"/>
                  <w:sz w:val="18"/>
                  <w:szCs w:val="18"/>
                  <w:u w:val="single" w:color="auto"/>
                  <w:color w:val="0000FF"/>
                  <w:w w:val="91"/>
                </w:rPr>
                <w:t>Form of Financial Metric Performance Restricted Stock Unit Agreement for China Employees for usage under the 2020 Equity</w:t>
              </w:r>
              <w:r>
                <w:rPr>
                  <w:rFonts w:ascii="Arial" w:cs="Arial" w:eastAsia="Arial" w:hAnsi="Arial"/>
                  <w:sz w:val="18"/>
                  <w:szCs w:val="18"/>
                  <w:color w:val="0000FF"/>
                  <w:w w:val="91"/>
                </w:rPr>
                <w:t xml:space="preserve"> Stock</w:t>
              </w:r>
            </w:hyperlink>
          </w:p>
        </w:tc>
      </w:tr>
      <w:tr>
        <w:trPr>
          <w:trHeight w:val="155"/>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0" w:type="dxa"/>
            <w:vAlign w:val="bottom"/>
            <w:gridSpan w:val="12"/>
          </w:tcPr>
          <w:p>
            <w:pPr>
              <w:spacing w:after="0" w:line="156" w:lineRule="exact"/>
              <w:rPr>
                <w:rFonts w:ascii="Arial" w:cs="Arial" w:eastAsia="Arial" w:hAnsi="Arial"/>
                <w:sz w:val="18"/>
                <w:szCs w:val="18"/>
                <w:color w:val="0000FF"/>
              </w:rPr>
            </w:pPr>
            <w:hyperlink w:anchor="page166">
              <w:r>
                <w:rPr>
                  <w:rFonts w:ascii="Arial" w:cs="Arial" w:eastAsia="Arial" w:hAnsi="Arial"/>
                  <w:sz w:val="18"/>
                  <w:szCs w:val="18"/>
                  <w:color w:val="0000FF"/>
                </w:rPr>
                <w:t xml:space="preserve">Incentive Plan </w:t>
              </w:r>
              <w:r>
                <w:rPr>
                  <w:rFonts w:ascii="Arial" w:cs="Arial" w:eastAsia="Arial" w:hAnsi="Arial"/>
                  <w:sz w:val="18"/>
                  <w:szCs w:val="18"/>
                  <w:u w:val="single" w:color="auto"/>
                  <w:color w:val="0000FF"/>
                </w:rPr>
                <w:t>adopted December 8, 2020.</w:t>
              </w:r>
            </w:hyperlink>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4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10.9†#</w:t>
            </w:r>
          </w:p>
        </w:tc>
        <w:tc>
          <w:tcPr>
            <w:tcW w:w="480" w:type="dxa"/>
            <w:vAlign w:val="bottom"/>
          </w:tcPr>
          <w:p>
            <w:pPr>
              <w:spacing w:after="0"/>
              <w:rPr>
                <w:sz w:val="21"/>
                <w:szCs w:val="21"/>
                <w:color w:val="auto"/>
              </w:rPr>
            </w:pPr>
          </w:p>
        </w:tc>
        <w:tc>
          <w:tcPr>
            <w:tcW w:w="9640" w:type="dxa"/>
            <w:vAlign w:val="bottom"/>
            <w:gridSpan w:val="17"/>
          </w:tcPr>
          <w:p>
            <w:pPr>
              <w:spacing w:after="0"/>
              <w:rPr>
                <w:rFonts w:ascii="Arial" w:cs="Arial" w:eastAsia="Arial" w:hAnsi="Arial"/>
                <w:sz w:val="18"/>
                <w:szCs w:val="18"/>
                <w:u w:val="single" w:color="auto"/>
                <w:color w:val="0000FF"/>
              </w:rPr>
            </w:pPr>
            <w:hyperlink w:anchor="page176">
              <w:r>
                <w:rPr>
                  <w:rFonts w:ascii="Arial" w:cs="Arial" w:eastAsia="Arial" w:hAnsi="Arial"/>
                  <w:sz w:val="18"/>
                  <w:szCs w:val="18"/>
                  <w:u w:val="single" w:color="auto"/>
                  <w:color w:val="0000FF"/>
                </w:rPr>
                <w:t>Severance Agreement and Release between Analog Devices, Inc. and Steven Pietkiewicz, dated February 15, 2021.</w:t>
              </w:r>
            </w:hyperlink>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8"/>
              </w:rPr>
              <w:t>31.1†</w:t>
            </w:r>
          </w:p>
        </w:tc>
        <w:tc>
          <w:tcPr>
            <w:tcW w:w="480" w:type="dxa"/>
            <w:vAlign w:val="bottom"/>
          </w:tcPr>
          <w:p>
            <w:pPr>
              <w:spacing w:after="0"/>
              <w:rPr>
                <w:sz w:val="16"/>
                <w:szCs w:val="16"/>
                <w:color w:val="auto"/>
              </w:rPr>
            </w:pPr>
          </w:p>
        </w:tc>
        <w:tc>
          <w:tcPr>
            <w:tcW w:w="9640" w:type="dxa"/>
            <w:vAlign w:val="bottom"/>
            <w:gridSpan w:val="17"/>
          </w:tcPr>
          <w:p>
            <w:pPr>
              <w:spacing w:after="0" w:line="190" w:lineRule="exact"/>
              <w:rPr>
                <w:rFonts w:ascii="Arial" w:cs="Arial" w:eastAsia="Arial" w:hAnsi="Arial"/>
                <w:sz w:val="18"/>
                <w:szCs w:val="18"/>
                <w:color w:val="0000FF"/>
                <w:w w:val="93"/>
              </w:rPr>
            </w:pPr>
            <w:hyperlink w:anchor="page190">
              <w:r>
                <w:rPr>
                  <w:rFonts w:ascii="Arial" w:cs="Arial" w:eastAsia="Arial" w:hAnsi="Arial"/>
                  <w:sz w:val="18"/>
                  <w:szCs w:val="18"/>
                  <w:color w:val="0000FF"/>
                  <w:w w:val="93"/>
                </w:rPr>
                <w:t>Certification Pursuant to Rule 13a-14(a) and 15d-14(a) of the Securities Exchange Act, as Adopted Pursuant to Section 302 of the</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w:anchor="page190">
              <w:r>
                <w:rPr>
                  <w:rFonts w:ascii="Arial" w:cs="Arial" w:eastAsia="Arial" w:hAnsi="Arial"/>
                  <w:sz w:val="18"/>
                  <w:szCs w:val="18"/>
                  <w:color w:val="0000FF"/>
                  <w:w w:val="92"/>
                </w:rPr>
                <w:t>Sarbanes-Oxley Act of 2002 (Chief Executive Officer).</w:t>
              </w:r>
            </w:hyperlink>
          </w:p>
        </w:tc>
        <w:tc>
          <w:tcPr>
            <w:tcW w:w="5360" w:type="dxa"/>
            <w:vAlign w:val="bottom"/>
            <w:tcBorders>
              <w:top w:val="single" w:sz="8" w:color="0000FF"/>
            </w:tcBorders>
            <w:gridSpan w:val="5"/>
          </w:tcPr>
          <w:p>
            <w:pPr>
              <w:spacing w:after="0"/>
              <w:rPr>
                <w:sz w:val="13"/>
                <w:szCs w:val="13"/>
                <w:color w:val="auto"/>
              </w:rPr>
            </w:pPr>
          </w:p>
        </w:tc>
        <w:tc>
          <w:tcPr>
            <w:tcW w:w="280" w:type="dxa"/>
            <w:vAlign w:val="bottom"/>
            <w:gridSpan w:val="4"/>
          </w:tcPr>
          <w:p>
            <w:pPr>
              <w:spacing w:after="0"/>
              <w:rPr>
                <w:sz w:val="13"/>
                <w:szCs w:val="13"/>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31.2†</w:t>
            </w:r>
          </w:p>
        </w:tc>
        <w:tc>
          <w:tcPr>
            <w:tcW w:w="480" w:type="dxa"/>
            <w:vAlign w:val="bottom"/>
          </w:tcPr>
          <w:p>
            <w:pPr>
              <w:spacing w:after="0"/>
              <w:rPr>
                <w:sz w:val="18"/>
                <w:szCs w:val="18"/>
                <w:color w:val="auto"/>
              </w:rPr>
            </w:pPr>
          </w:p>
        </w:tc>
        <w:tc>
          <w:tcPr>
            <w:tcW w:w="9640" w:type="dxa"/>
            <w:vAlign w:val="bottom"/>
            <w:gridSpan w:val="17"/>
          </w:tcPr>
          <w:p>
            <w:pPr>
              <w:spacing w:after="0"/>
              <w:rPr>
                <w:rFonts w:ascii="Arial" w:cs="Arial" w:eastAsia="Arial" w:hAnsi="Arial"/>
                <w:sz w:val="18"/>
                <w:szCs w:val="18"/>
                <w:color w:val="0000FF"/>
                <w:w w:val="93"/>
              </w:rPr>
            </w:pPr>
            <w:hyperlink w:anchor="page191">
              <w:r>
                <w:rPr>
                  <w:rFonts w:ascii="Arial" w:cs="Arial" w:eastAsia="Arial" w:hAnsi="Arial"/>
                  <w:sz w:val="18"/>
                  <w:szCs w:val="18"/>
                  <w:color w:val="0000FF"/>
                  <w:w w:val="93"/>
                </w:rPr>
                <w:t>Certification Pursuant to Rule 13a-14(a) and 15d-14(a) of the Securities Exchange Act, as Adopted Pursuant to Section 302 of the</w:t>
              </w:r>
            </w:hyperlink>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3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191">
              <w:r>
                <w:rPr>
                  <w:rFonts w:ascii="Arial" w:cs="Arial" w:eastAsia="Arial" w:hAnsi="Arial"/>
                  <w:sz w:val="18"/>
                  <w:szCs w:val="18"/>
                  <w:color w:val="0000FF"/>
                </w:rPr>
                <w:t>Sarbanes-Oxley Act of 2002 (Chief Financial Officer).</w:t>
              </w:r>
            </w:hyperlink>
          </w:p>
        </w:tc>
        <w:tc>
          <w:tcPr>
            <w:tcW w:w="280" w:type="dxa"/>
            <w:vAlign w:val="bottom"/>
            <w:gridSpan w:val="4"/>
          </w:tcPr>
          <w:p>
            <w:pPr>
              <w:spacing w:after="0"/>
              <w:rPr>
                <w:sz w:val="13"/>
                <w:szCs w:val="13"/>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5700" w:type="dxa"/>
            <w:vAlign w:val="bottom"/>
            <w:gridSpan w:val="10"/>
          </w:tcPr>
          <w:p>
            <w:pPr>
              <w:spacing w:after="0" w:line="20" w:lineRule="exact"/>
              <w:rPr>
                <w:sz w:val="1"/>
                <w:szCs w:val="1"/>
                <w:color w:val="auto"/>
              </w:rPr>
            </w:pPr>
          </w:p>
        </w:tc>
      </w:tr>
      <w:tr>
        <w:trPr>
          <w:trHeight w:val="24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480" w:type="dxa"/>
            <w:vAlign w:val="bottom"/>
          </w:tcPr>
          <w:p>
            <w:pPr>
              <w:spacing w:after="0"/>
              <w:rPr>
                <w:sz w:val="21"/>
                <w:szCs w:val="21"/>
                <w:color w:val="auto"/>
              </w:rPr>
            </w:pPr>
          </w:p>
        </w:tc>
        <w:tc>
          <w:tcPr>
            <w:tcW w:w="9640" w:type="dxa"/>
            <w:vAlign w:val="bottom"/>
            <w:gridSpan w:val="17"/>
          </w:tcPr>
          <w:p>
            <w:pPr>
              <w:spacing w:after="0"/>
              <w:rPr>
                <w:rFonts w:ascii="Arial" w:cs="Arial" w:eastAsia="Arial" w:hAnsi="Arial"/>
                <w:sz w:val="18"/>
                <w:szCs w:val="18"/>
                <w:u w:val="single" w:color="auto"/>
                <w:color w:val="0000FF"/>
              </w:rPr>
            </w:pPr>
            <w:hyperlink w:anchor="page192">
              <w:r>
                <w:rPr>
                  <w:rFonts w:ascii="Arial" w:cs="Arial" w:eastAsia="Arial" w:hAnsi="Arial"/>
                  <w:sz w:val="18"/>
                  <w:szCs w:val="18"/>
                  <w:u w:val="single" w:color="auto"/>
                  <w:color w:val="0000FF"/>
                </w:rPr>
                <w:t>Certification Pursuant to 18 U.S.C. Section 1350 (Chief Executive Officer).</w:t>
              </w:r>
            </w:hyperlink>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32.2†*</w:t>
            </w:r>
          </w:p>
        </w:tc>
        <w:tc>
          <w:tcPr>
            <w:tcW w:w="480" w:type="dxa"/>
            <w:vAlign w:val="bottom"/>
          </w:tcPr>
          <w:p>
            <w:pPr>
              <w:spacing w:after="0"/>
              <w:rPr>
                <w:sz w:val="19"/>
                <w:szCs w:val="19"/>
                <w:color w:val="auto"/>
              </w:rPr>
            </w:pPr>
          </w:p>
        </w:tc>
        <w:tc>
          <w:tcPr>
            <w:tcW w:w="9640" w:type="dxa"/>
            <w:vAlign w:val="bottom"/>
            <w:gridSpan w:val="17"/>
          </w:tcPr>
          <w:p>
            <w:pPr>
              <w:spacing w:after="0"/>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Certification Pursuant to 18 U.S.C. Section 1350 (Chief Financial Officer).</w:t>
              </w:r>
            </w:hyperlink>
          </w:p>
        </w:tc>
      </w:tr>
      <w:tr>
        <w:trPr>
          <w:trHeight w:val="176"/>
        </w:trPr>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2"/>
              </w:rPr>
              <w:t>101.INS</w:t>
            </w:r>
          </w:p>
        </w:tc>
        <w:tc>
          <w:tcPr>
            <w:tcW w:w="480" w:type="dxa"/>
            <w:vAlign w:val="bottom"/>
          </w:tcPr>
          <w:p>
            <w:pPr>
              <w:spacing w:after="0"/>
              <w:rPr>
                <w:sz w:val="15"/>
                <w:szCs w:val="15"/>
                <w:color w:val="auto"/>
              </w:rPr>
            </w:pPr>
          </w:p>
        </w:tc>
        <w:tc>
          <w:tcPr>
            <w:tcW w:w="9640" w:type="dxa"/>
            <w:vAlign w:val="bottom"/>
            <w:gridSpan w:val="17"/>
          </w:tcPr>
          <w:p>
            <w:pPr>
              <w:spacing w:after="0" w:line="176" w:lineRule="exact"/>
              <w:rPr>
                <w:sz w:val="20"/>
                <w:szCs w:val="20"/>
                <w:color w:val="auto"/>
              </w:rPr>
            </w:pPr>
            <w:r>
              <w:rPr>
                <w:rFonts w:ascii="Arial" w:cs="Arial" w:eastAsia="Arial" w:hAnsi="Arial"/>
                <w:sz w:val="18"/>
                <w:szCs w:val="18"/>
                <w:color w:val="auto"/>
                <w:w w:val="93"/>
              </w:rPr>
              <w:t>The instance document does not appear in the Interactive Data File because its XBRL tags are embedded within the inline XBRL</w:t>
            </w:r>
          </w:p>
        </w:tc>
      </w:tr>
      <w:tr>
        <w:trPr>
          <w:trHeight w:val="229"/>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Inline XBRL Schema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7"/>
              </w:rPr>
              <w:t>101.CAL</w:t>
            </w: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8"/>
              </w:rPr>
              <w:t>101.LAB</w:t>
            </w: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Inline XBRL Labels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101.PRE</w:t>
            </w:r>
          </w:p>
        </w:tc>
        <w:tc>
          <w:tcPr>
            <w:tcW w:w="480" w:type="dxa"/>
            <w:vAlign w:val="bottom"/>
          </w:tcPr>
          <w:p>
            <w:pPr>
              <w:spacing w:after="0"/>
              <w:rPr>
                <w:sz w:val="19"/>
                <w:szCs w:val="19"/>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480" w:type="dxa"/>
            <w:vAlign w:val="bottom"/>
          </w:tcPr>
          <w:p>
            <w:pPr>
              <w:spacing w:after="0"/>
              <w:rPr>
                <w:sz w:val="20"/>
                <w:szCs w:val="20"/>
                <w:color w:val="auto"/>
              </w:rPr>
            </w:pPr>
          </w:p>
        </w:tc>
        <w:tc>
          <w:tcPr>
            <w:tcW w:w="9640" w:type="dxa"/>
            <w:vAlign w:val="bottom"/>
            <w:gridSpan w:val="17"/>
          </w:tcPr>
          <w:p>
            <w:pPr>
              <w:spacing w:after="0"/>
              <w:rPr>
                <w:sz w:val="20"/>
                <w:szCs w:val="20"/>
                <w:color w:val="auto"/>
              </w:rPr>
            </w:pPr>
            <w:r>
              <w:rPr>
                <w:rFonts w:ascii="Arial" w:cs="Arial" w:eastAsia="Arial" w:hAnsi="Arial"/>
                <w:sz w:val="18"/>
                <w:szCs w:val="18"/>
                <w:color w:val="auto"/>
              </w:rPr>
              <w:t>Inline XBRL Definition Linkbase Document.**</w:t>
            </w:r>
          </w:p>
        </w:tc>
      </w:tr>
    </w:tbl>
    <w:p>
      <w:pPr>
        <w:ind w:left="1560" w:right="180" w:hanging="1140"/>
        <w:spacing w:after="0" w:line="234" w:lineRule="auto"/>
        <w:tabs>
          <w:tab w:leader="none" w:pos="1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60" w:hanging="1050"/>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3" w:lineRule="exact"/>
        <w:rPr>
          <w:sz w:val="20"/>
          <w:szCs w:val="20"/>
          <w:color w:val="auto"/>
        </w:rPr>
      </w:pPr>
    </w:p>
    <w:p>
      <w:pPr>
        <w:ind w:left="1560" w:hanging="1050"/>
        <w:spacing w:after="0"/>
        <w:tabs>
          <w:tab w:leader="none" w:pos="1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23" w:lineRule="exact"/>
        <w:rPr>
          <w:sz w:val="20"/>
          <w:szCs w:val="20"/>
          <w:color w:val="auto"/>
        </w:rPr>
      </w:pPr>
    </w:p>
    <w:p>
      <w:pPr>
        <w:ind w:left="1560" w:right="100" w:hanging="1050"/>
        <w:spacing w:after="0" w:line="228" w:lineRule="auto"/>
        <w:tabs>
          <w:tab w:leader="none" w:pos="15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3" w:lineRule="exact"/>
        <w:rPr>
          <w:sz w:val="20"/>
          <w:szCs w:val="20"/>
          <w:color w:val="auto"/>
        </w:rPr>
      </w:pPr>
    </w:p>
    <w:p>
      <w:pPr>
        <w:ind w:left="1560" w:hanging="1095"/>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Condensed Consolidated Statements of Income for the three months ended January 30, 2021 and February 1, 2020, (ii) Condensed Consolidated Statements of Comprehensive Income for the three months ended January 30, 2021 and February 1, 2020, (iii) Condensed Consolidated Balance Sheets at January 30, 2021 and October 31, 2020, (iv) Condensed Consolidated Statements of Shareholders' Equity for the three months ended January 30, 2021 and February 1, 2020,</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96" w:right="399" w:bottom="1440" w:gutter="0" w:footer="0" w:header="0"/>
        </w:sectPr>
      </w:pPr>
    </w:p>
    <w:bookmarkStart w:id="41" w:name="page42"/>
    <w:bookmarkEnd w:id="41"/>
    <w:p>
      <w:pPr>
        <w:ind w:left="-8" w:firstLine="8"/>
        <w:spacing w:after="0" w:line="277" w:lineRule="auto"/>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three months ended January 30, 2021 and February 1, 2020 and (vi) Notes to Condensed Consolidated Financial Statements for the three months ended January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12"/>
          </w:cols>
          <w:pgMar w:left="328" w:top="1178" w:right="659" w:bottom="1440" w:gutter="0" w:footer="0" w:header="0"/>
        </w:sectPr>
      </w:pPr>
    </w:p>
    <w:bookmarkStart w:id="42" w:name="page43"/>
    <w:bookmarkEnd w:id="4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6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7620" w:type="dxa"/>
            <w:vAlign w:val="bottom"/>
            <w:gridSpan w:val="2"/>
          </w:tcPr>
          <w:p>
            <w:pPr>
              <w:ind w:left="1460"/>
              <w:spacing w:after="0"/>
              <w:rPr>
                <w:sz w:val="20"/>
                <w:szCs w:val="20"/>
                <w:color w:val="auto"/>
              </w:rPr>
            </w:pPr>
            <w:r>
              <w:rPr>
                <w:rFonts w:ascii="Arial" w:cs="Arial" w:eastAsia="Arial" w:hAnsi="Arial"/>
                <w:sz w:val="18"/>
                <w:szCs w:val="18"/>
                <w:color w:val="auto"/>
              </w:rPr>
              <w:t>ANALOG DEVICES, INC.</w:t>
            </w:r>
          </w:p>
        </w:tc>
      </w:tr>
      <w:tr>
        <w:trPr>
          <w:trHeight w:val="499"/>
        </w:trPr>
        <w:tc>
          <w:tcPr>
            <w:tcW w:w="3240" w:type="dxa"/>
            <w:vAlign w:val="bottom"/>
          </w:tcPr>
          <w:p>
            <w:pPr>
              <w:spacing w:after="0"/>
              <w:rPr>
                <w:sz w:val="20"/>
                <w:szCs w:val="20"/>
                <w:color w:val="auto"/>
              </w:rPr>
            </w:pPr>
            <w:r>
              <w:rPr>
                <w:rFonts w:ascii="Arial" w:cs="Arial" w:eastAsia="Arial" w:hAnsi="Arial"/>
                <w:sz w:val="18"/>
                <w:szCs w:val="18"/>
                <w:color w:val="auto"/>
              </w:rPr>
              <w:t>Date: February 17, 2021</w:t>
            </w:r>
          </w:p>
        </w:tc>
        <w:tc>
          <w:tcPr>
            <w:tcW w:w="2000" w:type="dxa"/>
            <w:vAlign w:val="bottom"/>
          </w:tcPr>
          <w:p>
            <w:pPr>
              <w:ind w:left="146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Vincent Roche</w:t>
            </w:r>
          </w:p>
        </w:tc>
      </w:tr>
      <w:tr>
        <w:trPr>
          <w:trHeight w:val="222"/>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Vincent Roche</w:t>
            </w:r>
          </w:p>
        </w:tc>
      </w:tr>
      <w:tr>
        <w:trPr>
          <w:trHeight w:val="229"/>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240" w:type="dxa"/>
            <w:vAlign w:val="bottom"/>
          </w:tcPr>
          <w:p>
            <w:pPr>
              <w:spacing w:after="0"/>
              <w:rPr>
                <w:sz w:val="20"/>
                <w:szCs w:val="20"/>
                <w:color w:val="auto"/>
              </w:rPr>
            </w:pPr>
            <w:r>
              <w:rPr>
                <w:rFonts w:ascii="Arial" w:cs="Arial" w:eastAsia="Arial" w:hAnsi="Arial"/>
                <w:sz w:val="18"/>
                <w:szCs w:val="18"/>
                <w:color w:val="auto"/>
              </w:rPr>
              <w:t>Date: February 17, 2021</w:t>
            </w:r>
          </w:p>
        </w:tc>
        <w:tc>
          <w:tcPr>
            <w:tcW w:w="2000" w:type="dxa"/>
            <w:vAlign w:val="bottom"/>
          </w:tcPr>
          <w:p>
            <w:pPr>
              <w:ind w:left="146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Prashanth Mahendra-Rajah</w:t>
            </w:r>
          </w:p>
        </w:tc>
      </w:tr>
      <w:tr>
        <w:trPr>
          <w:trHeight w:val="222"/>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Prashanth Mahendra-Rajah</w:t>
            </w:r>
          </w:p>
        </w:tc>
      </w:tr>
      <w:tr>
        <w:trPr>
          <w:trHeight w:val="229"/>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80"/>
          </w:cols>
          <w:pgMar w:left="320" w:top="1012" w:right="69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10.3</w:t>
      </w:r>
    </w:p>
    <w:p>
      <w:pPr>
        <w:spacing w:after="0" w:line="31"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2020 EQUITY INCENTIVE PLAN</w:t>
      </w:r>
    </w:p>
    <w:p>
      <w:pPr>
        <w:spacing w:after="0" w:line="13" w:lineRule="exact"/>
        <w:rPr>
          <w:sz w:val="20"/>
          <w:szCs w:val="20"/>
          <w:color w:val="auto"/>
        </w:rPr>
      </w:pPr>
    </w:p>
    <w:p>
      <w:pPr>
        <w:ind w:left="3660"/>
        <w:spacing w:after="0"/>
        <w:rPr>
          <w:sz w:val="20"/>
          <w:szCs w:val="20"/>
          <w:color w:val="auto"/>
        </w:rPr>
      </w:pPr>
      <w:r>
        <w:rPr>
          <w:rFonts w:ascii="Arial" w:cs="Arial" w:eastAsia="Arial" w:hAnsi="Arial"/>
          <w:sz w:val="20"/>
          <w:szCs w:val="20"/>
          <w:b w:val="1"/>
          <w:bCs w:val="1"/>
          <w:color w:val="auto"/>
        </w:rPr>
        <w:t>RESTRICTED STOCK UNIT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Participant Name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Grant ID: Client Grant ID</w:t>
      </w:r>
    </w:p>
    <w:p>
      <w:pPr>
        <w:spacing w:after="0" w:line="240"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25" w:lineRule="exact"/>
        <w:rPr>
          <w:sz w:val="20"/>
          <w:szCs w:val="20"/>
          <w:color w:val="auto"/>
        </w:rPr>
      </w:pPr>
    </w:p>
    <w:p>
      <w:pPr>
        <w:ind w:right="440"/>
        <w:spacing w:after="0" w:line="288" w:lineRule="auto"/>
        <w:rPr>
          <w:sz w:val="20"/>
          <w:szCs w:val="20"/>
          <w:color w:val="auto"/>
        </w:rPr>
      </w:pPr>
      <w:r>
        <w:rPr>
          <w:rFonts w:ascii="Arial" w:cs="Arial" w:eastAsia="Arial" w:hAnsi="Arial"/>
          <w:sz w:val="20"/>
          <w:szCs w:val="20"/>
          <w:color w:val="auto"/>
        </w:rPr>
        <w:t>All terms not defined herein shall have the meanings assigned to such terms in the Analog Devices, Inc. 2020 Equity Incentive Plan (the “Plan”).</w:t>
      </w:r>
    </w:p>
    <w:p>
      <w:pPr>
        <w:spacing w:after="0" w:line="13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Restricted Stock Unit</w:t>
      </w:r>
      <w:r>
        <w:rPr>
          <w:rFonts w:ascii="Arial" w:cs="Arial" w:eastAsia="Arial" w:hAnsi="Arial"/>
          <w:sz w:val="20"/>
          <w:szCs w:val="20"/>
          <w:color w:val="auto"/>
        </w:rPr>
        <w:t>.</w:t>
      </w:r>
    </w:p>
    <w:p>
      <w:pPr>
        <w:spacing w:after="0" w:line="202" w:lineRule="exact"/>
        <w:rPr>
          <w:sz w:val="20"/>
          <w:szCs w:val="20"/>
          <w:color w:val="auto"/>
        </w:rPr>
      </w:pPr>
    </w:p>
    <w:p>
      <w:pPr>
        <w:ind w:left="340"/>
        <w:spacing w:after="0" w:line="316" w:lineRule="auto"/>
        <w:rPr>
          <w:sz w:val="20"/>
          <w:szCs w:val="20"/>
          <w:color w:val="auto"/>
        </w:rPr>
      </w:pPr>
      <w:r>
        <w:rPr>
          <w:rFonts w:ascii="Arial" w:cs="Arial" w:eastAsia="Arial" w:hAnsi="Arial"/>
          <w:sz w:val="19"/>
          <w:szCs w:val="19"/>
          <w:color w:val="auto"/>
        </w:rPr>
        <w:t>This Restricted Stock Unit Agreement (the “Agreement”) confirms that, subject to the terms and conditions of the Plan, the Company has granted to the Participant, effective on the Date of Grant set forth below, that number of RSUs set forth below:</w:t>
      </w:r>
    </w:p>
    <w:p>
      <w:pPr>
        <w:sectPr>
          <w:pgSz w:w="11900" w:h="16838" w:orient="portrait"/>
          <w:cols w:equalWidth="0" w:num="1">
            <w:col w:w="11240"/>
          </w:cols>
          <w:pgMar w:left="320" w:top="1327" w:right="339" w:bottom="1440" w:gutter="0" w:footer="0" w:header="0"/>
        </w:sectPr>
      </w:pPr>
    </w:p>
    <w:p>
      <w:pPr>
        <w:spacing w:after="0" w:line="1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RSUs Granted: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color w:val="auto"/>
        </w:rPr>
        <w:t>Grant Date</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Number of Awards Granted</w:t>
      </w:r>
    </w:p>
    <w:p>
      <w:pPr>
        <w:spacing w:after="0" w:line="200" w:lineRule="exact"/>
        <w:rPr>
          <w:sz w:val="20"/>
          <w:szCs w:val="20"/>
          <w:color w:val="auto"/>
        </w:rPr>
      </w:pPr>
    </w:p>
    <w:p>
      <w:pPr>
        <w:sectPr>
          <w:pgSz w:w="11900" w:h="16838" w:orient="portrait"/>
          <w:cols w:equalWidth="0" w:num="2">
            <w:col w:w="2780" w:space="400"/>
            <w:col w:w="8060"/>
          </w:cols>
          <w:pgMar w:left="320" w:top="1327" w:right="339" w:bottom="1440" w:gutter="0" w:footer="0" w:header="0"/>
          <w:type w:val="continuous"/>
        </w:sectPr>
      </w:pPr>
    </w:p>
    <w:p>
      <w:pPr>
        <w:spacing w:after="0" w:line="50" w:lineRule="exact"/>
        <w:rPr>
          <w:sz w:val="20"/>
          <w:szCs w:val="20"/>
          <w:color w:val="auto"/>
        </w:rPr>
      </w:pPr>
    </w:p>
    <w:p>
      <w:pPr>
        <w:jc w:val="both"/>
        <w:ind w:left="2400" w:hanging="1943"/>
        <w:spacing w:after="0" w:line="250" w:lineRule="auto"/>
        <w:tabs>
          <w:tab w:leader="none" w:pos="2380" w:val="left"/>
        </w:tabs>
        <w:rPr>
          <w:sz w:val="20"/>
          <w:szCs w:val="20"/>
          <w:color w:val="auto"/>
        </w:rPr>
      </w:pPr>
      <w:r>
        <w:rPr>
          <w:rFonts w:ascii="Arial" w:cs="Arial" w:eastAsia="Arial" w:hAnsi="Arial"/>
          <w:sz w:val="20"/>
          <w:szCs w:val="20"/>
          <w:color w:val="auto"/>
        </w:rPr>
        <w:t>Vesting Schedule:</w:t>
      </w:r>
      <w:r>
        <w:rPr>
          <w:sz w:val="20"/>
          <w:szCs w:val="20"/>
          <w:color w:val="auto"/>
        </w:rPr>
        <w:tab/>
      </w:r>
      <w:r>
        <w:rPr>
          <w:rFonts w:ascii="Arial" w:cs="Arial" w:eastAsia="Arial" w:hAnsi="Arial"/>
          <w:sz w:val="20"/>
          <w:szCs w:val="20"/>
          <w:color w:val="auto"/>
        </w:rPr>
        <w:t>The RSUs shall vest on the earlier of one year from Grant Date or the date of the Company’s next annual meeting of shareholders, subject to the Participant’s continued service as a member of the Board (a “Director”).</w:t>
      </w:r>
    </w:p>
    <w:p>
      <w:pPr>
        <w:spacing w:after="0" w:line="226" w:lineRule="exact"/>
        <w:rPr>
          <w:sz w:val="20"/>
          <w:szCs w:val="20"/>
          <w:color w:val="auto"/>
        </w:rPr>
      </w:pPr>
    </w:p>
    <w:p>
      <w:pPr>
        <w:jc w:val="both"/>
        <w:ind w:left="340"/>
        <w:spacing w:after="0" w:line="299" w:lineRule="auto"/>
        <w:rPr>
          <w:sz w:val="20"/>
          <w:szCs w:val="20"/>
          <w:color w:val="auto"/>
        </w:rPr>
      </w:pPr>
      <w:r>
        <w:rPr>
          <w:rFonts w:ascii="Arial" w:cs="Arial" w:eastAsia="Arial" w:hAnsi="Arial"/>
          <w:sz w:val="19"/>
          <w:szCs w:val="19"/>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28"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660" w:hanging="328"/>
        <w:spacing w:after="0" w:line="345" w:lineRule="auto"/>
        <w:tabs>
          <w:tab w:leader="none" w:pos="618" w:val="left"/>
        </w:tabs>
        <w:numPr>
          <w:ilvl w:val="1"/>
          <w:numId w:val="28"/>
        </w:numPr>
        <w:rPr>
          <w:rFonts w:ascii="Arial" w:cs="Arial" w:eastAsia="Arial" w:hAnsi="Arial"/>
          <w:sz w:val="16"/>
          <w:szCs w:val="16"/>
          <w:color w:val="auto"/>
        </w:rPr>
      </w:pPr>
      <w:r>
        <w:rPr>
          <w:rFonts w:ascii="Arial" w:cs="Arial" w:eastAsia="Arial" w:hAnsi="Arial"/>
          <w:sz w:val="16"/>
          <w:szCs w:val="16"/>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 listed.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27" w:right="339" w:bottom="1440" w:gutter="0" w:footer="0" w:header="0"/>
          <w:type w:val="continuous"/>
        </w:sectPr>
      </w:pPr>
    </w:p>
    <w:bookmarkStart w:id="44" w:name="page45"/>
    <w:bookmarkEnd w:id="44"/>
    <w:p>
      <w:pPr>
        <w:jc w:val="both"/>
        <w:ind w:left="660" w:hanging="328"/>
        <w:spacing w:after="0" w:line="322" w:lineRule="auto"/>
        <w:tabs>
          <w:tab w:leader="none" w:pos="630"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1" w:lineRule="exact"/>
        <w:rPr>
          <w:rFonts w:ascii="Arial" w:cs="Arial" w:eastAsia="Arial" w:hAnsi="Arial"/>
          <w:sz w:val="18"/>
          <w:szCs w:val="18"/>
          <w:color w:val="auto"/>
        </w:rPr>
      </w:pPr>
    </w:p>
    <w:p>
      <w:pPr>
        <w:ind w:left="600" w:hanging="268"/>
        <w:spacing w:after="0"/>
        <w:tabs>
          <w:tab w:leader="none" w:pos="600" w:val="left"/>
        </w:tabs>
        <w:numPr>
          <w:ilvl w:val="1"/>
          <w:numId w:val="29"/>
        </w:numPr>
        <w:rPr>
          <w:rFonts w:ascii="Arial" w:cs="Arial" w:eastAsia="Arial" w:hAnsi="Arial"/>
          <w:sz w:val="19"/>
          <w:szCs w:val="19"/>
          <w:color w:val="auto"/>
        </w:rPr>
      </w:pPr>
      <w:r>
        <w:rPr>
          <w:rFonts w:ascii="Arial" w:cs="Arial" w:eastAsia="Arial" w:hAnsi="Arial"/>
          <w:sz w:val="19"/>
          <w:szCs w:val="19"/>
          <w:color w:val="auto"/>
        </w:rPr>
        <w:t xml:space="preserve">In the event the Participant </w:t>
      </w:r>
      <w:r>
        <w:rPr>
          <w:rFonts w:ascii="Arial" w:cs="Arial" w:eastAsia="Arial" w:hAnsi="Arial"/>
          <w:sz w:val="19"/>
          <w:szCs w:val="19"/>
          <w:u w:val="single" w:color="auto"/>
          <w:color w:val="auto"/>
        </w:rPr>
        <w:t>dies</w:t>
      </w:r>
      <w:r>
        <w:rPr>
          <w:rFonts w:ascii="Arial" w:cs="Arial" w:eastAsia="Arial" w:hAnsi="Arial"/>
          <w:sz w:val="19"/>
          <w:szCs w:val="19"/>
          <w:color w:val="auto"/>
        </w:rPr>
        <w:t xml:space="preserve"> while a Director, all Unvested RSUs shall vest in full as of the date of the Participant’s death.</w:t>
      </w:r>
    </w:p>
    <w:p>
      <w:pPr>
        <w:spacing w:after="0" w:line="227" w:lineRule="exact"/>
        <w:rPr>
          <w:rFonts w:ascii="Arial" w:cs="Arial" w:eastAsia="Arial" w:hAnsi="Arial"/>
          <w:sz w:val="19"/>
          <w:szCs w:val="19"/>
          <w:color w:val="auto"/>
        </w:rPr>
      </w:pPr>
    </w:p>
    <w:p>
      <w:pPr>
        <w:jc w:val="both"/>
        <w:ind w:left="660" w:hanging="328"/>
        <w:spacing w:after="0" w:line="314" w:lineRule="auto"/>
        <w:tabs>
          <w:tab w:leader="none" w:pos="63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In the event the Participant ceases to be a Director by reason of a </w:t>
      </w:r>
      <w:r>
        <w:rPr>
          <w:rFonts w:ascii="Arial" w:cs="Arial" w:eastAsia="Arial" w:hAnsi="Arial"/>
          <w:sz w:val="18"/>
          <w:szCs w:val="18"/>
          <w:u w:val="single" w:color="auto"/>
          <w:color w:val="auto"/>
        </w:rPr>
        <w:t>Disability</w:t>
      </w:r>
      <w:r>
        <w:rPr>
          <w:rFonts w:ascii="Arial" w:cs="Arial" w:eastAsia="Arial" w:hAnsi="Arial"/>
          <w:sz w:val="18"/>
          <w:szCs w:val="18"/>
          <w:color w:val="auto"/>
        </w:rPr>
        <w:t>, the Unvested RSUs as of the date of the Participant ceases to be a Director shall vest in full as of such date. “Disability” with respect to the Participant occurs, when and if, as a result of disease, injury or mental disorder, the Participant is incapable of engaging in regular service with the Company, which has lasted or can be expected to last for a continuous period of not less than 12 months, as determined by the Company.</w:t>
      </w:r>
    </w:p>
    <w:p>
      <w:pPr>
        <w:spacing w:after="0" w:line="118" w:lineRule="exact"/>
        <w:rPr>
          <w:rFonts w:ascii="Arial" w:cs="Arial" w:eastAsia="Arial" w:hAnsi="Arial"/>
          <w:sz w:val="18"/>
          <w:szCs w:val="18"/>
          <w:color w:val="auto"/>
        </w:rPr>
      </w:pPr>
    </w:p>
    <w:p>
      <w:pPr>
        <w:jc w:val="both"/>
        <w:ind w:left="660" w:hanging="328"/>
        <w:spacing w:after="0" w:line="278" w:lineRule="auto"/>
        <w:tabs>
          <w:tab w:leader="none" w:pos="616" w:val="left"/>
        </w:tabs>
        <w:numPr>
          <w:ilvl w:val="1"/>
          <w:numId w:val="29"/>
        </w:numPr>
        <w:rPr>
          <w:rFonts w:ascii="Arial" w:cs="Arial" w:eastAsia="Arial" w:hAnsi="Arial"/>
          <w:sz w:val="20"/>
          <w:szCs w:val="20"/>
          <w:color w:val="auto"/>
        </w:rPr>
      </w:pPr>
      <w:r>
        <w:rPr>
          <w:rFonts w:ascii="Arial" w:cs="Arial" w:eastAsia="Arial" w:hAnsi="Arial"/>
          <w:sz w:val="20"/>
          <w:szCs w:val="20"/>
          <w:color w:val="auto"/>
        </w:rPr>
        <w:t xml:space="preserve">If the Participant becomes an </w:t>
      </w:r>
      <w:r>
        <w:rPr>
          <w:rFonts w:ascii="Arial" w:cs="Arial" w:eastAsia="Arial" w:hAnsi="Arial"/>
          <w:sz w:val="20"/>
          <w:szCs w:val="20"/>
          <w:u w:val="single" w:color="auto"/>
          <w:color w:val="auto"/>
        </w:rPr>
        <w:t>employee</w:t>
      </w:r>
      <w:r>
        <w:rPr>
          <w:rFonts w:ascii="Arial" w:cs="Arial" w:eastAsia="Arial" w:hAnsi="Arial"/>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5" w:lineRule="exact"/>
        <w:rPr>
          <w:rFonts w:ascii="Arial" w:cs="Arial" w:eastAsia="Arial" w:hAnsi="Arial"/>
          <w:sz w:val="20"/>
          <w:szCs w:val="20"/>
          <w:color w:val="auto"/>
        </w:rPr>
      </w:pPr>
    </w:p>
    <w:p>
      <w:pPr>
        <w:ind w:left="660" w:hanging="328"/>
        <w:spacing w:after="0" w:line="288" w:lineRule="auto"/>
        <w:tabs>
          <w:tab w:leader="none" w:pos="583" w:val="left"/>
        </w:tabs>
        <w:numPr>
          <w:ilvl w:val="1"/>
          <w:numId w:val="29"/>
        </w:numPr>
        <w:rPr>
          <w:rFonts w:ascii="Arial" w:cs="Arial" w:eastAsia="Arial" w:hAnsi="Arial"/>
          <w:sz w:val="20"/>
          <w:szCs w:val="20"/>
          <w:color w:val="auto"/>
        </w:rPr>
      </w:pPr>
      <w:r>
        <w:rPr>
          <w:rFonts w:ascii="Arial" w:cs="Arial" w:eastAsia="Arial" w:hAnsi="Arial"/>
          <w:sz w:val="20"/>
          <w:szCs w:val="20"/>
          <w:color w:val="auto"/>
        </w:rPr>
        <w:t>Notwithstanding anything in the Plan or herein, all Unvested RSUs shall vest in full as of a Change in Control Event (as defined in the Plan).</w:t>
      </w:r>
    </w:p>
    <w:p>
      <w:pPr>
        <w:spacing w:after="0" w:line="150" w:lineRule="exact"/>
        <w:rPr>
          <w:rFonts w:ascii="Arial" w:cs="Arial" w:eastAsia="Arial" w:hAnsi="Arial"/>
          <w:sz w:val="20"/>
          <w:szCs w:val="20"/>
          <w:color w:val="auto"/>
        </w:rPr>
      </w:pPr>
    </w:p>
    <w:p>
      <w:pPr>
        <w:ind w:left="660" w:hanging="328"/>
        <w:spacing w:after="0" w:line="347" w:lineRule="auto"/>
        <w:tabs>
          <w:tab w:leader="none" w:pos="616" w:val="left"/>
        </w:tabs>
        <w:numPr>
          <w:ilvl w:val="1"/>
          <w:numId w:val="29"/>
        </w:numPr>
        <w:rPr>
          <w:rFonts w:ascii="Arial" w:cs="Arial" w:eastAsia="Arial" w:hAnsi="Arial"/>
          <w:sz w:val="18"/>
          <w:szCs w:val="18"/>
          <w:color w:val="auto"/>
        </w:rPr>
      </w:pPr>
      <w:r>
        <w:rPr>
          <w:rFonts w:ascii="Arial" w:cs="Arial" w:eastAsia="Arial" w:hAnsi="Arial"/>
          <w:sz w:val="18"/>
          <w:szCs w:val="18"/>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00" w:hanging="268"/>
        <w:spacing w:after="0"/>
        <w:tabs>
          <w:tab w:leader="none" w:pos="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238" w:lineRule="exact"/>
        <w:rPr>
          <w:rFonts w:ascii="Arial" w:cs="Arial" w:eastAsia="Arial" w:hAnsi="Arial"/>
          <w:sz w:val="18"/>
          <w:szCs w:val="18"/>
          <w:color w:val="auto"/>
        </w:rPr>
      </w:pPr>
    </w:p>
    <w:p>
      <w:pPr>
        <w:jc w:val="both"/>
        <w:ind w:left="660" w:hanging="328"/>
        <w:spacing w:after="0" w:line="278" w:lineRule="auto"/>
        <w:tabs>
          <w:tab w:leader="none" w:pos="619"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5" w:lineRule="exact"/>
        <w:rPr>
          <w:rFonts w:ascii="Arial" w:cs="Arial" w:eastAsia="Arial" w:hAnsi="Arial"/>
          <w:sz w:val="20"/>
          <w:szCs w:val="20"/>
          <w:color w:val="auto"/>
        </w:rPr>
      </w:pPr>
    </w:p>
    <w:p>
      <w:pPr>
        <w:jc w:val="both"/>
        <w:ind w:left="340" w:hanging="332"/>
        <w:spacing w:after="0" w:line="272"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Not a Shareholder</w:t>
      </w:r>
      <w:r>
        <w:rPr>
          <w:rFonts w:ascii="Arial" w:cs="Arial" w:eastAsia="Arial" w:hAnsi="Arial"/>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54" w:lineRule="exact"/>
        <w:rPr>
          <w:rFonts w:ascii="Arial" w:cs="Arial" w:eastAsia="Arial" w:hAnsi="Arial"/>
          <w:sz w:val="20"/>
          <w:szCs w:val="20"/>
          <w:color w:val="auto"/>
        </w:rPr>
      </w:pPr>
    </w:p>
    <w:p>
      <w:pPr>
        <w:ind w:left="340" w:hanging="332"/>
        <w:spacing w:after="0"/>
        <w:tabs>
          <w:tab w:leader="none" w:pos="3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Provisions of the Plan</w:t>
      </w:r>
      <w:r>
        <w:rPr>
          <w:rFonts w:ascii="Arial" w:cs="Arial" w:eastAsia="Arial" w:hAnsi="Arial"/>
          <w:sz w:val="19"/>
          <w:szCs w:val="19"/>
          <w:color w:val="auto"/>
        </w:rPr>
        <w:t>. The RSUs and Shares, including the grant and issuance thereof, are subject to the provisions of the Plan.</w:t>
      </w:r>
    </w:p>
    <w:p>
      <w:pPr>
        <w:spacing w:after="0" w:line="227" w:lineRule="exact"/>
        <w:rPr>
          <w:rFonts w:ascii="Arial" w:cs="Arial" w:eastAsia="Arial" w:hAnsi="Arial"/>
          <w:sz w:val="19"/>
          <w:szCs w:val="19"/>
          <w:color w:val="auto"/>
        </w:rPr>
      </w:pPr>
    </w:p>
    <w:p>
      <w:pPr>
        <w:jc w:val="both"/>
        <w:ind w:left="340" w:hanging="332"/>
        <w:spacing w:after="0" w:line="278"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Any Shares that are issued and any cash payment that is delivered, in either case upon settlement of the RSUs pursuant to this Award, will be in consideration of the Participant’s service as a member of the Board and/or the Participant’s continued employment with the Company, which consideration is deemed sufficient.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vMerge w:val="restart"/>
          </w:tcPr>
          <w:p>
            <w:pPr>
              <w:jc w:val="right"/>
              <w:ind w:right="81"/>
              <w:spacing w:after="0"/>
              <w:rPr>
                <w:sz w:val="20"/>
                <w:szCs w:val="20"/>
                <w:color w:val="auto"/>
              </w:rPr>
            </w:pPr>
            <w:r>
              <w:rPr>
                <w:rFonts w:ascii="Arial" w:cs="Arial" w:eastAsia="Arial" w:hAnsi="Arial"/>
                <w:sz w:val="20"/>
                <w:szCs w:val="20"/>
                <w:color w:val="auto"/>
                <w:w w:val="83"/>
              </w:rPr>
              <w:t>7.</w:t>
            </w:r>
          </w:p>
        </w:tc>
        <w:tc>
          <w:tcPr>
            <w:tcW w:w="1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Withholding Taxes</w:t>
            </w:r>
          </w:p>
        </w:tc>
        <w:tc>
          <w:tcPr>
            <w:tcW w:w="1880" w:type="dxa"/>
            <w:vAlign w:val="bottom"/>
            <w:vMerge w:val="restart"/>
          </w:tcPr>
          <w:p>
            <w:pPr>
              <w:jc w:val="right"/>
              <w:ind w:right="1791"/>
              <w:spacing w:after="0"/>
              <w:rPr>
                <w:sz w:val="20"/>
                <w:szCs w:val="20"/>
                <w:color w:val="auto"/>
              </w:rPr>
            </w:pPr>
            <w:r>
              <w:rPr>
                <w:rFonts w:ascii="Arial" w:cs="Arial" w:eastAsia="Arial" w:hAnsi="Arial"/>
                <w:sz w:val="10"/>
                <w:szCs w:val="10"/>
                <w:color w:val="auto"/>
                <w:w w:val="70"/>
              </w:rPr>
              <w:t>.</w:t>
            </w:r>
          </w:p>
        </w:tc>
        <w:tc>
          <w:tcPr>
            <w:tcW w:w="196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65"/>
        </w:trPr>
        <w:tc>
          <w:tcPr>
            <w:tcW w:w="34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1" w:right="339" w:bottom="1440" w:gutter="0" w:footer="0" w:header="0"/>
        </w:sectPr>
      </w:pPr>
    </w:p>
    <w:bookmarkStart w:id="45" w:name="page46"/>
    <w:bookmarkEnd w:id="45"/>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hanging="328"/>
        <w:spacing w:after="0" w:line="305" w:lineRule="auto"/>
        <w:tabs>
          <w:tab w:leader="none" w:pos="2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w:t>
      </w:r>
    </w:p>
    <w:p>
      <w:pPr>
        <w:spacing w:after="0" w:line="129" w:lineRule="exact"/>
        <w:rPr>
          <w:rFonts w:ascii="Arial" w:cs="Arial" w:eastAsia="Arial" w:hAnsi="Arial"/>
          <w:sz w:val="18"/>
          <w:szCs w:val="18"/>
          <w:color w:val="auto"/>
        </w:rPr>
      </w:pPr>
    </w:p>
    <w:p>
      <w:pPr>
        <w:jc w:val="both"/>
        <w:ind w:left="328" w:hanging="328"/>
        <w:spacing w:after="0" w:line="278" w:lineRule="auto"/>
        <w:tabs>
          <w:tab w:leader="none" w:pos="298" w:val="left"/>
        </w:tabs>
        <w:numPr>
          <w:ilvl w:val="0"/>
          <w:numId w:val="31"/>
        </w:numPr>
        <w:rPr>
          <w:rFonts w:ascii="Arial" w:cs="Arial" w:eastAsia="Arial" w:hAnsi="Arial"/>
          <w:sz w:val="20"/>
          <w:szCs w:val="20"/>
          <w:color w:val="auto"/>
        </w:rPr>
      </w:pPr>
      <w:r>
        <w:rPr>
          <w:rFonts w:ascii="Arial" w:cs="Arial" w:eastAsia="Arial" w:hAnsi="Arial"/>
          <w:sz w:val="20"/>
          <w:szCs w:val="20"/>
          <w:color w:val="auto"/>
        </w:rPr>
        <w:t>Prior to the delivery of Shares upon vesting of the RSUs, if any taxing jurisdiction requires withholding of Tax-Related Items, the Participant authorizes the Company to satisfy the obligations with regard to all Tax-Related Items, if any, by one or a combination of methods set forth below:</w:t>
      </w:r>
    </w:p>
    <w:p>
      <w:pPr>
        <w:spacing w:after="0" w:line="159" w:lineRule="exact"/>
        <w:rPr>
          <w:rFonts w:ascii="Arial" w:cs="Arial" w:eastAsia="Arial" w:hAnsi="Arial"/>
          <w:sz w:val="20"/>
          <w:szCs w:val="20"/>
          <w:color w:val="auto"/>
        </w:rPr>
      </w:pPr>
    </w:p>
    <w:p>
      <w:pPr>
        <w:jc w:val="both"/>
        <w:ind w:left="968" w:hanging="320"/>
        <w:spacing w:after="0" w:line="309"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w:t>
      </w:r>
    </w:p>
    <w:p>
      <w:pPr>
        <w:spacing w:after="0" w:line="125" w:lineRule="exact"/>
        <w:rPr>
          <w:rFonts w:ascii="Arial" w:cs="Arial" w:eastAsia="Arial" w:hAnsi="Arial"/>
          <w:sz w:val="18"/>
          <w:szCs w:val="18"/>
          <w:color w:val="auto"/>
        </w:rPr>
      </w:pPr>
    </w:p>
    <w:p>
      <w:pPr>
        <w:ind w:left="968" w:hanging="320"/>
        <w:spacing w:after="0" w:line="288" w:lineRule="auto"/>
        <w:tabs>
          <w:tab w:leader="none" w:pos="965"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Company may, in its discretion, withhold any amount necessary to pay the Tax-Related Items from the Participant’s salary or other amounts payable to the Participant.</w:t>
      </w:r>
    </w:p>
    <w:p>
      <w:pPr>
        <w:spacing w:after="0" w:line="136" w:lineRule="exact"/>
        <w:rPr>
          <w:rFonts w:ascii="Arial" w:cs="Arial" w:eastAsia="Arial" w:hAnsi="Arial"/>
          <w:sz w:val="20"/>
          <w:szCs w:val="20"/>
          <w:color w:val="auto"/>
        </w:rPr>
      </w:pPr>
    </w:p>
    <w:p>
      <w:pPr>
        <w:ind w:left="968" w:hanging="320"/>
        <w:spacing w:after="0" w:line="288" w:lineRule="auto"/>
        <w:tabs>
          <w:tab w:leader="none" w:pos="966"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50" w:lineRule="exact"/>
        <w:rPr>
          <w:rFonts w:ascii="Arial" w:cs="Arial" w:eastAsia="Arial" w:hAnsi="Arial"/>
          <w:sz w:val="20"/>
          <w:szCs w:val="20"/>
          <w:color w:val="auto"/>
        </w:rPr>
      </w:pPr>
    </w:p>
    <w:p>
      <w:pPr>
        <w:jc w:val="both"/>
        <w:ind w:left="968"/>
        <w:spacing w:after="0" w:line="271" w:lineRule="auto"/>
        <w:rPr>
          <w:rFonts w:ascii="Arial" w:cs="Arial" w:eastAsia="Arial" w:hAnsi="Arial"/>
          <w:sz w:val="20"/>
          <w:szCs w:val="20"/>
          <w:color w:val="auto"/>
        </w:rPr>
      </w:pPr>
      <w:r>
        <w:rPr>
          <w:rFonts w:ascii="Arial" w:cs="Arial" w:eastAsia="Arial" w:hAnsi="Arial"/>
          <w:sz w:val="20"/>
          <w:szCs w:val="20"/>
          <w:color w:val="auto"/>
        </w:rPr>
        <w:t>The Company may withhold or account for Tax-Related Items by considering statutory withholding amounts or other applicable withholding rates, including maximum applicable rates in the Participant’s jurisdiction(s). If the Company withholds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RSU, notwithstanding that a number of the Shares is held back solely for the purpose of paying the Tax-Related Items.</w:t>
      </w:r>
    </w:p>
    <w:p>
      <w:pPr>
        <w:spacing w:after="0" w:line="153" w:lineRule="exact"/>
        <w:rPr>
          <w:rFonts w:ascii="Arial" w:cs="Arial" w:eastAsia="Arial" w:hAnsi="Arial"/>
          <w:sz w:val="20"/>
          <w:szCs w:val="20"/>
          <w:color w:val="auto"/>
        </w:rPr>
      </w:pPr>
    </w:p>
    <w:p>
      <w:pPr>
        <w:jc w:val="both"/>
        <w:ind w:left="968"/>
        <w:spacing w:after="0" w:line="334" w:lineRule="auto"/>
        <w:rPr>
          <w:rFonts w:ascii="Arial" w:cs="Arial" w:eastAsia="Arial" w:hAnsi="Arial"/>
          <w:sz w:val="20"/>
          <w:szCs w:val="20"/>
          <w:color w:val="auto"/>
        </w:rPr>
      </w:pPr>
      <w:r>
        <w:rPr>
          <w:rFonts w:ascii="Arial" w:cs="Arial" w:eastAsia="Arial" w:hAnsi="Arial"/>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w:t>
      </w:r>
    </w:p>
    <w:p>
      <w:pPr>
        <w:spacing w:after="0" w:line="3" w:lineRule="exact"/>
        <w:rPr>
          <w:sz w:val="20"/>
          <w:szCs w:val="20"/>
          <w:color w:val="auto"/>
        </w:rPr>
      </w:pPr>
    </w:p>
    <w:p>
      <w:pPr>
        <w:ind w:left="968"/>
        <w:spacing w:after="0"/>
        <w:rPr>
          <w:sz w:val="20"/>
          <w:szCs w:val="20"/>
          <w:color w:val="auto"/>
        </w:rPr>
      </w:pPr>
      <w:r>
        <w:rPr>
          <w:rFonts w:ascii="Arial" w:cs="Arial" w:eastAsia="Arial" w:hAnsi="Arial"/>
          <w:sz w:val="20"/>
          <w:szCs w:val="20"/>
          <w:color w:val="auto"/>
        </w:rPr>
        <w:t>delivered in payment thereof are the Participant’s sole responsibility.</w:t>
      </w:r>
    </w:p>
    <w:p>
      <w:pPr>
        <w:spacing w:after="0" w:line="13" w:lineRule="exact"/>
        <w:rPr>
          <w:sz w:val="20"/>
          <w:szCs w:val="20"/>
          <w:color w:val="auto"/>
        </w:rPr>
      </w:pPr>
    </w:p>
    <w:p>
      <w:pPr>
        <w:ind w:left="5228"/>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908"/>
          </w:cols>
          <w:pgMar w:left="652" w:top="1440" w:right="339" w:bottom="1440" w:gutter="0" w:footer="0" w:header="0"/>
        </w:sectPr>
      </w:pPr>
    </w:p>
    <w:bookmarkStart w:id="46" w:name="page47"/>
    <w:bookmarkEnd w:id="46"/>
    <w:p>
      <w:pPr>
        <w:jc w:val="both"/>
        <w:ind w:left="332" w:hanging="332"/>
        <w:spacing w:after="0" w:line="271" w:lineRule="auto"/>
        <w:tabs>
          <w:tab w:leader="none" w:pos="332"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Option of Company to Deliver Cash</w:t>
      </w:r>
      <w:r>
        <w:rPr>
          <w:rFonts w:ascii="Arial" w:cs="Arial" w:eastAsia="Arial" w:hAnsi="Arial"/>
          <w:sz w:val="20"/>
          <w:szCs w:val="20"/>
          <w:color w:val="auto"/>
        </w:rPr>
        <w:t>. Notwithstanding any of the other provisions of this Award,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53" w:lineRule="exact"/>
        <w:rPr>
          <w:rFonts w:ascii="Arial" w:cs="Arial" w:eastAsia="Arial" w:hAnsi="Arial"/>
          <w:sz w:val="20"/>
          <w:szCs w:val="20"/>
          <w:color w:val="auto"/>
        </w:rPr>
      </w:pPr>
    </w:p>
    <w:p>
      <w:pPr>
        <w:jc w:val="both"/>
        <w:ind w:left="332" w:hanging="332"/>
        <w:spacing w:after="0" w:line="274" w:lineRule="auto"/>
        <w:tabs>
          <w:tab w:leader="none" w:pos="332"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64" w:lineRule="exact"/>
        <w:rPr>
          <w:rFonts w:ascii="Arial" w:cs="Arial" w:eastAsia="Arial" w:hAnsi="Arial"/>
          <w:sz w:val="20"/>
          <w:szCs w:val="20"/>
          <w:color w:val="auto"/>
        </w:rPr>
      </w:pPr>
    </w:p>
    <w:p>
      <w:pPr>
        <w:jc w:val="both"/>
        <w:ind w:left="332" w:hanging="332"/>
        <w:spacing w:after="0" w:line="293" w:lineRule="auto"/>
        <w:tabs>
          <w:tab w:leader="none" w:pos="323" w:val="left"/>
        </w:tabs>
        <w:numPr>
          <w:ilvl w:val="0"/>
          <w:numId w:val="32"/>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 Information and Consent (applicable only if the Participant resides outside the United States)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The Company is located at One Analog Way, Wilmington, Massachusetts, 01887 U.S.A. and grants directors of the Company RSUs, at the Company’s sole discretion. If the Participant would like to participate in the Plan, please review the following information about the Company’s data processing practices and declare the Participant’s consent.</w:t>
      </w:r>
    </w:p>
    <w:p>
      <w:pPr>
        <w:spacing w:after="0" w:line="134" w:lineRule="exact"/>
        <w:rPr>
          <w:rFonts w:ascii="Arial" w:cs="Arial" w:eastAsia="Arial" w:hAnsi="Arial"/>
          <w:sz w:val="19"/>
          <w:szCs w:val="19"/>
          <w:color w:val="auto"/>
        </w:rPr>
      </w:pPr>
    </w:p>
    <w:p>
      <w:pPr>
        <w:jc w:val="both"/>
        <w:ind w:left="652" w:hanging="328"/>
        <w:spacing w:after="0" w:line="287" w:lineRule="auto"/>
        <w:tabs>
          <w:tab w:leader="none" w:pos="641" w:val="left"/>
        </w:tabs>
        <w:numPr>
          <w:ilvl w:val="1"/>
          <w:numId w:val="32"/>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u w:val="single" w:color="auto"/>
          <w:color w:val="auto"/>
        </w:rPr>
        <w:t>Data Collection and Usage</w:t>
      </w:r>
      <w:r>
        <w:rPr>
          <w:rFonts w:ascii="Arial" w:cs="Arial" w:eastAsia="Arial" w:hAnsi="Arial"/>
          <w:sz w:val="19"/>
          <w:szCs w:val="19"/>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42" w:lineRule="exact"/>
        <w:rPr>
          <w:rFonts w:ascii="Arial" w:cs="Arial" w:eastAsia="Arial" w:hAnsi="Arial"/>
          <w:sz w:val="19"/>
          <w:szCs w:val="19"/>
          <w:b w:val="1"/>
          <w:bCs w:val="1"/>
          <w:i w:val="1"/>
          <w:iCs w:val="1"/>
          <w:color w:val="auto"/>
        </w:rPr>
      </w:pPr>
    </w:p>
    <w:p>
      <w:pPr>
        <w:jc w:val="both"/>
        <w:ind w:left="652" w:hanging="328"/>
        <w:spacing w:after="0" w:line="351" w:lineRule="auto"/>
        <w:tabs>
          <w:tab w:leader="none" w:pos="641" w:val="left"/>
        </w:tabs>
        <w:numPr>
          <w:ilvl w:val="1"/>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Stock Plan Administration Service Providers</w:t>
      </w:r>
      <w:r>
        <w:rPr>
          <w:rFonts w:ascii="Arial" w:cs="Arial" w:eastAsia="Arial" w:hAnsi="Arial"/>
          <w:sz w:val="16"/>
          <w:szCs w:val="16"/>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Arial" w:cs="Arial" w:eastAsia="Arial" w:hAnsi="Arial"/>
          <w:sz w:val="16"/>
          <w:szCs w:val="16"/>
          <w:b w:val="1"/>
          <w:bCs w:val="1"/>
          <w:i w:val="1"/>
          <w:iCs w:val="1"/>
          <w:color w:val="auto"/>
        </w:rPr>
      </w:pPr>
    </w:p>
    <w:p>
      <w:pPr>
        <w:jc w:val="both"/>
        <w:ind w:left="652" w:hanging="328"/>
        <w:spacing w:after="0" w:line="334" w:lineRule="auto"/>
        <w:tabs>
          <w:tab w:leader="none" w:pos="644" w:val="left"/>
        </w:tabs>
        <w:numPr>
          <w:ilvl w:val="1"/>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International Data Transfers</w:t>
      </w:r>
      <w:r>
        <w:rPr>
          <w:rFonts w:ascii="Arial" w:cs="Arial" w:eastAsia="Arial" w:hAnsi="Arial"/>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w:t>
      </w:r>
    </w:p>
    <w:p>
      <w:pPr>
        <w:spacing w:after="0" w:line="3" w:lineRule="exact"/>
        <w:rPr>
          <w:sz w:val="20"/>
          <w:szCs w:val="20"/>
          <w:color w:val="auto"/>
        </w:rPr>
      </w:pPr>
    </w:p>
    <w:p>
      <w:pPr>
        <w:ind w:left="5552" w:right="1620" w:hanging="4912"/>
        <w:spacing w:after="0" w:line="246" w:lineRule="auto"/>
        <w:rPr>
          <w:sz w:val="20"/>
          <w:szCs w:val="20"/>
          <w:color w:val="auto"/>
        </w:rPr>
      </w:pPr>
      <w:r>
        <w:rPr>
          <w:rFonts w:ascii="Arial" w:cs="Arial" w:eastAsia="Arial" w:hAnsi="Arial"/>
          <w:sz w:val="20"/>
          <w:szCs w:val="20"/>
          <w:b w:val="1"/>
          <w:bCs w:val="1"/>
          <w:i w:val="1"/>
          <w:iCs w:val="1"/>
          <w:color w:val="auto"/>
        </w:rPr>
        <w:t xml:space="preserve">Participant understands and acknowledges that this might result in certain risks to the protection of his or her </w:t>
      </w:r>
      <w:r>
        <w:rPr>
          <w:rFonts w:ascii="Arial" w:cs="Arial" w:eastAsia="Arial" w:hAnsi="Arial"/>
          <w:sz w:val="20"/>
          <w:szCs w:val="20"/>
          <w:color w:val="auto"/>
        </w:rPr>
        <w:t>4</w:t>
      </w:r>
    </w:p>
    <w:p>
      <w:pPr>
        <w:sectPr>
          <w:pgSz w:w="11900" w:h="16838" w:orient="portrait"/>
          <w:cols w:equalWidth="0" w:num="1">
            <w:col w:w="11232"/>
          </w:cols>
          <w:pgMar w:left="328" w:top="1351" w:right="339" w:bottom="1440" w:gutter="0" w:footer="0" w:header="0"/>
        </w:sectPr>
      </w:pPr>
    </w:p>
    <w:bookmarkStart w:id="47" w:name="page48"/>
    <w:bookmarkEnd w:id="47"/>
    <w:p>
      <w:pPr>
        <w:ind w:left="660"/>
        <w:spacing w:after="0" w:line="288" w:lineRule="auto"/>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personal data due to the lack of legal principles governing the processing of the personal data, oversight by a supervisory authority or enforceable data subject rights in the United States.</w:t>
      </w:r>
    </w:p>
    <w:p>
      <w:pPr>
        <w:spacing w:after="0" w:line="137" w:lineRule="exact"/>
        <w:rPr>
          <w:sz w:val="20"/>
          <w:szCs w:val="20"/>
          <w:color w:val="auto"/>
        </w:rPr>
      </w:pPr>
    </w:p>
    <w:p>
      <w:pPr>
        <w:jc w:val="both"/>
        <w:ind w:left="660" w:hanging="328"/>
        <w:spacing w:after="0" w:line="272" w:lineRule="auto"/>
        <w:tabs>
          <w:tab w:leader="none" w:pos="649" w:val="left"/>
        </w:tabs>
        <w:numPr>
          <w:ilvl w:val="1"/>
          <w:numId w:val="3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Retention</w:t>
      </w:r>
      <w:r>
        <w:rPr>
          <w:rFonts w:ascii="Arial" w:cs="Arial" w:eastAsia="Arial" w:hAnsi="Arial"/>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service as a director. If the Company keeps data longer, it would be to satisfy legal or regulatory obligations and the Company’s legal basis would be relevant laws or regulations.</w:t>
      </w:r>
    </w:p>
    <w:p>
      <w:pPr>
        <w:spacing w:after="0" w:line="168" w:lineRule="exact"/>
        <w:rPr>
          <w:rFonts w:ascii="Arial" w:cs="Arial" w:eastAsia="Arial" w:hAnsi="Arial"/>
          <w:sz w:val="20"/>
          <w:szCs w:val="20"/>
          <w:b w:val="1"/>
          <w:bCs w:val="1"/>
          <w:i w:val="1"/>
          <w:iCs w:val="1"/>
          <w:color w:val="auto"/>
        </w:rPr>
      </w:pPr>
    </w:p>
    <w:p>
      <w:pPr>
        <w:jc w:val="both"/>
        <w:ind w:left="660" w:hanging="328"/>
        <w:spacing w:after="0" w:line="272" w:lineRule="auto"/>
        <w:tabs>
          <w:tab w:leader="none" w:pos="652" w:val="left"/>
        </w:tabs>
        <w:numPr>
          <w:ilvl w:val="1"/>
          <w:numId w:val="3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Voluntariness and Consequences of Consent Denial or Withdrawal</w:t>
      </w:r>
      <w:r>
        <w:rPr>
          <w:rFonts w:ascii="Arial" w:cs="Arial" w:eastAsia="Arial" w:hAnsi="Arial"/>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relationship with the Company; the Participant would merely forfeit the opportunities associated with the Plan.</w:t>
      </w:r>
    </w:p>
    <w:p>
      <w:pPr>
        <w:spacing w:after="0" w:line="154" w:lineRule="exact"/>
        <w:rPr>
          <w:rFonts w:ascii="Arial" w:cs="Arial" w:eastAsia="Arial" w:hAnsi="Arial"/>
          <w:sz w:val="20"/>
          <w:szCs w:val="20"/>
          <w:b w:val="1"/>
          <w:bCs w:val="1"/>
          <w:i w:val="1"/>
          <w:iCs w:val="1"/>
          <w:color w:val="auto"/>
        </w:rPr>
      </w:pPr>
    </w:p>
    <w:p>
      <w:pPr>
        <w:jc w:val="both"/>
        <w:ind w:left="660" w:hanging="328"/>
        <w:spacing w:after="0" w:line="305" w:lineRule="auto"/>
        <w:tabs>
          <w:tab w:leader="none" w:pos="657" w:val="left"/>
        </w:tabs>
        <w:numPr>
          <w:ilvl w:val="1"/>
          <w:numId w:val="3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Data Subject Rights</w:t>
      </w:r>
      <w:r>
        <w:rPr>
          <w:rFonts w:ascii="Arial" w:cs="Arial" w:eastAsia="Arial" w:hAnsi="Arial"/>
          <w:sz w:val="18"/>
          <w:szCs w:val="18"/>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9" w:lineRule="exact"/>
        <w:rPr>
          <w:rFonts w:ascii="Arial" w:cs="Arial" w:eastAsia="Arial" w:hAnsi="Arial"/>
          <w:sz w:val="18"/>
          <w:szCs w:val="18"/>
          <w:color w:val="auto"/>
        </w:rPr>
      </w:pPr>
    </w:p>
    <w:p>
      <w:pPr>
        <w:jc w:val="both"/>
        <w:ind w:left="340" w:hanging="332"/>
        <w:spacing w:after="0" w:line="305" w:lineRule="auto"/>
        <w:tabs>
          <w:tab w:leader="none" w:pos="32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Repatriation: Compliance with Laws</w:t>
      </w:r>
      <w:r>
        <w:rPr>
          <w:rFonts w:ascii="Arial" w:cs="Arial" w:eastAsia="Arial" w:hAnsi="Arial"/>
          <w:sz w:val="18"/>
          <w:szCs w:val="18"/>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43"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660" w:hanging="324"/>
        <w:spacing w:after="0" w:line="271"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No Rights to Board Service</w:t>
      </w:r>
      <w:r>
        <w:rPr>
          <w:rFonts w:ascii="Arial" w:cs="Arial" w:eastAsia="Arial" w:hAnsi="Arial"/>
          <w:sz w:val="20"/>
          <w:szCs w:val="20"/>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156" w:lineRule="exact"/>
        <w:rPr>
          <w:rFonts w:ascii="Arial" w:cs="Arial" w:eastAsia="Arial" w:hAnsi="Arial"/>
          <w:sz w:val="20"/>
          <w:szCs w:val="20"/>
          <w:color w:val="auto"/>
        </w:rPr>
      </w:pPr>
    </w:p>
    <w:p>
      <w:pPr>
        <w:jc w:val="right"/>
        <w:ind w:left="660" w:hanging="324"/>
        <w:spacing w:after="0" w:line="334" w:lineRule="auto"/>
        <w:rPr>
          <w:rFonts w:ascii="Arial" w:cs="Arial" w:eastAsia="Arial" w:hAnsi="Arial"/>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Discretionary Nature</w:t>
      </w:r>
      <w:r>
        <w:rPr>
          <w:rFonts w:ascii="Arial" w:cs="Arial" w:eastAsia="Arial" w:hAnsi="Arial"/>
          <w:sz w:val="16"/>
          <w:szCs w:val="16"/>
          <w:color w:val="auto"/>
        </w:rPr>
        <w:t>. The Participant acknowledges and agrees that the Plan is discretionary in nature and may be amended, cancelled, or terminated by the Company at any time, to the extent permitted under the Plan. The grant of the RSUs under the Plan 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one-time benefit and does not create any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51" w:right="339" w:bottom="1440" w:gutter="0" w:footer="0" w:header="0"/>
        </w:sectPr>
      </w:pPr>
    </w:p>
    <w:bookmarkStart w:id="48" w:name="page49"/>
    <w:bookmarkEnd w:id="48"/>
    <w:p>
      <w:pPr>
        <w:jc w:val="both"/>
        <w:ind w:left="328"/>
        <w:spacing w:after="0" w:line="31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18" w:lineRule="exact"/>
        <w:rPr>
          <w:sz w:val="20"/>
          <w:szCs w:val="20"/>
          <w:color w:val="auto"/>
        </w:rPr>
      </w:pPr>
    </w:p>
    <w:p>
      <w:pPr>
        <w:jc w:val="both"/>
        <w:ind w:left="328" w:hanging="328"/>
        <w:spacing w:after="0" w:line="288" w:lineRule="auto"/>
        <w:tabs>
          <w:tab w:leader="none" w:pos="27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Exclusion from Termination Indemnities and Other Benefits</w:t>
      </w:r>
      <w:r>
        <w:rPr>
          <w:rFonts w:ascii="Arial" w:cs="Arial" w:eastAsia="Arial" w:hAnsi="Arial"/>
          <w:sz w:val="19"/>
          <w:szCs w:val="19"/>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 The grant of RSUs should in no event be considered as compensation for, or in any way related to, past services for the Company.</w:t>
      </w:r>
    </w:p>
    <w:p>
      <w:pPr>
        <w:spacing w:after="0" w:line="154" w:lineRule="exact"/>
        <w:rPr>
          <w:rFonts w:ascii="Arial" w:cs="Arial" w:eastAsia="Arial" w:hAnsi="Arial"/>
          <w:sz w:val="19"/>
          <w:szCs w:val="19"/>
          <w:color w:val="auto"/>
        </w:rPr>
      </w:pPr>
    </w:p>
    <w:p>
      <w:pPr>
        <w:jc w:val="both"/>
        <w:ind w:left="328" w:hanging="328"/>
        <w:spacing w:after="0" w:line="278" w:lineRule="auto"/>
        <w:tabs>
          <w:tab w:leader="none" w:pos="29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145" w:lineRule="exact"/>
        <w:rPr>
          <w:rFonts w:ascii="Arial" w:cs="Arial" w:eastAsia="Arial" w:hAnsi="Arial"/>
          <w:sz w:val="20"/>
          <w:szCs w:val="20"/>
          <w:color w:val="auto"/>
        </w:rPr>
      </w:pPr>
    </w:p>
    <w:p>
      <w:pPr>
        <w:jc w:val="both"/>
        <w:ind w:left="328" w:hanging="328"/>
        <w:spacing w:after="0" w:line="278" w:lineRule="auto"/>
        <w:tabs>
          <w:tab w:leader="none" w:pos="30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145" w:lineRule="exact"/>
        <w:rPr>
          <w:rFonts w:ascii="Arial" w:cs="Arial" w:eastAsia="Arial" w:hAnsi="Arial"/>
          <w:sz w:val="20"/>
          <w:szCs w:val="20"/>
          <w:color w:val="auto"/>
        </w:rPr>
      </w:pPr>
    </w:p>
    <w:p>
      <w:pPr>
        <w:jc w:val="both"/>
        <w:ind w:left="328" w:hanging="328"/>
        <w:spacing w:after="0" w:line="309" w:lineRule="auto"/>
        <w:tabs>
          <w:tab w:leader="none" w:pos="29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9" w:lineRule="exact"/>
        <w:rPr>
          <w:rFonts w:ascii="Arial" w:cs="Arial" w:eastAsia="Arial" w:hAnsi="Arial"/>
          <w:sz w:val="18"/>
          <w:szCs w:val="18"/>
          <w:color w:val="auto"/>
        </w:rPr>
      </w:pPr>
    </w:p>
    <w:p>
      <w:pPr>
        <w:ind w:left="328" w:right="20" w:hanging="328"/>
        <w:spacing w:after="0" w:line="316" w:lineRule="auto"/>
        <w:tabs>
          <w:tab w:leader="none" w:pos="284"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13" w:lineRule="exact"/>
        <w:rPr>
          <w:rFonts w:ascii="Arial" w:cs="Arial" w:eastAsia="Arial" w:hAnsi="Arial"/>
          <w:sz w:val="19"/>
          <w:szCs w:val="19"/>
          <w:color w:val="auto"/>
        </w:rPr>
      </w:pPr>
    </w:p>
    <w:p>
      <w:pPr>
        <w:ind w:left="328" w:right="20" w:hanging="328"/>
        <w:spacing w:after="0" w:line="288" w:lineRule="auto"/>
        <w:tabs>
          <w:tab w:leader="none" w:pos="325"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Award and the Plan constitute the entire understanding between the parties, and supersede all prior agreements and understandings, relating to the subject matter of these documents.</w:t>
      </w:r>
    </w:p>
    <w:p>
      <w:pPr>
        <w:spacing w:after="0" w:line="136" w:lineRule="exact"/>
        <w:rPr>
          <w:rFonts w:ascii="Arial" w:cs="Arial" w:eastAsia="Arial" w:hAnsi="Arial"/>
          <w:sz w:val="20"/>
          <w:szCs w:val="20"/>
          <w:color w:val="auto"/>
        </w:rPr>
      </w:pPr>
    </w:p>
    <w:p>
      <w:pPr>
        <w:ind w:left="328" w:right="20" w:hanging="328"/>
        <w:spacing w:after="0" w:line="288" w:lineRule="auto"/>
        <w:tabs>
          <w:tab w:leader="none" w:pos="2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Award shall be construed, interpreted and enforced in accordance with the internal laws of the Commonwealth of Massachusetts without regard to any applicable conflicts of laws.</w:t>
      </w:r>
    </w:p>
    <w:p>
      <w:pPr>
        <w:spacing w:after="0" w:line="150" w:lineRule="exact"/>
        <w:rPr>
          <w:rFonts w:ascii="Arial" w:cs="Arial" w:eastAsia="Arial" w:hAnsi="Arial"/>
          <w:sz w:val="20"/>
          <w:szCs w:val="20"/>
          <w:color w:val="auto"/>
        </w:rPr>
      </w:pPr>
    </w:p>
    <w:p>
      <w:pPr>
        <w:ind w:left="328" w:hanging="328"/>
        <w:spacing w:after="0" w:line="288" w:lineRule="auto"/>
        <w:tabs>
          <w:tab w:leader="none" w:pos="24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interpretation and construction of any terms or conditions of this Award or the Plan, or other matters related to the Plan, by the Compensation Committee of the Board of the Company shall be final and conclusive.</w:t>
      </w:r>
    </w:p>
    <w:p>
      <w:pPr>
        <w:spacing w:after="0" w:line="136" w:lineRule="exact"/>
        <w:rPr>
          <w:rFonts w:ascii="Arial" w:cs="Arial" w:eastAsia="Arial" w:hAnsi="Arial"/>
          <w:sz w:val="20"/>
          <w:szCs w:val="20"/>
          <w:color w:val="auto"/>
        </w:rPr>
      </w:pPr>
    </w:p>
    <w:p>
      <w:pPr>
        <w:jc w:val="both"/>
        <w:ind w:left="328" w:hanging="328"/>
        <w:spacing w:after="0" w:line="334" w:lineRule="auto"/>
        <w:tabs>
          <w:tab w:leader="none" w:pos="31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Participant’s Acceptance</w:t>
      </w:r>
      <w:r>
        <w:rPr>
          <w:rFonts w:ascii="Arial" w:cs="Arial" w:eastAsia="Arial" w:hAnsi="Arial"/>
          <w:sz w:val="16"/>
          <w:szCs w:val="16"/>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w:t>
      </w:r>
    </w:p>
    <w:p>
      <w:pPr>
        <w:spacing w:after="0" w:line="1" w:lineRule="exact"/>
        <w:rPr>
          <w:sz w:val="20"/>
          <w:szCs w:val="20"/>
          <w:color w:val="auto"/>
        </w:rPr>
      </w:pPr>
    </w:p>
    <w:p>
      <w:pPr>
        <w:ind w:left="328"/>
        <w:spacing w:after="0"/>
        <w:rPr>
          <w:sz w:val="20"/>
          <w:szCs w:val="20"/>
          <w:color w:val="auto"/>
        </w:rPr>
      </w:pPr>
      <w:r>
        <w:rPr>
          <w:rFonts w:ascii="Arial" w:cs="Arial" w:eastAsia="Arial" w:hAnsi="Arial"/>
          <w:sz w:val="20"/>
          <w:szCs w:val="20"/>
          <w:color w:val="auto"/>
        </w:rPr>
        <w:t>provisions of the Plan.</w:t>
      </w:r>
    </w:p>
    <w:p>
      <w:pPr>
        <w:spacing w:after="0" w:line="13"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908"/>
          </w:cols>
          <w:pgMar w:left="652" w:top="1351" w:right="339" w:bottom="1440" w:gutter="0" w:footer="0" w:header="0"/>
        </w:sectPr>
      </w:pPr>
    </w:p>
    <w:bookmarkStart w:id="49" w:name="page50"/>
    <w:bookmarkEnd w:id="49"/>
    <w:p>
      <w:pPr>
        <w:ind w:left="580" w:hanging="328"/>
        <w:spacing w:after="0" w:line="274" w:lineRule="auto"/>
        <w:tabs>
          <w:tab w:leader="none" w:pos="50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Electronic Delivery</w:t>
      </w:r>
      <w:r>
        <w:rPr>
          <w:rFonts w:ascii="Arial" w:cs="Arial" w:eastAsia="Arial" w:hAnsi="Arial"/>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1" w:lineRule="exact"/>
        <w:rPr>
          <w:rFonts w:ascii="Arial" w:cs="Arial" w:eastAsia="Arial" w:hAnsi="Arial"/>
          <w:sz w:val="20"/>
          <w:szCs w:val="20"/>
          <w:color w:val="auto"/>
        </w:rPr>
      </w:pPr>
    </w:p>
    <w:p>
      <w:pPr>
        <w:jc w:val="both"/>
        <w:ind w:left="580" w:hanging="328"/>
        <w:spacing w:after="0" w:line="314" w:lineRule="auto"/>
        <w:tabs>
          <w:tab w:leader="none" w:pos="59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Additional Requirements</w:t>
      </w:r>
      <w:r>
        <w:rPr>
          <w:rFonts w:ascii="Arial" w:cs="Arial" w:eastAsia="Arial" w:hAnsi="Arial"/>
          <w:sz w:val="18"/>
          <w:szCs w:val="18"/>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31" w:lineRule="exact"/>
        <w:rPr>
          <w:rFonts w:ascii="Arial" w:cs="Arial" w:eastAsia="Arial" w:hAnsi="Arial"/>
          <w:sz w:val="18"/>
          <w:szCs w:val="18"/>
          <w:color w:val="auto"/>
        </w:rPr>
      </w:pPr>
    </w:p>
    <w:p>
      <w:pPr>
        <w:jc w:val="both"/>
        <w:ind w:left="580" w:hanging="328"/>
        <w:spacing w:after="0" w:line="314" w:lineRule="auto"/>
        <w:tabs>
          <w:tab w:leader="none" w:pos="55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regulatory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8" w:lineRule="exact"/>
        <w:rPr>
          <w:rFonts w:ascii="Arial" w:cs="Arial" w:eastAsia="Arial" w:hAnsi="Arial"/>
          <w:sz w:val="18"/>
          <w:szCs w:val="18"/>
          <w:color w:val="auto"/>
        </w:rPr>
      </w:pPr>
    </w:p>
    <w:p>
      <w:pPr>
        <w:jc w:val="both"/>
        <w:ind w:left="580" w:hanging="328"/>
        <w:spacing w:after="0" w:line="293" w:lineRule="auto"/>
        <w:tabs>
          <w:tab w:leader="none" w:pos="53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Changes in Capitalization</w:t>
      </w:r>
      <w:r>
        <w:rPr>
          <w:rFonts w:ascii="Arial" w:cs="Arial" w:eastAsia="Arial" w:hAnsi="Arial"/>
          <w:sz w:val="19"/>
          <w:szCs w:val="19"/>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34" w:lineRule="exact"/>
        <w:rPr>
          <w:rFonts w:ascii="Arial" w:cs="Arial" w:eastAsia="Arial" w:hAnsi="Arial"/>
          <w:sz w:val="19"/>
          <w:szCs w:val="19"/>
          <w:color w:val="auto"/>
        </w:rPr>
      </w:pPr>
    </w:p>
    <w:p>
      <w:pPr>
        <w:ind w:left="580" w:hanging="328"/>
        <w:spacing w:after="0" w:line="288" w:lineRule="auto"/>
        <w:tabs>
          <w:tab w:leader="none" w:pos="577"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Award may be amended or modified only by a written instrument executed by both the Company and the Participant.</w:t>
      </w:r>
    </w:p>
    <w:p>
      <w:pPr>
        <w:spacing w:after="0" w:line="150" w:lineRule="exact"/>
        <w:rPr>
          <w:rFonts w:ascii="Arial" w:cs="Arial" w:eastAsia="Arial" w:hAnsi="Arial"/>
          <w:sz w:val="20"/>
          <w:szCs w:val="20"/>
          <w:color w:val="auto"/>
        </w:rPr>
      </w:pPr>
    </w:p>
    <w:p>
      <w:pPr>
        <w:jc w:val="both"/>
        <w:ind w:left="580" w:hanging="328"/>
        <w:spacing w:after="0" w:line="278" w:lineRule="auto"/>
        <w:tabs>
          <w:tab w:leader="none" w:pos="53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45" w:lineRule="exact"/>
        <w:rPr>
          <w:rFonts w:ascii="Arial" w:cs="Arial" w:eastAsia="Arial" w:hAnsi="Arial"/>
          <w:sz w:val="20"/>
          <w:szCs w:val="20"/>
          <w:color w:val="auto"/>
        </w:rPr>
      </w:pPr>
    </w:p>
    <w:p>
      <w:pPr>
        <w:jc w:val="both"/>
        <w:ind w:left="580" w:hanging="328"/>
        <w:spacing w:after="0" w:line="284" w:lineRule="auto"/>
        <w:tabs>
          <w:tab w:leader="none" w:pos="55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The Participant acknowledges that, depending on the Participant’s or the Participant’s broker’s country of residence or where the Common Stock is listed,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9"/>
          <w:szCs w:val="19"/>
          <w:i w:val="1"/>
          <w:iCs w:val="1"/>
          <w:color w:val="auto"/>
        </w:rPr>
        <w:t>e.g.</w:t>
      </w:r>
      <w:r>
        <w:rPr>
          <w:rFonts w:ascii="Arial" w:cs="Arial" w:eastAsia="Arial" w:hAnsi="Arial"/>
          <w:sz w:val="19"/>
          <w:szCs w:val="19"/>
          <w:color w:val="auto"/>
        </w:rPr>
        <w:t>, RSUs) or rights linked to the value of Common Stock (</w:t>
      </w:r>
      <w:r>
        <w:rPr>
          <w:rFonts w:ascii="Arial" w:cs="Arial" w:eastAsia="Arial" w:hAnsi="Arial"/>
          <w:sz w:val="19"/>
          <w:szCs w:val="19"/>
          <w:i w:val="1"/>
          <w:iCs w:val="1"/>
          <w:color w:val="auto"/>
        </w:rPr>
        <w:t>e.g.</w:t>
      </w:r>
      <w:r>
        <w:rPr>
          <w:rFonts w:ascii="Arial" w:cs="Arial" w:eastAsia="Arial" w:hAnsi="Arial"/>
          <w:sz w:val="19"/>
          <w:szCs w:val="19"/>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7" w:lineRule="exact"/>
        <w:rPr>
          <w:sz w:val="20"/>
          <w:szCs w:val="20"/>
          <w:color w:val="auto"/>
        </w:rPr>
      </w:pPr>
    </w:p>
    <w:p>
      <w:pPr>
        <w:jc w:val="both"/>
        <w:ind w:right="320"/>
        <w:spacing w:after="0" w:line="234" w:lineRule="auto"/>
        <w:rPr>
          <w:sz w:val="20"/>
          <w:szCs w:val="20"/>
          <w:color w:val="auto"/>
        </w:rPr>
      </w:pPr>
      <w:r>
        <w:rPr>
          <w:rFonts w:ascii="Arial" w:cs="Arial" w:eastAsia="Arial" w:hAnsi="Arial"/>
          <w:sz w:val="20"/>
          <w:szCs w:val="20"/>
          <w:color w:val="auto"/>
        </w:rPr>
        <w:t xml:space="preserve">A copy of the Plan prospectus is available on the Company’s Intranet at </w:t>
      </w:r>
      <w:r>
        <w:rPr>
          <w:rFonts w:ascii="Arial" w:cs="Arial" w:eastAsia="Arial" w:hAnsi="Arial"/>
          <w:sz w:val="20"/>
          <w:szCs w:val="20"/>
          <w:u w:val="single" w:color="auto"/>
          <w:color w:val="0563C1"/>
        </w:rPr>
        <w:t>https://thecircuit.web.analog.com/Pages/CircuitHome.aspx</w:t>
      </w:r>
      <w:r>
        <w:rPr>
          <w:rFonts w:ascii="Arial" w:cs="Arial" w:eastAsia="Arial" w:hAnsi="Arial"/>
          <w:sz w:val="20"/>
          <w:szCs w:val="20"/>
          <w:color w:val="auto"/>
        </w:rPr>
        <w:t>. (From The Circuit home page, click Knowledge Centers, HR, Employee Stock Programs. The related documents can be found in the right-hand column.) If the Participant is unable to</w:t>
      </w:r>
    </w:p>
    <w:p>
      <w:pPr>
        <w:spacing w:after="0" w:line="2"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60"/>
          </w:cols>
          <w:pgMar w:left="400" w:top="1351" w:right="339" w:bottom="1440" w:gutter="0" w:footer="0" w:header="0"/>
        </w:sectPr>
      </w:pPr>
    </w:p>
    <w:bookmarkStart w:id="50" w:name="page51"/>
    <w:bookmarkEnd w:id="50"/>
    <w:p>
      <w:pPr>
        <w:ind w:left="6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access this information via the Intranet, the Company’s Stock Plan Administrator can provide the Participant with copies (</w:t>
      </w:r>
      <w:r>
        <w:rPr>
          <w:rFonts w:ascii="Arial" w:cs="Arial" w:eastAsia="Arial" w:hAnsi="Arial"/>
          <w:sz w:val="20"/>
          <w:szCs w:val="20"/>
          <w:u w:val="single" w:color="auto"/>
          <w:color w:val="0563C1"/>
        </w:rPr>
        <w:t>Stock_Plan_Admin@Analog.com</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80" w:type="dxa"/>
            <w:vAlign w:val="bottom"/>
            <w:gridSpan w:val="2"/>
          </w:tcPr>
          <w:p>
            <w:pPr>
              <w:spacing w:after="0"/>
              <w:rPr>
                <w:sz w:val="20"/>
                <w:szCs w:val="20"/>
                <w:color w:val="auto"/>
              </w:rPr>
            </w:pPr>
            <w:r>
              <w:rPr>
                <w:rFonts w:ascii="Arial" w:cs="Arial" w:eastAsia="Arial" w:hAnsi="Arial"/>
                <w:sz w:val="20"/>
                <w:szCs w:val="20"/>
                <w:color w:val="auto"/>
              </w:rPr>
              <w:t>By:   /s/ Ray Stata</w:t>
            </w:r>
          </w:p>
        </w:tc>
        <w:tc>
          <w:tcPr>
            <w:tcW w:w="5980" w:type="dxa"/>
            <w:vAlign w:val="bottom"/>
            <w:gridSpan w:val="2"/>
          </w:tcPr>
          <w:p>
            <w:pPr>
              <w:ind w:left="1400"/>
              <w:spacing w:after="0"/>
              <w:rPr>
                <w:sz w:val="20"/>
                <w:szCs w:val="20"/>
                <w:color w:val="auto"/>
              </w:rPr>
            </w:pPr>
            <w:r>
              <w:rPr>
                <w:rFonts w:ascii="Arial" w:cs="Arial" w:eastAsia="Arial" w:hAnsi="Arial"/>
                <w:sz w:val="20"/>
                <w:szCs w:val="20"/>
                <w:color w:val="auto"/>
              </w:rPr>
              <w:t>By:   /s/ Vincent Roche</w:t>
            </w:r>
          </w:p>
        </w:tc>
      </w:tr>
      <w:tr>
        <w:trPr>
          <w:trHeight w:val="23"/>
        </w:trPr>
        <w:tc>
          <w:tcPr>
            <w:tcW w:w="5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3"/>
        </w:trPr>
        <w:tc>
          <w:tcPr>
            <w:tcW w:w="5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20"/>
                <w:szCs w:val="20"/>
                <w:color w:val="auto"/>
                <w:w w:val="98"/>
              </w:rPr>
              <w:t>Ray Stata, Chairman of the Board of Directors</w:t>
            </w:r>
          </w:p>
        </w:tc>
        <w:tc>
          <w:tcPr>
            <w:tcW w:w="19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20"/>
                <w:szCs w:val="20"/>
                <w:color w:val="auto"/>
              </w:rPr>
              <w:t>Vincent Roche, President &amp; Chief Executive</w:t>
            </w:r>
          </w:p>
        </w:tc>
      </w:tr>
      <w:tr>
        <w:trPr>
          <w:trHeight w:val="250"/>
        </w:trPr>
        <w:tc>
          <w:tcPr>
            <w:tcW w:w="5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060" w:type="dxa"/>
            <w:vAlign w:val="bottom"/>
          </w:tcPr>
          <w:p>
            <w:pPr>
              <w:ind w:left="20"/>
              <w:spacing w:after="0"/>
              <w:rPr>
                <w:sz w:val="20"/>
                <w:szCs w:val="20"/>
                <w:color w:val="auto"/>
              </w:rPr>
            </w:pPr>
            <w:r>
              <w:rPr>
                <w:rFonts w:ascii="Arial" w:cs="Arial" w:eastAsia="Arial" w:hAnsi="Arial"/>
                <w:sz w:val="20"/>
                <w:szCs w:val="20"/>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900"/>
          </w:cols>
          <w:pgMar w:left="340" w:top="1338" w:right="65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Exhibit 10.4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EQUITY INCENTIVE PLAN</w:t>
      </w:r>
    </w:p>
    <w:p>
      <w:pPr>
        <w:jc w:val="center"/>
        <w:spacing w:after="0"/>
        <w:rPr>
          <w:sz w:val="20"/>
          <w:szCs w:val="20"/>
          <w:color w:val="auto"/>
        </w:rPr>
      </w:pPr>
      <w:r>
        <w:rPr>
          <w:rFonts w:ascii="Arial" w:cs="Arial" w:eastAsia="Arial" w:hAnsi="Arial"/>
          <w:sz w:val="16"/>
          <w:szCs w:val="16"/>
          <w:b w:val="1"/>
          <w:bCs w:val="1"/>
          <w:color w:val="auto"/>
        </w:rPr>
        <w:t>GLOBAL NON-QUALIFIED STOCK OPTION AGREEMENT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Participant Name</w:t>
      </w:r>
    </w:p>
    <w:p>
      <w:pPr>
        <w:spacing w:after="0" w:line="236" w:lineRule="auto"/>
        <w:rPr>
          <w:sz w:val="20"/>
          <w:szCs w:val="20"/>
          <w:color w:val="auto"/>
        </w:rPr>
      </w:pPr>
      <w:r>
        <w:rPr>
          <w:rFonts w:ascii="Arial" w:cs="Arial" w:eastAsia="Arial" w:hAnsi="Arial"/>
          <w:sz w:val="16"/>
          <w:szCs w:val="16"/>
          <w:color w:val="auto"/>
        </w:rPr>
        <w:t>Employee ID</w:t>
      </w:r>
    </w:p>
    <w:p>
      <w:pPr>
        <w:spacing w:after="0"/>
        <w:rPr>
          <w:sz w:val="20"/>
          <w:szCs w:val="20"/>
          <w:color w:val="auto"/>
        </w:rPr>
      </w:pPr>
      <w:r>
        <w:rPr>
          <w:rFonts w:ascii="Arial" w:cs="Arial" w:eastAsia="Arial" w:hAnsi="Arial"/>
          <w:sz w:val="16"/>
          <w:szCs w:val="16"/>
          <w:color w:val="auto"/>
        </w:rPr>
        <w:t>Grant ID: Client Grant ID</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All terms not defined herein shall have the meanings assigned to such terms in the Plan.</w:t>
      </w:r>
    </w:p>
    <w:p>
      <w:pPr>
        <w:spacing w:after="0" w:line="167" w:lineRule="exact"/>
        <w:rPr>
          <w:sz w:val="20"/>
          <w:szCs w:val="20"/>
          <w:color w:val="auto"/>
        </w:rPr>
      </w:pPr>
    </w:p>
    <w:p>
      <w:pPr>
        <w:ind w:left="340" w:right="20" w:hanging="332"/>
        <w:spacing w:after="0" w:line="275"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00CC"/>
        </w:rPr>
        <w:t>Date of Grant: Grant Date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00CC"/>
        </w:rPr>
        <w:t>Number of Option Shares Granted: Number of Awards Granted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0000CC"/>
        </w:rPr>
        <w:t>Option Exercise Price Per Share: Grant Price</w:t>
      </w:r>
    </w:p>
    <w:p>
      <w:pPr>
        <w:spacing w:after="0" w:line="153" w:lineRule="exact"/>
        <w:rPr>
          <w:sz w:val="20"/>
          <w:szCs w:val="20"/>
          <w:color w:val="auto"/>
        </w:rPr>
      </w:pPr>
    </w:p>
    <w:p>
      <w:pPr>
        <w:ind w:left="340" w:hanging="332"/>
        <w:spacing w:after="0" w:line="310" w:lineRule="auto"/>
        <w:tabs>
          <w:tab w:leader="none" w:pos="340"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Vesting and Exercise of Option</w:t>
      </w:r>
      <w:r>
        <w:rPr>
          <w:rFonts w:ascii="Arial" w:cs="Arial" w:eastAsia="Arial" w:hAnsi="Arial"/>
          <w:sz w:val="15"/>
          <w:szCs w:val="15"/>
          <w:color w:val="auto"/>
        </w:rPr>
        <w:t>. Subject to the Optionee’s continued employment with the Company or the Employer (as defined in 3(h) below) and other limitations set forth in this Agreement and the Plan, the Option will vest as to a set number of shares on each of the scheduled vesting dates. Vesting Schedule.</w:t>
      </w:r>
    </w:p>
    <w:p>
      <w:pPr>
        <w:spacing w:after="0" w:line="9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1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Term of Option; Termination of Employment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term of the Option is ten (10) years after the Date of Grant, subject, however, to the early termination provisions set forth herein.</w:t>
      </w:r>
    </w:p>
    <w:p>
      <w:pPr>
        <w:spacing w:after="0" w:line="16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8" w:lineRule="exact"/>
        <w:rPr>
          <w:rFonts w:ascii="Arial" w:cs="Arial" w:eastAsia="Arial" w:hAnsi="Arial"/>
          <w:sz w:val="16"/>
          <w:szCs w:val="16"/>
          <w:color w:val="auto"/>
        </w:rPr>
      </w:pPr>
    </w:p>
    <w:p>
      <w:pPr>
        <w:jc w:val="both"/>
        <w:ind w:left="660" w:hanging="328"/>
        <w:spacing w:after="0" w:line="256" w:lineRule="auto"/>
        <w:tabs>
          <w:tab w:leader="none" w:pos="651"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The vesting of the Option shall terminate on the date the Optionee </w:t>
      </w:r>
      <w:r>
        <w:rPr>
          <w:rFonts w:ascii="Arial" w:cs="Arial" w:eastAsia="Arial" w:hAnsi="Arial"/>
          <w:sz w:val="16"/>
          <w:szCs w:val="16"/>
          <w:u w:val="single" w:color="auto"/>
          <w:color w:val="auto"/>
        </w:rPr>
        <w:t>voluntarily terminates</w:t>
      </w:r>
      <w:r>
        <w:rPr>
          <w:rFonts w:ascii="Arial" w:cs="Arial" w:eastAsia="Arial" w:hAnsi="Arial"/>
          <w:sz w:val="16"/>
          <w:szCs w:val="16"/>
          <w:color w:val="auto"/>
        </w:rPr>
        <w:t xml:space="preserve"> employment with the Company or the Employer (as defined in Section 3(h)) (except by reason of retirement after attaining age 60 as provided below)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32"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 xml:space="preserve">The Option shall terminate on the date the Optionee’s employment with the Company or the Employer is terminated by the Company or one of its subsidiaries </w:t>
      </w:r>
      <w:r>
        <w:rPr>
          <w:rFonts w:ascii="Arial" w:cs="Arial" w:eastAsia="Arial" w:hAnsi="Arial"/>
          <w:sz w:val="15"/>
          <w:szCs w:val="15"/>
          <w:u w:val="single" w:color="auto"/>
          <w:color w:val="auto"/>
        </w:rPr>
        <w:t>for</w:t>
      </w:r>
      <w:r>
        <w:rPr>
          <w:rFonts w:ascii="Arial" w:cs="Arial" w:eastAsia="Arial" w:hAnsi="Arial"/>
          <w:sz w:val="15"/>
          <w:szCs w:val="15"/>
          <w:color w:val="auto"/>
        </w:rPr>
        <w:t xml:space="preserve"> </w:t>
      </w:r>
      <w:r>
        <w:rPr>
          <w:rFonts w:ascii="Arial" w:cs="Arial" w:eastAsia="Arial" w:hAnsi="Arial"/>
          <w:sz w:val="15"/>
          <w:szCs w:val="15"/>
          <w:u w:val="single" w:color="auto"/>
          <w:color w:val="auto"/>
        </w:rPr>
        <w:t>“Cause</w:t>
      </w:r>
      <w:r>
        <w:rPr>
          <w:rFonts w:ascii="Arial" w:cs="Arial" w:eastAsia="Arial" w:hAnsi="Arial"/>
          <w:sz w:val="15"/>
          <w:szCs w:val="15"/>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2" w:lineRule="exact"/>
        <w:rPr>
          <w:rFonts w:ascii="Arial" w:cs="Arial" w:eastAsia="Arial" w:hAnsi="Arial"/>
          <w:sz w:val="15"/>
          <w:szCs w:val="15"/>
          <w:color w:val="auto"/>
        </w:rPr>
      </w:pPr>
    </w:p>
    <w:p>
      <w:pPr>
        <w:ind w:left="660" w:hanging="328"/>
        <w:spacing w:after="0" w:line="310" w:lineRule="auto"/>
        <w:tabs>
          <w:tab w:leader="none" w:pos="651" w:val="left"/>
        </w:tabs>
        <w:numPr>
          <w:ilvl w:val="1"/>
          <w:numId w:val="39"/>
        </w:numPr>
        <w:rPr>
          <w:rFonts w:ascii="Arial" w:cs="Arial" w:eastAsia="Arial" w:hAnsi="Arial"/>
          <w:sz w:val="15"/>
          <w:szCs w:val="15"/>
          <w:color w:val="auto"/>
        </w:rPr>
      </w:pPr>
      <w:r>
        <w:rPr>
          <w:rFonts w:ascii="Arial" w:cs="Arial" w:eastAsia="Arial" w:hAnsi="Arial"/>
          <w:sz w:val="15"/>
          <w:szCs w:val="15"/>
          <w:color w:val="auto"/>
        </w:rPr>
        <w:t xml:space="preserve">Upon the </w:t>
      </w:r>
      <w:r>
        <w:rPr>
          <w:rFonts w:ascii="Arial" w:cs="Arial" w:eastAsia="Arial" w:hAnsi="Arial"/>
          <w:sz w:val="15"/>
          <w:szCs w:val="15"/>
          <w:u w:val="single" w:color="auto"/>
          <w:color w:val="auto"/>
        </w:rPr>
        <w:t>death</w:t>
      </w:r>
      <w:r>
        <w:rPr>
          <w:rFonts w:ascii="Arial" w:cs="Arial" w:eastAsia="Arial" w:hAnsi="Arial"/>
          <w:sz w:val="15"/>
          <w:szCs w:val="15"/>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94" w:lineRule="exact"/>
        <w:rPr>
          <w:rFonts w:ascii="Arial" w:cs="Arial" w:eastAsia="Arial" w:hAnsi="Arial"/>
          <w:sz w:val="15"/>
          <w:szCs w:val="15"/>
          <w:color w:val="auto"/>
        </w:rPr>
      </w:pPr>
    </w:p>
    <w:p>
      <w:pPr>
        <w:jc w:val="both"/>
        <w:ind w:left="660" w:hanging="328"/>
        <w:spacing w:after="0" w:line="278" w:lineRule="auto"/>
        <w:tabs>
          <w:tab w:leader="none" w:pos="6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246" w:right="339" w:bottom="1440" w:gutter="0" w:footer="0" w:header="0"/>
        </w:sectPr>
      </w:pPr>
    </w:p>
    <w:bookmarkStart w:id="52" w:name="page53"/>
    <w:bookmarkEnd w:id="52"/>
    <w:p>
      <w:pPr>
        <w:jc w:val="both"/>
        <w:ind w:left="660" w:hanging="328"/>
        <w:spacing w:after="0" w:line="274" w:lineRule="auto"/>
        <w:tabs>
          <w:tab w:leader="none" w:pos="660" w:val="left"/>
        </w:tabs>
        <w:numPr>
          <w:ilvl w:val="1"/>
          <w:numId w:val="4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 xml:space="preserve">If the Optionee becomes </w:t>
      </w:r>
      <w:r>
        <w:rPr>
          <w:rFonts w:ascii="Arial" w:cs="Arial" w:eastAsia="Arial" w:hAnsi="Arial"/>
          <w:sz w:val="15"/>
          <w:szCs w:val="15"/>
          <w:u w:val="single" w:color="auto"/>
          <w:color w:val="auto"/>
        </w:rPr>
        <w:t>Disabled</w:t>
      </w:r>
      <w:r>
        <w:rPr>
          <w:rFonts w:ascii="Arial" w:cs="Arial" w:eastAsia="Arial" w:hAnsi="Arial"/>
          <w:sz w:val="15"/>
          <w:szCs w:val="15"/>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 shall terminate. “Disabled” with respect to the Optionee means, when and if, as a result of disease, injury or mental disorder, the Optionee is incapable of engaging in regular service or occupation with the Company or the Employer (as defined in paragraph (h)) which has lasted or can be expected to last for a continuous period of not less than 12 months, as determined by the Company.</w:t>
      </w:r>
    </w:p>
    <w:p>
      <w:pPr>
        <w:spacing w:after="0" w:line="122" w:lineRule="exact"/>
        <w:rPr>
          <w:rFonts w:ascii="Arial" w:cs="Arial" w:eastAsia="Arial" w:hAnsi="Arial"/>
          <w:sz w:val="15"/>
          <w:szCs w:val="15"/>
          <w:color w:val="auto"/>
        </w:rPr>
      </w:pPr>
    </w:p>
    <w:p>
      <w:pPr>
        <w:jc w:val="both"/>
        <w:ind w:left="660" w:hanging="328"/>
        <w:spacing w:after="0" w:line="253" w:lineRule="auto"/>
        <w:tabs>
          <w:tab w:leader="none" w:pos="6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37" w:lineRule="exact"/>
        <w:rPr>
          <w:rFonts w:ascii="Arial" w:cs="Arial" w:eastAsia="Arial" w:hAnsi="Arial"/>
          <w:sz w:val="16"/>
          <w:szCs w:val="16"/>
          <w:color w:val="auto"/>
        </w:rPr>
      </w:pPr>
    </w:p>
    <w:p>
      <w:pPr>
        <w:jc w:val="both"/>
        <w:ind w:left="660" w:right="20" w:hanging="328"/>
        <w:spacing w:after="0" w:line="261" w:lineRule="auto"/>
        <w:tabs>
          <w:tab w:leader="none" w:pos="651" w:val="left"/>
        </w:tabs>
        <w:numPr>
          <w:ilvl w:val="1"/>
          <w:numId w:val="40"/>
        </w:numPr>
        <w:rPr>
          <w:rFonts w:ascii="Arial" w:cs="Arial" w:eastAsia="Arial" w:hAnsi="Arial"/>
          <w:sz w:val="16"/>
          <w:szCs w:val="16"/>
          <w:color w:val="auto"/>
        </w:rPr>
      </w:pPr>
      <w:r>
        <w:rPr>
          <w:rFonts w:ascii="Arial" w:cs="Arial" w:eastAsia="Arial" w:hAnsi="Arial"/>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28" w:lineRule="exact"/>
        <w:rPr>
          <w:rFonts w:ascii="Arial" w:cs="Arial" w:eastAsia="Arial" w:hAnsi="Arial"/>
          <w:sz w:val="16"/>
          <w:szCs w:val="16"/>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following payment methods may be used to purchase Option Shares: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cashless exercise in a manner described in Section 5(f)(2) of the Plan.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Cash or check payable to the Company.</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Delivery by the Optionee of shares of Common Stock (by actual delivery or attestation) in accordance with Section 5(f)(3) of the Plan.</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combination of the above methods.</w:t>
      </w:r>
    </w:p>
    <w:p>
      <w:pPr>
        <w:spacing w:after="0" w:line="167"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28"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118" w:lineRule="exact"/>
        <w:rPr>
          <w:rFonts w:ascii="Arial" w:cs="Arial" w:eastAsia="Arial" w:hAnsi="Arial"/>
          <w:sz w:val="16"/>
          <w:szCs w:val="16"/>
          <w:color w:val="auto"/>
        </w:rPr>
      </w:pPr>
    </w:p>
    <w:p>
      <w:pPr>
        <w:jc w:val="both"/>
        <w:ind w:left="340" w:hanging="332"/>
        <w:spacing w:after="0" w:line="268"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Withholding Taxes</w:t>
      </w:r>
      <w:r>
        <w:rPr>
          <w:rFonts w:ascii="Arial" w:cs="Arial" w:eastAsia="Arial" w:hAnsi="Arial"/>
          <w:sz w:val="15"/>
          <w:szCs w:val="15"/>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12" w:lineRule="exact"/>
        <w:rPr>
          <w:rFonts w:ascii="Arial" w:cs="Arial" w:eastAsia="Arial" w:hAnsi="Arial"/>
          <w:sz w:val="15"/>
          <w:szCs w:val="15"/>
          <w:color w:val="auto"/>
        </w:rPr>
      </w:pPr>
    </w:p>
    <w:p>
      <w:pPr>
        <w:ind w:left="340" w:right="100"/>
        <w:spacing w:after="0" w:line="250" w:lineRule="auto"/>
        <w:rPr>
          <w:rFonts w:ascii="Arial" w:cs="Arial" w:eastAsia="Arial" w:hAnsi="Arial"/>
          <w:sz w:val="15"/>
          <w:szCs w:val="15"/>
          <w:color w:val="auto"/>
        </w:rPr>
      </w:pPr>
      <w:r>
        <w:rPr>
          <w:rFonts w:ascii="Arial" w:cs="Arial" w:eastAsia="Arial" w:hAnsi="Arial"/>
          <w:sz w:val="15"/>
          <w:szCs w:val="15"/>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and will have no entitlement to the equivalent in shares of Common Stock. No fractional Option Shares will be issued pursuant to the grant of the Option and the issuance of Option Shares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264" w:right="339" w:bottom="1440" w:gutter="0" w:footer="0" w:header="0"/>
        </w:sectPr>
      </w:pPr>
    </w:p>
    <w:bookmarkStart w:id="53" w:name="page54"/>
    <w:bookmarkEnd w:id="53"/>
    <w:p>
      <w:pPr>
        <w:jc w:val="both"/>
        <w:ind w:left="340"/>
        <w:spacing w:after="0" w:line="31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9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the Option, the Optionee acknowledges, understands and agrees that:</w:t>
      </w:r>
    </w:p>
    <w:p>
      <w:pPr>
        <w:spacing w:after="0" w:line="167" w:lineRule="exact"/>
        <w:rPr>
          <w:rFonts w:ascii="Arial" w:cs="Arial" w:eastAsia="Arial" w:hAnsi="Arial"/>
          <w:sz w:val="16"/>
          <w:szCs w:val="16"/>
          <w:color w:val="auto"/>
        </w:rPr>
      </w:pPr>
    </w:p>
    <w:p>
      <w:pPr>
        <w:ind w:left="660" w:right="20" w:hanging="328"/>
        <w:spacing w:after="0" w:line="275" w:lineRule="auto"/>
        <w:tabs>
          <w:tab w:leader="none" w:pos="651"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may be amended, suspended or terminated by the Company at any time, to the extent permitted by the Plan;</w:t>
      </w:r>
    </w:p>
    <w:p>
      <w:pPr>
        <w:spacing w:after="0" w:line="118"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8" w:lineRule="exact"/>
        <w:rPr>
          <w:rFonts w:ascii="Arial" w:cs="Arial" w:eastAsia="Arial" w:hAnsi="Arial"/>
          <w:sz w:val="16"/>
          <w:szCs w:val="16"/>
          <w:color w:val="auto"/>
        </w:rPr>
      </w:pPr>
    </w:p>
    <w:p>
      <w:pPr>
        <w:ind w:left="640" w:hanging="308"/>
        <w:spacing w:after="0"/>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decisions with respect to future option grants, if any, will be at the sole discretion of the Company;</w:t>
      </w:r>
    </w:p>
    <w:p>
      <w:pPr>
        <w:spacing w:after="0" w:line="16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8" w:lineRule="exact"/>
        <w:rPr>
          <w:rFonts w:ascii="Arial" w:cs="Arial" w:eastAsia="Arial" w:hAnsi="Arial"/>
          <w:sz w:val="16"/>
          <w:szCs w:val="16"/>
          <w:color w:val="auto"/>
        </w:rPr>
      </w:pPr>
    </w:p>
    <w:p>
      <w:pPr>
        <w:ind w:left="640" w:hanging="308"/>
        <w:spacing w:after="0"/>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Optionee is voluntarily participating in the Plan;</w:t>
      </w:r>
    </w:p>
    <w:p>
      <w:pPr>
        <w:spacing w:after="0" w:line="167"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32" w:lineRule="exact"/>
        <w:rPr>
          <w:rFonts w:ascii="Arial" w:cs="Arial" w:eastAsia="Arial" w:hAnsi="Arial"/>
          <w:sz w:val="16"/>
          <w:szCs w:val="16"/>
          <w:color w:val="auto"/>
        </w:rPr>
      </w:pPr>
    </w:p>
    <w:p>
      <w:pPr>
        <w:ind w:left="660" w:right="20" w:hanging="328"/>
        <w:spacing w:after="0" w:line="275"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Option grant and the Optionee’s participation in the Plan will not be interpreted to form or amend an employment or service contract or relationship with the Company or the Employer;</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future value of the Option Shares underlying the Option is unknown, indeterminable, and cannot be predicted with certainty;</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the underlying Option Shares do not increase in value, the Option will have no value;</w:t>
      </w:r>
    </w:p>
    <w:p>
      <w:pPr>
        <w:spacing w:after="0" w:line="167" w:lineRule="exact"/>
        <w:rPr>
          <w:rFonts w:ascii="Arial" w:cs="Arial" w:eastAsia="Arial" w:hAnsi="Arial"/>
          <w:sz w:val="16"/>
          <w:szCs w:val="16"/>
          <w:color w:val="auto"/>
        </w:rPr>
      </w:pPr>
    </w:p>
    <w:p>
      <w:pPr>
        <w:ind w:left="660" w:hanging="328"/>
        <w:spacing w:after="0" w:line="275" w:lineRule="auto"/>
        <w:tabs>
          <w:tab w:leader="none" w:pos="651"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the Optionee exercises the Option and acquires Option Shares, the value of such Option Shares may increase or decrease in value, even below the Exercise Price;</w:t>
      </w:r>
    </w:p>
    <w:p>
      <w:pPr>
        <w:spacing w:after="0" w:line="118" w:lineRule="exact"/>
        <w:rPr>
          <w:rFonts w:ascii="Arial" w:cs="Arial" w:eastAsia="Arial" w:hAnsi="Arial"/>
          <w:sz w:val="16"/>
          <w:szCs w:val="16"/>
          <w:color w:val="auto"/>
        </w:rPr>
      </w:pPr>
    </w:p>
    <w:p>
      <w:pPr>
        <w:ind w:left="660" w:hanging="328"/>
        <w:spacing w:after="0"/>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for Optionees who reside outside the U.S. and/or the Company is not the Optionee’s employer, the following additional provisions shall apply:</w:t>
      </w:r>
    </w:p>
    <w:p>
      <w:pPr>
        <w:spacing w:after="0" w:line="167" w:lineRule="exact"/>
        <w:rPr>
          <w:rFonts w:ascii="Arial" w:cs="Arial" w:eastAsia="Arial" w:hAnsi="Arial"/>
          <w:sz w:val="16"/>
          <w:szCs w:val="16"/>
          <w:color w:val="auto"/>
        </w:rPr>
      </w:pPr>
    </w:p>
    <w:p>
      <w:pPr>
        <w:ind w:left="1300" w:hanging="320"/>
        <w:spacing w:after="0" w:line="275" w:lineRule="auto"/>
        <w:tabs>
          <w:tab w:leader="none" w:pos="1291" w:val="left"/>
        </w:tabs>
        <w:numPr>
          <w:ilvl w:val="2"/>
          <w:numId w:val="42"/>
        </w:numPr>
        <w:rPr>
          <w:rFonts w:ascii="Arial" w:cs="Arial" w:eastAsia="Arial" w:hAnsi="Arial"/>
          <w:sz w:val="16"/>
          <w:szCs w:val="16"/>
          <w:color w:val="auto"/>
        </w:rPr>
      </w:pPr>
      <w:r>
        <w:rPr>
          <w:rFonts w:ascii="Arial" w:cs="Arial" w:eastAsia="Arial" w:hAnsi="Arial"/>
          <w:sz w:val="16"/>
          <w:szCs w:val="16"/>
          <w:color w:val="auto"/>
        </w:rPr>
        <w:t>the Option and any Option Shares acquired under the Plan, and the income and value of same, are not intended to replace any pension rights or compensation;</w:t>
      </w:r>
    </w:p>
    <w:p>
      <w:pPr>
        <w:spacing w:after="0" w:line="118" w:lineRule="exact"/>
        <w:rPr>
          <w:rFonts w:ascii="Arial" w:cs="Arial" w:eastAsia="Arial" w:hAnsi="Arial"/>
          <w:sz w:val="16"/>
          <w:szCs w:val="16"/>
          <w:color w:val="auto"/>
        </w:rPr>
      </w:pPr>
    </w:p>
    <w:p>
      <w:pPr>
        <w:ind w:left="1300" w:hanging="320"/>
        <w:spacing w:after="0" w:line="310" w:lineRule="auto"/>
        <w:tabs>
          <w:tab w:leader="none" w:pos="1295" w:val="left"/>
        </w:tabs>
        <w:numPr>
          <w:ilvl w:val="2"/>
          <w:numId w:val="42"/>
        </w:numPr>
        <w:rPr>
          <w:rFonts w:ascii="Arial" w:cs="Arial" w:eastAsia="Arial" w:hAnsi="Arial"/>
          <w:sz w:val="15"/>
          <w:szCs w:val="15"/>
          <w:color w:val="auto"/>
        </w:rPr>
      </w:pPr>
      <w:r>
        <w:rPr>
          <w:rFonts w:ascii="Arial" w:cs="Arial" w:eastAsia="Arial" w:hAnsi="Arial"/>
          <w:sz w:val="15"/>
          <w:szCs w:val="15"/>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94" w:lineRule="exact"/>
        <w:rPr>
          <w:rFonts w:ascii="Arial" w:cs="Arial" w:eastAsia="Arial" w:hAnsi="Arial"/>
          <w:sz w:val="15"/>
          <w:szCs w:val="15"/>
          <w:color w:val="auto"/>
        </w:rPr>
      </w:pPr>
    </w:p>
    <w:p>
      <w:pPr>
        <w:jc w:val="both"/>
        <w:ind w:left="1300" w:hanging="320"/>
        <w:spacing w:after="0" w:line="261" w:lineRule="auto"/>
        <w:tabs>
          <w:tab w:leader="none" w:pos="1300" w:val="left"/>
        </w:tabs>
        <w:numPr>
          <w:ilvl w:val="2"/>
          <w:numId w:val="42"/>
        </w:numPr>
        <w:rPr>
          <w:rFonts w:ascii="Arial" w:cs="Arial" w:eastAsia="Arial" w:hAnsi="Arial"/>
          <w:sz w:val="16"/>
          <w:szCs w:val="16"/>
          <w:color w:val="auto"/>
        </w:rPr>
      </w:pPr>
      <w:r>
        <w:rPr>
          <w:rFonts w:ascii="Arial" w:cs="Arial" w:eastAsia="Arial" w:hAnsi="Arial"/>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28" w:lineRule="exact"/>
        <w:rPr>
          <w:rFonts w:ascii="Arial" w:cs="Arial" w:eastAsia="Arial" w:hAnsi="Arial"/>
          <w:sz w:val="16"/>
          <w:szCs w:val="16"/>
          <w:color w:val="auto"/>
        </w:rPr>
      </w:pPr>
    </w:p>
    <w:p>
      <w:pPr>
        <w:jc w:val="both"/>
        <w:ind w:left="1300" w:hanging="320"/>
        <w:spacing w:after="0" w:line="250" w:lineRule="auto"/>
        <w:tabs>
          <w:tab w:leader="none" w:pos="1291" w:val="left"/>
        </w:tabs>
        <w:numPr>
          <w:ilvl w:val="2"/>
          <w:numId w:val="42"/>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40"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the Optionee’s participation in the Plan, or the Optionee’s acquisition or sale of the underlying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264" w:right="339" w:bottom="1440" w:gutter="0" w:footer="0" w:header="0"/>
        </w:sectPr>
      </w:pPr>
    </w:p>
    <w:bookmarkStart w:id="54" w:name="page55"/>
    <w:bookmarkEnd w:id="54"/>
    <w:p>
      <w:pPr>
        <w:ind w:left="340"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Shares. The Optionee is encouraged to consult with his or her own personal tax, legal and financial advisors regarding his or her participation in the Plan before taking any action related to the Plan.</w:t>
      </w:r>
    </w:p>
    <w:p>
      <w:pPr>
        <w:spacing w:after="0" w:line="118" w:lineRule="exact"/>
        <w:rPr>
          <w:sz w:val="20"/>
          <w:szCs w:val="20"/>
          <w:color w:val="auto"/>
        </w:rPr>
      </w:pPr>
    </w:p>
    <w:p>
      <w:pPr>
        <w:ind w:left="340" w:right="2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This Agreement shall be binding upon and inure to the benefit of the Company and the Optionee and his or her </w:t>
      </w:r>
      <w:r>
        <w:rPr>
          <w:rFonts w:ascii="Arial" w:cs="Arial" w:eastAsia="Arial" w:hAnsi="Arial"/>
          <w:sz w:val="16"/>
          <w:szCs w:val="16"/>
          <w:u w:val="single" w:color="auto"/>
          <w:color w:val="auto"/>
        </w:rPr>
        <w:t>respective</w:t>
      </w:r>
      <w:r>
        <w:rPr>
          <w:rFonts w:ascii="Arial" w:cs="Arial" w:eastAsia="Arial" w:hAnsi="Arial"/>
          <w:sz w:val="16"/>
          <w:szCs w:val="16"/>
          <w:color w:val="auto"/>
        </w:rPr>
        <w:t xml:space="preserve"> heirs, executors, administrators, legal representatives, successors and assigns, subject to the restrictions on transfer set forth in Section 5 of this Agreement.</w:t>
      </w:r>
    </w:p>
    <w:p>
      <w:pPr>
        <w:spacing w:after="0" w:line="118" w:lineRule="exact"/>
        <w:rPr>
          <w:rFonts w:ascii="Arial" w:cs="Arial" w:eastAsia="Arial" w:hAnsi="Arial"/>
          <w:sz w:val="16"/>
          <w:szCs w:val="16"/>
          <w:color w:val="auto"/>
        </w:rPr>
      </w:pPr>
    </w:p>
    <w:p>
      <w:pPr>
        <w:jc w:val="both"/>
        <w:ind w:left="340" w:hanging="332"/>
        <w:spacing w:after="0" w:line="278" w:lineRule="auto"/>
        <w:tabs>
          <w:tab w:leader="none" w:pos="334" w:val="left"/>
        </w:tabs>
        <w:numPr>
          <w:ilvl w:val="0"/>
          <w:numId w:val="43"/>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8" w:lineRule="exact"/>
        <w:rPr>
          <w:rFonts w:ascii="Arial" w:cs="Arial" w:eastAsia="Arial" w:hAnsi="Arial"/>
          <w:sz w:val="15"/>
          <w:szCs w:val="15"/>
          <w:color w:val="auto"/>
        </w:rPr>
      </w:pPr>
    </w:p>
    <w:p>
      <w:pPr>
        <w:ind w:left="34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40" w:hanging="332"/>
        <w:spacing w:after="0" w:line="249"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3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8"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Optionee’s Acceptance</w:t>
      </w:r>
      <w:r>
        <w:rPr>
          <w:rFonts w:ascii="Arial" w:cs="Arial" w:eastAsia="Arial" w:hAnsi="Arial"/>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28"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28"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18"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8"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Appendix</w:t>
      </w:r>
      <w:r>
        <w:rPr>
          <w:rFonts w:ascii="Arial" w:cs="Arial" w:eastAsia="Arial" w:hAnsi="Arial"/>
          <w:sz w:val="16"/>
          <w:szCs w:val="16"/>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264" w:right="339" w:bottom="1440" w:gutter="0" w:footer="0" w:header="0"/>
        </w:sectPr>
      </w:pPr>
    </w:p>
    <w:bookmarkStart w:id="55" w:name="page56"/>
    <w:bookmarkEnd w:id="55"/>
    <w:p>
      <w:pPr>
        <w:jc w:val="both"/>
        <w:ind w:left="340" w:hanging="332"/>
        <w:spacing w:after="0" w:line="261"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Additional Requirements</w:t>
      </w:r>
      <w:r>
        <w:rPr>
          <w:rFonts w:ascii="Arial" w:cs="Arial" w:eastAsia="Arial" w:hAnsi="Arial"/>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28"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Option was made.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132" w:lineRule="exact"/>
        <w:rPr>
          <w:rFonts w:ascii="Arial" w:cs="Arial" w:eastAsia="Arial" w:hAnsi="Arial"/>
          <w:sz w:val="16"/>
          <w:szCs w:val="16"/>
          <w:color w:val="auto"/>
        </w:rPr>
      </w:pPr>
    </w:p>
    <w:p>
      <w:pPr>
        <w:jc w:val="both"/>
        <w:ind w:left="340" w:hanging="332"/>
        <w:spacing w:after="0" w:line="290"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Insider Trading Restrictions/Market Abuse Laws</w:t>
      </w:r>
      <w:r>
        <w:rPr>
          <w:rFonts w:ascii="Arial" w:cs="Arial" w:eastAsia="Arial" w:hAnsi="Arial"/>
          <w:sz w:val="14"/>
          <w:szCs w:val="14"/>
          <w:color w:val="auto"/>
        </w:rPr>
        <w:t>. The Optionee acknowledges that, depending on the Optionee’s or the Optionee’s broker’s country of residence or where the Common Stock is listed, the Optionee may be subject to insider trading restrictions and/or market abuse laws, which may affect the Optionee’s ability to accept, acquire, sell, or otherwise dispose of Common Stock, rights to Common Stock (</w:t>
      </w:r>
      <w:r>
        <w:rPr>
          <w:rFonts w:ascii="Arial" w:cs="Arial" w:eastAsia="Arial" w:hAnsi="Arial"/>
          <w:sz w:val="14"/>
          <w:szCs w:val="14"/>
          <w:i w:val="1"/>
          <w:iCs w:val="1"/>
          <w:color w:val="auto"/>
        </w:rPr>
        <w:t>e.g.</w:t>
      </w:r>
      <w:r>
        <w:rPr>
          <w:rFonts w:ascii="Arial" w:cs="Arial" w:eastAsia="Arial" w:hAnsi="Arial"/>
          <w:sz w:val="14"/>
          <w:szCs w:val="14"/>
          <w:color w:val="auto"/>
        </w:rPr>
        <w:t>, Options) or rights linked to the value of Common Stock (</w:t>
      </w:r>
      <w:r>
        <w:rPr>
          <w:rFonts w:ascii="Arial" w:cs="Arial" w:eastAsia="Arial" w:hAnsi="Arial"/>
          <w:sz w:val="14"/>
          <w:szCs w:val="14"/>
          <w:i w:val="1"/>
          <w:iCs w:val="1"/>
          <w:color w:val="auto"/>
        </w:rPr>
        <w:t>e.g.</w:t>
      </w:r>
      <w:r>
        <w:rPr>
          <w:rFonts w:ascii="Arial" w:cs="Arial" w:eastAsia="Arial" w:hAnsi="Arial"/>
          <w:sz w:val="14"/>
          <w:szCs w:val="14"/>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12" w:lineRule="exact"/>
        <w:rPr>
          <w:rFonts w:ascii="Arial" w:cs="Arial" w:eastAsia="Arial" w:hAnsi="Arial"/>
          <w:sz w:val="14"/>
          <w:szCs w:val="14"/>
          <w:color w:val="auto"/>
        </w:rPr>
      </w:pPr>
    </w:p>
    <w:p>
      <w:pPr>
        <w:jc w:val="both"/>
        <w:ind w:left="340" w:hanging="332"/>
        <w:spacing w:after="0" w:line="270" w:lineRule="auto"/>
        <w:tabs>
          <w:tab w:leader="none" w:pos="340" w:val="left"/>
        </w:tabs>
        <w:numPr>
          <w:ilvl w:val="0"/>
          <w:numId w:val="44"/>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26" w:lineRule="exact"/>
        <w:rPr>
          <w:rFonts w:ascii="Arial" w:cs="Arial" w:eastAsia="Arial" w:hAnsi="Arial"/>
          <w:sz w:val="15"/>
          <w:szCs w:val="15"/>
          <w:color w:val="auto"/>
        </w:rPr>
      </w:pPr>
    </w:p>
    <w:p>
      <w:pPr>
        <w:ind w:left="340" w:right="20" w:hanging="332"/>
        <w:spacing w:after="0" w:line="27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264" w:right="339" w:bottom="1440" w:gutter="0" w:footer="0" w:header="0"/>
        </w:sectPr>
      </w:pPr>
    </w:p>
    <w:bookmarkStart w:id="56" w:name="page57"/>
    <w:bookmarkEnd w:id="56"/>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r>
    </w:p>
    <w:p>
      <w:pPr>
        <w:spacing w:after="0" w:line="261" w:lineRule="auto"/>
        <w:rPr>
          <w:sz w:val="20"/>
          <w:szCs w:val="20"/>
          <w:color w:val="auto"/>
        </w:rPr>
      </w:pPr>
      <w:r>
        <w:rPr>
          <w:rFonts w:ascii="Arial" w:cs="Arial" w:eastAsia="Arial" w:hAnsi="Arial"/>
          <w:sz w:val="16"/>
          <w:szCs w:val="16"/>
          <w:color w:val="auto"/>
        </w:rPr>
        <w:t>A copy of the Plan prospectus is available on the Company’s Intranet at https://thecircuit.web.analog.com/Pages/CircuitHome.aspx.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(Stock_Plan_Admin@Analog.com).</w:t>
      </w: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900" w:type="dxa"/>
            <w:vAlign w:val="bottom"/>
          </w:tcPr>
          <w:p>
            <w:pPr>
              <w:ind w:left="1400"/>
              <w:spacing w:after="0"/>
              <w:rPr>
                <w:sz w:val="20"/>
                <w:szCs w:val="20"/>
                <w:color w:val="auto"/>
              </w:rPr>
            </w:pPr>
            <w:r>
              <w:rPr>
                <w:rFonts w:ascii="Arial" w:cs="Arial" w:eastAsia="Arial" w:hAnsi="Arial"/>
                <w:sz w:val="16"/>
                <w:szCs w:val="16"/>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07"/>
        </w:trPr>
        <w:tc>
          <w:tcPr>
            <w:tcW w:w="52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90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Arial" w:cs="Arial" w:eastAsia="Arial" w:hAnsi="Arial"/>
                <w:sz w:val="16"/>
                <w:szCs w:val="16"/>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160"/>
          </w:cols>
          <w:pgMar w:left="320" w:top="1440" w:right="419" w:bottom="1440" w:gutter="0" w:footer="0" w:header="0"/>
        </w:sectPr>
      </w:pPr>
    </w:p>
    <w:bookmarkStart w:id="57" w:name="page58"/>
    <w:bookmarkEnd w:id="57"/>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NON-QUALIFIED STOCK OPTION AGREEMENT</w:t>
      </w:r>
    </w:p>
    <w:p>
      <w:pPr>
        <w:spacing w:after="0" w:line="3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2020.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137"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TERMS AND CONDITIONS APPLICABLE TO OPTIONEES OUTSIDE THE U.S.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29" w:lineRule="exact"/>
        <w:rPr>
          <w:sz w:val="20"/>
          <w:szCs w:val="20"/>
          <w:color w:val="auto"/>
        </w:rPr>
      </w:pPr>
    </w:p>
    <w:p>
      <w:pPr>
        <w:jc w:val="both"/>
        <w:ind w:left="340" w:hanging="332"/>
        <w:spacing w:after="0" w:line="298" w:lineRule="auto"/>
        <w:tabs>
          <w:tab w:leader="none" w:pos="340" w:val="left"/>
        </w:tabs>
        <w:numPr>
          <w:ilvl w:val="0"/>
          <w:numId w:val="45"/>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Collection and Usage</w:t>
      </w:r>
      <w:r>
        <w:rPr>
          <w:rFonts w:ascii="Arial" w:cs="Arial" w:eastAsia="Arial" w:hAnsi="Arial"/>
          <w:sz w:val="14"/>
          <w:szCs w:val="14"/>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07" w:lineRule="exact"/>
        <w:rPr>
          <w:rFonts w:ascii="Arial" w:cs="Arial" w:eastAsia="Arial" w:hAnsi="Arial"/>
          <w:sz w:val="14"/>
          <w:szCs w:val="14"/>
          <w:b w:val="1"/>
          <w:bCs w:val="1"/>
          <w:color w:val="auto"/>
        </w:rPr>
      </w:pPr>
    </w:p>
    <w:p>
      <w:pPr>
        <w:jc w:val="both"/>
        <w:ind w:left="340" w:hanging="332"/>
        <w:spacing w:after="0" w:line="274" w:lineRule="auto"/>
        <w:tabs>
          <w:tab w:leader="none" w:pos="335"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Company transfers participant data to Fidelity Stock Plan Services LLC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22" w:lineRule="exact"/>
        <w:rPr>
          <w:rFonts w:ascii="Arial" w:cs="Arial" w:eastAsia="Arial" w:hAnsi="Arial"/>
          <w:sz w:val="15"/>
          <w:szCs w:val="15"/>
          <w:b w:val="1"/>
          <w:bCs w:val="1"/>
          <w:color w:val="auto"/>
        </w:rPr>
      </w:pPr>
    </w:p>
    <w:p>
      <w:pPr>
        <w:jc w:val="both"/>
        <w:ind w:left="340" w:hanging="332"/>
        <w:spacing w:after="0" w:line="269" w:lineRule="auto"/>
        <w:tabs>
          <w:tab w:leader="none" w:pos="331"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i w:val="1"/>
          <w:iCs w:val="1"/>
          <w:u w:val="single" w:color="auto"/>
          <w:color w:val="auto"/>
        </w:rPr>
        <w:t>International Data Transfers</w:t>
      </w:r>
      <w:r>
        <w:rPr>
          <w:rFonts w:ascii="Arial" w:cs="Arial" w:eastAsia="Arial" w:hAnsi="Arial"/>
          <w:sz w:val="15"/>
          <w:szCs w:val="15"/>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27" w:lineRule="exact"/>
        <w:rPr>
          <w:rFonts w:ascii="Arial" w:cs="Arial" w:eastAsia="Arial" w:hAnsi="Arial"/>
          <w:sz w:val="15"/>
          <w:szCs w:val="15"/>
          <w:b w:val="1"/>
          <w:bCs w:val="1"/>
          <w:color w:val="auto"/>
        </w:rPr>
      </w:pPr>
    </w:p>
    <w:p>
      <w:pPr>
        <w:jc w:val="both"/>
        <w:ind w:left="340" w:hanging="332"/>
        <w:spacing w:after="0" w:line="261" w:lineRule="auto"/>
        <w:tabs>
          <w:tab w:leader="none" w:pos="335"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Optionee’s personal data only as long as is necessary to implement, administer and manage the Optionee’s participation in the Plan or as required to comply with legal or regulatory obligations, including under tax, securities, exchange control, and labor laws. This period may extend beyond the Optionee’s employment with the Employer.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440" w:right="339" w:bottom="1440" w:gutter="0" w:footer="0" w:header="0"/>
        </w:sectPr>
      </w:pPr>
    </w:p>
    <w:bookmarkStart w:id="58" w:name="page59"/>
    <w:bookmarkEnd w:id="58"/>
    <w:p>
      <w:pPr>
        <w:ind w:left="340"/>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Company keeps data longer, it would be to satisfy legal or regulatory obligations and the Company’s legal basis would be relevant laws or regulations.</w:t>
      </w:r>
    </w:p>
    <w:p>
      <w:pPr>
        <w:spacing w:after="0" w:line="179" w:lineRule="exact"/>
        <w:rPr>
          <w:sz w:val="20"/>
          <w:szCs w:val="20"/>
          <w:color w:val="auto"/>
        </w:rPr>
      </w:pPr>
    </w:p>
    <w:p>
      <w:pPr>
        <w:jc w:val="both"/>
        <w:ind w:left="340" w:hanging="332"/>
        <w:spacing w:after="0" w:line="256" w:lineRule="auto"/>
        <w:tabs>
          <w:tab w:leader="none" w:pos="331"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132" w:lineRule="exact"/>
        <w:rPr>
          <w:rFonts w:ascii="Arial" w:cs="Arial" w:eastAsia="Arial" w:hAnsi="Arial"/>
          <w:sz w:val="16"/>
          <w:szCs w:val="16"/>
          <w:b w:val="1"/>
          <w:bCs w:val="1"/>
          <w:color w:val="auto"/>
        </w:rPr>
      </w:pPr>
    </w:p>
    <w:p>
      <w:pPr>
        <w:jc w:val="both"/>
        <w:ind w:left="340" w:hanging="332"/>
        <w:spacing w:after="0" w:line="298" w:lineRule="auto"/>
        <w:tabs>
          <w:tab w:leader="none" w:pos="34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i w:val="1"/>
          <w:iCs w:val="1"/>
          <w:u w:val="single" w:color="auto"/>
          <w:color w:val="auto"/>
        </w:rPr>
        <w:t>Data Subject Rights</w:t>
      </w:r>
      <w:r>
        <w:rPr>
          <w:rFonts w:ascii="Arial" w:cs="Arial" w:eastAsia="Arial" w:hAnsi="Arial"/>
          <w:sz w:val="14"/>
          <w:szCs w:val="14"/>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07"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AUSTRIA</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Optionee holds Option Shares acquired under the Plan outside Austria (even if he or she holds them outside Austria with an Austrian bank), then the Optionee understands that he or she must submit an annual report to the Austrian National Bank using the form “</w:t>
      </w:r>
      <w:r>
        <w:rPr>
          <w:rFonts w:ascii="Arial" w:cs="Arial" w:eastAsia="Arial" w:hAnsi="Arial"/>
          <w:sz w:val="16"/>
          <w:szCs w:val="16"/>
          <w:i w:val="1"/>
          <w:iCs w:val="1"/>
          <w:color w:val="auto"/>
        </w:rPr>
        <w:t>Standmeldung/Wertpapiere</w:t>
      </w:r>
      <w:r>
        <w:rPr>
          <w:rFonts w:ascii="Arial" w:cs="Arial" w:eastAsia="Arial" w:hAnsi="Arial"/>
          <w:sz w:val="16"/>
          <w:szCs w:val="16"/>
          <w:color w:val="auto"/>
        </w:rPr>
        <w:t>.” An exemption applies if the value of the securities held outside Austria does not exceed certain thresholds. If applicable, the deadline for filing the annual report is January 31 of the following year.</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When the Option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Optionee’s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6"/>
          <w:szCs w:val="16"/>
          <w:i w:val="1"/>
          <w:iCs w:val="1"/>
          <w:color w:val="auto"/>
        </w:rPr>
        <w:t>Meldungen SI-Forderungen und/oder SI-Verpflichtungen</w:t>
      </w:r>
      <w:r>
        <w:rPr>
          <w:rFonts w:ascii="Arial" w:cs="Arial" w:eastAsia="Arial" w:hAnsi="Arial"/>
          <w:sz w:val="16"/>
          <w:szCs w:val="16"/>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BELGIUM</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Taxation of Option</w:t>
      </w:r>
      <w:r>
        <w:rPr>
          <w:rFonts w:ascii="Arial" w:cs="Arial" w:eastAsia="Arial" w:hAnsi="Arial"/>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133" w:lineRule="exact"/>
        <w:rPr>
          <w:sz w:val="20"/>
          <w:szCs w:val="20"/>
          <w:color w:val="auto"/>
        </w:rPr>
      </w:pPr>
    </w:p>
    <w:p>
      <w:pPr>
        <w:jc w:val="both"/>
        <w:spacing w:after="0" w:line="304" w:lineRule="auto"/>
        <w:rPr>
          <w:sz w:val="20"/>
          <w:szCs w:val="20"/>
          <w:color w:val="auto"/>
        </w:rPr>
      </w:pPr>
      <w:r>
        <w:rPr>
          <w:rFonts w:ascii="Arial" w:cs="Arial" w:eastAsia="Arial" w:hAnsi="Arial"/>
          <w:sz w:val="14"/>
          <w:szCs w:val="14"/>
          <w:u w:val="single" w:color="auto"/>
          <w:color w:val="auto"/>
        </w:rPr>
        <w:t>Stock Exchange Tax</w:t>
      </w:r>
      <w:r>
        <w:rPr>
          <w:rFonts w:ascii="Arial" w:cs="Arial" w:eastAsia="Arial" w:hAnsi="Arial"/>
          <w:sz w:val="14"/>
          <w:szCs w:val="14"/>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Payment of Exercise Price and Withholding Taxes</w:t>
      </w:r>
      <w:r>
        <w:rPr>
          <w:rFonts w:ascii="Arial" w:cs="Arial" w:eastAsia="Arial" w:hAnsi="Arial"/>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1240"/>
          </w:cols>
          <w:pgMar w:left="320" w:top="1264" w:right="339" w:bottom="1440" w:gutter="0" w:footer="0" w:header="0"/>
        </w:sectPr>
      </w:pPr>
    </w:p>
    <w:bookmarkStart w:id="59" w:name="page60"/>
    <w:bookmarkEnd w:id="59"/>
    <w:p>
      <w:pPr>
        <w:jc w:val="both"/>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3 of the Agreement (except Section 3(g) regarding disability) as well as any other section required to give effect to the same:</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last day on which the Optionee is actively employed by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w:t>
      </w:r>
    </w:p>
    <w:p>
      <w:pPr>
        <w:spacing w:after="0" w:line="12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terms and conditions apply if the Optionee is in Quebec:</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Privacy</w:t>
      </w:r>
      <w:r>
        <w:rPr>
          <w:rFonts w:ascii="Arial" w:cs="Arial" w:eastAsia="Arial" w:hAnsi="Arial"/>
          <w:sz w:val="14"/>
          <w:szCs w:val="14"/>
          <w:color w:val="auto"/>
        </w:rPr>
        <w:t>. This provision supplements the Data Privacy Information and Consent provision in the Terms and Conditions for Optionees Outside the U.S. set forth above:</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19 of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CHINA</w:t>
      </w:r>
    </w:p>
    <w:p>
      <w:pPr>
        <w:spacing w:after="0" w:line="171"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u w:val="single" w:color="auto"/>
          <w:color w:val="auto"/>
        </w:rPr>
        <w:t>Vesting</w:t>
      </w:r>
      <w:r>
        <w:rPr>
          <w:rFonts w:ascii="Arial" w:cs="Arial" w:eastAsia="Arial" w:hAnsi="Arial"/>
          <w:sz w:val="15"/>
          <w:szCs w:val="15"/>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following supplements Section 4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1240"/>
          </w:cols>
          <w:pgMar w:left="320" w:top="1264" w:right="339" w:bottom="1440" w:gutter="0" w:footer="0" w:header="0"/>
        </w:sectPr>
      </w:pPr>
    </w:p>
    <w:bookmarkStart w:id="60" w:name="page61"/>
    <w:bookmarkEnd w:id="60"/>
    <w:p>
      <w:pPr>
        <w:jc w:val="both"/>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DENMARK</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of Grant</w:t>
      </w:r>
      <w:r>
        <w:rPr>
          <w:rFonts w:ascii="Arial" w:cs="Arial" w:eastAsia="Arial" w:hAnsi="Arial"/>
          <w:sz w:val="16"/>
          <w:szCs w:val="16"/>
          <w:color w:val="auto"/>
        </w:rPr>
        <w:t>. This provision supplements Section 8 in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Option, the Optionee acknowledges, understands and agrees that this grant relates to future services to be performed and is not a bonus or compensation for past services.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EGYPT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FINLAND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French Qualified Option</w:t>
      </w:r>
      <w:r>
        <w:rPr>
          <w:rFonts w:ascii="Arial" w:cs="Arial" w:eastAsia="Arial" w:hAnsi="Arial"/>
          <w:sz w:val="15"/>
          <w:szCs w:val="15"/>
          <w:color w:val="auto"/>
        </w:rPr>
        <w:t>. This Option is intended to qualify for favorable tax and social security treatment applicable to stock options granted under 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1240"/>
          </w:cols>
          <w:pgMar w:left="320" w:top="1264" w:right="339" w:bottom="1440" w:gutter="0" w:footer="0" w:header="0"/>
        </w:sectPr>
      </w:pPr>
    </w:p>
    <w:bookmarkStart w:id="61" w:name="page62"/>
    <w:bookmarkEnd w:id="61"/>
    <w:p>
      <w:pPr>
        <w:jc w:val="both"/>
        <w:spacing w:after="0" w:line="26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Plan Terms</w:t>
      </w:r>
      <w:r>
        <w:rPr>
          <w:rFonts w:ascii="Arial" w:cs="Arial" w:eastAsia="Arial" w:hAnsi="Arial"/>
          <w:sz w:val="16"/>
          <w:szCs w:val="16"/>
          <w:color w:val="auto"/>
        </w:rPr>
        <w:t>. The Options are subject to the terms and conditions of the Plan and the Rules of the Analog Devices, Inc. 2020 Equity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2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u w:val="single" w:color="auto"/>
          <w:color w:val="auto"/>
        </w:rPr>
        <w:t>Option Exercise Price Per Share</w:t>
      </w:r>
      <w:r>
        <w:rPr>
          <w:rFonts w:ascii="Arial" w:cs="Arial" w:eastAsia="Arial" w:hAnsi="Arial"/>
          <w:sz w:val="15"/>
          <w:szCs w:val="15"/>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Expiration</w:t>
      </w:r>
      <w:r>
        <w:rPr>
          <w:rFonts w:ascii="Arial" w:cs="Arial" w:eastAsia="Arial" w:hAnsi="Arial"/>
          <w:sz w:val="16"/>
          <w:szCs w:val="16"/>
          <w:color w:val="auto"/>
        </w:rPr>
        <w:t>. This provision replaces Section 3(a) of the Agreement:</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Section 3(a) of the Agreement, the Option will expire 9½ years after the Effective Grant Date ({FRENCHEXPDATE}), as defined in the French Sub-plan.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Termination Upon Death</w:t>
      </w:r>
      <w:r>
        <w:rPr>
          <w:rFonts w:ascii="Arial" w:cs="Arial" w:eastAsia="Arial" w:hAnsi="Arial"/>
          <w:sz w:val="16"/>
          <w:szCs w:val="16"/>
          <w:color w:val="auto"/>
        </w:rPr>
        <w:t>. This provision replaces Section 3(e) of the Agreement:</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2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u w:val="single" w:color="auto"/>
          <w:color w:val="auto"/>
        </w:rPr>
        <w:t>Language Consent</w:t>
      </w:r>
      <w:r>
        <w:rPr>
          <w:rFonts w:ascii="Arial" w:cs="Arial" w:eastAsia="Arial" w:hAnsi="Arial"/>
          <w:sz w:val="15"/>
          <w:szCs w:val="15"/>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u w:val="single" w:color="auto"/>
          <w:color w:val="auto"/>
        </w:rPr>
        <w:t>Consentement a la Langue</w:t>
      </w:r>
      <w:r>
        <w:rPr>
          <w:rFonts w:ascii="Arial" w:cs="Arial" w:eastAsia="Arial" w:hAnsi="Arial"/>
          <w:sz w:val="16"/>
          <w:szCs w:val="16"/>
          <w:color w:val="auto"/>
        </w:rPr>
        <w:t>.</w:t>
      </w:r>
      <w:r>
        <w:rPr>
          <w:rFonts w:ascii="Arial" w:cs="Arial" w:eastAsia="Arial" w:hAnsi="Arial"/>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Option Shares outside of France or maintaining a foreign bank account are required to report such to French tax authorities when filing his or her annual tax return. Failure to comply may trigger significant penalties.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In case of payments in connection with the exercise of the Options or sale of Option Shares acquired under the Plan,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can be accessed via the Bundesbank’s website (www.bundesbank.de) and is available in both German and English. It is Optionee’s responsibility to comply with this reporting obligation and the Optionee should consult with his or her personal tax advisor in this regard.</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exceeding a certain threshold of the total Common Stock. However, provided the Common Stock is listed on a recognized stock exchange (e.g., the Nasdaq Stock Market) and the Optionee owns less than 1% of the Company, this requirement will not apply.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HUNGARY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INDIA</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This provision supplements Section 4 of the Agreement:</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Notwithstanding anything to the contrary in the Agreement, due to legal restrictions in India, the Optionee will not be permitted to pay the Exercise Price by (i) 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 Exercise Price may be made by any of the other methods of payment set forth in Section 4 of the Agreement. The Company reserves the right to provide the Optionee with this method of payment depending on the development of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- 5</w:t>
      </w:r>
    </w:p>
    <w:p>
      <w:pPr>
        <w:sectPr>
          <w:pgSz w:w="11900" w:h="16838" w:orient="portrait"/>
          <w:cols w:equalWidth="0" w:num="1">
            <w:col w:w="11240"/>
          </w:cols>
          <w:pgMar w:left="320" w:top="1264" w:right="339" w:bottom="1440" w:gutter="0" w:footer="0" w:header="0"/>
        </w:sectPr>
      </w:pPr>
    </w:p>
    <w:bookmarkStart w:id="62" w:name="page63"/>
    <w:bookmarkEnd w:id="62"/>
    <w:p>
      <w:pPr>
        <w:jc w:val="both"/>
        <w:spacing w:after="0" w:line="252"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Exchange Control Notification</w:t>
      </w:r>
      <w:r>
        <w:rPr>
          <w:rFonts w:ascii="Arial" w:cs="Arial" w:eastAsia="Arial" w:hAnsi="Arial"/>
          <w:sz w:val="16"/>
          <w:szCs w:val="16"/>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Labor Law Acknowledgment</w:t>
      </w:r>
      <w:r>
        <w:rPr>
          <w:rFonts w:ascii="Arial" w:cs="Arial" w:eastAsia="Arial" w:hAnsi="Arial"/>
          <w:sz w:val="16"/>
          <w:szCs w:val="16"/>
          <w:color w:val="auto"/>
        </w:rPr>
        <w:t>. This provision supplements Section 8 of the Agreement:</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By accepting the Option, the Optionee acknowledges, understands, and agrees that the benefits received under the Plan will not be taken into account for any redundancy or unfair dismissal claim.</w:t>
      </w:r>
    </w:p>
    <w:p>
      <w:pPr>
        <w:spacing w:after="0" w:line="118"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u w:val="single" w:color="auto"/>
          <w:color w:val="auto"/>
        </w:rPr>
        <w:t>Restriction on Type of Shares Issued to Directors</w:t>
      </w:r>
      <w:r>
        <w:rPr>
          <w:rFonts w:ascii="Arial" w:cs="Arial" w:eastAsia="Arial" w:hAnsi="Arial"/>
          <w:sz w:val="15"/>
          <w:szCs w:val="15"/>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ISRAEL</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4"/>
          <w:szCs w:val="14"/>
          <w:u w:val="single" w:color="auto"/>
          <w:color w:val="auto"/>
        </w:rPr>
        <w:t>Trust Arrangement</w:t>
      </w:r>
      <w:r>
        <w:rPr>
          <w:rFonts w:ascii="Arial" w:cs="Arial" w:eastAsia="Arial" w:hAnsi="Arial"/>
          <w:sz w:val="14"/>
          <w:szCs w:val="14"/>
          <w:color w:val="auto"/>
        </w:rPr>
        <w:t>. The Optionee understands and agrees that the Options are offered subject to and in accordance with the terms of the Israeli Sub-Plan (the “Israeli Sub-Plan”) under the 102 Capital Gains Track (as defined in the Israeli Sub-Plan), the Trust Agreement among the trustee appointed by Analog Devices (Israel) Ltd. and Analog Development (Israel) 1996 Ltd., and the Agreement. This includes the option exercise price per share and any other requirements set out in the Israeli Sub-Plan. In the event of any inconsistencies among the Israeli Sub-Plan, the Agreement and/or the Plan, the Israeli Sub-Plan will govern the Options granted to the Optionee in Israel.</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If the Optionee resides in Israel and has not already signed an Israeli Appendix in connection with grants made under the Plan, then the Optionee must print, sign and deliver the signed copy of the Israeli Appendix attached hereto as Appendix C within 45 days to: Stock Plan Administrator, Analog Devices, Inc., One Analog Way, Wilmington, Massachusetts, 01887 U.S.A. If Analog Devices, (Israel) Ltd. or Analog Devices, Inc. does not receive the signed Israeli Appendix within 45 days, the Options shall terminate and will become null and void.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Payment of Exercise Price</w:t>
      </w:r>
      <w:r>
        <w:rPr>
          <w:rFonts w:ascii="Arial" w:cs="Arial" w:eastAsia="Arial" w:hAnsi="Arial"/>
          <w:sz w:val="14"/>
          <w:szCs w:val="14"/>
          <w:color w:val="auto"/>
        </w:rPr>
        <w:t>. This provision supplements Section 4 of the Agreement and applies only to Optionees who permanently transfer to Israel after the Date of Grant:</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ITALY</w:t>
      </w:r>
    </w:p>
    <w:p>
      <w:pPr>
        <w:spacing w:after="0" w:line="171" w:lineRule="exact"/>
        <w:rPr>
          <w:sz w:val="20"/>
          <w:szCs w:val="20"/>
          <w:color w:val="auto"/>
        </w:rPr>
      </w:pPr>
    </w:p>
    <w:p>
      <w:pPr>
        <w:jc w:val="both"/>
        <w:spacing w:after="0" w:line="349" w:lineRule="auto"/>
        <w:rPr>
          <w:sz w:val="20"/>
          <w:szCs w:val="20"/>
          <w:color w:val="auto"/>
        </w:rPr>
      </w:pPr>
      <w:r>
        <w:rPr>
          <w:rFonts w:ascii="Arial" w:cs="Arial" w:eastAsia="Arial" w:hAnsi="Arial"/>
          <w:sz w:val="14"/>
          <w:szCs w:val="14"/>
          <w:u w:val="single" w:color="auto"/>
          <w:color w:val="auto"/>
        </w:rPr>
        <w:t>Plan Document Acknowledgment</w:t>
      </w:r>
      <w:r>
        <w:rPr>
          <w:rFonts w:ascii="Arial" w:cs="Arial" w:eastAsia="Arial" w:hAnsi="Arial"/>
          <w:sz w:val="14"/>
          <w:szCs w:val="14"/>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18" w:lineRule="exact"/>
        <w:rPr>
          <w:sz w:val="20"/>
          <w:szCs w:val="20"/>
          <w:color w:val="auto"/>
        </w:rPr>
      </w:pPr>
    </w:p>
    <w:p>
      <w:pPr>
        <w:jc w:val="both"/>
        <w:spacing w:after="0" w:line="315" w:lineRule="auto"/>
        <w:rPr>
          <w:sz w:val="20"/>
          <w:szCs w:val="20"/>
          <w:color w:val="auto"/>
        </w:rPr>
      </w:pPr>
      <w:r>
        <w:rPr>
          <w:rFonts w:ascii="Arial" w:cs="Arial" w:eastAsia="Arial" w:hAnsi="Arial"/>
          <w:sz w:val="14"/>
          <w:szCs w:val="14"/>
          <w:u w:val="single" w:color="auto"/>
          <w:color w:val="auto"/>
        </w:rPr>
        <w:t>Foreign Asset Tax</w:t>
      </w:r>
      <w:r>
        <w:rPr>
          <w:rFonts w:ascii="Arial" w:cs="Arial" w:eastAsia="Arial" w:hAnsi="Arial"/>
          <w:sz w:val="14"/>
          <w:szCs w:val="14"/>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1240"/>
          </w:cols>
          <w:pgMar w:left="320" w:top="1264"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JAPAN</w:t>
      </w:r>
    </w:p>
    <w:p>
      <w:pPr>
        <w:spacing w:after="0" w:line="171"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13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KOREA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MALAYSIA</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following provision replaces the Data Privacy Information and Consent provision under the Terms and Conditions for Optionees Outside the 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- 7</w:t>
      </w:r>
    </w:p>
    <w:p>
      <w:pPr>
        <w:sectPr>
          <w:pgSz w:w="11900" w:h="16838" w:orient="portrait"/>
          <w:cols w:equalWidth="0" w:num="1">
            <w:col w:w="11240"/>
          </w:cols>
          <w:pgMar w:left="320" w:top="1260" w:right="3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b w:val="1"/>
          <w:bCs w:val="1"/>
          <w:i w:val="1"/>
          <w:iCs w:val="1"/>
          <w:color w:val="auto"/>
        </w:rPr>
        <w:t>The Optionee understands that the Company and the Employer may hold certain personal information about the Optionee, including, but not limited to, his or her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purpose of implementing, administering and managing the Plan (“Data”). The source of the Data is the Employer as well as information the Optionee is providing to the Company and the Employer in connection with the Option. The Optionee understands that Data may be transferred to Fidelity or any other third parties as may be selected by the Company in the future, which are assisting in the implementation, administration and management of the Plan, that these recipients may be located in the Optionee’s country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Optionee may elect to deposit any Shares acquired upon exercise of this Option.</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4"/>
          <w:szCs w:val="14"/>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-865505</wp:posOffset>
            </wp:positionV>
            <wp:extent cx="6566535" cy="4131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566535" cy="4131945"/>
                    </a:xfrm>
                    <a:prstGeom prst="rect">
                      <a:avLst/>
                    </a:prstGeom>
                    <a:noFill/>
                  </pic:spPr>
                </pic:pic>
              </a:graphicData>
            </a:graphic>
          </wp:anchor>
        </w:drawing>
      </w:r>
    </w:p>
    <w:p>
      <w:pPr>
        <w:jc w:val="both"/>
        <w:spacing w:after="0" w:line="286" w:lineRule="auto"/>
        <w:rPr>
          <w:sz w:val="20"/>
          <w:szCs w:val="20"/>
          <w:color w:val="auto"/>
        </w:rPr>
      </w:pPr>
      <w:r>
        <w:rPr>
          <w:rFonts w:ascii="Arial" w:cs="Arial" w:eastAsia="Arial" w:hAnsi="Arial"/>
          <w:sz w:val="14"/>
          <w:szCs w:val="14"/>
          <w:b w:val="1"/>
          <w:bCs w:val="1"/>
          <w:i w:val="1"/>
          <w:iCs w:val="1"/>
          <w:color w:val="auto"/>
        </w:rPr>
        <w:t>Pemegang Opsyen memahami bahawa Syarikat dan Majikan mungkin memegang maklumat peribadi tertentu tentang Pemegang Opsyen, termasuk, tetapi tidak terhad kepada, namanya , alamat rumah dan nombor telefon, tarikh lahir, nombor insurans sosial atau nombor pengenalan lain, gaji, kewarganegaraan, jawatan, apa-apa syer dalam saham atau jawatan pengarah yang dipegang dalam Syarikat, butir-butir semua opsyen atau apa-apa hak lain untuk syer dalam saham yang dianugerahkan, dibatalkan, dilaksanakan, terletak hak, tidak diletak hak ataupun yang belum dijelaskan bagi faedah Pemegang Opsyen, untuk tujuan eksklusif bagi melaksanakan, mentadbir dan menguruskan Pelan (“Data”).</w:t>
      </w:r>
    </w:p>
    <w:p>
      <w:pPr>
        <w:spacing w:after="0" w:line="3411" w:lineRule="exact"/>
        <w:rPr>
          <w:sz w:val="20"/>
          <w:szCs w:val="20"/>
          <w:color w:val="auto"/>
        </w:rPr>
      </w:pPr>
    </w:p>
    <w:p>
      <w:pPr>
        <w:sectPr>
          <w:pgSz w:w="11900" w:h="16838" w:orient="portrait"/>
          <w:cols w:equalWidth="0" w:num="2">
            <w:col w:w="5060" w:space="140"/>
            <w:col w:w="5080"/>
          </w:cols>
          <w:pgMar w:left="360" w:top="133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0"/>
        <w:spacing w:after="0"/>
        <w:rPr>
          <w:sz w:val="20"/>
          <w:szCs w:val="20"/>
          <w:color w:val="auto"/>
        </w:rPr>
      </w:pPr>
      <w:r>
        <w:rPr>
          <w:rFonts w:ascii="Arial" w:cs="Arial" w:eastAsia="Arial" w:hAnsi="Arial"/>
          <w:sz w:val="15"/>
          <w:szCs w:val="15"/>
          <w:color w:val="auto"/>
        </w:rPr>
        <w:t>APPENDIX A - 8</w:t>
      </w:r>
    </w:p>
    <w:p>
      <w:pPr>
        <w:sectPr>
          <w:pgSz w:w="11900" w:h="16838" w:orient="portrait"/>
          <w:cols w:equalWidth="0" w:num="1">
            <w:col w:w="10280"/>
          </w:cols>
          <w:pgMar w:left="360" w:top="1331" w:right="125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The Optionee understands that Data will be held only as long as is</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Sumber Data adalah daripada Majikan dan juga daripada maklumat yang</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9"/>
              </w:rPr>
              <w:t>necessary  to  implement,  administer  and  manage  the  Optionee's</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7"/>
              </w:rPr>
              <w:t>dibekalkan  oleh  Pemegang  Opsyen  kepada  Syarikat  dan  Majikan</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1"/>
              </w:rPr>
              <w:t>participation in the Plan. The Optionee understands that he or she may, at</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3"/>
              </w:rPr>
              <w:t>berkenaan dengan Opysen. Pemegang Opysen juga memahami bahawa</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1"/>
              </w:rPr>
              <w:t>any time, view Data, request additional information about the storage and</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Data mungkin dipindahkan kepada Fidelity atau mana-mana pihak ketiga</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88"/>
              </w:rPr>
              <w:t>processing of Data, require any necessary amendments to Data or refuse or</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5"/>
              </w:rPr>
              <w:t>yang mungkin dipilih oleh Syarikat pada masa depan, yang membantu</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withdraw the consents herein, in any case without cost, by contacting in</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89"/>
              </w:rPr>
              <w:t>dalam pelaksanaan, pentadbiran dan pengurusan Pelan, bahawa penerima-</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5"/>
              </w:rPr>
              <w:t>writing his or her local human resources representative. The Optionee</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1"/>
              </w:rPr>
              <w:t>penerima ini mungkin berada di negara Pemegang Opsyen atau di tempat</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89"/>
              </w:rPr>
              <w:t>understands, however, that refusing or withdrawing his or her consent may</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0"/>
              </w:rPr>
              <w:t>lain, dan bahawa negara penerima (contohnya, Amerika Syarikat) mungkin</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8"/>
              </w:rPr>
              <w:t>affect  the  Optionee's  ability  to  participate  in  the  Plan.  For  more</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mempunyai undang-undang privasi data dan perlindungan yang berbeza</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1"/>
              </w:rPr>
              <w:t>information on the consequences of a refusal to consent or withdrawal of</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88"/>
              </w:rPr>
              <w:t>daripada negara Pemegang Opsyen. Pemegang Opsyen memahami bahawa</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2"/>
              </w:rPr>
              <w:t>consent, the Optionee understands that he or she may contact his or her</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3"/>
              </w:rPr>
              <w:t>dia boleh meminta senarai nama dan alamat mana-mana penerima Data</w:t>
            </w: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6"/>
              </w:rPr>
              <w:t>regional stock plan administrator at Stock_Plan_Admin@Analog.com.</w:t>
            </w: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5"/>
              </w:rPr>
              <w:t>dengan menghubungi wakil sumber manusia tempatannya. Pemegang</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5"/>
              </w:rPr>
              <w:t>Opsyen  memberi  kuasa  kepada  Syarikat,  Fidelity,  dan  mana-mana</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89"/>
              </w:rPr>
              <w:t>penerima lain yang mungkin membantu Syarikat (masa sekarang atau pada</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9"/>
              </w:rPr>
              <w:t>masa  depan)  untuk  melaksanakan,  mentadbir  dan  menguruskan</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4"/>
              </w:rPr>
              <w:t>penyertaan Pemegang Opsyen dalam Pelan untuk menerima, memiliki,</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4"/>
              </w:rPr>
              <w:t>menggunakan,  mengekalkan  dan  memindahkan  Data,  dalam  bentuk</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0"/>
              </w:rPr>
              <w:t>elektronik atau lain-lain, semata-mata dengan tujuan untuk melaksanakan,</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1"/>
              </w:rPr>
              <w:t>mentadbir dan menguruskan penyertaan Pemegang Opsyen dalam Pelan,</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termasuk apa-apa pemindahan Data yang diperlukan kepada broker atau</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4"/>
              </w:rPr>
              <w:t>pihak  ketiga  dengan  siapa  Pemegang  Opsyen  mungkin  pilih  untuk</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87"/>
              </w:rPr>
              <w:t>mendepositkan apa-apa Saham yang diperolehi di atas pelaksanaan Opsyen</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6"/>
              </w:rPr>
              <w:t>ini. Pemegang Opsyen memahami bahawa Data akan dipegang hanya</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3"/>
              </w:rPr>
              <w:t>untuk  tempoh  yang  diperlukan  untuk  melaksanakan,  mentadbir  dan</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4"/>
              </w:rPr>
              <w:t>menguruskan penyertaannya dalam Pelan tersebut. Pemegang Opsyen</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1"/>
              </w:rPr>
              <w:t>memahami bahawa dia boleh, pada bila-bila masa, melihat data, meminta</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maklumat  tambahan  mengenai  penyimpanan  dan  pemprosesan  Data,</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5"/>
              </w:rPr>
              <w:t>meminta  bahawa  pindaan-pindaan  dilaksanakan  ke  atas  Data  atau</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0"/>
              </w:rPr>
              <w:t>menolak atau menarik balik persetujuan dalam ini, dalam mana-mana kes,</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3"/>
              </w:rPr>
              <w:t>tanpa kos, dengan menghubungi secara bertulis wakil sumber manusia</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4"/>
              </w:rPr>
              <w:t>tempatannya. Pemegang Opsyen memahami bahawa keengganan atau</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penarikan balik persetujuannya boleh menjejaskan keupayaannya untuk</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8"/>
              </w:rPr>
              <w:t>mengambil bahagian dalam Pelan. Untuk maklumat lanjut mengenai</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3"/>
              </w:rPr>
              <w:t>akibat keengganannya untuk memberikan keizinan atau penarikan balik</w:t>
            </w:r>
          </w:p>
        </w:tc>
      </w:tr>
      <w:tr>
        <w:trPr>
          <w:trHeight w:val="189"/>
        </w:trPr>
        <w:tc>
          <w:tcPr>
            <w:tcW w:w="5160" w:type="dxa"/>
            <w:vAlign w:val="bottom"/>
          </w:tcPr>
          <w:p>
            <w:pPr>
              <w:spacing w:after="0"/>
              <w:rPr>
                <w:sz w:val="16"/>
                <w:szCs w:val="16"/>
                <w:color w:val="auto"/>
              </w:rPr>
            </w:pPr>
          </w:p>
        </w:tc>
        <w:tc>
          <w:tcPr>
            <w:tcW w:w="518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keizinan,  Pemegang  Opsyen  fahami  bahawa  dia  boleh  menghubungi</w:t>
            </w:r>
          </w:p>
        </w:tc>
      </w:tr>
      <w:tr>
        <w:trPr>
          <w:trHeight w:val="219"/>
        </w:trPr>
        <w:tc>
          <w:tcPr>
            <w:tcW w:w="516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i w:val="1"/>
                <w:iCs w:val="1"/>
                <w:color w:val="auto"/>
                <w:w w:val="97"/>
              </w:rPr>
              <w:t>pentadbir pelan saham serantau di Stock_Plan_Admin@Analog.com.</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65576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auto"/>
        </w:rPr>
        <w:t>MEXICO</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Labor Law Policy and Acknowledgment</w:t>
      </w:r>
      <w:r>
        <w:rPr>
          <w:rFonts w:ascii="Arial" w:cs="Arial" w:eastAsia="Arial" w:hAnsi="Arial"/>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1240"/>
          </w:cols>
          <w:pgMar w:left="320" w:top="1331"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u w:val="single" w:color="auto"/>
          <w:color w:val="auto"/>
        </w:rPr>
        <w:t>Reconocimiento del Contrato</w:t>
      </w:r>
      <w:r>
        <w:rPr>
          <w:rFonts w:ascii="Arial" w:cs="Arial" w:eastAsia="Arial" w:hAnsi="Arial"/>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u w:val="single" w:color="auto"/>
          <w:color w:val="auto"/>
        </w:rPr>
        <w:t>Política de Legislación Laboral y Reconocimiento</w:t>
      </w:r>
      <w:r>
        <w:rPr>
          <w:rFonts w:ascii="Arial" w:cs="Arial" w:eastAsia="Arial" w:hAnsi="Arial"/>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3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NETHERLANDS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This provision supplements Section 8 of the Agreement:</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By accepting the Option, the Optionee acknowledges that the Option is intended as an incentive for the Optionee to remain employed with the Employer and is not intended as remuneration for labor performed.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NORWAY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grant of Options is being made pursuant to an exemption from registration under Section 10.2 of the SRC that has been approved by the PSEC.</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- 10</w:t>
      </w:r>
    </w:p>
    <w:p>
      <w:pPr>
        <w:sectPr>
          <w:pgSz w:w="11900" w:h="16838" w:orient="portrait"/>
          <w:cols w:equalWidth="0" w:num="1">
            <w:col w:w="11240"/>
          </w:cols>
          <w:pgMar w:left="320" w:top="1264" w:right="339" w:bottom="1440" w:gutter="0" w:footer="0" w:header="0"/>
        </w:sectPr>
      </w:pPr>
    </w:p>
    <w:bookmarkStart w:id="67" w:name="page68"/>
    <w:bookmarkEnd w:id="67"/>
    <w:p>
      <w:pPr>
        <w:jc w:val="both"/>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Optionee should also note that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Nasdaq. The Company’s designated broker should be able to assist the Optionee in the sale of Option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Shares on Nasdaq. </w:t>
      </w:r>
      <w:r>
        <w:rPr>
          <w:rFonts w:ascii="Arial" w:cs="Arial" w:eastAsia="Arial" w:hAnsi="Arial"/>
          <w:sz w:val="16"/>
          <w:szCs w:val="16"/>
          <w:i w:val="1"/>
          <w:iCs w:val="1"/>
          <w:color w:val="auto"/>
        </w:rPr>
        <w:t>If the Optionee has questions with regard to the application of Philippines securities laws to the disposal or sale of Option Shares acquired under the</w:t>
      </w:r>
      <w:r>
        <w:rPr>
          <w:rFonts w:ascii="Arial" w:cs="Arial" w:eastAsia="Arial" w:hAnsi="Arial"/>
          <w:sz w:val="16"/>
          <w:szCs w:val="16"/>
          <w:color w:val="auto"/>
        </w:rPr>
        <w:t xml:space="preserve"> </w:t>
      </w:r>
      <w:r>
        <w:rPr>
          <w:rFonts w:ascii="Arial" w:cs="Arial" w:eastAsia="Arial" w:hAnsi="Arial"/>
          <w:sz w:val="16"/>
          <w:szCs w:val="16"/>
          <w:i w:val="1"/>
          <w:iCs w:val="1"/>
          <w:color w:val="auto"/>
        </w:rPr>
        <w:t>Plan the Optionee should consult with his or her legal advisor.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POLAND</w:t>
      </w:r>
    </w:p>
    <w:p>
      <w:pPr>
        <w:spacing w:after="0" w:line="171" w:lineRule="exact"/>
        <w:rPr>
          <w:sz w:val="20"/>
          <w:szCs w:val="20"/>
          <w:color w:val="auto"/>
        </w:rPr>
      </w:pPr>
    </w:p>
    <w:p>
      <w:pPr>
        <w:jc w:val="both"/>
        <w:spacing w:after="0" w:line="315"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Optionee maintains bank or brokerage accounts holding cash and foreign securities (including Option Shares) outside of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ROMANIA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SERBIA</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Options and the issuance of any Option Shares are not subject to the regulations concerning public offers and private placements under the Law on Capital Markets.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w:t>
      </w:r>
    </w:p>
    <w:p>
      <w:pPr>
        <w:spacing w:after="0" w:line="12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Optionee is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 If the Optionee is the chief executive officer (“CEO”) of a Singapore subsidiary and the above notification requirements are determined to apply to the CEO of a Singapore subsidiary, the above notification requirements also may apply to the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- 11</w:t>
      </w:r>
    </w:p>
    <w:p>
      <w:pPr>
        <w:sectPr>
          <w:pgSz w:w="11900" w:h="16838" w:orient="portrait"/>
          <w:cols w:equalWidth="0" w:num="1">
            <w:col w:w="11240"/>
          </w:cols>
          <w:pgMar w:left="320" w:top="1264"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SPAIN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5"/>
          <w:szCs w:val="15"/>
          <w:u w:val="single" w:color="auto"/>
          <w:color w:val="auto"/>
        </w:rPr>
        <w:t>No Entitlement for Claims or Compensation</w:t>
      </w:r>
      <w:r>
        <w:rPr>
          <w:rFonts w:ascii="Arial" w:cs="Arial" w:eastAsia="Arial" w:hAnsi="Arial"/>
          <w:sz w:val="15"/>
          <w:szCs w:val="15"/>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3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Further, and except as provided in Section 3(g) of the Agreement in the event Optionee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Optionee acknowledges that he or she has read and specifically accepts the conditions referred to in Section 3 of the Agreement.</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Options and the Option Shares issued upon exercise of the Option are considered a private placement outside of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xml:space="preserve"> and does not constitute a public offering prospectus.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Optionee acknowledges that he or she must declare any Option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 on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each January while the Option Shares are owned; however, if the value of the Option Shares or the sale proceeds exceed a certain amount, a declaration must be filed within one month of the acquisition or sale, as applicable.</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SWEDEN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Automatic Cashless Exercise and Sale</w:t>
      </w:r>
      <w:r>
        <w:rPr>
          <w:rFonts w:ascii="Arial" w:cs="Arial" w:eastAsia="Arial" w:hAnsi="Arial"/>
          <w:sz w:val="16"/>
          <w:szCs w:val="16"/>
          <w:color w:val="auto"/>
        </w:rPr>
        <w:t>. The grant of the Option is conditioned on the Optionee’s agreement to the below.</w:t>
      </w:r>
    </w:p>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- 12</w:t>
      </w:r>
    </w:p>
    <w:p>
      <w:pPr>
        <w:sectPr>
          <w:pgSz w:w="11900" w:h="16838" w:orient="portrait"/>
          <w:cols w:equalWidth="0" w:num="1">
            <w:col w:w="11240"/>
          </w:cols>
          <w:pgMar w:left="320" w:top="1260" w:right="339" w:bottom="1440" w:gutter="0" w:footer="0" w:header="0"/>
        </w:sectPr>
      </w:pPr>
    </w:p>
    <w:bookmarkStart w:id="69" w:name="page70"/>
    <w:bookmarkEnd w:id="69"/>
    <w:p>
      <w:pPr>
        <w:jc w:val="both"/>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possible, and to cause to be remitted to the Optionee the net proceeds, after deduction of the Exercise Price and all Tax-Related Items required to be withheld by the Company or Analog Devices A.B.</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7 of the Agreement:</w:t>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SWITZERLAND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TAIWAN</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Data Privacy</w:t>
      </w:r>
      <w:r>
        <w:rPr>
          <w:rFonts w:ascii="Arial" w:cs="Arial" w:eastAsia="Arial" w:hAnsi="Arial"/>
          <w:sz w:val="15"/>
          <w:szCs w:val="15"/>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 and participation in the Plan is made available only to employees of the Company and the Employer. It is not a public offer of securities by a Taiwanese company. Therefore, it is exempt from registration in Taiwan.</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Option Shares) into Taiwan up to US$5,000,000 per year without justification.</w:t>
      </w:r>
    </w:p>
    <w:p>
      <w:pPr>
        <w:spacing w:after="0" w:line="1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THAILAND</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Optionee is a Thai resident and the Optionee realizes sale proceeds equal to or in excess of a specified threshold (currently US$1,000,000) in a single transaction, the Optionee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Optionee understands he or she must specifically report the inward remittance to the Bank of Thailand on a Foreign Exchange Transaction Form. The Optionee is responsible for ensuring compliance with all exchange control laws in Thailand.</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TURKEY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Exercising Option</w:t>
      </w:r>
      <w:r>
        <w:rPr>
          <w:rFonts w:ascii="Arial" w:cs="Arial" w:eastAsia="Arial" w:hAnsi="Arial"/>
          <w:sz w:val="16"/>
          <w:szCs w:val="16"/>
          <w:color w:val="auto"/>
        </w:rPr>
        <w:t>. This provision supplements Section 4 of the Agreement</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- 13</w:t>
      </w:r>
    </w:p>
    <w:p>
      <w:pPr>
        <w:sectPr>
          <w:pgSz w:w="11900" w:h="16838" w:orient="portrait"/>
          <w:cols w:equalWidth="0" w:num="1">
            <w:col w:w="11240"/>
          </w:cols>
          <w:pgMar w:left="320" w:top="1264" w:right="339" w:bottom="1440" w:gutter="0" w:footer="0" w:header="0"/>
        </w:sectPr>
      </w:pPr>
    </w:p>
    <w:bookmarkStart w:id="70" w:name="page71"/>
    <w:bookmarkEnd w:id="70"/>
    <w:p>
      <w:pPr>
        <w:jc w:val="both"/>
        <w:spacing w:after="0" w:line="27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Securities Law Information</w:t>
      </w:r>
      <w:r>
        <w:rPr>
          <w:rFonts w:ascii="Arial" w:cs="Arial" w:eastAsia="Arial" w:hAnsi="Arial"/>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444444"/>
        </w:rPr>
        <w:t>UNITED KINGDOM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7 of the Agreement:</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Without limitation to Section 7 of the Agreement, the Optionee agrees that the Optionee is liable for all Tax-Related Items and hereby covenants to pay all such Tax-Related Items, as and when requested by the Company or the Employer or by Her Majesty’s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recovered from the Optionee by any of the means referred to in Section 7 of the Agreement.</w:t>
      </w:r>
    </w:p>
    <w:p>
      <w:pPr>
        <w:spacing w:after="0" w:line="123" w:lineRule="exact"/>
        <w:rPr>
          <w:sz w:val="20"/>
          <w:szCs w:val="20"/>
          <w:color w:val="auto"/>
        </w:rPr>
      </w:pPr>
    </w:p>
    <w:p>
      <w:pPr>
        <w:jc w:val="both"/>
        <w:spacing w:after="0" w:line="272" w:lineRule="auto"/>
        <w:rPr>
          <w:sz w:val="20"/>
          <w:szCs w:val="20"/>
          <w:color w:val="auto"/>
        </w:rPr>
      </w:pPr>
      <w:r>
        <w:rPr>
          <w:rFonts w:ascii="Arial" w:cs="Arial" w:eastAsia="Arial" w:hAnsi="Arial"/>
          <w:sz w:val="15"/>
          <w:szCs w:val="15"/>
          <w:u w:val="single" w:color="auto"/>
          <w:color w:val="auto"/>
        </w:rPr>
        <w:t>Joint Election</w:t>
      </w:r>
      <w:r>
        <w:rPr>
          <w:rFonts w:ascii="Arial" w:cs="Arial" w:eastAsia="Arial" w:hAnsi="Arial"/>
          <w:sz w:val="15"/>
          <w:szCs w:val="15"/>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18" w:lineRule="exact"/>
        <w:rPr>
          <w:sz w:val="20"/>
          <w:szCs w:val="20"/>
          <w:color w:val="auto"/>
        </w:rPr>
      </w:pPr>
    </w:p>
    <w:p>
      <w:pPr>
        <w:jc w:val="both"/>
        <w:spacing w:after="0" w:line="310" w:lineRule="auto"/>
        <w:rPr>
          <w:sz w:val="20"/>
          <w:szCs w:val="20"/>
          <w:color w:val="auto"/>
        </w:rPr>
      </w:pPr>
      <w:r>
        <w:rPr>
          <w:rFonts w:ascii="Arial" w:cs="Arial" w:eastAsia="Arial" w:hAnsi="Arial"/>
          <w:sz w:val="15"/>
          <w:szCs w:val="15"/>
          <w:i w:val="1"/>
          <w:iCs w:val="1"/>
          <w:color w:val="auto"/>
        </w:rPr>
        <w:t>The Joint Election is attached hereto as Appendix D.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40"/>
        <w:spacing w:after="0"/>
        <w:rPr>
          <w:sz w:val="20"/>
          <w:szCs w:val="20"/>
          <w:color w:val="auto"/>
        </w:rPr>
      </w:pPr>
      <w:r>
        <w:rPr>
          <w:rFonts w:ascii="Arial" w:cs="Arial" w:eastAsia="Arial" w:hAnsi="Arial"/>
          <w:sz w:val="16"/>
          <w:szCs w:val="16"/>
          <w:b w:val="1"/>
          <w:bCs w:val="1"/>
          <w:u w:val="single" w:color="auto"/>
          <w:color w:val="auto"/>
        </w:rPr>
        <w:t>APPENDIX B</w:t>
      </w:r>
    </w:p>
    <w:p>
      <w:pPr>
        <w:spacing w:after="0" w:line="113"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EQUITY INCENTIVE PLAN</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SPECIAL NOTICE FOR DANISH EMPLOYEES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EMPLOYER STATEMENT</w:t>
      </w:r>
    </w:p>
    <w:p>
      <w:pPr>
        <w:spacing w:after="0" w:line="200" w:lineRule="exact"/>
        <w:rPr>
          <w:sz w:val="20"/>
          <w:szCs w:val="20"/>
          <w:color w:val="auto"/>
        </w:rPr>
      </w:pPr>
    </w:p>
    <w:p>
      <w:pPr>
        <w:spacing w:after="0" w:line="250"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- 14</w:t>
      </w:r>
    </w:p>
    <w:p>
      <w:pPr>
        <w:sectPr>
          <w:pgSz w:w="11900" w:h="16838" w:orient="portrait"/>
          <w:cols w:equalWidth="0" w:num="1">
            <w:col w:w="11240"/>
          </w:cols>
          <w:pgMar w:left="320" w:top="1264" w:right="339" w:bottom="1440" w:gutter="0" w:footer="0" w:header="0"/>
        </w:sectPr>
      </w:pPr>
    </w:p>
    <w:bookmarkStart w:id="71" w:name="page72"/>
    <w:bookmarkEnd w:id="71"/>
    <w:p>
      <w:pPr>
        <w:jc w:val="both"/>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This statement contains only the information mentioned in the Act. The other terms and conditions of your stock option grant are described in detail in the Analog Devices, Inc. 2020 Equity Incentive Plan (the “Plan”), and the Global Non-Qualified Stock Option Agreement, including the country-specific appendix (the “Agreement”), which have been given to you.</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Time of grant of option to purchase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grant date for your stock option is the date that the Company approved a grant for you.</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Terms or conditions for option grant</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Vesting date or period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Your stock option will vest in accordance with the vesting schedule set forth in Section 1 of your Agreement.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Exercise price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Your rights upon termination of employment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auto"/>
        </w:rPr>
        <w:t>In the event you terminate employment with the Company group, the vesting and exercise of your Options will be determined in accord with the terms of your Agreement.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 addition, you will be ineligible to receive any additional Option grants after your termination.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Financial aspects of participating in the Plan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B-1</w:t>
      </w:r>
    </w:p>
    <w:p>
      <w:pPr>
        <w:sectPr>
          <w:pgSz w:w="11900" w:h="16838" w:orient="portrait"/>
          <w:cols w:equalWidth="0" w:num="1">
            <w:col w:w="11240"/>
          </w:cols>
          <w:pgMar w:left="320" w:top="126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SÆRLIG MEDDELELSE TIL DANSKE MEDARBEJDERE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ARBEJDSGIVERERKLÆRING</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Denne erklæring indeholder kun de oplysninger, der er nævnt i Aktieoptionsloven. De øvrige kriterier og betingelser for din tildeling af aktieoptioner er detaljeret beskrevet i Analog Devices, Inc. 2020 Equity Incentive Plan (“Planen”) og i Global Non-Qualified Stock Option Agreement inkl. det landespecifikke tillæg (“Aftalen”), som du har fået udleveret.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Tidspunktet for tildeling af retten til at købe aktier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Tidspunktet for tildelingen af din aktieoption er den dato, hvor Selskabets godkendte din tildeling.</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Kriterier og betingelser for optionstildelingen</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Modningstidspunkt eller-periode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Din aktieoption modnes som anført i den modningsplan, der fremgår af afsnit 1 i Aftalen.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Udnyttelseskurs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Din retsstilling i forbindelse med fratræden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Økonomiske aspekter ved at deltage i Planen</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B-2</w:t>
      </w:r>
    </w:p>
    <w:p>
      <w:pPr>
        <w:sectPr>
          <w:pgSz w:w="11900" w:h="16838" w:orient="portrait"/>
          <w:cols w:equalWidth="0" w:num="1">
            <w:col w:w="11240"/>
          </w:cols>
          <w:pgMar w:left="320" w:top="1260"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APPENDIX C</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ANALOG DEVICES,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EQUITY INCENTIVE PLAN</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ISRAELI APPENDIX</w:t>
      </w:r>
    </w:p>
    <w:p>
      <w:pPr>
        <w:spacing w:after="0" w:line="200" w:lineRule="exact"/>
        <w:rPr>
          <w:sz w:val="20"/>
          <w:szCs w:val="20"/>
          <w:color w:val="auto"/>
        </w:rPr>
      </w:pPr>
    </w:p>
    <w:p>
      <w:pPr>
        <w:spacing w:after="0" w:line="31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Trust Arrangement</w:t>
      </w:r>
      <w:r>
        <w:rPr>
          <w:rFonts w:ascii="Arial" w:cs="Arial" w:eastAsia="Arial" w:hAnsi="Arial"/>
          <w:sz w:val="16"/>
          <w:szCs w:val="16"/>
          <w:b w:val="1"/>
          <w:bCs w:val="1"/>
          <w:color w:val="auto"/>
        </w:rPr>
        <w:t>. If the Optionee resides in Israel and has not already signed an Israeli Appendix in connection with grants made under the Analog Devices, Inc. 2020 Equity Incentive Plan (the “Plan”), then the Optionee must print, sign &amp; deliver the signed copy of this Israeli Appendix within 45 days to: Stock Plan Administrator, Analog Devices, Inc., Wilmington, Massachusetts, 01887 USA.</w:t>
      </w:r>
    </w:p>
    <w:p>
      <w:pPr>
        <w:spacing w:after="0" w:line="12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Optionee hereby understands and agrees that the Options are offered subject to and in accordance with the terms of the Israeli Sub-Plan (the “Israeli Sub-Plan”) to the Plan under the 102 Capital Gains Track (as defined in the Israeli Sub-Plan), the Trust Agreement between the trustee appointed by Analog Devices, (Israel) Ltd. (the “Trustee”), the Global Non-Qualified Stock Option Agreement, including Appendix A thereto (collectively, the “Option Agreement”), and the Plan. In the event of any inconsistencies among the Israeli Sub-Plan, the Option Agreement, and/or the Plan, the Optionee agrees that the Israeli Sub-Plan will govern the Options granted to the Optionee in Israel.</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sign this Israeli Appendix and return it to the address shown on the top within 45 days of receipt. If Analog Devices, (Israel) Ltd. or Analog Devices,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does not receive your signed Israel Appendix, your Options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806450</wp:posOffset>
            </wp:positionV>
            <wp:extent cx="66262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300" w:val="left"/>
        </w:tabs>
        <w:rPr>
          <w:sz w:val="20"/>
          <w:szCs w:val="20"/>
          <w:color w:val="auto"/>
        </w:rPr>
      </w:pPr>
      <w:r>
        <w:rPr>
          <w:rFonts w:ascii="Arial" w:cs="Arial" w:eastAsia="Arial" w:hAnsi="Arial"/>
          <w:sz w:val="16"/>
          <w:szCs w:val="16"/>
          <w:color w:val="auto"/>
        </w:rPr>
        <w:t>Name: {</w:t>
      </w:r>
      <w:r>
        <w:rPr>
          <w:rFonts w:ascii="Arial" w:cs="Arial" w:eastAsia="Arial" w:hAnsi="Arial"/>
          <w:sz w:val="16"/>
          <w:szCs w:val="16"/>
          <w:i w:val="1"/>
          <w:iCs w:val="1"/>
          <w:color w:val="auto"/>
        </w:rPr>
        <w:t>Employee Name</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C-1</w:t>
      </w:r>
    </w:p>
    <w:p>
      <w:pPr>
        <w:sectPr>
          <w:pgSz w:w="11900" w:h="16838" w:orient="portrait"/>
          <w:cols w:equalWidth="0" w:num="1">
            <w:col w:w="11240"/>
          </w:cols>
          <w:pgMar w:left="320" w:top="1260"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APPENDIX 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EQUITY INCENTIVE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167"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spacing w:after="0" w:line="167"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18"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D-1</w:t>
      </w:r>
    </w:p>
    <w:p>
      <w:pPr>
        <w:sectPr>
          <w:pgSz w:w="11900" w:h="16838" w:orient="portrait"/>
          <w:cols w:equalWidth="0" w:num="1">
            <w:col w:w="11240"/>
          </w:cols>
          <w:pgMar w:left="320" w:top="1260"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APPENDIX 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ANALOG DEVICES, INC.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EQUITY INCENTIVE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63" w:lineRule="exact"/>
        <w:rPr>
          <w:sz w:val="20"/>
          <w:szCs w:val="20"/>
          <w:color w:val="auto"/>
        </w:rPr>
      </w:pPr>
    </w:p>
    <w:p>
      <w:pPr>
        <w:jc w:val="both"/>
        <w:ind w:left="340" w:hanging="332"/>
        <w:spacing w:after="0" w:line="263"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24" w:lineRule="exact"/>
        <w:rPr>
          <w:rFonts w:ascii="Arial" w:cs="Arial" w:eastAsia="Arial" w:hAnsi="Arial"/>
          <w:sz w:val="16"/>
          <w:szCs w:val="16"/>
          <w:color w:val="auto"/>
        </w:rPr>
      </w:pPr>
    </w:p>
    <w:p>
      <w:pPr>
        <w:ind w:left="340" w:hanging="332"/>
        <w:spacing w:after="0" w:line="280"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1"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Introduction</w:t>
      </w:r>
    </w:p>
    <w:p>
      <w:pPr>
        <w:spacing w:after="0" w:line="17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163"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b w:val="1"/>
          <w:bCs w:val="1"/>
          <w:color w:val="auto"/>
        </w:rPr>
        <w:t xml:space="preserve">“Relevant Employment Income” </w:t>
      </w:r>
      <w:r>
        <w:rPr>
          <w:rFonts w:ascii="Arial" w:cs="Arial" w:eastAsia="Arial" w:hAnsi="Arial"/>
          <w:sz w:val="16"/>
          <w:szCs w:val="16"/>
          <w:color w:val="auto"/>
        </w:rPr>
        <w:t>from Awards on which employer’s National Insurance Contributions becomes due is defined as:</w:t>
      </w:r>
    </w:p>
    <w:p>
      <w:pPr>
        <w:spacing w:after="0" w:line="171" w:lineRule="exact"/>
        <w:rPr>
          <w:rFonts w:ascii="Arial" w:cs="Arial" w:eastAsia="Arial" w:hAnsi="Arial"/>
          <w:sz w:val="16"/>
          <w:szCs w:val="16"/>
          <w:color w:val="auto"/>
        </w:rPr>
      </w:pPr>
    </w:p>
    <w:p>
      <w:pPr>
        <w:ind w:left="1960" w:right="20" w:hanging="741"/>
        <w:spacing w:after="0" w:line="275" w:lineRule="auto"/>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18" w:lineRule="exact"/>
        <w:rPr>
          <w:rFonts w:ascii="Arial" w:cs="Arial" w:eastAsia="Arial" w:hAnsi="Arial"/>
          <w:sz w:val="16"/>
          <w:szCs w:val="16"/>
          <w:color w:val="auto"/>
        </w:rPr>
      </w:pPr>
    </w:p>
    <w:p>
      <w:pPr>
        <w:ind w:left="1960" w:hanging="786"/>
        <w:spacing w:after="0" w:line="275" w:lineRule="auto"/>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18" w:lineRule="exact"/>
        <w:rPr>
          <w:rFonts w:ascii="Arial" w:cs="Arial" w:eastAsia="Arial" w:hAnsi="Arial"/>
          <w:sz w:val="16"/>
          <w:szCs w:val="16"/>
          <w:color w:val="auto"/>
        </w:rPr>
      </w:pPr>
    </w:p>
    <w:p>
      <w:pPr>
        <w:ind w:left="1960" w:hanging="832"/>
        <w:spacing w:after="0" w:line="275" w:lineRule="auto"/>
        <w:tabs>
          <w:tab w:leader="none" w:pos="19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18" w:lineRule="exact"/>
        <w:rPr>
          <w:rFonts w:ascii="Arial" w:cs="Arial" w:eastAsia="Arial" w:hAnsi="Arial"/>
          <w:sz w:val="16"/>
          <w:szCs w:val="16"/>
          <w:color w:val="auto"/>
        </w:rPr>
      </w:pPr>
    </w:p>
    <w:p>
      <w:pPr>
        <w:ind w:left="1620" w:hanging="316"/>
        <w:spacing w:after="0"/>
        <w:tabs>
          <w:tab w:leader="none" w:pos="16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167" w:lineRule="exact"/>
        <w:rPr>
          <w:rFonts w:ascii="Arial" w:cs="Arial" w:eastAsia="Arial" w:hAnsi="Arial"/>
          <w:sz w:val="16"/>
          <w:szCs w:val="16"/>
          <w:color w:val="auto"/>
        </w:rPr>
      </w:pPr>
    </w:p>
    <w:p>
      <w:pPr>
        <w:ind w:left="1620" w:hanging="316"/>
        <w:spacing w:after="0"/>
        <w:tabs>
          <w:tab w:leader="none" w:pos="16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67" w:lineRule="exact"/>
        <w:rPr>
          <w:rFonts w:ascii="Arial" w:cs="Arial" w:eastAsia="Arial" w:hAnsi="Arial"/>
          <w:sz w:val="16"/>
          <w:szCs w:val="16"/>
          <w:color w:val="auto"/>
        </w:rPr>
      </w:pPr>
    </w:p>
    <w:p>
      <w:pPr>
        <w:ind w:left="1620" w:hanging="316"/>
        <w:spacing w:after="0" w:line="275" w:lineRule="auto"/>
        <w:tabs>
          <w:tab w:leader="none" w:pos="1620" w:val="left"/>
        </w:tabs>
        <w:numPr>
          <w:ilvl w:val="2"/>
          <w:numId w:val="50"/>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114" w:lineRule="exact"/>
        <w:rPr>
          <w:rFonts w:ascii="Arial" w:cs="Arial" w:eastAsia="Arial" w:hAnsi="Arial"/>
          <w:sz w:val="16"/>
          <w:szCs w:val="16"/>
          <w:color w:val="auto"/>
        </w:rPr>
      </w:pPr>
    </w:p>
    <w:p>
      <w:pPr>
        <w:ind w:left="1300" w:hanging="644"/>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171" w:lineRule="exact"/>
        <w:rPr>
          <w:sz w:val="20"/>
          <w:szCs w:val="20"/>
          <w:color w:val="auto"/>
        </w:rPr>
      </w:pPr>
    </w:p>
    <w:p>
      <w:pPr>
        <w:ind w:left="440" w:hanging="647"/>
        <w:spacing w:after="0" w:line="275" w:lineRule="auto"/>
        <w:tabs>
          <w:tab w:leader="none" w:pos="420" w:val="left"/>
        </w:tabs>
        <w:rPr>
          <w:sz w:val="20"/>
          <w:szCs w:val="20"/>
          <w:color w:val="auto"/>
        </w:rPr>
      </w:pPr>
      <w:r>
        <w:rPr>
          <w:rFonts w:ascii="Arial" w:cs="Arial" w:eastAsia="Arial" w:hAnsi="Arial"/>
          <w:sz w:val="16"/>
          <w:szCs w:val="16"/>
          <w:color w:val="auto"/>
        </w:rPr>
        <w:t>1.3</w:t>
        <w:tab/>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18" w:lineRule="exact"/>
        <w:rPr>
          <w:sz w:val="20"/>
          <w:szCs w:val="20"/>
          <w:color w:val="auto"/>
        </w:rPr>
      </w:pPr>
    </w:p>
    <w:p>
      <w:pPr>
        <w:ind w:left="420" w:hanging="647"/>
        <w:spacing w:after="0" w:line="275" w:lineRule="auto"/>
        <w:tabs>
          <w:tab w:leader="none" w:pos="400" w:val="left"/>
        </w:tabs>
        <w:rPr>
          <w:sz w:val="20"/>
          <w:szCs w:val="20"/>
          <w:color w:val="auto"/>
        </w:rPr>
      </w:pPr>
      <w:r>
        <w:rPr>
          <w:rFonts w:ascii="Arial" w:cs="Arial" w:eastAsia="Arial" w:hAnsi="Arial"/>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18" w:lineRule="exact"/>
        <w:rPr>
          <w:sz w:val="20"/>
          <w:szCs w:val="20"/>
          <w:color w:val="auto"/>
        </w:rPr>
      </w:pPr>
    </w:p>
    <w:p>
      <w:pPr>
        <w:ind w:left="420" w:right="20" w:hanging="647"/>
        <w:spacing w:after="0" w:line="275" w:lineRule="auto"/>
        <w:tabs>
          <w:tab w:leader="none" w:pos="400" w:val="left"/>
        </w:tabs>
        <w:rPr>
          <w:sz w:val="20"/>
          <w:szCs w:val="20"/>
          <w:color w:val="auto"/>
        </w:rPr>
      </w:pPr>
      <w:r>
        <w:rPr>
          <w:rFonts w:ascii="Arial" w:cs="Arial" w:eastAsia="Arial" w:hAnsi="Arial"/>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1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171" w:lineRule="exact"/>
        <w:rPr>
          <w:rFonts w:ascii="Arial" w:cs="Arial" w:eastAsia="Arial" w:hAnsi="Arial"/>
          <w:sz w:val="16"/>
          <w:szCs w:val="16"/>
          <w:b w:val="1"/>
          <w:bCs w:val="1"/>
          <w:color w:val="auto"/>
        </w:rPr>
      </w:pPr>
    </w:p>
    <w:p>
      <w:pPr>
        <w:ind w:left="660"/>
        <w:spacing w:after="0" w:line="275" w:lineRule="auto"/>
        <w:rPr>
          <w:rFonts w:ascii="Arial" w:cs="Arial" w:eastAsia="Arial" w:hAnsi="Arial"/>
          <w:sz w:val="16"/>
          <w:szCs w:val="16"/>
          <w:b w:val="1"/>
          <w:bCs w:val="1"/>
          <w:color w:val="auto"/>
        </w:rPr>
      </w:pPr>
      <w:r>
        <w:rPr>
          <w:rFonts w:ascii="Arial" w:cs="Arial" w:eastAsia="Arial" w:hAnsi="Arial"/>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D-2</w:t>
      </w:r>
    </w:p>
    <w:p>
      <w:pPr>
        <w:sectPr>
          <w:pgSz w:w="11900" w:h="16838" w:orient="portrait"/>
          <w:cols w:equalWidth="0" w:num="1">
            <w:col w:w="11240"/>
          </w:cols>
          <w:pgMar w:left="320" w:top="1260" w:right="339" w:bottom="1440" w:gutter="0" w:footer="0" w:header="0"/>
        </w:sectPr>
      </w:pPr>
    </w:p>
    <w:bookmarkStart w:id="76" w:name="page77"/>
    <w:bookmarkEnd w:id="76"/>
    <w:p>
      <w:pPr>
        <w:ind w:left="660"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accepting this Election, he or she will become personally liable for the Employer’s Liability covered by this Election. This Election is made in accordance with paragraph 3B(1) of Schedule 1 of the SSCBA.</w:t>
      </w:r>
    </w:p>
    <w:p>
      <w:pPr>
        <w:spacing w:after="0" w:line="114"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The Employee hereby authorizes the Company and/or the Employer to collect the Employer’s Liability in respect of any Relevant Employment Income from the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Employee at any time after the Chargeable Event:</w:t>
      </w:r>
    </w:p>
    <w:p>
      <w:pPr>
        <w:spacing w:after="0" w:line="153"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167" w:lineRule="exact"/>
        <w:rPr>
          <w:rFonts w:ascii="Arial" w:cs="Arial" w:eastAsia="Arial" w:hAnsi="Arial"/>
          <w:sz w:val="16"/>
          <w:szCs w:val="16"/>
          <w:color w:val="auto"/>
        </w:rPr>
      </w:pPr>
    </w:p>
    <w:p>
      <w:pPr>
        <w:ind w:left="1300" w:hanging="320"/>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167" w:lineRule="exact"/>
        <w:rPr>
          <w:rFonts w:ascii="Arial" w:cs="Arial" w:eastAsia="Arial" w:hAnsi="Arial"/>
          <w:sz w:val="16"/>
          <w:szCs w:val="16"/>
          <w:color w:val="auto"/>
        </w:rPr>
      </w:pPr>
    </w:p>
    <w:p>
      <w:pPr>
        <w:ind w:left="1300" w:hanging="320"/>
        <w:spacing w:after="0"/>
        <w:tabs>
          <w:tab w:leader="none" w:pos="1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by arranging, on behalf of the Employee, for the sale of some of the securities which the Employee is entitled to receive in respect of the Awards; and/or</w:t>
      </w:r>
    </w:p>
    <w:p>
      <w:pPr>
        <w:spacing w:after="0" w:line="190" w:lineRule="exact"/>
        <w:rPr>
          <w:rFonts w:ascii="Arial" w:cs="Arial" w:eastAsia="Arial" w:hAnsi="Arial"/>
          <w:sz w:val="14"/>
          <w:szCs w:val="14"/>
          <w:color w:val="auto"/>
        </w:rPr>
      </w:pPr>
    </w:p>
    <w:p>
      <w:pPr>
        <w:ind w:left="1300" w:hanging="320"/>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167" w:lineRule="exact"/>
        <w:rPr>
          <w:sz w:val="20"/>
          <w:szCs w:val="20"/>
          <w:color w:val="auto"/>
        </w:rPr>
      </w:pPr>
    </w:p>
    <w:p>
      <w:pPr>
        <w:ind w:left="440" w:right="20" w:hanging="647"/>
        <w:spacing w:after="0" w:line="275" w:lineRule="auto"/>
        <w:tabs>
          <w:tab w:leader="none" w:pos="420" w:val="left"/>
        </w:tabs>
        <w:rPr>
          <w:sz w:val="20"/>
          <w:szCs w:val="20"/>
          <w:color w:val="auto"/>
        </w:rPr>
      </w:pPr>
      <w:r>
        <w:rPr>
          <w:rFonts w:ascii="Arial" w:cs="Arial" w:eastAsia="Arial" w:hAnsi="Arial"/>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18" w:lineRule="exact"/>
        <w:rPr>
          <w:sz w:val="20"/>
          <w:szCs w:val="20"/>
          <w:color w:val="auto"/>
        </w:rPr>
      </w:pPr>
    </w:p>
    <w:p>
      <w:pPr>
        <w:jc w:val="both"/>
        <w:ind w:left="360" w:right="220" w:hanging="647"/>
        <w:spacing w:after="0" w:line="261" w:lineRule="auto"/>
        <w:tabs>
          <w:tab w:leader="none" w:pos="340" w:val="left"/>
        </w:tabs>
        <w:rPr>
          <w:sz w:val="20"/>
          <w:szCs w:val="20"/>
          <w:color w:val="auto"/>
        </w:rPr>
      </w:pPr>
      <w:r>
        <w:rPr>
          <w:rFonts w:ascii="Arial" w:cs="Arial" w:eastAsia="Arial" w:hAnsi="Arial"/>
          <w:sz w:val="16"/>
          <w:szCs w:val="16"/>
          <w:color w:val="auto"/>
        </w:rPr>
        <w:t>3.3</w:t>
        <w:tab/>
        <w:t xml:space="preserve">The Company agrees to procure the remittance by the Employer of the Employer’s Liability to HM Revenue &amp; Customs on behalf of the Employee within 14 days after the end of the UK tax month during which the Chargeable Event occurs (or </w:t>
      </w:r>
      <w:r>
        <w:rPr>
          <w:rFonts w:ascii="Arial" w:cs="Arial" w:eastAsia="Arial" w:hAnsi="Arial"/>
          <w:sz w:val="16"/>
          <w:szCs w:val="16"/>
          <w:u w:val="single" w:color="auto"/>
          <w:color w:val="auto"/>
        </w:rPr>
        <w:t>within</w:t>
      </w:r>
      <w:r>
        <w:rPr>
          <w:rFonts w:ascii="Arial" w:cs="Arial" w:eastAsia="Arial" w:hAnsi="Arial"/>
          <w:sz w:val="16"/>
          <w:szCs w:val="16"/>
          <w:color w:val="auto"/>
        </w:rPr>
        <w:t xml:space="preserve"> 17 days after the end of the UK tax month during which the Chargeable Event occurs if payments are made electronically).</w:t>
      </w:r>
    </w:p>
    <w:p>
      <w:pPr>
        <w:spacing w:after="0" w:line="125"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171" w:lineRule="exact"/>
        <w:rPr>
          <w:sz w:val="20"/>
          <w:szCs w:val="20"/>
          <w:color w:val="auto"/>
        </w:rPr>
      </w:pPr>
    </w:p>
    <w:p>
      <w:pPr>
        <w:ind w:left="400" w:hanging="647"/>
        <w:spacing w:after="0" w:line="275" w:lineRule="auto"/>
        <w:tabs>
          <w:tab w:leader="none" w:pos="380" w:val="left"/>
        </w:tabs>
        <w:rPr>
          <w:sz w:val="20"/>
          <w:szCs w:val="20"/>
          <w:color w:val="auto"/>
        </w:rPr>
      </w:pPr>
      <w:r>
        <w:rPr>
          <w:rFonts w:ascii="Arial" w:cs="Arial" w:eastAsia="Arial" w:hAnsi="Arial"/>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1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This Election will continue in effect until the earliest of the following:</w:t>
      </w:r>
    </w:p>
    <w:p>
      <w:pPr>
        <w:spacing w:after="0" w:line="167"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67" w:lineRule="exact"/>
        <w:rPr>
          <w:rFonts w:ascii="Arial" w:cs="Arial" w:eastAsia="Arial" w:hAnsi="Arial"/>
          <w:sz w:val="16"/>
          <w:szCs w:val="16"/>
          <w:color w:val="auto"/>
        </w:rPr>
      </w:pPr>
    </w:p>
    <w:p>
      <w:pPr>
        <w:ind w:left="1300" w:hanging="320"/>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67" w:lineRule="exact"/>
        <w:rPr>
          <w:rFonts w:ascii="Arial" w:cs="Arial" w:eastAsia="Arial" w:hAnsi="Arial"/>
          <w:sz w:val="16"/>
          <w:szCs w:val="16"/>
          <w:color w:val="auto"/>
        </w:rPr>
      </w:pPr>
    </w:p>
    <w:p>
      <w:pPr>
        <w:ind w:left="1300" w:hanging="320"/>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67" w:lineRule="exact"/>
        <w:rPr>
          <w:rFonts w:ascii="Arial" w:cs="Arial" w:eastAsia="Arial" w:hAnsi="Arial"/>
          <w:sz w:val="16"/>
          <w:szCs w:val="16"/>
          <w:color w:val="auto"/>
        </w:rPr>
      </w:pPr>
    </w:p>
    <w:p>
      <w:pPr>
        <w:ind w:left="1300" w:hanging="320"/>
        <w:spacing w:after="0" w:line="275" w:lineRule="auto"/>
        <w:tabs>
          <w:tab w:leader="none" w:pos="129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167" w:lineRule="exact"/>
        <w:rPr>
          <w:sz w:val="20"/>
          <w:szCs w:val="20"/>
          <w:color w:val="auto"/>
        </w:rPr>
      </w:pPr>
    </w:p>
    <w:p>
      <w:pPr>
        <w:jc w:val="both"/>
        <w:ind w:left="360" w:right="120" w:hanging="647"/>
        <w:spacing w:after="0" w:line="261" w:lineRule="auto"/>
        <w:tabs>
          <w:tab w:leader="none" w:pos="340" w:val="left"/>
        </w:tabs>
        <w:rPr>
          <w:sz w:val="20"/>
          <w:szCs w:val="20"/>
          <w:color w:val="auto"/>
        </w:rPr>
      </w:pPr>
      <w:r>
        <w:rPr>
          <w:rFonts w:ascii="Arial" w:cs="Arial" w:eastAsia="Arial" w:hAnsi="Arial"/>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clicking on the “ACCEPT” box, the Employee agrees to be bound by the terms of this Election.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Signature for and on 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D-3</w:t>
      </w:r>
    </w:p>
    <w:p>
      <w:pPr>
        <w:sectPr>
          <w:pgSz w:w="11900" w:h="16838" w:orient="portrait"/>
          <w:cols w:equalWidth="0" w:num="1">
            <w:col w:w="11240"/>
          </w:cols>
          <w:pgMar w:left="320" w:top="1264"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09"/>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Richard P. Ahern</w:t>
            </w:r>
          </w:p>
        </w:tc>
      </w:tr>
      <w:tr>
        <w:trPr>
          <w:trHeight w:val="206"/>
        </w:trPr>
        <w:tc>
          <w:tcPr>
            <w:tcW w:w="720" w:type="dxa"/>
            <w:vAlign w:val="bottom"/>
          </w:tcPr>
          <w:p>
            <w:pPr>
              <w:spacing w:after="0"/>
              <w:rPr>
                <w:sz w:val="17"/>
                <w:szCs w:val="17"/>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Richard P. Ahern, Vice President, Global Total Rewards &amp; HR Services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APPENDIX D-4</w:t>
      </w:r>
    </w:p>
    <w:p>
      <w:pPr>
        <w:sectPr>
          <w:pgSz w:w="11900" w:h="16838" w:orient="portrait"/>
          <w:cols w:equalWidth="0" w:num="1">
            <w:col w:w="10139"/>
          </w:cols>
          <w:pgMar w:left="320" w:top="1304" w:right="1440" w:bottom="1440" w:gutter="0" w:footer="0" w:header="0"/>
        </w:sectPr>
      </w:pPr>
    </w:p>
    <w:bookmarkStart w:id="78" w:name="page79"/>
    <w:bookmarkEnd w:id="78"/>
    <w:p>
      <w:pPr>
        <w:ind w:left="404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97000" cy="454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54025"/>
                    </a:xfrm>
                    <a:prstGeom prst="rect">
                      <a:avLst/>
                    </a:prstGeom>
                    <a:noFill/>
                  </pic:spPr>
                </pic:pic>
              </a:graphicData>
            </a:graphic>
          </wp:anchor>
        </w:drawing>
        <w:t>SCHEDULE OF EMPLOYER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800" w:type="dxa"/>
            <w:vAlign w:val="bottom"/>
          </w:tcPr>
          <w:p>
            <w:pPr>
              <w:spacing w:after="0"/>
              <w:rPr>
                <w:sz w:val="20"/>
                <w:szCs w:val="20"/>
                <w:color w:val="auto"/>
              </w:rPr>
            </w:pPr>
            <w:r>
              <w:rPr>
                <w:rFonts w:ascii="Arial" w:cs="Arial" w:eastAsia="Arial" w:hAnsi="Arial"/>
                <w:sz w:val="16"/>
                <w:szCs w:val="16"/>
                <w:i w:val="1"/>
                <w:iCs w:val="1"/>
                <w:color w:val="auto"/>
              </w:rPr>
              <w:t>For each company, provide the following details:</w:t>
            </w:r>
          </w:p>
        </w:tc>
        <w:tc>
          <w:tcPr>
            <w:tcW w:w="4880" w:type="dxa"/>
            <w:vAlign w:val="bottom"/>
          </w:tcPr>
          <w:p>
            <w:pPr>
              <w:spacing w:after="0"/>
              <w:rPr>
                <w:sz w:val="17"/>
                <w:szCs w:val="17"/>
                <w:color w:val="auto"/>
              </w:rPr>
            </w:pPr>
          </w:p>
        </w:tc>
      </w:tr>
      <w:tr>
        <w:trPr>
          <w:trHeight w:val="351"/>
        </w:trPr>
        <w:tc>
          <w:tcPr>
            <w:tcW w:w="4800" w:type="dxa"/>
            <w:vAlign w:val="bottom"/>
          </w:tcPr>
          <w:p>
            <w:pPr>
              <w:spacing w:after="0"/>
              <w:rPr>
                <w:sz w:val="20"/>
                <w:szCs w:val="20"/>
                <w:color w:val="auto"/>
              </w:rPr>
            </w:pPr>
            <w:r>
              <w:rPr>
                <w:rFonts w:ascii="Arial" w:cs="Arial" w:eastAsia="Arial" w:hAnsi="Arial"/>
                <w:sz w:val="16"/>
                <w:szCs w:val="16"/>
                <w:color w:val="auto"/>
              </w:rPr>
              <w:t>Analog Devices Limited</w:t>
            </w:r>
          </w:p>
        </w:tc>
        <w:tc>
          <w:tcPr>
            <w:tcW w:w="4880" w:type="dxa"/>
            <w:vAlign w:val="bottom"/>
          </w:tcPr>
          <w:p>
            <w:pPr>
              <w:spacing w:after="0"/>
              <w:rPr>
                <w:sz w:val="24"/>
                <w:szCs w:val="24"/>
                <w:color w:val="auto"/>
              </w:rPr>
            </w:pPr>
          </w:p>
        </w:tc>
      </w:tr>
      <w:tr>
        <w:trPr>
          <w:trHeight w:val="188"/>
        </w:trPr>
        <w:tc>
          <w:tcPr>
            <w:tcW w:w="48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2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 Pressing Lane, Blyth Road, Hayes, England, UB3 1EP</w:t>
            </w:r>
          </w:p>
        </w:tc>
      </w:tr>
      <w:tr>
        <w:trPr>
          <w:trHeight w:val="22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00895439</w:t>
            </w:r>
          </w:p>
        </w:tc>
      </w:tr>
      <w:tr>
        <w:trPr>
          <w:trHeight w:val="22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6873689030216A</w:t>
            </w:r>
          </w:p>
        </w:tc>
      </w:tr>
      <w:tr>
        <w:trPr>
          <w:trHeight w:val="237"/>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120/A4055</w:t>
            </w:r>
          </w:p>
        </w:tc>
      </w:tr>
      <w:tr>
        <w:trPr>
          <w:trHeight w:val="764"/>
        </w:trPr>
        <w:tc>
          <w:tcPr>
            <w:tcW w:w="4800" w:type="dxa"/>
            <w:vAlign w:val="bottom"/>
          </w:tcPr>
          <w:p>
            <w:pPr>
              <w:spacing w:after="0"/>
              <w:rPr>
                <w:sz w:val="20"/>
                <w:szCs w:val="20"/>
                <w:color w:val="auto"/>
              </w:rPr>
            </w:pPr>
            <w:r>
              <w:rPr>
                <w:rFonts w:ascii="Arial" w:cs="Arial" w:eastAsia="Arial" w:hAnsi="Arial"/>
                <w:sz w:val="16"/>
                <w:szCs w:val="16"/>
                <w:color w:val="auto"/>
              </w:rPr>
              <w:t>Linear Technology (UK) Limited</w:t>
            </w:r>
          </w:p>
        </w:tc>
        <w:tc>
          <w:tcPr>
            <w:tcW w:w="4880" w:type="dxa"/>
            <w:vAlign w:val="bottom"/>
          </w:tcPr>
          <w:p>
            <w:pPr>
              <w:spacing w:after="0"/>
              <w:rPr>
                <w:sz w:val="24"/>
                <w:szCs w:val="24"/>
                <w:color w:val="auto"/>
              </w:rPr>
            </w:pPr>
          </w:p>
        </w:tc>
      </w:tr>
      <w:tr>
        <w:trPr>
          <w:trHeight w:val="188"/>
        </w:trPr>
        <w:tc>
          <w:tcPr>
            <w:tcW w:w="48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spacing w:after="0"/>
              <w:rPr>
                <w:sz w:val="16"/>
                <w:szCs w:val="16"/>
                <w:color w:val="auto"/>
              </w:rPr>
            </w:pPr>
          </w:p>
        </w:tc>
      </w:tr>
      <w:tr>
        <w:trPr>
          <w:trHeight w:val="22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 The Listons, Liston Road, Marlow, Buckinghamshire, SL7 1FD</w:t>
            </w:r>
          </w:p>
        </w:tc>
      </w:tr>
      <w:tr>
        <w:trPr>
          <w:trHeight w:val="22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02149602</w:t>
            </w:r>
          </w:p>
        </w:tc>
      </w:tr>
      <w:tr>
        <w:trPr>
          <w:trHeight w:val="223"/>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120PA00148447</w:t>
            </w:r>
          </w:p>
        </w:tc>
      </w:tr>
      <w:tr>
        <w:trPr>
          <w:trHeight w:val="237"/>
        </w:trPr>
        <w:tc>
          <w:tcPr>
            <w:tcW w:w="48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48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APPENDIX D-5</w:t>
      </w:r>
    </w:p>
    <w:p>
      <w:pPr>
        <w:sectPr>
          <w:pgSz w:w="11900" w:h="16838" w:orient="portrait"/>
          <w:cols w:equalWidth="0" w:num="1">
            <w:col w:w="10139"/>
          </w:cols>
          <w:pgMar w:left="320" w:top="1260" w:right="1440" w:bottom="1440" w:gutter="0" w:footer="0" w:header="0"/>
        </w:sectPr>
      </w:pPr>
    </w:p>
    <w:bookmarkStart w:id="79" w:name="page80"/>
    <w:bookmarkEnd w:id="79"/>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10.5</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66" w:lineRule="exact"/>
        <w:rPr>
          <w:sz w:val="20"/>
          <w:szCs w:val="20"/>
          <w:color w:val="auto"/>
        </w:rPr>
      </w:pPr>
    </w:p>
    <w:p>
      <w:pPr>
        <w:ind w:left="8"/>
        <w:spacing w:after="0"/>
        <w:rPr>
          <w:sz w:val="20"/>
          <w:szCs w:val="20"/>
          <w:color w:val="auto"/>
        </w:rPr>
      </w:pPr>
      <w:r>
        <w:rPr>
          <w:rFonts w:ascii="Arial" w:cs="Arial" w:eastAsia="Arial" w:hAnsi="Arial"/>
          <w:sz w:val="16"/>
          <w:szCs w:val="16"/>
          <w:color w:val="auto"/>
        </w:rPr>
        <w:t>Participant Name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6"/>
          <w:szCs w:val="16"/>
          <w:color w:val="auto"/>
        </w:rPr>
        <w:t>Employee ID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Grant ID: Client Grant ID</w:t>
      </w:r>
    </w:p>
    <w:p>
      <w:pPr>
        <w:spacing w:after="0" w:line="248" w:lineRule="exact"/>
        <w:rPr>
          <w:sz w:val="20"/>
          <w:szCs w:val="20"/>
          <w:color w:val="auto"/>
        </w:rPr>
      </w:pPr>
    </w:p>
    <w:p>
      <w:pPr>
        <w:jc w:val="both"/>
        <w:ind w:left="8" w:right="320"/>
        <w:spacing w:after="0" w:line="252"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37" w:lineRule="exact"/>
        <w:rPr>
          <w:sz w:val="20"/>
          <w:szCs w:val="20"/>
          <w:color w:val="auto"/>
        </w:rPr>
      </w:pPr>
    </w:p>
    <w:p>
      <w:pPr>
        <w:ind w:left="328" w:hanging="328"/>
        <w:spacing w:after="0"/>
        <w:tabs>
          <w:tab w:leader="none" w:pos="32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328" w:right="340"/>
        <w:spacing w:after="0" w:line="275"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RSUs (the “Award”) effective on the Date of Grant set forth below:</w:t>
      </w:r>
    </w:p>
    <w:p>
      <w:pPr>
        <w:spacing w:after="0" w:line="114"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spacing w:after="0" w:line="23"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0000CC"/>
        </w:rPr>
        <w:t>Number of RSUs:   Number of Awards Granted</w:t>
      </w:r>
    </w:p>
    <w:p>
      <w:pPr>
        <w:spacing w:after="0" w:line="5"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0000CC"/>
        </w:rPr>
        <w:t>Vesting Dates:   Vesting Schedule</w:t>
      </w:r>
    </w:p>
    <w:p>
      <w:pPr>
        <w:spacing w:after="0" w:line="207" w:lineRule="exact"/>
        <w:rPr>
          <w:rFonts w:ascii="Arial" w:cs="Arial" w:eastAsia="Arial" w:hAnsi="Arial"/>
          <w:sz w:val="16"/>
          <w:szCs w:val="16"/>
          <w:color w:val="auto"/>
        </w:rPr>
      </w:pPr>
    </w:p>
    <w:p>
      <w:pPr>
        <w:jc w:val="both"/>
        <w:ind w:left="328" w:right="320"/>
        <w:spacing w:after="0" w:line="253" w:lineRule="auto"/>
        <w:rPr>
          <w:rFonts w:ascii="Arial" w:cs="Arial" w:eastAsia="Arial" w:hAnsi="Arial"/>
          <w:sz w:val="16"/>
          <w:szCs w:val="16"/>
          <w:color w:val="auto"/>
        </w:rPr>
      </w:pPr>
      <w:r>
        <w:rPr>
          <w:rFonts w:ascii="Arial" w:cs="Arial" w:eastAsia="Arial" w:hAnsi="Arial"/>
          <w:sz w:val="16"/>
          <w:szCs w:val="16"/>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Arial" w:cs="Arial" w:eastAsia="Arial" w:hAnsi="Arial"/>
          <w:sz w:val="16"/>
          <w:szCs w:val="16"/>
          <w:b w:val="1"/>
          <w:bCs w:val="1"/>
          <w:i w:val="1"/>
          <w:iCs w:val="1"/>
          <w:color w:val="auto"/>
        </w:rPr>
        <w:t>must accept</w:t>
      </w:r>
      <w:r>
        <w:rPr>
          <w:rFonts w:ascii="Arial" w:cs="Arial" w:eastAsia="Arial" w:hAnsi="Arial"/>
          <w:sz w:val="16"/>
          <w:szCs w:val="16"/>
          <w:color w:val="auto"/>
        </w:rPr>
        <w:t xml:space="preserve"> this Agreement no later than Grant Custom 4 or </w:t>
      </w:r>
      <w:r>
        <w:rPr>
          <w:rFonts w:ascii="Arial" w:cs="Arial" w:eastAsia="Arial" w:hAnsi="Arial"/>
          <w:sz w:val="16"/>
          <w:szCs w:val="16"/>
          <w:b w:val="1"/>
          <w:bCs w:val="1"/>
          <w:i w:val="1"/>
          <w:iCs w:val="1"/>
          <w:color w:val="auto"/>
        </w:rPr>
        <w:t>this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 shall terminate and will become null and void</w:t>
      </w:r>
      <w:r>
        <w:rPr>
          <w:rFonts w:ascii="Arial" w:cs="Arial" w:eastAsia="Arial" w:hAnsi="Arial"/>
          <w:sz w:val="16"/>
          <w:szCs w:val="16"/>
          <w:color w:val="auto"/>
        </w:rPr>
        <w:t>. For purposes of this Agreement, the Participant is deemed to reside in the country where his or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Employer is located. In addition, if the Participant resides in Israel, written consent may be required by Grant Custom 3, the Participant should refer to Appendix A for details.</w:t>
      </w:r>
    </w:p>
    <w:p>
      <w:pPr>
        <w:spacing w:after="0" w:line="191" w:lineRule="exact"/>
        <w:rPr>
          <w:rFonts w:ascii="Arial" w:cs="Arial" w:eastAsia="Arial" w:hAnsi="Arial"/>
          <w:sz w:val="16"/>
          <w:szCs w:val="16"/>
          <w:color w:val="auto"/>
        </w:rPr>
      </w:pPr>
    </w:p>
    <w:p>
      <w:pPr>
        <w:jc w:val="both"/>
        <w:ind w:left="328" w:right="320"/>
        <w:spacing w:after="0" w:line="286" w:lineRule="auto"/>
        <w:rPr>
          <w:rFonts w:ascii="Arial" w:cs="Arial" w:eastAsia="Arial" w:hAnsi="Arial"/>
          <w:sz w:val="16"/>
          <w:szCs w:val="16"/>
          <w:color w:val="auto"/>
        </w:rPr>
      </w:pPr>
      <w:r>
        <w:rPr>
          <w:rFonts w:ascii="Arial" w:cs="Arial" w:eastAsia="Arial" w:hAnsi="Arial"/>
          <w:sz w:val="15"/>
          <w:szCs w:val="15"/>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6" w:lineRule="exact"/>
        <w:rPr>
          <w:rFonts w:ascii="Arial" w:cs="Arial" w:eastAsia="Arial" w:hAnsi="Arial"/>
          <w:sz w:val="16"/>
          <w:szCs w:val="16"/>
          <w:color w:val="auto"/>
        </w:rPr>
      </w:pPr>
    </w:p>
    <w:p>
      <w:pPr>
        <w:jc w:val="both"/>
        <w:ind w:left="328" w:right="340"/>
        <w:spacing w:after="0" w:line="256" w:lineRule="auto"/>
        <w:rPr>
          <w:rFonts w:ascii="Arial" w:cs="Arial" w:eastAsia="Arial" w:hAnsi="Arial"/>
          <w:sz w:val="16"/>
          <w:szCs w:val="16"/>
          <w:color w:val="auto"/>
        </w:rPr>
      </w:pPr>
      <w:r>
        <w:rPr>
          <w:rFonts w:ascii="Arial" w:cs="Arial" w:eastAsia="Arial" w:hAnsi="Arial"/>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32" w:lineRule="exact"/>
        <w:rPr>
          <w:rFonts w:ascii="Arial" w:cs="Arial" w:eastAsia="Arial" w:hAnsi="Arial"/>
          <w:sz w:val="16"/>
          <w:szCs w:val="16"/>
          <w:color w:val="auto"/>
        </w:rPr>
      </w:pPr>
    </w:p>
    <w:p>
      <w:pPr>
        <w:ind w:left="328" w:hanging="328"/>
        <w:spacing w:after="0"/>
        <w:tabs>
          <w:tab w:leader="none" w:pos="328"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right="320" w:hanging="324"/>
        <w:spacing w:after="0" w:line="290" w:lineRule="auto"/>
        <w:tabs>
          <w:tab w:leader="none" w:pos="639" w:val="left"/>
        </w:tabs>
        <w:numPr>
          <w:ilvl w:val="1"/>
          <w:numId w:val="56"/>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2" w:lineRule="exact"/>
        <w:rPr>
          <w:rFonts w:ascii="Arial" w:cs="Arial" w:eastAsia="Arial" w:hAnsi="Arial"/>
          <w:sz w:val="14"/>
          <w:szCs w:val="14"/>
          <w:color w:val="auto"/>
        </w:rPr>
      </w:pPr>
    </w:p>
    <w:p>
      <w:pPr>
        <w:jc w:val="both"/>
        <w:ind w:left="648" w:right="340" w:hanging="324"/>
        <w:spacing w:after="0" w:line="256" w:lineRule="auto"/>
        <w:tabs>
          <w:tab w:leader="none" w:pos="648" w:val="left"/>
        </w:tabs>
        <w:numPr>
          <w:ilvl w:val="1"/>
          <w:numId w:val="56"/>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2"/>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908"/>
          </w:cols>
          <w:pgMar w:left="652" w:top="1440" w:right="339" w:bottom="1440" w:gutter="0" w:footer="0" w:header="0"/>
          <w:type w:val="continuous"/>
        </w:sectPr>
      </w:pPr>
    </w:p>
    <w:bookmarkStart w:id="80" w:name="page81"/>
    <w:bookmarkEnd w:id="80"/>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8" w:right="20" w:hanging="324"/>
        <w:spacing w:after="0" w:line="275" w:lineRule="auto"/>
        <w:tabs>
          <w:tab w:leader="none" w:pos="639"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In the event the Participant’s employment with the Company or the Employer is terminated by reason of the Participant’s </w:t>
      </w:r>
      <w:r>
        <w:rPr>
          <w:rFonts w:ascii="Arial" w:cs="Arial" w:eastAsia="Arial" w:hAnsi="Arial"/>
          <w:sz w:val="16"/>
          <w:szCs w:val="16"/>
          <w:u w:val="single" w:color="auto"/>
          <w:color w:val="auto"/>
        </w:rPr>
        <w:t>death</w:t>
      </w:r>
      <w:r>
        <w:rPr>
          <w:rFonts w:ascii="Arial" w:cs="Arial" w:eastAsia="Arial" w:hAnsi="Arial"/>
          <w:sz w:val="16"/>
          <w:szCs w:val="16"/>
          <w:color w:val="auto"/>
        </w:rPr>
        <w:t>, all Unvested RSUs shall vest in full as of the date of the Participant’s death.</w:t>
      </w:r>
    </w:p>
    <w:p>
      <w:pPr>
        <w:spacing w:after="0" w:line="118" w:lineRule="exact"/>
        <w:rPr>
          <w:rFonts w:ascii="Arial" w:cs="Arial" w:eastAsia="Arial" w:hAnsi="Arial"/>
          <w:sz w:val="16"/>
          <w:szCs w:val="16"/>
          <w:color w:val="auto"/>
        </w:rPr>
      </w:pPr>
    </w:p>
    <w:p>
      <w:pPr>
        <w:jc w:val="both"/>
        <w:ind w:left="648" w:hanging="324"/>
        <w:spacing w:after="0" w:line="253" w:lineRule="auto"/>
        <w:tabs>
          <w:tab w:leader="none" w:pos="648" w:val="left"/>
        </w:tabs>
        <w:numPr>
          <w:ilvl w:val="1"/>
          <w:numId w:val="57"/>
        </w:numPr>
        <w:rPr>
          <w:rFonts w:ascii="Arial" w:cs="Arial" w:eastAsia="Arial" w:hAnsi="Arial"/>
          <w:sz w:val="16"/>
          <w:szCs w:val="16"/>
          <w:color w:val="auto"/>
        </w:rPr>
      </w:pPr>
      <w:r>
        <w:rPr>
          <w:rFonts w:ascii="Arial" w:cs="Arial" w:eastAsia="Arial" w:hAnsi="Arial"/>
          <w:sz w:val="16"/>
          <w:szCs w:val="16"/>
          <w:color w:val="auto"/>
        </w:rPr>
        <w:t xml:space="preserve">In the event the Participant becomes </w:t>
      </w:r>
      <w:r>
        <w:rPr>
          <w:rFonts w:ascii="Arial" w:cs="Arial" w:eastAsia="Arial" w:hAnsi="Arial"/>
          <w:sz w:val="16"/>
          <w:szCs w:val="16"/>
          <w:u w:val="single" w:color="auto"/>
          <w:color w:val="auto"/>
        </w:rPr>
        <w:t>Disabled</w:t>
      </w:r>
      <w:r>
        <w:rPr>
          <w:rFonts w:ascii="Arial" w:cs="Arial" w:eastAsia="Arial" w:hAnsi="Arial"/>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37" w:lineRule="exact"/>
        <w:rPr>
          <w:rFonts w:ascii="Arial" w:cs="Arial" w:eastAsia="Arial" w:hAnsi="Arial"/>
          <w:sz w:val="16"/>
          <w:szCs w:val="16"/>
          <w:color w:val="auto"/>
        </w:rPr>
      </w:pPr>
    </w:p>
    <w:p>
      <w:pPr>
        <w:jc w:val="both"/>
        <w:ind w:left="648" w:hanging="324"/>
        <w:spacing w:after="0" w:line="274" w:lineRule="auto"/>
        <w:tabs>
          <w:tab w:leader="none" w:pos="639" w:val="left"/>
        </w:tabs>
        <w:numPr>
          <w:ilvl w:val="1"/>
          <w:numId w:val="57"/>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2" w:lineRule="exact"/>
        <w:rPr>
          <w:rFonts w:ascii="Arial" w:cs="Arial" w:eastAsia="Arial" w:hAnsi="Arial"/>
          <w:sz w:val="15"/>
          <w:szCs w:val="15"/>
          <w:color w:val="auto"/>
        </w:rPr>
      </w:pPr>
    </w:p>
    <w:p>
      <w:pPr>
        <w:ind w:left="328" w:hanging="328"/>
        <w:spacing w:after="0"/>
        <w:tabs>
          <w:tab w:leader="none" w:pos="32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48" w:hanging="324"/>
        <w:spacing w:after="0"/>
        <w:tabs>
          <w:tab w:leader="none" w:pos="648"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RSUs, either voluntarily or by operation of law.</w:t>
      </w:r>
    </w:p>
    <w:p>
      <w:pPr>
        <w:spacing w:after="0" w:line="167" w:lineRule="exact"/>
        <w:rPr>
          <w:rFonts w:ascii="Arial" w:cs="Arial" w:eastAsia="Arial" w:hAnsi="Arial"/>
          <w:sz w:val="16"/>
          <w:szCs w:val="16"/>
          <w:color w:val="auto"/>
        </w:rPr>
      </w:pPr>
    </w:p>
    <w:p>
      <w:pPr>
        <w:jc w:val="both"/>
        <w:ind w:left="648" w:hanging="324"/>
        <w:spacing w:after="0" w:line="261" w:lineRule="auto"/>
        <w:tabs>
          <w:tab w:leader="none" w:pos="648"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28" w:lineRule="exact"/>
        <w:rPr>
          <w:rFonts w:ascii="Arial" w:cs="Arial" w:eastAsia="Arial" w:hAnsi="Arial"/>
          <w:sz w:val="16"/>
          <w:szCs w:val="16"/>
          <w:color w:val="auto"/>
        </w:rPr>
      </w:pPr>
    </w:p>
    <w:p>
      <w:pPr>
        <w:jc w:val="both"/>
        <w:ind w:left="328" w:hanging="328"/>
        <w:spacing w:after="0" w:line="304" w:lineRule="auto"/>
        <w:tabs>
          <w:tab w:leader="none" w:pos="328"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Not a Shareholder</w:t>
      </w:r>
      <w:r>
        <w:rPr>
          <w:rFonts w:ascii="Arial" w:cs="Arial" w:eastAsia="Arial" w:hAnsi="Arial"/>
          <w:sz w:val="14"/>
          <w:szCs w:val="14"/>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02" w:lineRule="exact"/>
        <w:rPr>
          <w:rFonts w:ascii="Arial" w:cs="Arial" w:eastAsia="Arial" w:hAnsi="Arial"/>
          <w:sz w:val="14"/>
          <w:szCs w:val="14"/>
          <w:color w:val="auto"/>
        </w:rPr>
      </w:pPr>
    </w:p>
    <w:p>
      <w:pPr>
        <w:jc w:val="both"/>
        <w:ind w:left="328" w:hanging="328"/>
        <w:spacing w:after="0" w:line="278" w:lineRule="auto"/>
        <w:tabs>
          <w:tab w:leader="none" w:pos="328" w:val="left"/>
        </w:tabs>
        <w:numPr>
          <w:ilvl w:val="0"/>
          <w:numId w:val="58"/>
        </w:numPr>
        <w:rPr>
          <w:rFonts w:ascii="Arial" w:cs="Arial" w:eastAsia="Arial" w:hAnsi="Arial"/>
          <w:sz w:val="15"/>
          <w:szCs w:val="15"/>
          <w:color w:val="auto"/>
        </w:rPr>
      </w:pPr>
      <w:r>
        <w:rPr>
          <w:rFonts w:ascii="Arial" w:cs="Arial" w:eastAsia="Arial" w:hAnsi="Arial"/>
          <w:sz w:val="15"/>
          <w:szCs w:val="15"/>
          <w:u w:val="single" w:color="auto"/>
          <w:color w:val="auto"/>
        </w:rPr>
        <w:t>Provisions of the Plan</w:t>
      </w:r>
      <w:r>
        <w:rPr>
          <w:rFonts w:ascii="Arial" w:cs="Arial" w:eastAsia="Arial" w:hAnsi="Arial"/>
          <w:sz w:val="15"/>
          <w:szCs w:val="15"/>
          <w:color w:val="auto"/>
        </w:rPr>
        <w:t xml:space="preserve">. The RSUs and Shares, including the grant and issuance thereof, are subject to the provisions of the Plan. A copy of the Plan prospectus is available on the Company’s Intranet at </w:t>
      </w:r>
      <w:r>
        <w:rPr>
          <w:rFonts w:ascii="Arial" w:cs="Arial" w:eastAsia="Arial" w:hAnsi="Arial"/>
          <w:sz w:val="15"/>
          <w:szCs w:val="15"/>
          <w:u w:val="single" w:color="auto"/>
          <w:color w:val="0000FF"/>
        </w:rPr>
        <w:t>https://thecircuit.web.analog.com/Pages/CircuitHome.aspx</w:t>
      </w:r>
      <w:r>
        <w:rPr>
          <w:rFonts w:ascii="Arial" w:cs="Arial" w:eastAsia="Arial" w:hAnsi="Arial"/>
          <w:sz w:val="15"/>
          <w:szCs w:val="15"/>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Arial" w:cs="Arial" w:eastAsia="Arial" w:hAnsi="Arial"/>
          <w:sz w:val="15"/>
          <w:szCs w:val="15"/>
          <w:u w:val="single" w:color="auto"/>
          <w:color w:val="0000FF"/>
        </w:rPr>
        <w:t>Stock_Plan_Admin@Analog.com</w:t>
      </w:r>
      <w:r>
        <w:rPr>
          <w:rFonts w:ascii="Arial" w:cs="Arial" w:eastAsia="Arial" w:hAnsi="Arial"/>
          <w:sz w:val="15"/>
          <w:szCs w:val="15"/>
          <w:color w:val="auto"/>
        </w:rPr>
        <w:t>).</w:t>
      </w:r>
    </w:p>
    <w:p>
      <w:pPr>
        <w:spacing w:after="0" w:line="118" w:lineRule="exact"/>
        <w:rPr>
          <w:rFonts w:ascii="Arial" w:cs="Arial" w:eastAsia="Arial" w:hAnsi="Arial"/>
          <w:sz w:val="15"/>
          <w:szCs w:val="15"/>
          <w:color w:val="auto"/>
        </w:rPr>
      </w:pPr>
    </w:p>
    <w:p>
      <w:pPr>
        <w:ind w:left="328" w:hanging="328"/>
        <w:spacing w:after="0"/>
        <w:tabs>
          <w:tab w:leader="none" w:pos="32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89" w:lineRule="auto"/>
        <w:tabs>
          <w:tab w:leader="none" w:pos="639" w:val="left"/>
        </w:tabs>
        <w:numPr>
          <w:ilvl w:val="1"/>
          <w:numId w:val="58"/>
        </w:numPr>
        <w:rPr>
          <w:rFonts w:ascii="Arial" w:cs="Arial" w:eastAsia="Arial" w:hAnsi="Arial"/>
          <w:sz w:val="14"/>
          <w:szCs w:val="14"/>
          <w:color w:val="auto"/>
        </w:rPr>
      </w:pPr>
      <w:r>
        <w:rPr>
          <w:rFonts w:ascii="Arial" w:cs="Arial" w:eastAsia="Arial" w:hAnsi="Arial"/>
          <w:sz w:val="14"/>
          <w:szCs w:val="14"/>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3" w:lineRule="exact"/>
        <w:rPr>
          <w:rFonts w:ascii="Arial" w:cs="Arial" w:eastAsia="Arial" w:hAnsi="Arial"/>
          <w:sz w:val="14"/>
          <w:szCs w:val="14"/>
          <w:color w:val="auto"/>
        </w:rPr>
      </w:pPr>
    </w:p>
    <w:p>
      <w:pPr>
        <w:jc w:val="both"/>
        <w:ind w:left="648" w:hanging="324"/>
        <w:spacing w:after="0" w:line="286" w:lineRule="auto"/>
        <w:tabs>
          <w:tab w:leader="none" w:pos="648" w:val="left"/>
        </w:tabs>
        <w:numPr>
          <w:ilvl w:val="1"/>
          <w:numId w:val="58"/>
        </w:numPr>
        <w:rPr>
          <w:rFonts w:ascii="Arial" w:cs="Arial" w:eastAsia="Arial" w:hAnsi="Arial"/>
          <w:sz w:val="15"/>
          <w:szCs w:val="15"/>
          <w:color w:val="auto"/>
        </w:rPr>
      </w:pPr>
      <w:r>
        <w:rPr>
          <w:rFonts w:ascii="Arial" w:cs="Arial" w:eastAsia="Arial" w:hAnsi="Arial"/>
          <w:sz w:val="15"/>
          <w:szCs w:val="15"/>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2" w:lineRule="exact"/>
        <w:rPr>
          <w:rFonts w:ascii="Arial" w:cs="Arial" w:eastAsia="Arial" w:hAnsi="Arial"/>
          <w:sz w:val="15"/>
          <w:szCs w:val="15"/>
          <w:color w:val="auto"/>
        </w:rPr>
      </w:pPr>
    </w:p>
    <w:p>
      <w:pPr>
        <w:jc w:val="both"/>
        <w:ind w:left="968" w:hanging="320"/>
        <w:spacing w:after="0" w:line="278" w:lineRule="auto"/>
        <w:tabs>
          <w:tab w:leader="none" w:pos="959" w:val="left"/>
        </w:tabs>
        <w:numPr>
          <w:ilvl w:val="2"/>
          <w:numId w:val="58"/>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88"/>
          </w:cols>
          <w:pgMar w:left="652" w:top="1440" w:right="659" w:bottom="1440" w:gutter="0" w:footer="0" w:header="0"/>
        </w:sectPr>
      </w:pPr>
    </w:p>
    <w:bookmarkStart w:id="81" w:name="page82"/>
    <w:bookmarkEnd w:id="81"/>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968" w:hanging="320"/>
        <w:spacing w:after="0" w:line="275" w:lineRule="auto"/>
        <w:tabs>
          <w:tab w:leader="none" w:pos="963"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8" w:lineRule="exact"/>
        <w:rPr>
          <w:rFonts w:ascii="Arial" w:cs="Arial" w:eastAsia="Arial" w:hAnsi="Arial"/>
          <w:sz w:val="16"/>
          <w:szCs w:val="16"/>
          <w:color w:val="auto"/>
        </w:rPr>
      </w:pPr>
    </w:p>
    <w:p>
      <w:pPr>
        <w:ind w:left="968" w:hanging="320"/>
        <w:spacing w:after="0" w:line="275" w:lineRule="auto"/>
        <w:tabs>
          <w:tab w:leader="none" w:pos="968"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8" w:lineRule="exact"/>
        <w:rPr>
          <w:rFonts w:ascii="Arial" w:cs="Arial" w:eastAsia="Arial" w:hAnsi="Arial"/>
          <w:sz w:val="16"/>
          <w:szCs w:val="16"/>
          <w:color w:val="auto"/>
        </w:rPr>
      </w:pPr>
    </w:p>
    <w:p>
      <w:pPr>
        <w:jc w:val="both"/>
        <w:ind w:left="968"/>
        <w:spacing w:after="0" w:line="256" w:lineRule="auto"/>
        <w:rPr>
          <w:rFonts w:ascii="Arial" w:cs="Arial" w:eastAsia="Arial" w:hAnsi="Arial"/>
          <w:sz w:val="16"/>
          <w:szCs w:val="16"/>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32" w:lineRule="exact"/>
        <w:rPr>
          <w:rFonts w:ascii="Arial" w:cs="Arial" w:eastAsia="Arial" w:hAnsi="Arial"/>
          <w:sz w:val="16"/>
          <w:szCs w:val="16"/>
          <w:color w:val="auto"/>
        </w:rPr>
      </w:pPr>
    </w:p>
    <w:p>
      <w:pPr>
        <w:jc w:val="both"/>
        <w:ind w:left="968"/>
        <w:spacing w:after="0" w:line="252" w:lineRule="auto"/>
        <w:rPr>
          <w:rFonts w:ascii="Arial" w:cs="Arial" w:eastAsia="Arial" w:hAnsi="Arial"/>
          <w:sz w:val="16"/>
          <w:szCs w:val="16"/>
          <w:color w:val="auto"/>
        </w:rPr>
      </w:pPr>
      <w:r>
        <w:rPr>
          <w:rFonts w:ascii="Arial" w:cs="Arial" w:eastAsia="Arial" w:hAnsi="Arial"/>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RSU, notwithstanding that a number of the Shares are held back solely for the purpose of paying the Tax-Related Items.</w:t>
      </w:r>
    </w:p>
    <w:p>
      <w:pPr>
        <w:spacing w:after="0" w:line="136" w:lineRule="exact"/>
        <w:rPr>
          <w:rFonts w:ascii="Arial" w:cs="Arial" w:eastAsia="Arial" w:hAnsi="Arial"/>
          <w:sz w:val="16"/>
          <w:szCs w:val="16"/>
          <w:color w:val="auto"/>
        </w:rPr>
      </w:pPr>
    </w:p>
    <w:p>
      <w:pPr>
        <w:jc w:val="both"/>
        <w:ind w:left="968"/>
        <w:spacing w:after="0" w:line="270" w:lineRule="auto"/>
        <w:rPr>
          <w:rFonts w:ascii="Arial" w:cs="Arial" w:eastAsia="Arial" w:hAnsi="Arial"/>
          <w:sz w:val="16"/>
          <w:szCs w:val="16"/>
          <w:color w:val="auto"/>
        </w:rPr>
      </w:pPr>
      <w:r>
        <w:rPr>
          <w:rFonts w:ascii="Arial" w:cs="Arial" w:eastAsia="Arial" w:hAnsi="Arial"/>
          <w:sz w:val="15"/>
          <w:szCs w:val="15"/>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26" w:lineRule="exact"/>
        <w:rPr>
          <w:rFonts w:ascii="Arial" w:cs="Arial" w:eastAsia="Arial" w:hAnsi="Arial"/>
          <w:sz w:val="16"/>
          <w:szCs w:val="16"/>
          <w:color w:val="auto"/>
        </w:rPr>
      </w:pPr>
    </w:p>
    <w:p>
      <w:pPr>
        <w:jc w:val="both"/>
        <w:ind w:left="328" w:hanging="328"/>
        <w:spacing w:after="0" w:line="272" w:lineRule="auto"/>
        <w:tabs>
          <w:tab w:leader="none" w:pos="328"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A, where share settlement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23" w:lineRule="exact"/>
        <w:rPr>
          <w:rFonts w:ascii="Arial" w:cs="Arial" w:eastAsia="Arial" w:hAnsi="Arial"/>
          <w:sz w:val="15"/>
          <w:szCs w:val="15"/>
          <w:color w:val="auto"/>
        </w:rPr>
      </w:pPr>
    </w:p>
    <w:p>
      <w:pPr>
        <w:jc w:val="both"/>
        <w:ind w:left="328" w:hanging="328"/>
        <w:spacing w:after="0" w:line="295" w:lineRule="auto"/>
        <w:tabs>
          <w:tab w:leader="none" w:pos="328"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Repatriation and Other Legal Requirements</w:t>
      </w:r>
      <w:r>
        <w:rPr>
          <w:rFonts w:ascii="Arial" w:cs="Arial" w:eastAsia="Arial" w:hAnsi="Arial"/>
          <w:sz w:val="14"/>
          <w:szCs w:val="14"/>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08" w:lineRule="exact"/>
        <w:rPr>
          <w:rFonts w:ascii="Arial" w:cs="Arial" w:eastAsia="Arial" w:hAnsi="Arial"/>
          <w:sz w:val="14"/>
          <w:szCs w:val="14"/>
          <w:color w:val="auto"/>
        </w:rPr>
      </w:pPr>
    </w:p>
    <w:p>
      <w:pPr>
        <w:ind w:left="328" w:hanging="328"/>
        <w:spacing w:after="0"/>
        <w:tabs>
          <w:tab w:leader="none" w:pos="32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53" w:lineRule="auto"/>
        <w:tabs>
          <w:tab w:leader="none" w:pos="639"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37" w:lineRule="exact"/>
        <w:rPr>
          <w:rFonts w:ascii="Arial" w:cs="Arial" w:eastAsia="Arial" w:hAnsi="Arial"/>
          <w:sz w:val="16"/>
          <w:szCs w:val="16"/>
          <w:color w:val="auto"/>
        </w:rPr>
      </w:pPr>
    </w:p>
    <w:p>
      <w:pPr>
        <w:jc w:val="both"/>
        <w:ind w:left="648" w:hanging="324"/>
        <w:spacing w:after="0" w:line="269" w:lineRule="auto"/>
        <w:tabs>
          <w:tab w:leader="none" w:pos="648" w:val="left"/>
        </w:tabs>
        <w:numPr>
          <w:ilvl w:val="1"/>
          <w:numId w:val="60"/>
        </w:numPr>
        <w:rPr>
          <w:rFonts w:ascii="Arial" w:cs="Arial" w:eastAsia="Arial" w:hAnsi="Arial"/>
          <w:sz w:val="15"/>
          <w:szCs w:val="15"/>
          <w:color w:val="auto"/>
        </w:rPr>
      </w:pPr>
      <w:r>
        <w:rPr>
          <w:rFonts w:ascii="Arial" w:cs="Arial" w:eastAsia="Arial" w:hAnsi="Arial"/>
          <w:sz w:val="15"/>
          <w:szCs w:val="15"/>
          <w:u w:val="single" w:color="auto"/>
          <w:color w:val="auto"/>
        </w:rPr>
        <w:t>Discretionary Nature</w:t>
      </w:r>
      <w:r>
        <w:rPr>
          <w:rFonts w:ascii="Arial" w:cs="Arial" w:eastAsia="Arial" w:hAnsi="Arial"/>
          <w:sz w:val="15"/>
          <w:szCs w:val="15"/>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88"/>
          </w:cols>
          <w:pgMar w:left="652" w:top="1440" w:right="659" w:bottom="1440" w:gutter="0" w:footer="0" w:header="0"/>
        </w:sectPr>
      </w:pPr>
    </w:p>
    <w:bookmarkStart w:id="82" w:name="page83"/>
    <w:bookmarkEnd w:id="82"/>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spacing w:after="0" w:line="275" w:lineRule="auto"/>
        <w:rPr>
          <w:sz w:val="20"/>
          <w:szCs w:val="20"/>
          <w:color w:val="auto"/>
        </w:rPr>
      </w:pPr>
      <w:r>
        <w:rPr>
          <w:rFonts w:ascii="Arial" w:cs="Arial" w:eastAsia="Arial" w:hAnsi="Arial"/>
          <w:sz w:val="16"/>
          <w:szCs w:val="16"/>
          <w:color w:val="auto"/>
        </w:rPr>
        <w:t>payments. The grant of RSUs should in no event be considered as compensation for, or relating in any way to, past services for the Company or the Employer.</w:t>
      </w:r>
    </w:p>
    <w:p>
      <w:pPr>
        <w:spacing w:after="0" w:line="118" w:lineRule="exact"/>
        <w:rPr>
          <w:sz w:val="20"/>
          <w:szCs w:val="20"/>
          <w:color w:val="auto"/>
        </w:rPr>
      </w:pPr>
    </w:p>
    <w:p>
      <w:pPr>
        <w:jc w:val="both"/>
        <w:ind w:left="324" w:hanging="324"/>
        <w:spacing w:after="0" w:line="253"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37" w:lineRule="exact"/>
        <w:rPr>
          <w:rFonts w:ascii="Arial" w:cs="Arial" w:eastAsia="Arial" w:hAnsi="Arial"/>
          <w:sz w:val="16"/>
          <w:szCs w:val="16"/>
          <w:color w:val="auto"/>
        </w:rPr>
      </w:pPr>
    </w:p>
    <w:p>
      <w:pPr>
        <w:jc w:val="both"/>
        <w:ind w:left="324" w:hanging="324"/>
        <w:spacing w:after="0" w:line="251" w:lineRule="auto"/>
        <w:tabs>
          <w:tab w:leader="none" w:pos="32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8" w:lineRule="exact"/>
        <w:rPr>
          <w:rFonts w:ascii="Arial" w:cs="Arial" w:eastAsia="Arial" w:hAnsi="Arial"/>
          <w:sz w:val="16"/>
          <w:szCs w:val="16"/>
          <w:color w:val="auto"/>
        </w:rPr>
      </w:pPr>
    </w:p>
    <w:p>
      <w:pPr>
        <w:jc w:val="both"/>
        <w:ind w:left="324" w:hanging="324"/>
        <w:spacing w:after="0" w:line="256"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32" w:lineRule="exact"/>
        <w:rPr>
          <w:rFonts w:ascii="Arial" w:cs="Arial" w:eastAsia="Arial" w:hAnsi="Arial"/>
          <w:sz w:val="16"/>
          <w:szCs w:val="16"/>
          <w:color w:val="auto"/>
        </w:rPr>
      </w:pPr>
    </w:p>
    <w:p>
      <w:pPr>
        <w:ind w:left="324" w:hanging="324"/>
        <w:spacing w:after="0"/>
        <w:tabs>
          <w:tab w:leader="none" w:pos="32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67" w:lineRule="exact"/>
        <w:rPr>
          <w:rFonts w:ascii="Arial" w:cs="Arial" w:eastAsia="Arial" w:hAnsi="Arial"/>
          <w:sz w:val="16"/>
          <w:szCs w:val="16"/>
          <w:color w:val="auto"/>
        </w:rPr>
      </w:pPr>
    </w:p>
    <w:p>
      <w:pPr>
        <w:ind w:left="324" w:hanging="324"/>
        <w:spacing w:after="0" w:line="275" w:lineRule="auto"/>
        <w:tabs>
          <w:tab w:leader="none" w:pos="32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8" w:lineRule="exact"/>
        <w:rPr>
          <w:rFonts w:ascii="Arial" w:cs="Arial" w:eastAsia="Arial" w:hAnsi="Arial"/>
          <w:sz w:val="16"/>
          <w:szCs w:val="16"/>
          <w:color w:val="auto"/>
        </w:rPr>
      </w:pPr>
    </w:p>
    <w:p>
      <w:pPr>
        <w:ind w:left="324" w:right="20" w:hanging="324"/>
        <w:spacing w:after="0" w:line="349" w:lineRule="auto"/>
        <w:tabs>
          <w:tab w:leader="none" w:pos="324"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1" w:lineRule="exact"/>
        <w:rPr>
          <w:rFonts w:ascii="Arial" w:cs="Arial" w:eastAsia="Arial" w:hAnsi="Arial"/>
          <w:sz w:val="14"/>
          <w:szCs w:val="14"/>
          <w:color w:val="auto"/>
        </w:rPr>
      </w:pPr>
    </w:p>
    <w:p>
      <w:pPr>
        <w:jc w:val="both"/>
        <w:ind w:left="324" w:hanging="324"/>
        <w:spacing w:after="0" w:line="253"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7" w:lineRule="exact"/>
        <w:rPr>
          <w:rFonts w:ascii="Arial" w:cs="Arial" w:eastAsia="Arial" w:hAnsi="Arial"/>
          <w:sz w:val="16"/>
          <w:szCs w:val="16"/>
          <w:color w:val="auto"/>
        </w:rPr>
      </w:pPr>
    </w:p>
    <w:p>
      <w:pPr>
        <w:ind w:left="324" w:right="20" w:hanging="324"/>
        <w:spacing w:after="0" w:line="275"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324" w:hanging="324"/>
        <w:spacing w:after="0" w:line="275" w:lineRule="auto"/>
        <w:tabs>
          <w:tab w:leader="none" w:pos="324"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324" w:hanging="324"/>
        <w:spacing w:after="0" w:line="275" w:lineRule="auto"/>
        <w:tabs>
          <w:tab w:leader="none" w:pos="315"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24" w:hanging="324"/>
        <w:spacing w:after="0" w:line="268" w:lineRule="auto"/>
        <w:tabs>
          <w:tab w:leader="none" w:pos="315"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64"/>
          </w:cols>
          <w:pgMar w:left="976" w:top="1440" w:right="659" w:bottom="1440" w:gutter="0" w:footer="0" w:header="0"/>
        </w:sectPr>
      </w:pPr>
    </w:p>
    <w:bookmarkStart w:id="83" w:name="page84"/>
    <w:bookmarkEnd w:id="83"/>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61" w:lineRule="auto"/>
        <w:rPr>
          <w:sz w:val="20"/>
          <w:szCs w:val="20"/>
          <w:color w:val="auto"/>
        </w:rPr>
      </w:pPr>
      <w:r>
        <w:rPr>
          <w:rFonts w:ascii="Arial" w:cs="Arial" w:eastAsia="Arial" w:hAnsi="Arial"/>
          <w:sz w:val="16"/>
          <w:szCs w:val="16"/>
          <w:color w:val="auto"/>
        </w:rPr>
        <w:t>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9" w:lineRule="exact"/>
        <w:rPr>
          <w:sz w:val="20"/>
          <w:szCs w:val="20"/>
          <w:color w:val="auto"/>
        </w:rPr>
      </w:pPr>
    </w:p>
    <w:p>
      <w:pPr>
        <w:ind w:left="324" w:right="20" w:hanging="324"/>
        <w:spacing w:after="0" w:line="275" w:lineRule="auto"/>
        <w:tabs>
          <w:tab w:leader="none" w:pos="324"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8" w:lineRule="exact"/>
        <w:rPr>
          <w:rFonts w:ascii="Arial" w:cs="Arial" w:eastAsia="Arial" w:hAnsi="Arial"/>
          <w:sz w:val="16"/>
          <w:szCs w:val="16"/>
          <w:color w:val="auto"/>
        </w:rPr>
      </w:pPr>
    </w:p>
    <w:p>
      <w:pPr>
        <w:jc w:val="both"/>
        <w:ind w:left="324" w:hanging="324"/>
        <w:spacing w:after="0" w:line="286" w:lineRule="auto"/>
        <w:tabs>
          <w:tab w:leader="none" w:pos="324"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2" w:lineRule="exact"/>
        <w:rPr>
          <w:rFonts w:ascii="Arial" w:cs="Arial" w:eastAsia="Arial" w:hAnsi="Arial"/>
          <w:sz w:val="15"/>
          <w:szCs w:val="15"/>
          <w:color w:val="auto"/>
        </w:rPr>
      </w:pPr>
    </w:p>
    <w:p>
      <w:pPr>
        <w:jc w:val="both"/>
        <w:ind w:left="324" w:hanging="324"/>
        <w:spacing w:after="0" w:line="315" w:lineRule="auto"/>
        <w:tabs>
          <w:tab w:leader="none" w:pos="324"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5" w:lineRule="exact"/>
        <w:rPr>
          <w:rFonts w:ascii="Arial" w:cs="Arial" w:eastAsia="Arial" w:hAnsi="Arial"/>
          <w:sz w:val="14"/>
          <w:szCs w:val="14"/>
          <w:color w:val="auto"/>
        </w:rPr>
      </w:pPr>
    </w:p>
    <w:p>
      <w:pPr>
        <w:jc w:val="both"/>
        <w:ind w:left="324" w:hanging="324"/>
        <w:spacing w:after="0" w:line="256" w:lineRule="auto"/>
        <w:tabs>
          <w:tab w:leader="none" w:pos="324"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32" w:lineRule="exact"/>
        <w:rPr>
          <w:rFonts w:ascii="Arial" w:cs="Arial" w:eastAsia="Arial" w:hAnsi="Arial"/>
          <w:sz w:val="16"/>
          <w:szCs w:val="16"/>
          <w:color w:val="auto"/>
        </w:rPr>
      </w:pPr>
    </w:p>
    <w:p>
      <w:pPr>
        <w:jc w:val="both"/>
        <w:ind w:left="324" w:hanging="324"/>
        <w:spacing w:after="0" w:line="274" w:lineRule="auto"/>
        <w:tabs>
          <w:tab w:leader="none" w:pos="324"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Appendix A</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22" w:lineRule="exact"/>
        <w:rPr>
          <w:rFonts w:ascii="Arial" w:cs="Arial" w:eastAsia="Arial" w:hAnsi="Arial"/>
          <w:sz w:val="15"/>
          <w:szCs w:val="15"/>
          <w:color w:val="auto"/>
        </w:rPr>
      </w:pPr>
    </w:p>
    <w:p>
      <w:pPr>
        <w:jc w:val="both"/>
        <w:ind w:left="324" w:hanging="324"/>
        <w:spacing w:after="0" w:line="256" w:lineRule="auto"/>
        <w:tabs>
          <w:tab w:leader="none" w:pos="319"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1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24"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32" w:lineRule="exact"/>
        <w:rPr>
          <w:rFonts w:ascii="Arial" w:cs="Arial" w:eastAsia="Arial" w:hAnsi="Arial"/>
          <w:sz w:val="16"/>
          <w:szCs w:val="16"/>
          <w:color w:val="auto"/>
        </w:rPr>
      </w:pPr>
    </w:p>
    <w:p>
      <w:pPr>
        <w:jc w:val="both"/>
        <w:ind w:left="324" w:hanging="324"/>
        <w:spacing w:after="0" w:line="286" w:lineRule="auto"/>
        <w:tabs>
          <w:tab w:leader="none" w:pos="324"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2" w:lineRule="exact"/>
        <w:rPr>
          <w:rFonts w:ascii="Arial" w:cs="Arial" w:eastAsia="Arial" w:hAnsi="Arial"/>
          <w:sz w:val="15"/>
          <w:szCs w:val="15"/>
          <w:color w:val="auto"/>
        </w:rPr>
      </w:pPr>
    </w:p>
    <w:p>
      <w:pPr>
        <w:jc w:val="both"/>
        <w:ind w:left="324" w:hanging="324"/>
        <w:spacing w:after="0" w:line="268" w:lineRule="auto"/>
        <w:tabs>
          <w:tab w:leader="none" w:pos="319"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Insider Trading Restrictions/Market Abuse Laws</w:t>
      </w:r>
      <w:r>
        <w:rPr>
          <w:rFonts w:ascii="Arial" w:cs="Arial" w:eastAsia="Arial" w:hAnsi="Arial"/>
          <w:sz w:val="15"/>
          <w:szCs w:val="15"/>
          <w:color w:val="auto"/>
        </w:rPr>
        <w:t>. The Participant acknowledges that, depending on the Participant’s or the Participant’s broker’s country of residence or where the Common Stock is listed, the Participant may be subject to insider trading restrictions and/or market abuse laws, which may affect the Participant’s ability to accept, acquire, sell, or otherwise dispose of Common Stock, rights to Common Stock (</w:t>
      </w:r>
      <w:r>
        <w:rPr>
          <w:rFonts w:ascii="Arial" w:cs="Arial" w:eastAsia="Arial" w:hAnsi="Arial"/>
          <w:sz w:val="15"/>
          <w:szCs w:val="15"/>
          <w:i w:val="1"/>
          <w:iCs w:val="1"/>
          <w:color w:val="auto"/>
        </w:rPr>
        <w:t>e.g.</w:t>
      </w:r>
      <w:r>
        <w:rPr>
          <w:rFonts w:ascii="Arial" w:cs="Arial" w:eastAsia="Arial" w:hAnsi="Arial"/>
          <w:sz w:val="15"/>
          <w:szCs w:val="15"/>
          <w:color w:val="auto"/>
        </w:rPr>
        <w:t>, RSUs) or rights linked to the value of Common Stock (</w:t>
      </w:r>
      <w:r>
        <w:rPr>
          <w:rFonts w:ascii="Arial" w:cs="Arial" w:eastAsia="Arial" w:hAnsi="Arial"/>
          <w:sz w:val="15"/>
          <w:szCs w:val="15"/>
          <w:i w:val="1"/>
          <w:iCs w:val="1"/>
          <w:color w:val="auto"/>
        </w:rPr>
        <w:t>e.g.</w:t>
      </w:r>
      <w:r>
        <w:rPr>
          <w:rFonts w:ascii="Arial" w:cs="Arial" w:eastAsia="Arial" w:hAnsi="Arial"/>
          <w:sz w:val="15"/>
          <w:szCs w:val="15"/>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64"/>
          </w:cols>
          <w:pgMar w:left="976" w:top="1440" w:right="659" w:bottom="1440" w:gutter="0" w:footer="0" w:header="0"/>
        </w:sectPr>
      </w:pPr>
    </w:p>
    <w:bookmarkStart w:id="84" w:name="page85"/>
    <w:bookmarkEnd w:id="84"/>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right="340"/>
        <w:spacing w:after="0" w:line="275" w:lineRule="auto"/>
        <w:rPr>
          <w:sz w:val="20"/>
          <w:szCs w:val="20"/>
          <w:color w:val="auto"/>
        </w:rPr>
      </w:pPr>
      <w:r>
        <w:rPr>
          <w:rFonts w:ascii="Arial" w:cs="Arial" w:eastAsia="Arial" w:hAnsi="Arial"/>
          <w:sz w:val="16"/>
          <w:szCs w:val="16"/>
          <w:color w:val="auto"/>
        </w:rPr>
        <w:t>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sz w:val="20"/>
          <w:szCs w:val="20"/>
          <w:color w:val="auto"/>
        </w:rPr>
      </w:pPr>
    </w:p>
    <w:p>
      <w:pPr>
        <w:jc w:val="both"/>
        <w:ind w:left="324" w:right="320" w:hanging="324"/>
        <w:spacing w:after="0" w:line="269" w:lineRule="auto"/>
        <w:tabs>
          <w:tab w:leader="none" w:pos="324" w:val="left"/>
        </w:tabs>
        <w:numPr>
          <w:ilvl w:val="0"/>
          <w:numId w:val="63"/>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7" w:lineRule="exact"/>
        <w:rPr>
          <w:rFonts w:ascii="Arial" w:cs="Arial" w:eastAsia="Arial" w:hAnsi="Arial"/>
          <w:sz w:val="15"/>
          <w:szCs w:val="15"/>
          <w:color w:val="auto"/>
        </w:rPr>
      </w:pPr>
    </w:p>
    <w:p>
      <w:pPr>
        <w:ind w:left="324" w:right="340" w:hanging="324"/>
        <w:spacing w:after="0" w:line="275" w:lineRule="auto"/>
        <w:tabs>
          <w:tab w:leader="none" w:pos="324"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15" w:lineRule="exact"/>
        <w:rPr>
          <w:sz w:val="20"/>
          <w:szCs w:val="20"/>
          <w:color w:val="auto"/>
        </w:rPr>
      </w:pPr>
    </w:p>
    <w:tbl>
      <w:tblPr>
        <w:tblLayout w:type="fixed"/>
        <w:tblInd w:w="864" w:type="dxa"/>
        <w:tblCellMar>
          <w:top w:w="0" w:type="dxa"/>
          <w:left w:w="0" w:type="dxa"/>
          <w:bottom w:w="0" w:type="dxa"/>
          <w:right w:w="0" w:type="dxa"/>
        </w:tblCellMar>
      </w:tblPr>
      <w:tr>
        <w:trPr>
          <w:trHeight w:val="21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780" w:type="dxa"/>
            <w:vAlign w:val="bottom"/>
          </w:tcPr>
          <w:p>
            <w:pPr>
              <w:ind w:left="1300"/>
              <w:spacing w:after="0"/>
              <w:rPr>
                <w:sz w:val="20"/>
                <w:szCs w:val="20"/>
                <w:color w:val="auto"/>
              </w:rPr>
            </w:pPr>
            <w:r>
              <w:rPr>
                <w:rFonts w:ascii="Arial" w:cs="Arial" w:eastAsia="Arial" w:hAnsi="Arial"/>
                <w:sz w:val="16"/>
                <w:szCs w:val="16"/>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24"/>
        </w:trPr>
        <w:tc>
          <w:tcPr>
            <w:tcW w:w="4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7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24"/>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584"/>
          </w:cols>
          <w:pgMar w:left="976" w:top="1440" w:right="339" w:bottom="1440" w:gutter="0" w:footer="0" w:header="0"/>
        </w:sectPr>
      </w:pPr>
    </w:p>
    <w:bookmarkStart w:id="85" w:name="page86"/>
    <w:bookmarkEnd w:id="85"/>
    <w:p>
      <w:pPr>
        <w:ind w:left="5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23" w:lineRule="exact"/>
        <w:rPr>
          <w:sz w:val="20"/>
          <w:szCs w:val="20"/>
          <w:color w:val="auto"/>
        </w:rPr>
      </w:pPr>
    </w:p>
    <w:p>
      <w:pPr>
        <w:jc w:val="both"/>
        <w:ind w:left="340" w:right="320"/>
        <w:spacing w:after="0" w:line="253" w:lineRule="auto"/>
        <w:rPr>
          <w:sz w:val="20"/>
          <w:szCs w:val="20"/>
          <w:color w:val="auto"/>
        </w:rPr>
      </w:pPr>
      <w:r>
        <w:rPr>
          <w:rFonts w:ascii="Arial" w:cs="Arial" w:eastAsia="Arial" w:hAnsi="Arial"/>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2020.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32" w:lineRule="exact"/>
        <w:rPr>
          <w:sz w:val="20"/>
          <w:szCs w:val="20"/>
          <w:color w:val="auto"/>
        </w:rPr>
      </w:pPr>
    </w:p>
    <w:p>
      <w:pPr>
        <w:jc w:val="both"/>
        <w:ind w:left="340" w:right="320"/>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10" w:lineRule="exact"/>
        <w:rPr>
          <w:sz w:val="20"/>
          <w:szCs w:val="20"/>
          <w:color w:val="auto"/>
        </w:rPr>
      </w:pPr>
    </w:p>
    <w:p>
      <w:pPr>
        <w:jc w:val="both"/>
        <w:ind w:left="340" w:right="320"/>
        <w:spacing w:after="0" w:line="256" w:lineRule="auto"/>
        <w:rPr>
          <w:sz w:val="20"/>
          <w:szCs w:val="20"/>
          <w:color w:val="auto"/>
        </w:rPr>
      </w:pPr>
      <w:r>
        <w:rPr>
          <w:rFonts w:ascii="Arial" w:cs="Arial" w:eastAsia="Arial" w:hAnsi="Arial"/>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5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u w:val="single" w:color="auto"/>
          <w:color w:val="auto"/>
        </w:rPr>
        <w:t>Data Privacy Information and Consent</w:t>
      </w:r>
      <w:r>
        <w:rPr>
          <w:rFonts w:ascii="Arial" w:cs="Arial" w:eastAsia="Arial" w:hAnsi="Arial"/>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29" w:lineRule="exact"/>
        <w:rPr>
          <w:sz w:val="20"/>
          <w:szCs w:val="20"/>
          <w:color w:val="auto"/>
        </w:rPr>
      </w:pPr>
    </w:p>
    <w:p>
      <w:pPr>
        <w:jc w:val="both"/>
        <w:ind w:left="660" w:hanging="328"/>
        <w:spacing w:after="0" w:line="252" w:lineRule="auto"/>
        <w:tabs>
          <w:tab w:leader="none" w:pos="651"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Collection and Usage</w:t>
      </w:r>
      <w:r>
        <w:rPr>
          <w:rFonts w:ascii="Arial" w:cs="Arial" w:eastAsia="Arial" w:hAnsi="Arial"/>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36" w:lineRule="exact"/>
        <w:rPr>
          <w:rFonts w:ascii="Arial" w:cs="Arial" w:eastAsia="Arial" w:hAnsi="Arial"/>
          <w:sz w:val="16"/>
          <w:szCs w:val="16"/>
          <w:color w:val="auto"/>
        </w:rPr>
      </w:pPr>
    </w:p>
    <w:p>
      <w:pPr>
        <w:jc w:val="both"/>
        <w:ind w:left="660" w:hanging="328"/>
        <w:spacing w:after="0" w:line="298" w:lineRule="auto"/>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7" w:lineRule="exact"/>
        <w:rPr>
          <w:rFonts w:ascii="Arial" w:cs="Arial" w:eastAsia="Arial" w:hAnsi="Arial"/>
          <w:sz w:val="14"/>
          <w:szCs w:val="14"/>
          <w:color w:val="auto"/>
        </w:rPr>
      </w:pPr>
    </w:p>
    <w:p>
      <w:pPr>
        <w:jc w:val="both"/>
        <w:ind w:left="660" w:hanging="328"/>
        <w:spacing w:after="0" w:line="291" w:lineRule="auto"/>
        <w:tabs>
          <w:tab w:leader="none" w:pos="651" w:val="left"/>
        </w:tabs>
        <w:numPr>
          <w:ilvl w:val="0"/>
          <w:numId w:val="64"/>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2" w:lineRule="exact"/>
        <w:rPr>
          <w:rFonts w:ascii="Arial" w:cs="Arial" w:eastAsia="Arial" w:hAnsi="Arial"/>
          <w:sz w:val="14"/>
          <w:szCs w:val="14"/>
          <w:color w:val="auto"/>
        </w:rPr>
      </w:pPr>
    </w:p>
    <w:p>
      <w:pPr>
        <w:jc w:val="both"/>
        <w:ind w:left="660" w:hanging="328"/>
        <w:spacing w:after="0" w:line="256"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employment with the Employer. If the Company keeps data longer, it would be to satisfy legal or regulatory obligations and the Company’s legal basis would be relevant laws or regulations.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240"/>
          </w:cols>
          <w:pgMar w:left="320" w:top="1030" w:right="339" w:bottom="1440" w:gutter="0" w:footer="0" w:header="0"/>
        </w:sectPr>
      </w:pPr>
    </w:p>
    <w:bookmarkStart w:id="86" w:name="page87"/>
    <w:bookmarkEnd w:id="86"/>
    <w:p>
      <w:pPr>
        <w:ind w:left="478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8"/>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28" w:hanging="328"/>
        <w:spacing w:after="0" w:line="256" w:lineRule="auto"/>
        <w:tabs>
          <w:tab w:leader="none" w:pos="319"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32" w:lineRule="exact"/>
        <w:rPr>
          <w:rFonts w:ascii="Arial" w:cs="Arial" w:eastAsia="Arial" w:hAnsi="Arial"/>
          <w:sz w:val="16"/>
          <w:szCs w:val="16"/>
          <w:color w:val="auto"/>
        </w:rPr>
      </w:pPr>
    </w:p>
    <w:p>
      <w:pPr>
        <w:jc w:val="both"/>
        <w:ind w:left="328" w:hanging="328"/>
        <w:spacing w:after="0" w:line="252" w:lineRule="auto"/>
        <w:tabs>
          <w:tab w:leader="none" w:pos="328"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37" w:lineRule="exact"/>
        <w:rPr>
          <w:sz w:val="20"/>
          <w:szCs w:val="20"/>
          <w:color w:val="auto"/>
        </w:rPr>
      </w:pPr>
    </w:p>
    <w:p>
      <w:pPr>
        <w:jc w:val="both"/>
        <w:ind w:left="8" w:right="340"/>
        <w:spacing w:after="0" w:line="261" w:lineRule="auto"/>
        <w:rPr>
          <w:sz w:val="20"/>
          <w:szCs w:val="20"/>
          <w:color w:val="auto"/>
        </w:rPr>
      </w:pPr>
      <w:r>
        <w:rPr>
          <w:rFonts w:ascii="Arial" w:cs="Arial" w:eastAsia="Arial" w:hAnsi="Arial"/>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23" w:lineRule="exact"/>
        <w:rPr>
          <w:sz w:val="20"/>
          <w:szCs w:val="20"/>
          <w:color w:val="auto"/>
        </w:rPr>
      </w:pPr>
    </w:p>
    <w:p>
      <w:pPr>
        <w:jc w:val="both"/>
        <w:ind w:left="8" w:right="340"/>
        <w:spacing w:after="0" w:line="275"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AUSTRALIA</w:t>
      </w:r>
    </w:p>
    <w:p>
      <w:pPr>
        <w:spacing w:after="0" w:line="252" w:lineRule="exact"/>
        <w:rPr>
          <w:sz w:val="20"/>
          <w:szCs w:val="20"/>
          <w:color w:val="auto"/>
        </w:rPr>
      </w:pPr>
    </w:p>
    <w:p>
      <w:pPr>
        <w:jc w:val="both"/>
        <w:ind w:left="8" w:right="340"/>
        <w:spacing w:after="0" w:line="261" w:lineRule="auto"/>
        <w:rPr>
          <w:sz w:val="20"/>
          <w:szCs w:val="20"/>
          <w:color w:val="auto"/>
        </w:rPr>
      </w:pPr>
      <w:r>
        <w:rPr>
          <w:rFonts w:ascii="Arial" w:cs="Arial" w:eastAsia="Arial" w:hAnsi="Arial"/>
          <w:sz w:val="16"/>
          <w:szCs w:val="16"/>
          <w:u w:val="single" w:color="auto"/>
          <w:color w:val="auto"/>
        </w:rPr>
        <w:t>Australian Offer Documen</w:t>
      </w:r>
      <w:r>
        <w:rPr>
          <w:rFonts w:ascii="Arial" w:cs="Arial" w:eastAsia="Arial" w:hAnsi="Arial"/>
          <w:sz w:val="16"/>
          <w:szCs w:val="16"/>
          <w:color w:val="auto"/>
        </w:rPr>
        <w:t>t. This offer of RSUs is intended to comply with the provisions of the Corporations Act 2001, ASIC Regulatory Guide 49 and ASIC Class Order CO 14/1000. Additional details are set forth in the Offer Document for the offer of Restricted Stock Units to Australian resident employees, which is attached hereto as Appendix B.</w:t>
      </w:r>
    </w:p>
    <w:p>
      <w:pPr>
        <w:spacing w:after="0" w:line="21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AUSTRIA</w:t>
      </w:r>
    </w:p>
    <w:p>
      <w:pPr>
        <w:spacing w:after="0" w:line="266" w:lineRule="exact"/>
        <w:rPr>
          <w:sz w:val="20"/>
          <w:szCs w:val="20"/>
          <w:color w:val="auto"/>
        </w:rPr>
      </w:pPr>
    </w:p>
    <w:p>
      <w:pPr>
        <w:jc w:val="both"/>
        <w:ind w:left="8" w:right="320"/>
        <w:spacing w:after="0" w:line="256"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6"/>
          <w:szCs w:val="16"/>
          <w:i w:val="1"/>
          <w:iCs w:val="1"/>
          <w:color w:val="auto"/>
        </w:rPr>
        <w:t>Standmeldung/Wertpapiere</w:t>
      </w:r>
      <w:r>
        <w:rPr>
          <w:rFonts w:ascii="Arial" w:cs="Arial" w:eastAsia="Arial" w:hAnsi="Arial"/>
          <w:sz w:val="16"/>
          <w:szCs w:val="16"/>
          <w:color w:val="auto"/>
        </w:rPr>
        <w:t>.” An exemption applies if the value of the securities held outside Austria as of December 31 does not exceed certain thresholds. If applicable, the deadline for filing the annual report is January 31 of the following year.</w:t>
      </w:r>
    </w:p>
    <w:p>
      <w:pPr>
        <w:spacing w:after="0" w:line="227" w:lineRule="exact"/>
        <w:rPr>
          <w:sz w:val="20"/>
          <w:szCs w:val="20"/>
          <w:color w:val="auto"/>
        </w:rPr>
      </w:pPr>
    </w:p>
    <w:p>
      <w:pPr>
        <w:jc w:val="both"/>
        <w:ind w:left="8" w:right="320"/>
        <w:spacing w:after="0" w:line="253" w:lineRule="auto"/>
        <w:rPr>
          <w:sz w:val="20"/>
          <w:szCs w:val="20"/>
          <w:color w:val="auto"/>
        </w:rPr>
      </w:pPr>
      <w:r>
        <w:rPr>
          <w:rFonts w:ascii="Arial" w:cs="Arial" w:eastAsia="Arial" w:hAnsi="Arial"/>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6"/>
          <w:szCs w:val="16"/>
          <w:i w:val="1"/>
          <w:iCs w:val="1"/>
          <w:color w:val="auto"/>
        </w:rPr>
        <w:t>Meldungen SI-Forderungen</w:t>
      </w:r>
      <w:r>
        <w:rPr>
          <w:rFonts w:ascii="Arial" w:cs="Arial" w:eastAsia="Arial" w:hAnsi="Arial"/>
          <w:sz w:val="16"/>
          <w:szCs w:val="16"/>
          <w:color w:val="auto"/>
        </w:rPr>
        <w:t xml:space="preserve"> </w:t>
      </w:r>
      <w:r>
        <w:rPr>
          <w:rFonts w:ascii="Arial" w:cs="Arial" w:eastAsia="Arial" w:hAnsi="Arial"/>
          <w:sz w:val="16"/>
          <w:szCs w:val="16"/>
          <w:i w:val="1"/>
          <w:iCs w:val="1"/>
          <w:color w:val="auto"/>
        </w:rPr>
        <w:t>und/oder SI-Verpflichtungen</w:t>
      </w:r>
      <w:r>
        <w:rPr>
          <w:rFonts w:ascii="Arial" w:cs="Arial" w:eastAsia="Arial" w:hAnsi="Arial"/>
          <w:sz w:val="16"/>
          <w:szCs w:val="16"/>
          <w:color w:val="auto"/>
        </w:rPr>
        <w:t>.”</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BELGIUM</w:t>
      </w:r>
    </w:p>
    <w:p>
      <w:pPr>
        <w:spacing w:after="0" w:line="266" w:lineRule="exact"/>
        <w:rPr>
          <w:sz w:val="20"/>
          <w:szCs w:val="20"/>
          <w:color w:val="auto"/>
        </w:rPr>
      </w:pPr>
    </w:p>
    <w:p>
      <w:pPr>
        <w:jc w:val="both"/>
        <w:ind w:left="8" w:right="320"/>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27" w:lineRule="exact"/>
        <w:rPr>
          <w:sz w:val="20"/>
          <w:szCs w:val="20"/>
          <w:color w:val="auto"/>
        </w:rPr>
      </w:pPr>
    </w:p>
    <w:p>
      <w:pPr>
        <w:jc w:val="both"/>
        <w:ind w:left="8" w:right="340"/>
        <w:spacing w:after="0" w:line="253"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8"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CANADA</w:t>
      </w:r>
    </w:p>
    <w:p>
      <w:pPr>
        <w:spacing w:after="0" w:line="258"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jc w:val="center"/>
        <w:ind w:right="312"/>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0908"/>
          </w:cols>
          <w:pgMar w:left="652" w:top="1030" w:right="339" w:bottom="1440" w:gutter="0" w:footer="0" w:header="0"/>
        </w:sectPr>
      </w:pPr>
    </w:p>
    <w:bookmarkStart w:id="87" w:name="page88"/>
    <w:bookmarkEnd w:id="87"/>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1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21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9(q) of the Agreement: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CHINA</w:t>
      </w:r>
    </w:p>
    <w:p>
      <w:pPr>
        <w:spacing w:after="0" w:line="266"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0580"/>
          </w:cols>
          <w:pgMar w:left="660" w:top="1030" w:right="659" w:bottom="1440" w:gutter="0" w:footer="0" w:header="0"/>
        </w:sectPr>
      </w:pPr>
    </w:p>
    <w:bookmarkStart w:id="88" w:name="page89"/>
    <w:bookmarkEnd w:id="88"/>
    <w:p>
      <w:pPr>
        <w:ind w:left="5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spacing w:after="0" w:line="295" w:lineRule="auto"/>
        <w:rPr>
          <w:sz w:val="20"/>
          <w:szCs w:val="20"/>
          <w:color w:val="auto"/>
        </w:rPr>
      </w:pPr>
      <w:r>
        <w:rPr>
          <w:rFonts w:ascii="Arial" w:cs="Arial" w:eastAsia="Arial" w:hAnsi="Arial"/>
          <w:sz w:val="14"/>
          <w:szCs w:val="14"/>
          <w:u w:val="single" w:color="auto"/>
          <w:color w:val="auto"/>
        </w:rPr>
        <w:t>Vesting</w:t>
      </w:r>
      <w:r>
        <w:rPr>
          <w:rFonts w:ascii="Arial" w:cs="Arial" w:eastAsia="Arial" w:hAnsi="Arial"/>
          <w:sz w:val="14"/>
          <w:szCs w:val="14"/>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203" w:lineRule="exact"/>
        <w:rPr>
          <w:sz w:val="20"/>
          <w:szCs w:val="20"/>
          <w:color w:val="auto"/>
        </w:rPr>
      </w:pPr>
    </w:p>
    <w:p>
      <w:pPr>
        <w:jc w:val="both"/>
        <w:ind w:left="340"/>
        <w:spacing w:after="0" w:line="291"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7" w:lineRule="exact"/>
        <w:rPr>
          <w:sz w:val="20"/>
          <w:szCs w:val="20"/>
          <w:color w:val="auto"/>
        </w:rPr>
      </w:pPr>
    </w:p>
    <w:p>
      <w:pPr>
        <w:jc w:val="both"/>
        <w:ind w:left="340" w:right="20"/>
        <w:spacing w:after="0" w:line="286" w:lineRule="auto"/>
        <w:rPr>
          <w:sz w:val="20"/>
          <w:szCs w:val="20"/>
          <w:color w:val="auto"/>
        </w:rPr>
      </w:pPr>
      <w:r>
        <w:rPr>
          <w:rFonts w:ascii="Arial" w:cs="Arial" w:eastAsia="Arial" w:hAnsi="Arial"/>
          <w:sz w:val="15"/>
          <w:szCs w:val="15"/>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93"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27"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u w:val="single" w:color="auto"/>
          <w:color w:val="auto"/>
        </w:rPr>
        <w:t>Tax Liability</w:t>
      </w:r>
      <w:r>
        <w:rPr>
          <w:rFonts w:ascii="Arial" w:cs="Arial" w:eastAsia="Arial" w:hAnsi="Arial"/>
          <w:sz w:val="16"/>
          <w:szCs w:val="16"/>
          <w:color w:val="auto"/>
        </w:rPr>
        <w:t>. Taxes are due at the time of vesting of the RSUs. The Participant understands and agrees that Tax-Related Items may be taken by the Employer from the Participant’s salary or other cash compensation.</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DENMARK</w:t>
      </w:r>
    </w:p>
    <w:p>
      <w:pPr>
        <w:spacing w:after="0" w:line="266" w:lineRule="exact"/>
        <w:rPr>
          <w:sz w:val="20"/>
          <w:szCs w:val="20"/>
          <w:color w:val="auto"/>
        </w:rPr>
      </w:pPr>
    </w:p>
    <w:p>
      <w:pPr>
        <w:jc w:val="both"/>
        <w:ind w:left="340"/>
        <w:spacing w:after="0" w:line="310" w:lineRule="auto"/>
        <w:rPr>
          <w:sz w:val="20"/>
          <w:szCs w:val="20"/>
          <w:color w:val="auto"/>
        </w:rPr>
      </w:pPr>
      <w:r>
        <w:rPr>
          <w:rFonts w:ascii="Arial" w:cs="Arial" w:eastAsia="Arial" w:hAnsi="Arial"/>
          <w:sz w:val="15"/>
          <w:szCs w:val="15"/>
          <w:u w:val="single" w:color="auto"/>
          <w:color w:val="auto"/>
        </w:rPr>
        <w:t>Danish Stock Option Act</w:t>
      </w:r>
      <w:r>
        <w:rPr>
          <w:rFonts w:ascii="Arial" w:cs="Arial" w:eastAsia="Arial" w:hAnsi="Arial"/>
          <w:sz w:val="15"/>
          <w:szCs w:val="15"/>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262"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13" w:lineRule="exact"/>
        <w:rPr>
          <w:sz w:val="20"/>
          <w:szCs w:val="20"/>
          <w:color w:val="auto"/>
        </w:rPr>
      </w:pPr>
    </w:p>
    <w:p>
      <w:pPr>
        <w:jc w:val="both"/>
        <w:ind w:left="340" w:right="20"/>
        <w:spacing w:after="0" w:line="275"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EGYPT</w:t>
      </w:r>
    </w:p>
    <w:p>
      <w:pPr>
        <w:spacing w:after="0" w:line="266"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6"/>
          <w:szCs w:val="16"/>
          <w:b w:val="1"/>
          <w:bCs w:val="1"/>
          <w:u w:val="single" w:color="auto"/>
          <w:color w:val="auto"/>
        </w:rPr>
        <w:t>FINLAND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0920"/>
          </w:cols>
          <w:pgMar w:left="320" w:top="1030" w:right="659" w:bottom="1440" w:gutter="0" w:footer="0" w:header="0"/>
        </w:sectPr>
      </w:pPr>
    </w:p>
    <w:bookmarkStart w:id="89" w:name="page90"/>
    <w:bookmarkEnd w:id="89"/>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French-Qualified RSUs</w:t>
      </w:r>
      <w:r>
        <w:rPr>
          <w:rFonts w:ascii="Arial" w:cs="Arial" w:eastAsia="Arial" w:hAnsi="Arial"/>
          <w:sz w:val="16"/>
          <w:szCs w:val="16"/>
          <w:color w:val="auto"/>
        </w:rPr>
        <w:t>. The RSUs are intended to qualify for the favorable tax and social security regime in France under Section L. 225-197-1 to L. 225-197-6-1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Except in the event of the Participant’s death or Disability (as defined in the French Sub-plan and as determined under Section 2(d) of the Agreement) to benefit from the favorable tax and social security regime, no vesting shall occur prior to the first anniversary of the Date of Grant, or such other minimum period as required for the vesting period applicable to French-qualified RSUs under Section L. 225-197-1 of the French Commercial Code, as amended, or relevant Sections of the French Tax Code or the French Social Security Code, as amended.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the event the Participant becomes Disabled (as defined in the French Sub-plan and as determined under Section 2(d) of the Agreement), the Unvested RSUs as of the date of the Participant’s termination shall vest in full as of the date of the termination.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26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 as long as the RSUs and the Shares acquired at vesting of the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9(u) in the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Certain adjustments may disqualify the RSUs, in which case they may no longer benefit from favorable tax and social security treatment in France.</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- 5</w:t>
      </w:r>
    </w:p>
    <w:p>
      <w:pPr>
        <w:sectPr>
          <w:pgSz w:w="11900" w:h="16838" w:orient="portrait"/>
          <w:cols w:equalWidth="0" w:num="1">
            <w:col w:w="10580"/>
          </w:cols>
          <w:pgMar w:left="660" w:top="1030" w:right="659" w:bottom="1440" w:gutter="0" w:footer="0" w:header="0"/>
        </w:sectPr>
      </w:pPr>
    </w:p>
    <w:bookmarkStart w:id="90" w:name="page91"/>
    <w:bookmarkEnd w:id="90"/>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i w:val="1"/>
          <w:iCs w:val="1"/>
          <w:u w:val="single" w:color="auto"/>
          <w:color w:val="auto"/>
        </w:rPr>
        <w:t>Consentement a la Langue</w:t>
      </w:r>
      <w:r>
        <w:rPr>
          <w:rFonts w:ascii="Arial" w:cs="Arial" w:eastAsia="Arial" w:hAnsi="Arial"/>
          <w:sz w:val="15"/>
          <w:szCs w:val="15"/>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25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can be accessed via the Bundesbank’s website (www.bundesbank.de) and is available in both German and English. It is Participant’s responsibility to comply with this reporting obligation and the Participant should consult with his or her personal tax advisor in this regard.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26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45" w:lineRule="exact"/>
        <w:rPr>
          <w:sz w:val="20"/>
          <w:szCs w:val="20"/>
          <w:color w:val="auto"/>
        </w:rPr>
      </w:pPr>
    </w:p>
    <w:p>
      <w:pPr>
        <w:jc w:val="both"/>
        <w:spacing w:after="0" w:line="295"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WARNING</w:t>
      </w:r>
      <w:r>
        <w:rPr>
          <w:rFonts w:ascii="Arial" w:cs="Arial" w:eastAsia="Arial" w:hAnsi="Arial"/>
          <w:sz w:val="14"/>
          <w:szCs w:val="14"/>
          <w:i w:val="1"/>
          <w:iCs w:val="1"/>
          <w:color w:val="auto"/>
        </w:rPr>
        <w:t>: The contents of this document have not been reviewed by any regulatory authority in Hong Kong. The Participant should</w:t>
      </w:r>
      <w:r>
        <w:rPr>
          <w:rFonts w:ascii="Arial" w:cs="Arial" w:eastAsia="Arial" w:hAnsi="Arial"/>
          <w:sz w:val="14"/>
          <w:szCs w:val="14"/>
          <w:color w:val="auto"/>
        </w:rPr>
        <w:t xml:space="preserve"> </w:t>
      </w:r>
      <w:r>
        <w:rPr>
          <w:rFonts w:ascii="Arial" w:cs="Arial" w:eastAsia="Arial" w:hAnsi="Arial"/>
          <w:sz w:val="14"/>
          <w:szCs w:val="14"/>
          <w:i w:val="1"/>
          <w:iCs w:val="1"/>
          <w:color w:val="auto"/>
        </w:rPr>
        <w:t>exercise 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HUNGARY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INDIA</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32"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of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RSUs, the Participant acknowledges, understands, and agrees that the benefits received under the Plan will not be taken into account for any redundancy or unfair dismissal claim.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0580"/>
          </w:cols>
          <w:pgMar w:left="660" w:top="1030" w:right="659" w:bottom="1440" w:gutter="0" w:footer="0" w:header="0"/>
        </w:sectPr>
      </w:pPr>
    </w:p>
    <w:bookmarkStart w:id="91" w:name="page92"/>
    <w:bookmarkEnd w:id="91"/>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ISRAEL</w:t>
      </w: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Trust Arrangement</w:t>
      </w:r>
      <w:r>
        <w:rPr>
          <w:rFonts w:ascii="Arial" w:cs="Arial" w:eastAsia="Arial" w:hAnsi="Arial"/>
          <w:sz w:val="16"/>
          <w:szCs w:val="16"/>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Israeli Sub-Plan will govern the RSUs granted to the Participant in Israel.</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D within 45 days to: Stock Plan Administrator, Analog Devices, Inc., One Analog Way, Wilmington, Massachusetts, 01887 U.S.A. If Analog Devices, (Israel) Ltd. or Analog Devices, Inc. does not receive the signed Israeli Appendix within 45 days, the RSUs shall terminate and will become null and void.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pacing w:after="0" w:line="262"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ITALY</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Tax</w:t>
      </w:r>
      <w:r>
        <w:rPr>
          <w:rFonts w:ascii="Arial" w:cs="Arial" w:eastAsia="Arial" w:hAnsi="Arial"/>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JAPAN</w:t>
      </w:r>
    </w:p>
    <w:p>
      <w:pPr>
        <w:spacing w:after="0" w:line="26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- 7</w:t>
      </w:r>
    </w:p>
    <w:p>
      <w:pPr>
        <w:sectPr>
          <w:pgSz w:w="11900" w:h="16838" w:orient="portrait"/>
          <w:cols w:equalWidth="0" w:num="1">
            <w:col w:w="10580"/>
          </w:cols>
          <w:pgMar w:left="660" w:top="1030" w:right="659" w:bottom="1440" w:gutter="0" w:footer="0" w:header="0"/>
        </w:sectPr>
      </w:pPr>
    </w:p>
    <w:bookmarkStart w:id="92" w:name="page93"/>
    <w:bookmarkEnd w:id="92"/>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KOREA</w:t>
      </w:r>
    </w:p>
    <w:p>
      <w:pPr>
        <w:spacing w:after="0" w:line="266"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MALAYSIA</w:t>
      </w:r>
    </w:p>
    <w:p>
      <w:pPr>
        <w:spacing w:after="0" w:line="2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the Data Privacy Information and Consent provision in the Terms and Conditions for Participants Outside the U.S. set forth above: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- 8</w:t>
      </w:r>
    </w:p>
    <w:p>
      <w:pPr>
        <w:sectPr>
          <w:pgSz w:w="11900" w:h="16838" w:orient="portrait"/>
          <w:cols w:equalWidth="0" w:num="1">
            <w:col w:w="10580"/>
          </w:cols>
          <w:pgMar w:left="660" w:top="1030" w:right="659" w:bottom="1440" w:gutter="0" w:footer="0" w:header="0"/>
        </w:sectPr>
      </w:pPr>
    </w:p>
    <w:bookmarkStart w:id="93" w:name="page94"/>
    <w:bookmarkEnd w:id="93"/>
    <w:p>
      <w:pPr>
        <w:ind w:left="5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471805</wp:posOffset>
            </wp:positionV>
            <wp:extent cx="60693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right="599"/>
        <w:spacing w:after="0" w:line="288" w:lineRule="auto"/>
        <w:rPr>
          <w:sz w:val="20"/>
          <w:szCs w:val="20"/>
          <w:color w:val="auto"/>
        </w:rPr>
      </w:pPr>
      <w:r>
        <w:rPr>
          <w:rFonts w:ascii="Arial" w:cs="Arial" w:eastAsia="Arial" w:hAnsi="Arial"/>
          <w:sz w:val="14"/>
          <w:szCs w:val="14"/>
          <w:b w:val="1"/>
          <w:bCs w:val="1"/>
          <w:i w:val="1"/>
          <w:iCs w:val="1"/>
          <w:color w:val="auto"/>
        </w:rPr>
        <w:t>The Participant hereby explicitly and unambiguously consents Peserta dengan ini secara eksplicit, secara sukarela dan tanpa sebarang to the collection, use and transfer, in electronic or other form, of keraguan mengizinkan pengumpulan, penggunaan dan pemindahan, dalam his or her personal data as described in this document by and bentuk elektronik atau lain-lain, data peribadinya seperti yang dinyatakan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-361315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-344170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-327025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-309880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-292735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-275590</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-258445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-241300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-224155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-207010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-189865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-172720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-155575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-138430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-121285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-104140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-86995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-69850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-52705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-35560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-18415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-361315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-344170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-327025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-309880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-292735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-275590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-258445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-241300</wp:posOffset>
            </wp:positionV>
            <wp:extent cx="8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-224155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-207010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-189865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-172720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-155575</wp:posOffset>
            </wp:positionV>
            <wp:extent cx="88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-138430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-121285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-104140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-86995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-69850</wp:posOffset>
            </wp:positionV>
            <wp:extent cx="88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-52705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-35560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-18415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-361315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-344170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-327025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-309880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-292735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-275590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-258445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-241300</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-224155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-207010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-189865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-172720</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-155575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-138430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-121285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-104140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-86995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-69850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-52705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-35560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-18415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-1270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4800" w:type="dxa"/>
            <w:vAlign w:val="bottom"/>
            <w:gridSpan w:val="2"/>
          </w:tcPr>
          <w:p>
            <w:pPr>
              <w:spacing w:after="0" w:line="177" w:lineRule="exact"/>
              <w:rPr>
                <w:sz w:val="20"/>
                <w:szCs w:val="20"/>
                <w:color w:val="auto"/>
              </w:rPr>
            </w:pPr>
            <w:r>
              <w:rPr>
                <w:rFonts w:ascii="Arial" w:cs="Arial" w:eastAsia="Arial" w:hAnsi="Arial"/>
                <w:sz w:val="16"/>
                <w:szCs w:val="16"/>
                <w:b w:val="1"/>
                <w:bCs w:val="1"/>
                <w:i w:val="1"/>
                <w:iCs w:val="1"/>
                <w:color w:val="auto"/>
                <w:w w:val="91"/>
              </w:rPr>
              <w:t>among, as applicable, the Employer, and the Company and its dalam</w:t>
            </w:r>
          </w:p>
        </w:tc>
        <w:tc>
          <w:tcPr>
            <w:tcW w:w="2500" w:type="dxa"/>
            <w:vAlign w:val="bottom"/>
          </w:tcPr>
          <w:p>
            <w:pPr>
              <w:ind w:left="40"/>
              <w:spacing w:after="0" w:line="177" w:lineRule="exact"/>
              <w:rPr>
                <w:sz w:val="20"/>
                <w:szCs w:val="20"/>
                <w:color w:val="auto"/>
              </w:rPr>
            </w:pPr>
            <w:r>
              <w:rPr>
                <w:rFonts w:ascii="Arial" w:cs="Arial" w:eastAsia="Arial" w:hAnsi="Arial"/>
                <w:sz w:val="16"/>
                <w:szCs w:val="16"/>
                <w:b w:val="1"/>
                <w:bCs w:val="1"/>
                <w:i w:val="1"/>
                <w:iCs w:val="1"/>
                <w:color w:val="auto"/>
                <w:w w:val="99"/>
              </w:rPr>
              <w:t>dokumen ini, oleh dan di antara,</w:t>
            </w:r>
          </w:p>
        </w:tc>
        <w:tc>
          <w:tcPr>
            <w:tcW w:w="960" w:type="dxa"/>
            <w:vAlign w:val="bottom"/>
          </w:tcPr>
          <w:p>
            <w:pPr>
              <w:ind w:left="60"/>
              <w:spacing w:after="0" w:line="177" w:lineRule="exact"/>
              <w:rPr>
                <w:sz w:val="20"/>
                <w:szCs w:val="20"/>
                <w:color w:val="auto"/>
              </w:rPr>
            </w:pPr>
            <w:r>
              <w:rPr>
                <w:rFonts w:ascii="Arial" w:cs="Arial" w:eastAsia="Arial" w:hAnsi="Arial"/>
                <w:sz w:val="16"/>
                <w:szCs w:val="16"/>
                <w:b w:val="1"/>
                <w:bCs w:val="1"/>
                <w:i w:val="1"/>
                <w:iCs w:val="1"/>
                <w:color w:val="auto"/>
                <w:w w:val="86"/>
              </w:rPr>
              <w:t>sebagaimana</w:t>
            </w:r>
          </w:p>
        </w:tc>
        <w:tc>
          <w:tcPr>
            <w:tcW w:w="400" w:type="dxa"/>
            <w:vAlign w:val="bottom"/>
          </w:tcPr>
          <w:p>
            <w:pPr>
              <w:ind w:left="60"/>
              <w:spacing w:after="0" w:line="177" w:lineRule="exact"/>
              <w:rPr>
                <w:sz w:val="20"/>
                <w:szCs w:val="20"/>
                <w:color w:val="auto"/>
              </w:rPr>
            </w:pPr>
            <w:r>
              <w:rPr>
                <w:rFonts w:ascii="Arial" w:cs="Arial" w:eastAsia="Arial" w:hAnsi="Arial"/>
                <w:sz w:val="16"/>
                <w:szCs w:val="16"/>
                <w:b w:val="1"/>
                <w:bCs w:val="1"/>
                <w:i w:val="1"/>
                <w:iCs w:val="1"/>
                <w:color w:val="auto"/>
                <w:w w:val="85"/>
              </w:rPr>
              <w:t>yang</w:t>
            </w:r>
          </w:p>
        </w:tc>
        <w:tc>
          <w:tcPr>
            <w:tcW w:w="840" w:type="dxa"/>
            <w:vAlign w:val="bottom"/>
          </w:tcPr>
          <w:p>
            <w:pPr>
              <w:jc w:val="right"/>
              <w:spacing w:after="0" w:line="177" w:lineRule="exact"/>
              <w:rPr>
                <w:sz w:val="20"/>
                <w:szCs w:val="20"/>
                <w:color w:val="auto"/>
              </w:rPr>
            </w:pPr>
            <w:r>
              <w:rPr>
                <w:rFonts w:ascii="Arial" w:cs="Arial" w:eastAsia="Arial" w:hAnsi="Arial"/>
                <w:sz w:val="16"/>
                <w:szCs w:val="16"/>
                <w:b w:val="1"/>
                <w:bCs w:val="1"/>
                <w:i w:val="1"/>
                <w:iCs w:val="1"/>
                <w:color w:val="auto"/>
                <w:w w:val="97"/>
              </w:rPr>
              <w:t>berkenaan,</w:t>
            </w:r>
          </w:p>
        </w:tc>
      </w:tr>
      <w:tr>
        <w:trPr>
          <w:trHeight w:val="189"/>
        </w:trPr>
        <w:tc>
          <w:tcPr>
            <w:tcW w:w="860" w:type="dxa"/>
            <w:vAlign w:val="bottom"/>
          </w:tcPr>
          <w:p>
            <w:pPr>
              <w:spacing w:after="0"/>
              <w:rPr>
                <w:sz w:val="20"/>
                <w:szCs w:val="20"/>
                <w:color w:val="auto"/>
              </w:rPr>
            </w:pPr>
            <w:r>
              <w:rPr>
                <w:rFonts w:ascii="Arial" w:cs="Arial" w:eastAsia="Arial" w:hAnsi="Arial"/>
                <w:sz w:val="16"/>
                <w:szCs w:val="16"/>
                <w:b w:val="1"/>
                <w:bCs w:val="1"/>
                <w:i w:val="1"/>
                <w:iCs w:val="1"/>
                <w:color w:val="auto"/>
                <w:w w:val="89"/>
              </w:rPr>
              <w:t>subsidiaries</w:t>
            </w:r>
          </w:p>
        </w:tc>
        <w:tc>
          <w:tcPr>
            <w:tcW w:w="8640" w:type="dxa"/>
            <w:vAlign w:val="bottom"/>
            <w:gridSpan w:val="5"/>
          </w:tcPr>
          <w:p>
            <w:pPr>
              <w:jc w:val="right"/>
              <w:spacing w:after="0"/>
              <w:rPr>
                <w:sz w:val="20"/>
                <w:szCs w:val="20"/>
                <w:color w:val="auto"/>
              </w:rPr>
            </w:pPr>
            <w:r>
              <w:rPr>
                <w:rFonts w:ascii="Arial" w:cs="Arial" w:eastAsia="Arial" w:hAnsi="Arial"/>
                <w:sz w:val="16"/>
                <w:szCs w:val="16"/>
                <w:b w:val="1"/>
                <w:bCs w:val="1"/>
                <w:i w:val="1"/>
                <w:iCs w:val="1"/>
                <w:color w:val="auto"/>
                <w:w w:val="95"/>
              </w:rPr>
              <w:t>for  the  exclusive  purpose  of  implementing, Majikan, Syarikat, dan mana-mana anak Syarikatnya bagi tujuan ekslusif</w:t>
            </w:r>
          </w:p>
        </w:tc>
      </w:tr>
      <w:tr>
        <w:trPr>
          <w:trHeight w:val="189"/>
        </w:trPr>
        <w:tc>
          <w:tcPr>
            <w:tcW w:w="480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3"/>
              </w:rPr>
              <w:t>administering and managing the Participant’s participation in untuk</w:t>
            </w:r>
          </w:p>
        </w:tc>
        <w:tc>
          <w:tcPr>
            <w:tcW w:w="2500" w:type="dxa"/>
            <w:vAlign w:val="bottom"/>
          </w:tcPr>
          <w:p>
            <w:pPr>
              <w:ind w:left="80"/>
              <w:spacing w:after="0"/>
              <w:rPr>
                <w:sz w:val="20"/>
                <w:szCs w:val="20"/>
                <w:color w:val="auto"/>
              </w:rPr>
            </w:pPr>
            <w:r>
              <w:rPr>
                <w:rFonts w:ascii="Arial" w:cs="Arial" w:eastAsia="Arial" w:hAnsi="Arial"/>
                <w:sz w:val="16"/>
                <w:szCs w:val="16"/>
                <w:b w:val="1"/>
                <w:bCs w:val="1"/>
                <w:i w:val="1"/>
                <w:iCs w:val="1"/>
                <w:color w:val="auto"/>
                <w:w w:val="97"/>
              </w:rPr>
              <w:t>membantu  dalam  pelaksanaan,</w:t>
            </w:r>
          </w:p>
        </w:tc>
        <w:tc>
          <w:tcPr>
            <w:tcW w:w="960" w:type="dxa"/>
            <w:vAlign w:val="bottom"/>
          </w:tcPr>
          <w:p>
            <w:pPr>
              <w:ind w:left="40"/>
              <w:spacing w:after="0"/>
              <w:rPr>
                <w:sz w:val="20"/>
                <w:szCs w:val="20"/>
                <w:color w:val="auto"/>
              </w:rPr>
            </w:pPr>
            <w:r>
              <w:rPr>
                <w:rFonts w:ascii="Arial" w:cs="Arial" w:eastAsia="Arial" w:hAnsi="Arial"/>
                <w:sz w:val="16"/>
                <w:szCs w:val="16"/>
                <w:b w:val="1"/>
                <w:bCs w:val="1"/>
                <w:i w:val="1"/>
                <w:iCs w:val="1"/>
                <w:color w:val="auto"/>
                <w:w w:val="98"/>
              </w:rPr>
              <w:t>pentadbiran</w:t>
            </w:r>
          </w:p>
        </w:tc>
        <w:tc>
          <w:tcPr>
            <w:tcW w:w="4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dan</w:t>
            </w:r>
          </w:p>
        </w:tc>
        <w:tc>
          <w:tcPr>
            <w:tcW w:w="840" w:type="dxa"/>
            <w:vAlign w:val="bottom"/>
          </w:tcPr>
          <w:p>
            <w:pPr>
              <w:jc w:val="right"/>
              <w:spacing w:after="0"/>
              <w:rPr>
                <w:sz w:val="20"/>
                <w:szCs w:val="20"/>
                <w:color w:val="auto"/>
              </w:rPr>
            </w:pPr>
            <w:r>
              <w:rPr>
                <w:rFonts w:ascii="Arial" w:cs="Arial" w:eastAsia="Arial" w:hAnsi="Arial"/>
                <w:sz w:val="16"/>
                <w:szCs w:val="16"/>
                <w:b w:val="1"/>
                <w:bCs w:val="1"/>
                <w:i w:val="1"/>
                <w:iCs w:val="1"/>
                <w:color w:val="auto"/>
                <w:w w:val="87"/>
              </w:rPr>
              <w:t>pengurusan</w:t>
            </w:r>
          </w:p>
        </w:tc>
      </w:tr>
      <w:tr>
        <w:trPr>
          <w:trHeight w:val="206"/>
        </w:trPr>
        <w:tc>
          <w:tcPr>
            <w:tcW w:w="860" w:type="dxa"/>
            <w:vAlign w:val="bottom"/>
          </w:tcPr>
          <w:p>
            <w:pPr>
              <w:spacing w:after="0"/>
              <w:rPr>
                <w:sz w:val="20"/>
                <w:szCs w:val="20"/>
                <w:color w:val="auto"/>
              </w:rPr>
            </w:pPr>
            <w:r>
              <w:rPr>
                <w:rFonts w:ascii="Arial" w:cs="Arial" w:eastAsia="Arial" w:hAnsi="Arial"/>
                <w:sz w:val="16"/>
                <w:szCs w:val="16"/>
                <w:b w:val="1"/>
                <w:bCs w:val="1"/>
                <w:i w:val="1"/>
                <w:iCs w:val="1"/>
                <w:color w:val="auto"/>
              </w:rPr>
              <w:t>the Plan.</w:t>
            </w:r>
          </w:p>
        </w:tc>
        <w:tc>
          <w:tcPr>
            <w:tcW w:w="6440" w:type="dxa"/>
            <w:vAlign w:val="bottom"/>
            <w:gridSpan w:val="2"/>
          </w:tcPr>
          <w:p>
            <w:pPr>
              <w:ind w:left="3480"/>
              <w:spacing w:after="0"/>
              <w:rPr>
                <w:sz w:val="20"/>
                <w:szCs w:val="20"/>
                <w:color w:val="auto"/>
              </w:rPr>
            </w:pPr>
            <w:r>
              <w:rPr>
                <w:rFonts w:ascii="Arial" w:cs="Arial" w:eastAsia="Arial" w:hAnsi="Arial"/>
                <w:sz w:val="16"/>
                <w:szCs w:val="16"/>
                <w:b w:val="1"/>
                <w:bCs w:val="1"/>
                <w:i w:val="1"/>
                <w:iCs w:val="1"/>
                <w:color w:val="auto"/>
              </w:rPr>
              <w:t>penyertaan Peserta dalam Pelan.</w:t>
            </w: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-467360</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-449580</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-433070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-415925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-398145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-381635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-363855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-347345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-330200</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-312420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-295910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-278130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-261620</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-244475</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-226695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-210185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-192405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-175895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-158750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-140970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-124460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-106680</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-90170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-73025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-55245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-38735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-20955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-4445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12065</wp:posOffset>
            </wp:positionV>
            <wp:extent cx="8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29845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46355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64135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81280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97790</wp:posOffset>
            </wp:positionV>
            <wp:extent cx="88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115570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-467360</wp:posOffset>
            </wp:positionV>
            <wp:extent cx="88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-449580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-433070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-415925</wp:posOffset>
            </wp:positionV>
            <wp:extent cx="88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-398145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-381635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-363855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-347345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-330200</wp:posOffset>
            </wp:positionV>
            <wp:extent cx="88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-312420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-295910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-278130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-261620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-244475</wp:posOffset>
            </wp:positionV>
            <wp:extent cx="8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-226695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-210185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-192405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-175895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-158750</wp:posOffset>
            </wp:positionV>
            <wp:extent cx="88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-140970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-124460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-90170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-73025</wp:posOffset>
            </wp:positionV>
            <wp:extent cx="88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-55245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-38735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-4445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12065</wp:posOffset>
            </wp:positionV>
            <wp:extent cx="88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46355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97790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115570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-467360</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-449580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-433070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-415925</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-398145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-381635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-363855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-347345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-330200</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-312420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-295910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-278130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-261620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-244475</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-226695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-210185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-192405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-175895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-158750</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-140970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-124460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-106680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-90170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-73025</wp:posOffset>
            </wp:positionV>
            <wp:extent cx="88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-55245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-38735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-20955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-4445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12065</wp:posOffset>
            </wp:positionV>
            <wp:extent cx="88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29845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46355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64135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81280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97790</wp:posOffset>
            </wp:positionV>
            <wp:extent cx="88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115570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9" w:lineRule="exact"/>
        <w:rPr>
          <w:sz w:val="20"/>
          <w:szCs w:val="20"/>
          <w:color w:val="auto"/>
        </w:rPr>
      </w:pPr>
    </w:p>
    <w:p>
      <w:pPr>
        <w:jc w:val="both"/>
        <w:ind w:right="599"/>
        <w:spacing w:after="0" w:line="287" w:lineRule="auto"/>
        <w:rPr>
          <w:sz w:val="20"/>
          <w:szCs w:val="20"/>
          <w:color w:val="auto"/>
        </w:rPr>
      </w:pPr>
      <w:r>
        <w:rPr>
          <w:rFonts w:ascii="Arial" w:cs="Arial" w:eastAsia="Arial" w:hAnsi="Arial"/>
          <w:sz w:val="14"/>
          <w:szCs w:val="14"/>
          <w:b w:val="1"/>
          <w:bCs w:val="1"/>
          <w:i w:val="1"/>
          <w:iCs w:val="1"/>
          <w:color w:val="auto"/>
        </w:rPr>
        <w:t xml:space="preserve">The Participant understands that the Company and the Peserta memahami bahawa Syarikat dan Majikan mungkin memegang Employer may hold certain personal information about the maklumat peribadi tertentu tentang Peserta, termasuk, tetapi tidak terhad Participant, including, but not limited to, his or her name, home kepada, namanya, alamat rumah dan nombor telefon, tarikh lahir, nombor address and telephone number, date of birth, social insurance insurans sosial atau nombor pengenalan lain, gaji, kewarganegaraan, number or other identification number, salary, nationality, job jawatan, apa-apa syer dalam saham atau jawatan pengarah yang dipegang title, any shares of stock or directorships held in the Company, dalam Syarikat, butir-butir semua RSUs atau apa-apa hak lain untuk syer details of all RSUs or any other entitlement to shares of stock dalam saham yang dianugerahkan, dibatalkan, dilaksanakan, terletak hak, awarded, canceled, exercised, vested, unvested or outstanding in tidak diletak hak ataupun yang belum dijelaskan bagi faedah Peserta, untuk the Participant’s favor, for the purpose of implementing, tujuan eksklusif bagi melaksanakan, mentadbir dan menguruskan Pelan administering and managing the Plan (“Data”). The source of (“Data”). Sumber Data adalah daripada Majikan dan juga daripada the Data is the Employer as well as information the Participant maklumat yang dibekalkan oleh Peserta kepada Syarikat dan Majikan is providing to the Company and the Employer in connection berkenaan dengan RSUs. Penerima Anugerah juga memahami bahawa with the RSUs. The Participant understands that Data may be Data mungkin dipindahkan kepada Fidelity atau mana-mana pihak ketiga transferred to Fidelity or any other third parties as may be yang mungkin dipilih oleh Syarikat pada masa depan, </w:t>
      </w:r>
      <w:r>
        <w:rPr>
          <w:rFonts w:ascii="Arial" w:cs="Arial" w:eastAsia="Arial" w:hAnsi="Arial"/>
          <w:sz w:val="14"/>
          <w:szCs w:val="14"/>
          <w:b w:val="1"/>
          <w:bCs w:val="1"/>
          <w:i w:val="1"/>
          <w:iCs w:val="1"/>
          <w:color w:val="222222"/>
        </w:rPr>
        <w:t>yang membantu</w:t>
      </w:r>
      <w:r>
        <w:rPr>
          <w:rFonts w:ascii="Arial" w:cs="Arial" w:eastAsia="Arial" w:hAnsi="Arial"/>
          <w:sz w:val="14"/>
          <w:szCs w:val="14"/>
          <w:b w:val="1"/>
          <w:bCs w:val="1"/>
          <w:i w:val="1"/>
          <w:iCs w:val="1"/>
          <w:color w:val="auto"/>
        </w:rPr>
        <w:t xml:space="preserve"> selected by the Company in the future, which are assisting in </w:t>
      </w:r>
      <w:r>
        <w:rPr>
          <w:rFonts w:ascii="Arial" w:cs="Arial" w:eastAsia="Arial" w:hAnsi="Arial"/>
          <w:sz w:val="14"/>
          <w:szCs w:val="14"/>
          <w:b w:val="1"/>
          <w:bCs w:val="1"/>
          <w:i w:val="1"/>
          <w:iCs w:val="1"/>
          <w:color w:val="222222"/>
        </w:rPr>
        <w:t>dalam pelaksanaan, pentadbiran dan pengurusan Pelan, bahawa penerima-</w:t>
      </w:r>
      <w:r>
        <w:rPr>
          <w:rFonts w:ascii="Arial" w:cs="Arial" w:eastAsia="Arial" w:hAnsi="Arial"/>
          <w:sz w:val="14"/>
          <w:szCs w:val="14"/>
          <w:b w:val="1"/>
          <w:bCs w:val="1"/>
          <w:i w:val="1"/>
          <w:iCs w:val="1"/>
          <w:color w:val="auto"/>
        </w:rPr>
        <w:t xml:space="preserve">the implementation, administration and management of the </w:t>
      </w:r>
      <w:r>
        <w:rPr>
          <w:rFonts w:ascii="Arial" w:cs="Arial" w:eastAsia="Arial" w:hAnsi="Arial"/>
          <w:sz w:val="14"/>
          <w:szCs w:val="14"/>
          <w:b w:val="1"/>
          <w:bCs w:val="1"/>
          <w:i w:val="1"/>
          <w:iCs w:val="1"/>
          <w:color w:val="222222"/>
        </w:rPr>
        <w:t>penerima ini mungkin berada di negara Peserta atau di tempat lain, dan</w:t>
      </w:r>
      <w:r>
        <w:rPr>
          <w:rFonts w:ascii="Arial" w:cs="Arial" w:eastAsia="Arial" w:hAnsi="Arial"/>
          <w:sz w:val="14"/>
          <w:szCs w:val="14"/>
          <w:b w:val="1"/>
          <w:bCs w:val="1"/>
          <w:i w:val="1"/>
          <w:iCs w:val="1"/>
          <w:color w:val="auto"/>
        </w:rPr>
        <w:t xml:space="preserve"> Plan, that these recipients may be located in the Participant’s </w:t>
      </w:r>
      <w:r>
        <w:rPr>
          <w:rFonts w:ascii="Arial" w:cs="Arial" w:eastAsia="Arial" w:hAnsi="Arial"/>
          <w:sz w:val="14"/>
          <w:szCs w:val="14"/>
          <w:b w:val="1"/>
          <w:bCs w:val="1"/>
          <w:i w:val="1"/>
          <w:iCs w:val="1"/>
          <w:color w:val="222222"/>
        </w:rPr>
        <w:t>bahawa negara penerima (contohnya, Amerika Syarikat) mungkin</w:t>
      </w:r>
      <w:r>
        <w:rPr>
          <w:rFonts w:ascii="Arial" w:cs="Arial" w:eastAsia="Arial" w:hAnsi="Arial"/>
          <w:sz w:val="14"/>
          <w:szCs w:val="14"/>
          <w:b w:val="1"/>
          <w:bCs w:val="1"/>
          <w:i w:val="1"/>
          <w:iCs w:val="1"/>
          <w:color w:val="auto"/>
        </w:rPr>
        <w:t xml:space="preserve"> country or elsewhere and that the recipients’ country (e.g., the </w:t>
      </w:r>
      <w:r>
        <w:rPr>
          <w:rFonts w:ascii="Arial" w:cs="Arial" w:eastAsia="Arial" w:hAnsi="Arial"/>
          <w:sz w:val="14"/>
          <w:szCs w:val="14"/>
          <w:b w:val="1"/>
          <w:bCs w:val="1"/>
          <w:i w:val="1"/>
          <w:iCs w:val="1"/>
          <w:color w:val="222222"/>
        </w:rPr>
        <w:t>mempunyai undang-undang privasi data dan perlindungan yang berbeza</w:t>
      </w:r>
      <w:r>
        <w:rPr>
          <w:rFonts w:ascii="Arial" w:cs="Arial" w:eastAsia="Arial" w:hAnsi="Arial"/>
          <w:sz w:val="14"/>
          <w:szCs w:val="14"/>
          <w:b w:val="1"/>
          <w:bCs w:val="1"/>
          <w:i w:val="1"/>
          <w:iCs w:val="1"/>
          <w:color w:val="auto"/>
        </w:rPr>
        <w:t xml:space="preserve"> United States) may have different data privacy laws and </w:t>
      </w:r>
      <w:r>
        <w:rPr>
          <w:rFonts w:ascii="Arial" w:cs="Arial" w:eastAsia="Arial" w:hAnsi="Arial"/>
          <w:sz w:val="14"/>
          <w:szCs w:val="14"/>
          <w:b w:val="1"/>
          <w:bCs w:val="1"/>
          <w:i w:val="1"/>
          <w:iCs w:val="1"/>
          <w:color w:val="222222"/>
        </w:rPr>
        <w:t>daripada negara Peserta. Peserta memahami bahawa dia boleh meminta</w:t>
      </w:r>
      <w:r>
        <w:rPr>
          <w:rFonts w:ascii="Arial" w:cs="Arial" w:eastAsia="Arial" w:hAnsi="Arial"/>
          <w:sz w:val="14"/>
          <w:szCs w:val="14"/>
          <w:b w:val="1"/>
          <w:bCs w:val="1"/>
          <w:i w:val="1"/>
          <w:iCs w:val="1"/>
          <w:color w:val="auto"/>
        </w:rPr>
        <w:t xml:space="preserve"> protections than the Participant’s country. The Participant </w:t>
      </w:r>
      <w:r>
        <w:rPr>
          <w:rFonts w:ascii="Arial" w:cs="Arial" w:eastAsia="Arial" w:hAnsi="Arial"/>
          <w:sz w:val="14"/>
          <w:szCs w:val="14"/>
          <w:b w:val="1"/>
          <w:bCs w:val="1"/>
          <w:i w:val="1"/>
          <w:iCs w:val="1"/>
          <w:color w:val="222222"/>
        </w:rPr>
        <w:t>senarai nama dan alamat mana-mana penerima Data dengan menghubungi</w:t>
      </w:r>
      <w:r>
        <w:rPr>
          <w:rFonts w:ascii="Arial" w:cs="Arial" w:eastAsia="Arial" w:hAnsi="Arial"/>
          <w:sz w:val="14"/>
          <w:szCs w:val="14"/>
          <w:b w:val="1"/>
          <w:bCs w:val="1"/>
          <w:i w:val="1"/>
          <w:iCs w:val="1"/>
          <w:color w:val="auto"/>
        </w:rPr>
        <w:t xml:space="preserve"> understands that he or she may request a list with the names </w:t>
      </w:r>
      <w:r>
        <w:rPr>
          <w:rFonts w:ascii="Arial" w:cs="Arial" w:eastAsia="Arial" w:hAnsi="Arial"/>
          <w:sz w:val="14"/>
          <w:szCs w:val="14"/>
          <w:b w:val="1"/>
          <w:bCs w:val="1"/>
          <w:i w:val="1"/>
          <w:iCs w:val="1"/>
          <w:color w:val="222222"/>
        </w:rPr>
        <w:t>wakil sumber manusia tempatannya.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-2438400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-2421255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-2404110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-2386965</wp:posOffset>
            </wp:positionV>
            <wp:extent cx="88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-2369820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-2352675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-2335530</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-2318385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-2301240</wp:posOffset>
            </wp:positionV>
            <wp:extent cx="88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-2284095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-2266950</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-2249805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-2232660</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-2215515</wp:posOffset>
            </wp:positionV>
            <wp:extent cx="88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-2198370</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-2181225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-2164080</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-2146935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-2129790</wp:posOffset>
            </wp:positionV>
            <wp:extent cx="88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-2112645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-2095500</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-2078355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-2061210</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-2044065</wp:posOffset>
            </wp:positionV>
            <wp:extent cx="88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-2026920</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-2009775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-1992630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-1975485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-1958340</wp:posOffset>
            </wp:positionV>
            <wp:extent cx="88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-1941195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-1924050</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-1906905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-1889760</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-1872615</wp:posOffset>
            </wp:positionV>
            <wp:extent cx="88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-1855470</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-1838325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-1821180</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-1804035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-1786890</wp:posOffset>
            </wp:positionV>
            <wp:extent cx="88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-1769745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-1752600</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-1735455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-1718310</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-1701165</wp:posOffset>
            </wp:positionV>
            <wp:extent cx="88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-1684020</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-1666875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-1649730</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-1632585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-1615440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-1598295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-1581150</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-1564005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-1546860</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-1529715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-1512570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-1495425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-1478280</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-1461135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-1443990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-1426845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-1409700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-1392555</wp:posOffset>
            </wp:positionV>
            <wp:extent cx="88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-1375410</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-1358265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-1341120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-1323975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-1306830</wp:posOffset>
            </wp:positionV>
            <wp:extent cx="88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-1289685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-1272540</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-1255395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-1238250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-1221105</wp:posOffset>
            </wp:positionV>
            <wp:extent cx="88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-1203960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-1186815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-1169670</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-1152525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-1135380</wp:posOffset>
            </wp:positionV>
            <wp:extent cx="88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-1118235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-1101090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-1083945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-1066800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-1049655</wp:posOffset>
            </wp:positionV>
            <wp:extent cx="88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-1032510</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-1015365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-998220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-981075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-963930</wp:posOffset>
            </wp:positionV>
            <wp:extent cx="889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-946785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-929640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-912495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-895350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-878205</wp:posOffset>
            </wp:positionV>
            <wp:extent cx="88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-861060</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-843915</wp:posOffset>
            </wp:positionV>
            <wp:extent cx="88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-826770</wp:posOffset>
            </wp:positionV>
            <wp:extent cx="88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-809625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-792480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-775335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-758190</wp:posOffset>
            </wp:positionV>
            <wp:extent cx="889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-741045</wp:posOffset>
            </wp:positionV>
            <wp:extent cx="8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-723900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-706755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-689610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-672465</wp:posOffset>
            </wp:positionV>
            <wp:extent cx="889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-655320</wp:posOffset>
            </wp:positionV>
            <wp:extent cx="889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-638175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-621030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-603885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-586740</wp:posOffset>
            </wp:positionV>
            <wp:extent cx="88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-569595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-552450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-535305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-518160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-501015</wp:posOffset>
            </wp:positionV>
            <wp:extent cx="88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-483870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-466725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-449580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-432435</wp:posOffset>
            </wp:positionV>
            <wp:extent cx="88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-415290</wp:posOffset>
            </wp:positionV>
            <wp:extent cx="88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-398145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-381000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-363855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-346710</wp:posOffset>
            </wp:positionV>
            <wp:extent cx="88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-329565</wp:posOffset>
            </wp:positionV>
            <wp:extent cx="88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-312420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-295275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-278130</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-260985</wp:posOffset>
            </wp:positionV>
            <wp:extent cx="88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-243840</wp:posOffset>
            </wp:positionV>
            <wp:extent cx="88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-226695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-209550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-192405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-175260</wp:posOffset>
            </wp:positionV>
            <wp:extent cx="88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-158115</wp:posOffset>
            </wp:positionV>
            <wp:extent cx="88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-140970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-123825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-106680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-89535</wp:posOffset>
            </wp:positionV>
            <wp:extent cx="889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-72390</wp:posOffset>
            </wp:positionV>
            <wp:extent cx="88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-55245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-38100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-20955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-3810</wp:posOffset>
            </wp:positionV>
            <wp:extent cx="88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12700</wp:posOffset>
            </wp:positionV>
            <wp:extent cx="88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29845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46990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64135</wp:posOffset>
            </wp:positionV>
            <wp:extent cx="889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81280</wp:posOffset>
            </wp:positionV>
            <wp:extent cx="889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98425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-2438400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-2421255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-2404110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-2386965</wp:posOffset>
            </wp:positionV>
            <wp:extent cx="8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-2369820</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-2352675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-2335530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-2318385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-2301240</wp:posOffset>
            </wp:positionV>
            <wp:extent cx="889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-2284095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-2266950</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-2249805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-2232660</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-2215515</wp:posOffset>
            </wp:positionV>
            <wp:extent cx="88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-2198370</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-2181225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-2164080</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-2146935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-2129790</wp:posOffset>
            </wp:positionV>
            <wp:extent cx="88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-2112645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-2095500</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-2078355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-2061210</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-2044065</wp:posOffset>
            </wp:positionV>
            <wp:extent cx="889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-2026920</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-2009775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-1992630</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-1975485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-1958340</wp:posOffset>
            </wp:positionV>
            <wp:extent cx="889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-1941195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-1924050</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-1906905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-1889760</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-1872615</wp:posOffset>
            </wp:positionV>
            <wp:extent cx="88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-1855470</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-1838325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-1821180</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-1804035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-1786890</wp:posOffset>
            </wp:positionV>
            <wp:extent cx="889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-1769745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-1752600</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-1735455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-1718310</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-1701165</wp:posOffset>
            </wp:positionV>
            <wp:extent cx="88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-1684020</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-1666875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-1649730</wp:posOffset>
            </wp:positionV>
            <wp:extent cx="88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-1632585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-1615440</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-1598295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-1581150</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-1564005</wp:posOffset>
            </wp:positionV>
            <wp:extent cx="889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-1546860</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-1529715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-1512570</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-1495425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-1478280</wp:posOffset>
            </wp:positionV>
            <wp:extent cx="889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-1461135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-1443990</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-1426845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-1409700</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-1392555</wp:posOffset>
            </wp:positionV>
            <wp:extent cx="88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-1375410</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-1358265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-1341120</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-1323975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-1306830</wp:posOffset>
            </wp:positionV>
            <wp:extent cx="8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-1289685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-1272540</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-1255395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-1238250</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-1221105</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-1203960</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-1186815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-1169670</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-1152525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-1135380</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-1118235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-1101090</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-1083945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-1066800</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-1049655</wp:posOffset>
            </wp:positionV>
            <wp:extent cx="889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-1032510</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-1015365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-998220</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-981075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-963930</wp:posOffset>
            </wp:positionV>
            <wp:extent cx="88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-946785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-929640</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-912495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-895350</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-878205</wp:posOffset>
            </wp:positionV>
            <wp:extent cx="889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-861060</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-843915</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-826770</wp:posOffset>
            </wp:positionV>
            <wp:extent cx="889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-809625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-792480</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-775335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-758190</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-741045</wp:posOffset>
            </wp:positionV>
            <wp:extent cx="889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-706755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-689610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-672465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-655320</wp:posOffset>
            </wp:positionV>
            <wp:extent cx="889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-638175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-621030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-603885</wp:posOffset>
            </wp:positionV>
            <wp:extent cx="889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-586740</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-569595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-552450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-535305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-518160</wp:posOffset>
            </wp:positionV>
            <wp:extent cx="889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-501015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-483870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-466725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-449580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-432435</wp:posOffset>
            </wp:positionV>
            <wp:extent cx="889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-415290</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-398145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-381000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-363855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-346710</wp:posOffset>
            </wp:positionV>
            <wp:extent cx="889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-329565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-312420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-295275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-278130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-260985</wp:posOffset>
            </wp:positionV>
            <wp:extent cx="889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-243840</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-226695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-192405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-175260</wp:posOffset>
            </wp:positionV>
            <wp:extent cx="88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-158115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-140970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-123825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-106680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-89535</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-55245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-20955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-3810</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29845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46990</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64135</wp:posOffset>
            </wp:positionV>
            <wp:extent cx="889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81280</wp:posOffset>
            </wp:positionV>
            <wp:extent cx="88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98425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-2438400</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-2421255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-2404110</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-2386965</wp:posOffset>
            </wp:positionV>
            <wp:extent cx="88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-2369820</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-2352675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-2335530</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-2318385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-2301240</wp:posOffset>
            </wp:positionV>
            <wp:extent cx="88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-2284095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-2266950</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-2249805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-2232660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-2215515</wp:posOffset>
            </wp:positionV>
            <wp:extent cx="88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-2198370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-2181225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-2164080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-2146935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-2129790</wp:posOffset>
            </wp:positionV>
            <wp:extent cx="88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-2112645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-2095500</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-2078355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-2061210</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-2044065</wp:posOffset>
            </wp:positionV>
            <wp:extent cx="889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-2026920</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-2009775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-1992630</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-1975485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-1958340</wp:posOffset>
            </wp:positionV>
            <wp:extent cx="889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-1941195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-1924050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-1906905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-1889760</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-1872615</wp:posOffset>
            </wp:positionV>
            <wp:extent cx="889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-1855470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-1838325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-1821180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-1804035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-1786890</wp:posOffset>
            </wp:positionV>
            <wp:extent cx="88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-1769745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-1752600</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-1735455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-1718310</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-1701165</wp:posOffset>
            </wp:positionV>
            <wp:extent cx="889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-1684020</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-1666875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-1649730</wp:posOffset>
            </wp:positionV>
            <wp:extent cx="889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-1632585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-1615440</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-1598295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-1581150</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-1564005</wp:posOffset>
            </wp:positionV>
            <wp:extent cx="88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-1546860</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-1529715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-1512570</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-1495425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-1478280</wp:posOffset>
            </wp:positionV>
            <wp:extent cx="889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-1461135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-1443990</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-1426845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-1409700</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-1392555</wp:posOffset>
            </wp:positionV>
            <wp:extent cx="889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-1375410</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-1358265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-1341120</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-1323975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-1306830</wp:posOffset>
            </wp:positionV>
            <wp:extent cx="88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-1289685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-1272540</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-1255395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-1238250</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-1221105</wp:posOffset>
            </wp:positionV>
            <wp:extent cx="889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-1203960</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-1186815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-1169670</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-1152525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-1135380</wp:posOffset>
            </wp:positionV>
            <wp:extent cx="889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-1118235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-1101090</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-1083945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-1066800</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-1049655</wp:posOffset>
            </wp:positionV>
            <wp:extent cx="889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-1032510</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-1015365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-998220</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-981075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-963930</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-946785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-929640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-912495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-895350</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-878205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-861060</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-843915</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-826770</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-809625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-792480</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-775335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-758190</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-741045</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-723900</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-706755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-689610</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-672465</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-655320</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-638175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-621030</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-603885</wp:posOffset>
            </wp:positionV>
            <wp:extent cx="889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-586740</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-569595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-552450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-535305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-518160</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-501015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-483870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-466725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-449580</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-432435</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-415290</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-398145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-381000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-363855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-346710</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-329565</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-312420</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-295275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-278130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-260985</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-243840</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-226695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-209550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-192405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-175260</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-158115</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-140970</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-123825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-106680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-89535</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-72390</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-55245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-38100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-20955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-3810</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12700</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29845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46990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64135</wp:posOffset>
            </wp:positionV>
            <wp:extent cx="88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81280</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98425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and  addresses  of  any  potential  recipients  of  the  Data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-101600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-84455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-67310</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-50165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-33020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-15875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-101600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-84455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-67310</wp:posOffset>
            </wp:positionV>
            <wp:extent cx="889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-50165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-33020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-15875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-101600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-84455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-67310</wp:posOffset>
            </wp:positionV>
            <wp:extent cx="889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-50165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-33020</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-15875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635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i w:val="1"/>
          <w:iCs w:val="1"/>
          <w:color w:val="auto"/>
        </w:rPr>
        <w:t>contacting his or her local human resources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-101600</wp:posOffset>
            </wp:positionV>
            <wp:extent cx="6069330" cy="12890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6069330" cy="128905"/>
                    </a:xfrm>
                    <a:prstGeom prst="rect">
                      <a:avLst/>
                    </a:prstGeom>
                    <a:noFill/>
                  </pic:spPr>
                </pic:pic>
              </a:graphicData>
            </a:graphic>
          </wp:anchor>
        </w:drawing>
      </w:r>
    </w:p>
    <w:p>
      <w:pPr>
        <w:spacing w:after="0" w:line="9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0099"/>
          </w:cols>
          <w:pgMar w:left="360" w:top="1030" w:right="1440" w:bottom="1440" w:gutter="0" w:footer="0" w:header="0"/>
        </w:sectPr>
      </w:pPr>
    </w:p>
    <w:bookmarkStart w:id="94" w:name="page95"/>
    <w:bookmarkEnd w:id="94"/>
    <w:p>
      <w:pPr>
        <w:ind w:left="5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6069330" cy="127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6069330" cy="1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380" w:firstLine="40"/>
        <w:spacing w:after="0" w:line="265" w:lineRule="auto"/>
        <w:rPr>
          <w:sz w:val="20"/>
          <w:szCs w:val="20"/>
          <w:color w:val="auto"/>
        </w:rPr>
      </w:pPr>
      <w:r>
        <w:rPr>
          <w:rFonts w:ascii="Arial" w:cs="Arial" w:eastAsia="Arial" w:hAnsi="Arial"/>
          <w:sz w:val="15"/>
          <w:szCs w:val="15"/>
          <w:b w:val="1"/>
          <w:bCs w:val="1"/>
          <w:i w:val="1"/>
          <w:iCs w:val="1"/>
          <w:color w:val="auto"/>
        </w:rPr>
        <w:t xml:space="preserve">The Participant authorizes the Company, Fidelity and any other Peserta memberi kuasa kepada Syarikat, Fidelity, dan mana-mana penerima possible recipients which may assist the Company (presently or lain yang mungkin membantu Syarikat (masa sekarang atau pada masa in the future) with implementing, administering and managing depan) untuk melaksanakan, mentadbir dan menguruskan penyertaan the Plan to receive, possess, use, retain and transfer the Data, in Peserta dalam Pelan untuk menerima, memiliki, menggunakan, electronic or other form, for the sole purpose of implementing, mengekalkan dan memindahkan Data, dalam bentuk elektronik atau lain-administering and managing his or her participation in the lain, semata-mata dengan tujuan untuk melaksanakan, mentadbir dan Plan, including any requisite transfer of such Data as may be menguruskan penyertaan Peserta dalam Pelan, termasuk apa-apa required to a broker or other third party with whom the pemindahan Data yang diperlukan kepada broker atau pihak ketiga dengan Participant may elect to deposit any Shares acquired upon siapa Peserta mungkin pilih untuk mendepositkan apa-apa Saham yang settlement of the Award. The Participant understands that Data diperolehi di atas penyelesaian Anugerah. </w:t>
      </w:r>
      <w:r>
        <w:rPr>
          <w:rFonts w:ascii="Arial" w:cs="Arial" w:eastAsia="Arial" w:hAnsi="Arial"/>
          <w:sz w:val="15"/>
          <w:szCs w:val="15"/>
          <w:b w:val="1"/>
          <w:bCs w:val="1"/>
          <w:i w:val="1"/>
          <w:iCs w:val="1"/>
          <w:color w:val="222222"/>
        </w:rPr>
        <w:t>Peserta memahami bahawa Data</w:t>
      </w:r>
      <w:r>
        <w:rPr>
          <w:rFonts w:ascii="Arial" w:cs="Arial" w:eastAsia="Arial" w:hAnsi="Arial"/>
          <w:sz w:val="15"/>
          <w:szCs w:val="15"/>
          <w:b w:val="1"/>
          <w:bCs w:val="1"/>
          <w:i w:val="1"/>
          <w:iCs w:val="1"/>
          <w:color w:val="auto"/>
        </w:rPr>
        <w:t xml:space="preserve"> will be held only as long as is necessary to implement, </w:t>
      </w:r>
      <w:r>
        <w:rPr>
          <w:rFonts w:ascii="Arial" w:cs="Arial" w:eastAsia="Arial" w:hAnsi="Arial"/>
          <w:sz w:val="15"/>
          <w:szCs w:val="15"/>
          <w:b w:val="1"/>
          <w:bCs w:val="1"/>
          <w:i w:val="1"/>
          <w:iCs w:val="1"/>
          <w:color w:val="222222"/>
        </w:rPr>
        <w:t>akan dipegang hanya untuk tempoh yang diperlukan untuk melaksanakan,</w:t>
      </w:r>
      <w:r>
        <w:rPr>
          <w:rFonts w:ascii="Arial" w:cs="Arial" w:eastAsia="Arial" w:hAnsi="Arial"/>
          <w:sz w:val="15"/>
          <w:szCs w:val="15"/>
          <w:b w:val="1"/>
          <w:bCs w:val="1"/>
          <w:i w:val="1"/>
          <w:iCs w:val="1"/>
          <w:color w:val="auto"/>
        </w:rPr>
        <w:t xml:space="preserve"> administer and manage the Participant’s participation in the </w:t>
      </w:r>
      <w:r>
        <w:rPr>
          <w:rFonts w:ascii="Arial" w:cs="Arial" w:eastAsia="Arial" w:hAnsi="Arial"/>
          <w:sz w:val="15"/>
          <w:szCs w:val="15"/>
          <w:b w:val="1"/>
          <w:bCs w:val="1"/>
          <w:i w:val="1"/>
          <w:iCs w:val="1"/>
          <w:color w:val="222222"/>
        </w:rPr>
        <w:t>mentadbir dan menguruskan penyertaannya dalam</w:t>
      </w:r>
      <w:r>
        <w:rPr>
          <w:rFonts w:ascii="Arial" w:cs="Arial" w:eastAsia="Arial" w:hAnsi="Arial"/>
          <w:sz w:val="15"/>
          <w:szCs w:val="15"/>
          <w:b w:val="1"/>
          <w:bCs w:val="1"/>
          <w:i w:val="1"/>
          <w:iCs w:val="1"/>
          <w:color w:val="auto"/>
        </w:rPr>
        <w:t xml:space="preserve"> Pelan tersebut</w:t>
      </w:r>
      <w:r>
        <w:rPr>
          <w:rFonts w:ascii="Arial" w:cs="Arial" w:eastAsia="Arial" w:hAnsi="Arial"/>
          <w:sz w:val="15"/>
          <w:szCs w:val="15"/>
          <w:b w:val="1"/>
          <w:bCs w:val="1"/>
          <w:i w:val="1"/>
          <w:iCs w:val="1"/>
          <w:color w:val="222222"/>
        </w:rPr>
        <w:t>.</w:t>
      </w:r>
      <w:r>
        <w:rPr>
          <w:rFonts w:ascii="Arial" w:cs="Arial" w:eastAsia="Arial" w:hAnsi="Arial"/>
          <w:sz w:val="15"/>
          <w:szCs w:val="15"/>
          <w:b w:val="1"/>
          <w:bCs w:val="1"/>
          <w:i w:val="1"/>
          <w:iCs w:val="1"/>
          <w:color w:val="auto"/>
        </w:rPr>
        <w:t xml:space="preserve"> Peserta Plan. The Participant understands that he or she may, at any memahami bahawa dia boleh, pada bila-bila masa, </w:t>
      </w:r>
      <w:r>
        <w:rPr>
          <w:rFonts w:ascii="Arial" w:cs="Arial" w:eastAsia="Arial" w:hAnsi="Arial"/>
          <w:sz w:val="15"/>
          <w:szCs w:val="15"/>
          <w:b w:val="1"/>
          <w:bCs w:val="1"/>
          <w:i w:val="1"/>
          <w:iCs w:val="1"/>
          <w:color w:val="222222"/>
        </w:rPr>
        <w:t>melihat data, meminta</w:t>
      </w:r>
      <w:r>
        <w:rPr>
          <w:rFonts w:ascii="Arial" w:cs="Arial" w:eastAsia="Arial" w:hAnsi="Arial"/>
          <w:sz w:val="15"/>
          <w:szCs w:val="15"/>
          <w:b w:val="1"/>
          <w:bCs w:val="1"/>
          <w:i w:val="1"/>
          <w:iCs w:val="1"/>
          <w:color w:val="auto"/>
        </w:rPr>
        <w:t xml:space="preserve"> time, view Data, request additional information about the </w:t>
      </w:r>
      <w:r>
        <w:rPr>
          <w:rFonts w:ascii="Arial" w:cs="Arial" w:eastAsia="Arial" w:hAnsi="Arial"/>
          <w:sz w:val="15"/>
          <w:szCs w:val="15"/>
          <w:b w:val="1"/>
          <w:bCs w:val="1"/>
          <w:i w:val="1"/>
          <w:iCs w:val="1"/>
          <w:color w:val="222222"/>
        </w:rPr>
        <w:t>maklumat tambahan mengenai penyimpanan dan pemprosesan Data,</w:t>
      </w:r>
      <w:r>
        <w:rPr>
          <w:rFonts w:ascii="Arial" w:cs="Arial" w:eastAsia="Arial" w:hAnsi="Arial"/>
          <w:sz w:val="15"/>
          <w:szCs w:val="15"/>
          <w:b w:val="1"/>
          <w:bCs w:val="1"/>
          <w:i w:val="1"/>
          <w:iCs w:val="1"/>
          <w:color w:val="auto"/>
        </w:rPr>
        <w:t xml:space="preserve"> storage and processing of Data, require any necessary </w:t>
      </w:r>
      <w:r>
        <w:rPr>
          <w:rFonts w:ascii="Arial" w:cs="Arial" w:eastAsia="Arial" w:hAnsi="Arial"/>
          <w:sz w:val="15"/>
          <w:szCs w:val="15"/>
          <w:b w:val="1"/>
          <w:bCs w:val="1"/>
          <w:i w:val="1"/>
          <w:iCs w:val="1"/>
          <w:color w:val="222222"/>
        </w:rPr>
        <w:t>meminta bahawa pindaan-pindaan dilaksanakan ke atas Data atau menolak</w:t>
      </w:r>
      <w:r>
        <w:rPr>
          <w:rFonts w:ascii="Arial" w:cs="Arial" w:eastAsia="Arial" w:hAnsi="Arial"/>
          <w:sz w:val="15"/>
          <w:szCs w:val="15"/>
          <w:b w:val="1"/>
          <w:bCs w:val="1"/>
          <w:i w:val="1"/>
          <w:iCs w:val="1"/>
          <w:color w:val="auto"/>
        </w:rPr>
        <w:t xml:space="preserve"> amendments to Data or refuse or withdraw the consents herein, </w:t>
      </w:r>
      <w:r>
        <w:rPr>
          <w:rFonts w:ascii="Arial" w:cs="Arial" w:eastAsia="Arial" w:hAnsi="Arial"/>
          <w:sz w:val="15"/>
          <w:szCs w:val="15"/>
          <w:b w:val="1"/>
          <w:bCs w:val="1"/>
          <w:i w:val="1"/>
          <w:iCs w:val="1"/>
          <w:color w:val="222222"/>
        </w:rPr>
        <w:t>atau menarik balik persetujuan dalam ini, dalam mana-mana kes, tanpa kos,</w:t>
      </w:r>
      <w:r>
        <w:rPr>
          <w:rFonts w:ascii="Arial" w:cs="Arial" w:eastAsia="Arial" w:hAnsi="Arial"/>
          <w:sz w:val="15"/>
          <w:szCs w:val="15"/>
          <w:b w:val="1"/>
          <w:bCs w:val="1"/>
          <w:i w:val="1"/>
          <w:iCs w:val="1"/>
          <w:color w:val="auto"/>
        </w:rPr>
        <w:t xml:space="preserve"> in any case without cost, by contacting in writing his or her </w:t>
      </w:r>
      <w:r>
        <w:rPr>
          <w:rFonts w:ascii="Arial" w:cs="Arial" w:eastAsia="Arial" w:hAnsi="Arial"/>
          <w:sz w:val="15"/>
          <w:szCs w:val="15"/>
          <w:b w:val="1"/>
          <w:bCs w:val="1"/>
          <w:i w:val="1"/>
          <w:iCs w:val="1"/>
          <w:color w:val="222222"/>
        </w:rPr>
        <w:t>dengan menghubungi secara bertulis wakil sumber manusia tempatannya.</w:t>
      </w:r>
      <w:r>
        <w:rPr>
          <w:rFonts w:ascii="Arial" w:cs="Arial" w:eastAsia="Arial" w:hAnsi="Arial"/>
          <w:sz w:val="15"/>
          <w:szCs w:val="15"/>
          <w:b w:val="1"/>
          <w:bCs w:val="1"/>
          <w:i w:val="1"/>
          <w:iCs w:val="1"/>
          <w:color w:val="auto"/>
        </w:rPr>
        <w:t xml:space="preserve"> local human resources representative. The Participant </w:t>
      </w:r>
      <w:r>
        <w:rPr>
          <w:rFonts w:ascii="Arial" w:cs="Arial" w:eastAsia="Arial" w:hAnsi="Arial"/>
          <w:sz w:val="15"/>
          <w:szCs w:val="15"/>
          <w:b w:val="1"/>
          <w:bCs w:val="1"/>
          <w:i w:val="1"/>
          <w:iCs w:val="1"/>
          <w:color w:val="222222"/>
        </w:rPr>
        <w:t>Peserta</w:t>
      </w:r>
      <w:r>
        <w:rPr>
          <w:rFonts w:ascii="Arial" w:cs="Arial" w:eastAsia="Arial" w:hAnsi="Arial"/>
          <w:sz w:val="15"/>
          <w:szCs w:val="15"/>
          <w:b w:val="1"/>
          <w:bCs w:val="1"/>
          <w:i w:val="1"/>
          <w:iCs w:val="1"/>
          <w:color w:val="auto"/>
        </w:rPr>
        <w:t xml:space="preserve"> memahami </w:t>
      </w:r>
      <w:r>
        <w:rPr>
          <w:rFonts w:ascii="Arial" w:cs="Arial" w:eastAsia="Arial" w:hAnsi="Arial"/>
          <w:sz w:val="15"/>
          <w:szCs w:val="15"/>
          <w:b w:val="1"/>
          <w:bCs w:val="1"/>
          <w:i w:val="1"/>
          <w:iCs w:val="1"/>
          <w:color w:val="222222"/>
        </w:rPr>
        <w:t>bahawa keengganan atau penarikan balik</w:t>
      </w:r>
      <w:r>
        <w:rPr>
          <w:rFonts w:ascii="Arial" w:cs="Arial" w:eastAsia="Arial" w:hAnsi="Arial"/>
          <w:sz w:val="15"/>
          <w:szCs w:val="15"/>
          <w:b w:val="1"/>
          <w:bCs w:val="1"/>
          <w:i w:val="1"/>
          <w:iCs w:val="1"/>
          <w:color w:val="auto"/>
        </w:rPr>
        <w:t xml:space="preserve"> understands, however, that refusing or withdrawing his or her </w:t>
      </w:r>
      <w:r>
        <w:rPr>
          <w:rFonts w:ascii="Arial" w:cs="Arial" w:eastAsia="Arial" w:hAnsi="Arial"/>
          <w:sz w:val="15"/>
          <w:szCs w:val="15"/>
          <w:b w:val="1"/>
          <w:bCs w:val="1"/>
          <w:i w:val="1"/>
          <w:iCs w:val="1"/>
          <w:color w:val="222222"/>
        </w:rPr>
        <w:t>persetujuannya boleh menjejaskan keupayaannya untuk mengambil</w:t>
      </w:r>
      <w:r>
        <w:rPr>
          <w:rFonts w:ascii="Arial" w:cs="Arial" w:eastAsia="Arial" w:hAnsi="Arial"/>
          <w:sz w:val="15"/>
          <w:szCs w:val="15"/>
          <w:b w:val="1"/>
          <w:bCs w:val="1"/>
          <w:i w:val="1"/>
          <w:iCs w:val="1"/>
          <w:color w:val="auto"/>
        </w:rPr>
        <w:t xml:space="preserve"> consent may affect the Participant’s ability to participate in the </w:t>
      </w:r>
      <w:r>
        <w:rPr>
          <w:rFonts w:ascii="Arial" w:cs="Arial" w:eastAsia="Arial" w:hAnsi="Arial"/>
          <w:sz w:val="15"/>
          <w:szCs w:val="15"/>
          <w:b w:val="1"/>
          <w:bCs w:val="1"/>
          <w:i w:val="1"/>
          <w:iCs w:val="1"/>
          <w:color w:val="222222"/>
        </w:rPr>
        <w:t>bahagian dalam</w:t>
      </w:r>
      <w:r>
        <w:rPr>
          <w:rFonts w:ascii="Arial" w:cs="Arial" w:eastAsia="Arial" w:hAnsi="Arial"/>
          <w:sz w:val="15"/>
          <w:szCs w:val="15"/>
          <w:b w:val="1"/>
          <w:bCs w:val="1"/>
          <w:i w:val="1"/>
          <w:iCs w:val="1"/>
          <w:color w:val="auto"/>
        </w:rPr>
        <w:t xml:space="preserve"> Pelan</w:t>
      </w:r>
      <w:r>
        <w:rPr>
          <w:rFonts w:ascii="Arial" w:cs="Arial" w:eastAsia="Arial" w:hAnsi="Arial"/>
          <w:sz w:val="15"/>
          <w:szCs w:val="15"/>
          <w:b w:val="1"/>
          <w:bCs w:val="1"/>
          <w:i w:val="1"/>
          <w:iCs w:val="1"/>
          <w:color w:val="222222"/>
        </w:rPr>
        <w:t>. Untuk maklumat lanjut mengenai akibat</w:t>
      </w:r>
      <w:r>
        <w:rPr>
          <w:rFonts w:ascii="Arial" w:cs="Arial" w:eastAsia="Arial" w:hAnsi="Arial"/>
          <w:sz w:val="15"/>
          <w:szCs w:val="15"/>
          <w:b w:val="1"/>
          <w:bCs w:val="1"/>
          <w:i w:val="1"/>
          <w:iCs w:val="1"/>
          <w:color w:val="auto"/>
        </w:rPr>
        <w:t xml:space="preserve"> Plan. For more information on the consequences of a refusal to </w:t>
      </w:r>
      <w:r>
        <w:rPr>
          <w:rFonts w:ascii="Arial" w:cs="Arial" w:eastAsia="Arial" w:hAnsi="Arial"/>
          <w:sz w:val="15"/>
          <w:szCs w:val="15"/>
          <w:b w:val="1"/>
          <w:bCs w:val="1"/>
          <w:i w:val="1"/>
          <w:iCs w:val="1"/>
          <w:color w:val="222222"/>
        </w:rPr>
        <w:t>keengganan</w:t>
      </w:r>
      <w:r>
        <w:rPr>
          <w:rFonts w:ascii="Arial" w:cs="Arial" w:eastAsia="Arial" w:hAnsi="Arial"/>
          <w:sz w:val="15"/>
          <w:szCs w:val="15"/>
          <w:b w:val="1"/>
          <w:bCs w:val="1"/>
          <w:i w:val="1"/>
          <w:iCs w:val="1"/>
          <w:color w:val="auto"/>
        </w:rPr>
        <w:t xml:space="preserve">nya </w:t>
      </w:r>
      <w:r>
        <w:rPr>
          <w:rFonts w:ascii="Arial" w:cs="Arial" w:eastAsia="Arial" w:hAnsi="Arial"/>
          <w:sz w:val="15"/>
          <w:szCs w:val="15"/>
          <w:b w:val="1"/>
          <w:bCs w:val="1"/>
          <w:i w:val="1"/>
          <w:iCs w:val="1"/>
          <w:color w:val="222222"/>
        </w:rPr>
        <w:t>untuk memberikan keizinan atau penarikan balik keizinan,</w:t>
      </w:r>
      <w:r>
        <w:rPr>
          <w:rFonts w:ascii="Arial" w:cs="Arial" w:eastAsia="Arial" w:hAnsi="Arial"/>
          <w:sz w:val="15"/>
          <w:szCs w:val="15"/>
          <w:b w:val="1"/>
          <w:bCs w:val="1"/>
          <w:i w:val="1"/>
          <w:iCs w:val="1"/>
          <w:color w:val="auto"/>
        </w:rPr>
        <w:t xml:space="preserve"> consent or withdrawal of consent, the Participant understands </w:t>
      </w:r>
      <w:r>
        <w:rPr>
          <w:rFonts w:ascii="Arial" w:cs="Arial" w:eastAsia="Arial" w:hAnsi="Arial"/>
          <w:sz w:val="15"/>
          <w:szCs w:val="15"/>
          <w:b w:val="1"/>
          <w:bCs w:val="1"/>
          <w:i w:val="1"/>
          <w:iCs w:val="1"/>
          <w:color w:val="222222"/>
        </w:rPr>
        <w:t>Peserta fahami bahawa dia boleh menghubungi pentadbir pelan saham</w:t>
      </w:r>
      <w:r>
        <w:rPr>
          <w:rFonts w:ascii="Arial" w:cs="Arial" w:eastAsia="Arial" w:hAnsi="Arial"/>
          <w:sz w:val="15"/>
          <w:szCs w:val="15"/>
          <w:b w:val="1"/>
          <w:bCs w:val="1"/>
          <w:i w:val="1"/>
          <w:iCs w:val="1"/>
          <w:color w:val="auto"/>
        </w:rPr>
        <w:t xml:space="preserve"> that he or she may contact his or her regional stock plan </w:t>
      </w:r>
      <w:r>
        <w:rPr>
          <w:rFonts w:ascii="Arial" w:cs="Arial" w:eastAsia="Arial" w:hAnsi="Arial"/>
          <w:sz w:val="15"/>
          <w:szCs w:val="15"/>
          <w:b w:val="1"/>
          <w:bCs w:val="1"/>
          <w:i w:val="1"/>
          <w:iCs w:val="1"/>
          <w:color w:val="222222"/>
        </w:rPr>
        <w:t>serantau di</w:t>
      </w:r>
      <w:r>
        <w:rPr>
          <w:rFonts w:ascii="Arial" w:cs="Arial" w:eastAsia="Arial" w:hAnsi="Arial"/>
          <w:sz w:val="15"/>
          <w:szCs w:val="15"/>
          <w:b w:val="1"/>
          <w:bCs w:val="1"/>
          <w:i w:val="1"/>
          <w:iCs w:val="1"/>
          <w:color w:val="auto"/>
        </w:rPr>
        <w:t xml:space="preserve"> Stock_Plan_Admin@Analog.com</w:t>
      </w:r>
      <w:r>
        <w:rPr>
          <w:rFonts w:ascii="Arial" w:cs="Arial" w:eastAsia="Arial" w:hAnsi="Arial"/>
          <w:sz w:val="15"/>
          <w:szCs w:val="15"/>
          <w:b w:val="1"/>
          <w:bCs w:val="1"/>
          <w:i w:val="1"/>
          <w:iCs w:val="1"/>
          <w:color w:val="222222"/>
        </w:rPr>
        <w:t>.</w:t>
      </w:r>
      <w:r>
        <w:rPr>
          <w:rFonts w:ascii="Arial" w:cs="Arial" w:eastAsia="Arial" w:hAnsi="Arial"/>
          <w:sz w:val="15"/>
          <w:szCs w:val="15"/>
          <w:b w:val="1"/>
          <w:bCs w:val="1"/>
          <w:i w:val="1"/>
          <w:iCs w:val="1"/>
          <w:color w:val="auto"/>
        </w:rPr>
        <w:t xml:space="preserve"> administrator at Stock_Plan_Admin@Analog.com.</w:t>
      </w:r>
    </w:p>
    <w:p>
      <w:pPr>
        <w:spacing w:after="0" w:line="339" w:lineRule="exact"/>
        <w:rPr>
          <w:sz w:val="20"/>
          <w:szCs w:val="20"/>
          <w:color w:val="auto"/>
        </w:rPr>
      </w:pPr>
    </w:p>
    <w:p>
      <w:pPr>
        <w:ind w:left="320"/>
        <w:spacing w:after="0"/>
        <w:rPr>
          <w:sz w:val="20"/>
          <w:szCs w:val="20"/>
          <w:color w:val="auto"/>
        </w:rPr>
      </w:pPr>
      <w:r>
        <w:rPr>
          <w:rFonts w:ascii="Arial" w:cs="Arial" w:eastAsia="Arial" w:hAnsi="Arial"/>
          <w:sz w:val="16"/>
          <w:szCs w:val="16"/>
          <w:b w:val="1"/>
          <w:bCs w:val="1"/>
          <w:u w:val="single" w:color="auto"/>
          <w:color w:val="auto"/>
        </w:rPr>
        <w:t>MEXICO</w:t>
      </w:r>
    </w:p>
    <w:p>
      <w:pPr>
        <w:spacing w:after="0" w:line="266" w:lineRule="exact"/>
        <w:rPr>
          <w:sz w:val="20"/>
          <w:szCs w:val="20"/>
          <w:color w:val="auto"/>
        </w:rPr>
      </w:pPr>
    </w:p>
    <w:p>
      <w:pPr>
        <w:jc w:val="both"/>
        <w:ind w:left="320"/>
        <w:spacing w:after="0" w:line="252"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5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APPENDIX A - 10</w:t>
      </w:r>
    </w:p>
    <w:p>
      <w:pPr>
        <w:sectPr>
          <w:pgSz w:w="11900" w:h="16838" w:orient="portrait"/>
          <w:cols w:equalWidth="0" w:num="1">
            <w:col w:w="10900"/>
          </w:cols>
          <w:pgMar w:left="340" w:top="1030" w:right="659" w:bottom="1440" w:gutter="0" w:footer="0" w:header="0"/>
        </w:sectPr>
      </w:pPr>
    </w:p>
    <w:bookmarkStart w:id="95" w:name="page96"/>
    <w:bookmarkEnd w:id="95"/>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Labor Law Policy and Acknowledgment</w:t>
      </w:r>
      <w:r>
        <w:rPr>
          <w:rFonts w:ascii="Arial" w:cs="Arial" w:eastAsia="Arial" w:hAnsi="Arial"/>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79"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u w:val="single" w:color="auto"/>
          <w:color w:val="auto"/>
        </w:rPr>
        <w:t>Reconocimiento del Contrato</w:t>
      </w:r>
      <w:r>
        <w:rPr>
          <w:rFonts w:ascii="Arial" w:cs="Arial" w:eastAsia="Arial" w:hAnsi="Arial"/>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u w:val="single" w:color="auto"/>
          <w:color w:val="auto"/>
        </w:rPr>
        <w:t>Política de Legislación Laboral y Reconocimiento</w:t>
      </w:r>
      <w:r>
        <w:rPr>
          <w:rFonts w:ascii="Arial" w:cs="Arial" w:eastAsia="Arial" w:hAnsi="Arial"/>
          <w:sz w:val="15"/>
          <w:szCs w:val="15"/>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RSU, the Participant acknowledges that the RSU is intended as an incentive for the Participant to remain employed with the Employer and is not intended as remuneration for labor performed.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NORWAY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- 11</w:t>
      </w:r>
    </w:p>
    <w:p>
      <w:pPr>
        <w:sectPr>
          <w:pgSz w:w="11900" w:h="16838" w:orient="portrait"/>
          <w:cols w:equalWidth="0" w:num="1">
            <w:col w:w="10580"/>
          </w:cols>
          <w:pgMar w:left="660" w:top="1030" w:right="659" w:bottom="1440" w:gutter="0" w:footer="0" w:header="0"/>
        </w:sectPr>
      </w:pPr>
    </w:p>
    <w:bookmarkStart w:id="96" w:name="page97"/>
    <w:bookmarkEnd w:id="96"/>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grant of RSUs is being made pursuant to an exemption from registration under Section 10.2 of the SRC that has been approved by the PSEC.</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16"/>
          <w:szCs w:val="16"/>
          <w:i w:val="1"/>
          <w:iCs w:val="1"/>
          <w:color w:val="auto"/>
        </w:rPr>
        <w:t>If the Participant has questions with regard to the application of Philippines securities laws to the disposal or sale of Shares acquired under the Plan the</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Participant should consult with his or her legal advisor.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POLAND</w:t>
      </w: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ROMANIA</w:t>
      </w:r>
    </w:p>
    <w:p>
      <w:pPr>
        <w:spacing w:after="0" w:line="266"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SERBIA</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RSUs and the issuance of any Shares are not subject to the regulations concerning public offers and private placements under the Law on Capital Markets.</w:t>
      </w:r>
    </w:p>
    <w:p>
      <w:pPr>
        <w:spacing w:after="0" w:line="159"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- 12</w:t>
      </w:r>
    </w:p>
    <w:p>
      <w:pPr>
        <w:sectPr>
          <w:pgSz w:w="11900" w:h="16838" w:orient="portrait"/>
          <w:cols w:equalWidth="0" w:num="1">
            <w:col w:w="10580"/>
          </w:cols>
          <w:pgMar w:left="660" w:top="1030" w:right="659" w:bottom="1440" w:gutter="0" w:footer="0" w:header="0"/>
        </w:sectPr>
      </w:pPr>
    </w:p>
    <w:bookmarkStart w:id="97" w:name="page98"/>
    <w:bookmarkEnd w:id="97"/>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color w:val="auto"/>
        </w:rPr>
        <w:t>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SPAIN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Participant acknowledges that he or she must declare any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w:t>
      </w:r>
      <w:r>
        <w:rPr>
          <w:rFonts w:ascii="Arial" w:cs="Arial" w:eastAsia="Arial" w:hAnsi="Arial"/>
          <w:sz w:val="16"/>
          <w:szCs w:val="16"/>
          <w:i w:val="1"/>
          <w:iCs w:val="1"/>
          <w:color w:val="auto"/>
        </w:rPr>
        <w:t xml:space="preserve"> </w:t>
      </w:r>
      <w:r>
        <w:rPr>
          <w:rFonts w:ascii="Arial" w:cs="Arial" w:eastAsia="Arial" w:hAnsi="Arial"/>
          <w:sz w:val="16"/>
          <w:szCs w:val="16"/>
          <w:color w:val="auto"/>
        </w:rPr>
        <w:t>on an annual basis each January while the shares are owned; however, if the value of the Shares or the sale proceeds exceed a certain amount, a declaration must be filed within one month of the acquisition or sale, as applicable.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- 13</w:t>
      </w:r>
    </w:p>
    <w:p>
      <w:pPr>
        <w:sectPr>
          <w:pgSz w:w="11900" w:h="16838" w:orient="portrait"/>
          <w:cols w:equalWidth="0" w:num="1">
            <w:col w:w="10580"/>
          </w:cols>
          <w:pgMar w:left="660" w:top="1030" w:right="659" w:bottom="1440" w:gutter="0" w:footer="0" w:header="0"/>
        </w:sectPr>
      </w:pPr>
    </w:p>
    <w:bookmarkStart w:id="98" w:name="page99"/>
    <w:bookmarkEnd w:id="98"/>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SWEDEN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6 of the Agreement:</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SWITZERLAND</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TAIWAN</w:t>
      </w: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3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RSUs and participation in the Plan is made available only to employees of the Company and the Employer. It is not a public offer of securities by a Taiwanese company. Therefore, it is exempt from registration in Taiwan.</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213"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THAILAND</w:t>
      </w:r>
    </w:p>
    <w:p>
      <w:pPr>
        <w:spacing w:after="0" w:line="266"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- 14</w:t>
      </w:r>
    </w:p>
    <w:p>
      <w:pPr>
        <w:sectPr>
          <w:pgSz w:w="11900" w:h="16838" w:orient="portrait"/>
          <w:cols w:equalWidth="0" w:num="1">
            <w:col w:w="10580"/>
          </w:cols>
          <w:pgMar w:left="660" w:top="1030" w:right="659" w:bottom="1440" w:gutter="0" w:footer="0" w:header="0"/>
        </w:sectPr>
      </w:pPr>
    </w:p>
    <w:bookmarkStart w:id="99" w:name="page100"/>
    <w:bookmarkEnd w:id="99"/>
    <w:p>
      <w:pPr>
        <w:ind w:left="47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67"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2020 STOCK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report the inward remittance to the Bank of Thailand on a Foreign Exchange Transaction Form. The Participant is responsible for ensuring compliance with all exchange control laws in Thailand.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TURKEY</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208"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recovered from the Participant by any of the means referred to in Section 6 of the Agreement.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1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31" w:lineRule="exact"/>
        <w:rPr>
          <w:sz w:val="20"/>
          <w:szCs w:val="20"/>
          <w:color w:val="auto"/>
        </w:rPr>
      </w:pPr>
    </w:p>
    <w:p>
      <w:pPr>
        <w:jc w:val="both"/>
        <w:spacing w:after="0"/>
        <w:rPr>
          <w:sz w:val="20"/>
          <w:szCs w:val="20"/>
          <w:color w:val="auto"/>
        </w:rPr>
      </w:pPr>
      <w:r>
        <w:rPr>
          <w:rFonts w:ascii="Arial" w:cs="Arial" w:eastAsia="Arial" w:hAnsi="Arial"/>
          <w:sz w:val="16"/>
          <w:szCs w:val="16"/>
          <w:i w:val="1"/>
          <w:iCs w:val="1"/>
          <w:color w:val="auto"/>
        </w:rPr>
        <w:t>The Joint Election is attached hereto as Appendix E.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A - 15</w:t>
      </w:r>
    </w:p>
    <w:p>
      <w:pPr>
        <w:sectPr>
          <w:pgSz w:w="11900" w:h="16838" w:orient="portrait"/>
          <w:cols w:equalWidth="0" w:num="1">
            <w:col w:w="10580"/>
          </w:cols>
          <w:pgMar w:left="660" w:top="1030" w:right="659" w:bottom="1440" w:gutter="0" w:footer="0" w:header="0"/>
        </w:sectPr>
      </w:pPr>
    </w:p>
    <w:bookmarkStart w:id="100" w:name="page101"/>
    <w:bookmarkEnd w:id="10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OFFER DOCUMENT</w:t>
      </w:r>
    </w:p>
    <w:p>
      <w:pPr>
        <w:spacing w:after="0" w:line="16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OFFER OF RESTRICTED STOCK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1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are pleased to provide you with this offer to participate in the Analog Devices, Inc. 2020 Equity Incentive Plan (the “Plan”). This Offer Document sets out information regarding the grant of restricted stock units (“Restricted Stock Units”) over shares of common stock (“Shares”) of Analog Devices, Inc. (the “Company”) to Australian resident employees and directors of the Company and its Australian Subsidiary.</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used but not defined herein shall have the meaning ascribed to such term in the Plan.</w:t>
      </w:r>
    </w:p>
    <w:p>
      <w:pPr>
        <w:spacing w:after="0" w:line="217" w:lineRule="exact"/>
        <w:rPr>
          <w:sz w:val="20"/>
          <w:szCs w:val="20"/>
          <w:color w:val="auto"/>
        </w:rPr>
      </w:pPr>
    </w:p>
    <w:p>
      <w:pPr>
        <w:ind w:left="300" w:hanging="292"/>
        <w:spacing w:after="0"/>
        <w:tabs>
          <w:tab w:leader="none" w:pos="30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OFFER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is an Offer of Restricted Stock Units, as may be granted from time to time by the Company, to certain eligible employees in accordance with the Plan.</w:t>
      </w:r>
    </w:p>
    <w:p>
      <w:pPr>
        <w:spacing w:after="0" w:line="21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tab/>
        <w:t>TERMS OF GRANT</w:t>
      </w:r>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terms of the grant of Restricted Stock Units incorporate the rules of the Plan, this Offer Document and the Global Restricted Stock Unit Agreement, and Appendix A thereto (the “Agreement”). By accepting a grant of Restricted Stock Units, you will be bound by the rules of the Plan, this Offer Document and the Agreement.</w:t>
      </w:r>
    </w:p>
    <w:p>
      <w:pPr>
        <w:spacing w:after="0" w:line="14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tab/>
        <w:t>ADDITIONAL DOCUMENTS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information set out in this Offer Document, attached are copies of the following documents:</w:t>
      </w:r>
    </w:p>
    <w:p>
      <w:pPr>
        <w:spacing w:after="0" w:line="221"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Plan;</w:t>
      </w:r>
    </w:p>
    <w:p>
      <w:pPr>
        <w:spacing w:after="0" w:line="221" w:lineRule="exact"/>
        <w:rPr>
          <w:rFonts w:ascii="Arial" w:cs="Arial" w:eastAsia="Arial" w:hAnsi="Arial"/>
          <w:sz w:val="16"/>
          <w:szCs w:val="16"/>
          <w:color w:val="auto"/>
        </w:rPr>
      </w:pPr>
    </w:p>
    <w:p>
      <w:pPr>
        <w:ind w:left="680" w:hanging="672"/>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Plan Prospectus; and</w:t>
      </w:r>
    </w:p>
    <w:p>
      <w:pPr>
        <w:spacing w:after="0" w:line="221" w:lineRule="exact"/>
        <w:rPr>
          <w:rFonts w:ascii="Arial" w:cs="Arial" w:eastAsia="Arial" w:hAnsi="Arial"/>
          <w:sz w:val="16"/>
          <w:szCs w:val="16"/>
          <w:color w:val="auto"/>
        </w:rPr>
      </w:pPr>
    </w:p>
    <w:p>
      <w:pPr>
        <w:ind w:left="680" w:hanging="672"/>
        <w:spacing w:after="0"/>
        <w:tabs>
          <w:tab w:leader="none" w:pos="6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“Additional Documents”).</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Agreement sets out, among other details, the vesting conditions applicable to your Restricted Stock Units, information on the settlement of your Restricted Stock Units and the consequences of a change in the nature or status of your employment.</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Arial" w:cs="Arial" w:eastAsia="Arial" w:hAnsi="Arial"/>
          <w:sz w:val="16"/>
          <w:szCs w:val="16"/>
          <w:i w:val="1"/>
          <w:iCs w:val="1"/>
          <w:color w:val="auto"/>
        </w:rPr>
        <w:t>Corporations Act</w:t>
      </w:r>
      <w:r>
        <w:rPr>
          <w:rFonts w:ascii="Arial" w:cs="Arial" w:eastAsia="Arial" w:hAnsi="Arial"/>
          <w:sz w:val="16"/>
          <w:szCs w:val="16"/>
          <w:color w:val="auto"/>
        </w:rPr>
        <w: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1240"/>
          </w:cols>
          <w:pgMar w:left="320" w:top="1030" w:right="339" w:bottom="1440" w:gutter="0" w:footer="0" w:header="0"/>
        </w:sectPr>
      </w:pPr>
    </w:p>
    <w:bookmarkStart w:id="101" w:name="page102"/>
    <w:bookmarkEnd w:id="10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OFFER DOCUMENT</w:t>
      </w:r>
    </w:p>
    <w:p>
      <w:pPr>
        <w:spacing w:after="0" w:line="16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OFFER OF RESTRICTED STOCK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STATEMENTS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tab/>
        <w:t>WHO IS ELIGIBLE TO PARTICIPATE?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8" w:lineRule="exact"/>
        <w:rPr>
          <w:sz w:val="20"/>
          <w:szCs w:val="20"/>
          <w:color w:val="auto"/>
        </w:rPr>
      </w:pPr>
    </w:p>
    <w:p>
      <w:pPr>
        <w:ind w:left="300" w:hanging="292"/>
        <w:spacing w:after="0"/>
        <w:tabs>
          <w:tab w:leader="none" w:pos="30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ACCEPTING AN AWARD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Agreement sets out additional terms and conditions of your Restricted Stock Unit award. You are not required to affirmatively accept your Restricted Stock Units award in writing.</w:t>
      </w:r>
    </w:p>
    <w:p>
      <w:pPr>
        <w:spacing w:after="0" w:line="168" w:lineRule="exact"/>
        <w:rPr>
          <w:sz w:val="20"/>
          <w:szCs w:val="20"/>
          <w:color w:val="auto"/>
        </w:rPr>
      </w:pPr>
    </w:p>
    <w:p>
      <w:pPr>
        <w:ind w:left="300" w:hanging="292"/>
        <w:spacing w:after="0"/>
        <w:tabs>
          <w:tab w:leader="none" w:pos="30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TERMS OF THE RESTRICTED STOCK UNITS?</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are Restricted Stock Units?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Restricted Stock Units represent the right to receive Shares upon fulfilment of the vesting conditions set out in your Agreement. The Restricted Stock Units are considered “restricted” because they are subject to forfeiture and restrictions on transfer until they vest. The restrictions are set forth in your Agreement. When your Restricted Stock Units vest, you will be issued Shares at no monetary cost (other than applicable taxes) to you. Notwithstanding anything to the contrary in the Plan, the Agreement, or any related document, your Restricted Stock Units will be settled in Shares.</w:t>
      </w:r>
    </w:p>
    <w:p>
      <w:pPr>
        <w:spacing w:after="0" w:line="183"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to pay any money to receive the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No. You pay no monetary consideration to receive the Restricted Stock Units, nor do you pay anything to receive the Shares upon vesting (other than applicable taxes).</w:t>
      </w:r>
    </w:p>
    <w:p>
      <w:pPr>
        <w:spacing w:after="0" w:line="22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will I receive upon vesting of my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your Restricted Stock Units and the number of Shares subject to the award are set out in the Agreement.</w:t>
      </w: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When do I become a stockholder?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You are not a stockholder merely as a result of holding Restricted Stock Units. The Restricted Stock Units will not entitle you to any shareholder rights, including the right to vote the Shares or receive dividends, notices of meetings, proxy statements and other materials provided to stockholders, until the restrictions lapse at vesting and the Restricted Stock Units are paid out in Shares. In this regard, you are not recorded as the owner of the Shares prior to vesting. You should refer to your Agreement for details of the consequences of a change in the nature of your employment.</w:t>
      </w:r>
    </w:p>
    <w:p>
      <w:pPr>
        <w:spacing w:after="0" w:line="18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Can I transfer the Restricted Stock Units to someone else?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 The Restricted Stock Units are generally non-transferable, unless otherwise provided in your Agreement; however, once Shares are issued upon vesting, the Shares will be freely tradeable (subject to the Company’s policies and applicable laws regarding insider trading).</w:t>
      </w:r>
    </w:p>
    <w:p>
      <w:pPr>
        <w:spacing w:after="0" w:line="16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(f)</w:t>
      </w:r>
      <w:r>
        <w:rPr>
          <w:sz w:val="20"/>
          <w:szCs w:val="20"/>
          <w:color w:val="auto"/>
        </w:rPr>
        <w:tab/>
      </w:r>
      <w:r>
        <w:rPr>
          <w:rFonts w:ascii="Arial" w:cs="Arial" w:eastAsia="Arial" w:hAnsi="Arial"/>
          <w:sz w:val="14"/>
          <w:szCs w:val="14"/>
          <w:b w:val="1"/>
          <w:bCs w:val="1"/>
          <w:color w:val="auto"/>
        </w:rPr>
        <w:t>What happens if my employment with the Company or Australian Subsidiary terminates?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Your right to any unvested Restricted Stock Units will terminate when you terminate employment with the Company or any subsidiary of the Company for reasons including, but not limited to, retirement, resignation, lay-off, discharge, or other change of employment status.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1240"/>
          </w:cols>
          <w:pgMar w:left="320" w:top="1030" w:right="339" w:bottom="1440" w:gutter="0" w:footer="0" w:header="0"/>
        </w:sectPr>
      </w:pPr>
    </w:p>
    <w:bookmarkStart w:id="102" w:name="page103"/>
    <w:bookmarkEnd w:id="10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OFFER DOCUMENT</w:t>
      </w:r>
    </w:p>
    <w:p>
      <w:pPr>
        <w:spacing w:after="0" w:line="16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OFFER OF RESTRICTED STOCK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00" w:hanging="292"/>
        <w:spacing w:after="0"/>
        <w:tabs>
          <w:tab w:leader="none" w:pos="30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SHARE IN THE COMPANY</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Common stock of a U.S. corporation is analogous to an ordinary share of an Australian corporation. Each holder of a Share is entitled to one vote for every Share held in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paid on the Shares out of any funds of the Company legally available for dividends at the discretion of the board of directors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traded on the Nasdaq Global Select Market in the United States of America and are traded under the symbol “ADI”.</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8" w:lineRule="exact"/>
        <w:rPr>
          <w:sz w:val="20"/>
          <w:szCs w:val="20"/>
          <w:color w:val="auto"/>
        </w:rPr>
      </w:pPr>
    </w:p>
    <w:p>
      <w:pPr>
        <w:ind w:left="300" w:hanging="292"/>
        <w:spacing w:after="0"/>
        <w:tabs>
          <w:tab w:leader="none" w:pos="30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OBTAIN UPDATED INDICATIVE EXAMPLES OF THE CURRENT MARKET PRICE IN AUSTRALIAN DOLLARS?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You may ascertain the current market price of the Shares as traded on the Nasdaq at </w:t>
      </w:r>
      <w:r>
        <w:rPr>
          <w:rFonts w:ascii="Arial" w:cs="Arial" w:eastAsia="Arial" w:hAnsi="Arial"/>
          <w:sz w:val="16"/>
          <w:szCs w:val="16"/>
          <w:u w:val="single" w:color="auto"/>
          <w:color w:val="0000FF"/>
        </w:rPr>
        <w:t>http://www.nasdaq.com</w:t>
      </w:r>
      <w:r>
        <w:rPr>
          <w:rFonts w:ascii="Arial" w:cs="Arial" w:eastAsia="Arial" w:hAnsi="Arial"/>
          <w:sz w:val="16"/>
          <w:szCs w:val="16"/>
          <w:color w:val="auto"/>
        </w:rPr>
        <w:t xml:space="preserve"> under the code “ADI”. The Australian dollar equivalent of that price can be obtained at: </w:t>
      </w:r>
      <w:r>
        <w:rPr>
          <w:rFonts w:ascii="Arial" w:cs="Arial" w:eastAsia="Arial" w:hAnsi="Arial"/>
          <w:sz w:val="16"/>
          <w:szCs w:val="16"/>
          <w:u w:val="single" w:color="auto"/>
          <w:color w:val="0000FF"/>
        </w:rPr>
        <w:t>http://www.rba.gov.au/statistics/frequency/exchange-rates.html</w:t>
      </w:r>
      <w:r>
        <w:rPr>
          <w:rFonts w:ascii="Arial" w:cs="Arial" w:eastAsia="Arial" w:hAnsi="Arial"/>
          <w:sz w:val="16"/>
          <w:szCs w:val="16"/>
          <w:color w:val="auto"/>
        </w:rPr>
        <w:t>.</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This will not be a prediction of what the market price per Share will be when the Restricted Stock Units vest or settle or of the applicable exchange rate on the actual date of vesting or settlement.</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10.</w:t>
        <w:tab/>
        <w:t>WHAT ADDITIONAL RISK FACTORS APPLY TO AUSTRALIAN RESIDENTS’ PARTICIPATION IN THE PLAN?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 xml:space="preserve">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w:t>
      </w:r>
      <w:r>
        <w:rPr>
          <w:rFonts w:ascii="Arial" w:cs="Arial" w:eastAsia="Arial" w:hAnsi="Arial"/>
          <w:sz w:val="14"/>
          <w:szCs w:val="14"/>
          <w:u w:val="single" w:color="auto"/>
          <w:color w:val="0000FF"/>
        </w:rPr>
        <w:t>http://www.sec.gov/</w:t>
      </w:r>
      <w:r>
        <w:rPr>
          <w:rFonts w:ascii="Arial" w:cs="Arial" w:eastAsia="Arial" w:hAnsi="Arial"/>
          <w:sz w:val="14"/>
          <w:szCs w:val="14"/>
          <w:color w:val="auto"/>
        </w:rPr>
        <w:t xml:space="preserve">, on the Company’s “Investor Relations” page at </w:t>
      </w:r>
      <w:r>
        <w:rPr>
          <w:rFonts w:ascii="Arial" w:cs="Arial" w:eastAsia="Arial" w:hAnsi="Arial"/>
          <w:sz w:val="14"/>
          <w:szCs w:val="14"/>
          <w:u w:val="single" w:color="auto"/>
          <w:color w:val="0000FF"/>
        </w:rPr>
        <w:t>http://investor.analog.com/</w:t>
      </w:r>
      <w:r>
        <w:rPr>
          <w:rFonts w:ascii="Arial" w:cs="Arial" w:eastAsia="Arial" w:hAnsi="Arial"/>
          <w:sz w:val="14"/>
          <w:szCs w:val="14"/>
          <w:color w:val="auto"/>
        </w:rPr>
        <w:t>, and upon request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 addition, you should be aware that the Australian dollar value of the Shares you may acquire at vesting will be affected by the U.S. dollar/Australian dollar exchange rate.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involves certain risks related to fluctuations in this rate of exchange.</w:t>
      </w: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PLAN MODIFICATION, TERMINATION ETC.</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tab/>
        <w:t>WHAT ARE THE AUSTRALIAN TAX CONSEQUENCES OF PARTICIPATION IN THE PLAN?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is a summary of the tax consequences as of October 2020 for an Australian resident employee who receives Restricted Stock Units under the Plan. You may also be subject to Medicare levy and surcharge.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- 3</w:t>
      </w:r>
    </w:p>
    <w:p>
      <w:pPr>
        <w:sectPr>
          <w:pgSz w:w="11900" w:h="16838" w:orient="portrait"/>
          <w:cols w:equalWidth="0" w:num="1">
            <w:col w:w="11240"/>
          </w:cols>
          <w:pgMar w:left="320" w:top="1030" w:right="339" w:bottom="1440" w:gutter="0" w:footer="0" w:header="0"/>
        </w:sectPr>
      </w:pPr>
    </w:p>
    <w:bookmarkStart w:id="103" w:name="page104"/>
    <w:bookmarkEnd w:id="10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OFFER DOCUMENT</w:t>
      </w:r>
    </w:p>
    <w:p>
      <w:pPr>
        <w:spacing w:after="0" w:line="16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OFFER OF RESTRICTED STOCK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note that for Restricted Stock Units granted under the Plan prior to 1 July 2015, different employee share scheme rules apply. The following taxation summary applies only to Restricted Stock Units granted on or after 1 July 2015. If you hold Restricted Stock Units granted before 1 July 2015, please consult with your personal tax advisor on the applicable tax treatment.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necessarily general in nature and does not purport to be tax advice in relation to an actual or potential recipient of Restricted Stock Units.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If you are a citizen or resident of another country for local tax law purposes or if you transfer employment to another country after the Restricted Stock Units are granted to you, the information contained in this summary may not be applicable to you. </w:t>
      </w:r>
      <w:r>
        <w:rPr>
          <w:rFonts w:ascii="Arial" w:cs="Arial" w:eastAsia="Arial" w:hAnsi="Arial"/>
          <w:sz w:val="16"/>
          <w:szCs w:val="16"/>
          <w:i w:val="1"/>
          <w:iCs w:val="1"/>
          <w:color w:val="auto"/>
        </w:rPr>
        <w:t>You should seek appropriate professional advice as to how the tax or other laws in Australia</w:t>
      </w:r>
      <w:r>
        <w:rPr>
          <w:rFonts w:ascii="Arial" w:cs="Arial" w:eastAsia="Arial" w:hAnsi="Arial"/>
          <w:sz w:val="16"/>
          <w:szCs w:val="16"/>
          <w:color w:val="auto"/>
        </w:rPr>
        <w:t xml:space="preserve"> </w:t>
      </w:r>
      <w:r>
        <w:rPr>
          <w:rFonts w:ascii="Arial" w:cs="Arial" w:eastAsia="Arial" w:hAnsi="Arial"/>
          <w:sz w:val="16"/>
          <w:szCs w:val="16"/>
          <w:i w:val="1"/>
          <w:iCs w:val="1"/>
          <w:color w:val="auto"/>
        </w:rPr>
        <w:t>and in your country apply to your specific situation.</w:t>
      </w:r>
    </w:p>
    <w:p>
      <w:pPr>
        <w:spacing w:after="0" w:line="1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If you are awarded Restricted Stock Units under the Plan, you should not rely on this summary as anything other than a broad guide, and you should obtain independent taxation advice specific to your particular circumstances before making the decision to accept the Restricted Stock Units.</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is the effect of the grant of the Restricted Stock Units?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 xml:space="preserve">The Australian tax legislation contains specific rules, in Division 83A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governing the taxation of shares and rights (called “ESS interests”) acquired by employees under employee share schemes. The Restricted Stock Units granted under the Plan should be regarded as a right to acquire shares and accordingly, an ESS interest for these purposes.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Your assessable income includes the ESS interest at grant, unless the ESS interest is subject to a “real risk of forfeiture,” in which case you will be subject to deferred taxation.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the Restricted Stock Units, the “real risk of forfeiture” test requires that:</w:t>
      </w:r>
    </w:p>
    <w:p>
      <w:pPr>
        <w:spacing w:after="0" w:line="221" w:lineRule="exact"/>
        <w:rPr>
          <w:sz w:val="20"/>
          <w:szCs w:val="20"/>
          <w:color w:val="auto"/>
        </w:rPr>
      </w:pPr>
    </w:p>
    <w:p>
      <w:pPr>
        <w:ind w:left="660" w:hanging="4"/>
        <w:spacing w:after="0" w:line="275" w:lineRule="auto"/>
        <w:tabs>
          <w:tab w:leader="none" w:pos="99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there must be a real risk that, under the conditions of the Plan, you will forfeit the Restricted Stock Units or lose them (other than by disposing of them or in connection with the vesting of the Restricted Stock Units); or</w:t>
      </w:r>
    </w:p>
    <w:p>
      <w:pPr>
        <w:spacing w:after="0" w:line="172" w:lineRule="exact"/>
        <w:rPr>
          <w:rFonts w:ascii="Arial" w:cs="Arial" w:eastAsia="Arial" w:hAnsi="Arial"/>
          <w:sz w:val="16"/>
          <w:szCs w:val="16"/>
          <w:color w:val="auto"/>
        </w:rPr>
      </w:pPr>
    </w:p>
    <w:p>
      <w:pPr>
        <w:ind w:left="660" w:hanging="4"/>
        <w:spacing w:after="0" w:line="275" w:lineRule="auto"/>
        <w:tabs>
          <w:tab w:leader="none" w:pos="10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there must be a real risk that if your Restricted Stock Units vest, under the conditions of the Plan, you will forfeit the underlying Shares or lose them other than by disposing of them.</w:t>
      </w:r>
    </w:p>
    <w:p>
      <w:pPr>
        <w:spacing w:after="0" w:line="172"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terms of your Restricted Stock Unit award are set out in the Additional Documents. It is understood that your Restricted Stock Units will satisfy the real risk of forfeiture test and that you will be subject to deferred taxation (</w:t>
      </w:r>
      <w:r>
        <w:rPr>
          <w:rFonts w:ascii="Arial" w:cs="Arial" w:eastAsia="Arial" w:hAnsi="Arial"/>
          <w:sz w:val="15"/>
          <w:szCs w:val="15"/>
          <w:i w:val="1"/>
          <w:iCs w:val="1"/>
          <w:color w:val="auto"/>
        </w:rPr>
        <w:t>i.e.</w:t>
      </w:r>
      <w:r>
        <w:rPr>
          <w:rFonts w:ascii="Arial" w:cs="Arial" w:eastAsia="Arial" w:hAnsi="Arial"/>
          <w:sz w:val="15"/>
          <w:szCs w:val="15"/>
          <w:color w:val="auto"/>
        </w:rPr>
        <w:t>, you generally should not be subject to tax when the Restricted Share Units are granted to you).</w:t>
      </w: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When will you be taxed if your Restricted Stock Units are subject to a real risk of forfeiture?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will be required to include an amount in your assessable income for the income year (</w:t>
      </w:r>
      <w:r>
        <w:rPr>
          <w:rFonts w:ascii="Arial" w:cs="Arial" w:eastAsia="Arial" w:hAnsi="Arial"/>
          <w:sz w:val="16"/>
          <w:szCs w:val="16"/>
          <w:i w:val="1"/>
          <w:iCs w:val="1"/>
          <w:color w:val="auto"/>
        </w:rPr>
        <w:t>i.e.</w:t>
      </w:r>
      <w:r>
        <w:rPr>
          <w:rFonts w:ascii="Arial" w:cs="Arial" w:eastAsia="Arial" w:hAnsi="Arial"/>
          <w:sz w:val="16"/>
          <w:szCs w:val="16"/>
          <w:color w:val="auto"/>
        </w:rPr>
        <w:t>, the financial year ending 30 June) in which the earliest of the following events occurs in relation to the Restricted Stock Units (the “ESS deferred taxing point”).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Your ESS deferred taxing point will be the earliest of the following:</w:t>
      </w:r>
    </w:p>
    <w:p>
      <w:pPr>
        <w:spacing w:after="0" w:line="221" w:lineRule="exact"/>
        <w:rPr>
          <w:sz w:val="20"/>
          <w:szCs w:val="20"/>
          <w:color w:val="auto"/>
        </w:rPr>
      </w:pPr>
    </w:p>
    <w:p>
      <w:pPr>
        <w:ind w:left="660" w:hanging="4"/>
        <w:spacing w:after="0" w:line="275" w:lineRule="auto"/>
        <w:tabs>
          <w:tab w:leader="none" w:pos="987"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when there are no longer any genuine restrictions on the vesting of the Restricted Stock Units and there is no real risk of you forfeiting your Restricted Stock Units;</w:t>
      </w:r>
    </w:p>
    <w:p>
      <w:pPr>
        <w:spacing w:after="0" w:line="172" w:lineRule="exact"/>
        <w:rPr>
          <w:rFonts w:ascii="Arial" w:cs="Arial" w:eastAsia="Arial" w:hAnsi="Arial"/>
          <w:sz w:val="16"/>
          <w:szCs w:val="16"/>
          <w:color w:val="auto"/>
        </w:rPr>
      </w:pPr>
    </w:p>
    <w:p>
      <w:pPr>
        <w:ind w:left="1020" w:hanging="364"/>
        <w:spacing w:after="0"/>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when the Restricted Stock Units are settled and there is no genuine restriction on the disposal of the underlying Shares; and</w:t>
      </w:r>
    </w:p>
    <w:p>
      <w:pPr>
        <w:spacing w:after="0" w:line="221" w:lineRule="exact"/>
        <w:rPr>
          <w:rFonts w:ascii="Arial" w:cs="Arial" w:eastAsia="Arial" w:hAnsi="Arial"/>
          <w:sz w:val="16"/>
          <w:szCs w:val="16"/>
          <w:color w:val="auto"/>
        </w:rPr>
      </w:pPr>
    </w:p>
    <w:p>
      <w:pPr>
        <w:ind w:left="1060" w:hanging="404"/>
        <w:spacing w:after="0"/>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your cessation of employment (but see Section 11(e) below).</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Generally, this means that you will be subject to tax when your Restricted Stock Units vest. However, the ESS deferred taxing point for your Restricted Stock Units will be moved to the time you sell the underlying Shares if you sell the shares within 30 days of the original ESS deferred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- 4</w:t>
      </w:r>
    </w:p>
    <w:p>
      <w:pPr>
        <w:sectPr>
          <w:pgSz w:w="11900" w:h="16838" w:orient="portrait"/>
          <w:cols w:equalWidth="0" w:num="1">
            <w:col w:w="11240"/>
          </w:cols>
          <w:pgMar w:left="320" w:top="1030" w:right="339" w:bottom="1440" w:gutter="0" w:footer="0" w:header="0"/>
        </w:sectPr>
      </w:pPr>
    </w:p>
    <w:bookmarkStart w:id="104" w:name="page105"/>
    <w:bookmarkEnd w:id="10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OFFER DOCUMENT</w:t>
      </w:r>
    </w:p>
    <w:p>
      <w:pPr>
        <w:spacing w:after="0" w:line="16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OFFER OF RESTRICTED STOCK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income taxes, the assessable amount may also be subject to Medicare Levy and surcharge (if applicable).</w:t>
      </w:r>
    </w:p>
    <w:p>
      <w:pPr>
        <w:spacing w:after="0" w:line="2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What is the amount to be included in your assessable income if an ESS deferred taxing point occurs?</w:t>
      </w:r>
    </w:p>
    <w:p>
      <w:pPr>
        <w:spacing w:after="0" w:line="225"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The amount you must include in your assessable income in the income year (</w:t>
      </w:r>
      <w:r>
        <w:rPr>
          <w:rFonts w:ascii="Arial" w:cs="Arial" w:eastAsia="Arial" w:hAnsi="Arial"/>
          <w:sz w:val="14"/>
          <w:szCs w:val="14"/>
          <w:i w:val="1"/>
          <w:iCs w:val="1"/>
          <w:color w:val="auto"/>
        </w:rPr>
        <w:t>i.e.</w:t>
      </w:r>
      <w:r>
        <w:rPr>
          <w:rFonts w:ascii="Arial" w:cs="Arial" w:eastAsia="Arial" w:hAnsi="Arial"/>
          <w:sz w:val="14"/>
          <w:szCs w:val="14"/>
          <w:color w:val="auto"/>
        </w:rPr>
        <w:t>, the financial year ending 30 June) in which the ESS deferred taxing point occurs in relation to your Restricted Stock Units (</w:t>
      </w:r>
      <w:r>
        <w:rPr>
          <w:rFonts w:ascii="Arial" w:cs="Arial" w:eastAsia="Arial" w:hAnsi="Arial"/>
          <w:sz w:val="14"/>
          <w:szCs w:val="14"/>
          <w:i w:val="1"/>
          <w:iCs w:val="1"/>
          <w:color w:val="auto"/>
        </w:rPr>
        <w:t>i.e.,</w:t>
      </w:r>
      <w:r>
        <w:rPr>
          <w:rFonts w:ascii="Arial" w:cs="Arial" w:eastAsia="Arial" w:hAnsi="Arial"/>
          <w:sz w:val="14"/>
          <w:szCs w:val="14"/>
          <w:color w:val="auto"/>
        </w:rPr>
        <w:t xml:space="preserve"> typically at vesting) will be the difference between the “market value” of the underlying Shares at the ESS deferred taxing point and the cost base of the Restricted Stock Units (which should be nil because you do not have to pay anything to acquire the Restricted Stock Units or the underlying Shares).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Restricted Stock Units (which, again, should be nil).</w:t>
      </w:r>
    </w:p>
    <w:p>
      <w:pPr>
        <w:spacing w:after="0" w:line="179"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market value of the Underlying Shares?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“market value” of the Restricted Stock Units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Restricted Stock Units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83"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cease employment before my Restricted Stock Units vest?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cease employment with your employer prior to the vesting date of some or all of your Restricted Stock Units and the Restricted Stock Units do not vest upon termination of employment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they are forfeited), you may be treated as having never acquired the forfeited Restricted Stock Units in which case, no amount will be included in your assessable income.</w:t>
      </w:r>
    </w:p>
    <w:p>
      <w:pPr>
        <w:spacing w:after="0" w:line="179"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What tax consequences will arise when I sell my Shares?</w:t>
      </w:r>
    </w:p>
    <w:p>
      <w:pPr>
        <w:spacing w:after="0" w:line="225"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If you sell the Shares acquired upon vesting of your Restricted Stock Units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26" w:lineRule="exact"/>
        <w:rPr>
          <w:sz w:val="20"/>
          <w:szCs w:val="20"/>
          <w:color w:val="auto"/>
        </w:rPr>
      </w:pPr>
    </w:p>
    <w:p>
      <w:pPr>
        <w:jc w:val="both"/>
        <w:ind w:right="20"/>
        <w:spacing w:after="0" w:line="304" w:lineRule="auto"/>
        <w:rPr>
          <w:sz w:val="20"/>
          <w:szCs w:val="20"/>
          <w:color w:val="auto"/>
        </w:rPr>
      </w:pPr>
      <w:r>
        <w:rPr>
          <w:rFonts w:ascii="Arial" w:cs="Arial" w:eastAsia="Arial" w:hAnsi="Arial"/>
          <w:sz w:val="14"/>
          <w:szCs w:val="14"/>
          <w:color w:val="auto"/>
        </w:rPr>
        <w:t>If you sell the Shares acquired upon vesting of your Restricted Stock Units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- 5</w:t>
      </w:r>
    </w:p>
    <w:p>
      <w:pPr>
        <w:sectPr>
          <w:pgSz w:w="11900" w:h="16838" w:orient="portrait"/>
          <w:cols w:equalWidth="0" w:num="1">
            <w:col w:w="11240"/>
          </w:cols>
          <w:pgMar w:left="320" w:top="1030" w:right="339" w:bottom="1440" w:gutter="0" w:footer="0" w:header="0"/>
        </w:sectPr>
      </w:pPr>
    </w:p>
    <w:bookmarkStart w:id="105" w:name="page106"/>
    <w:bookmarkEnd w:id="10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67" w:lineRule="exact"/>
        <w:rPr>
          <w:sz w:val="20"/>
          <w:szCs w:val="20"/>
          <w:color w:val="auto"/>
        </w:rPr>
      </w:pPr>
    </w:p>
    <w:p>
      <w:pPr>
        <w:ind w:left="4840"/>
        <w:spacing w:after="0"/>
        <w:rPr>
          <w:sz w:val="20"/>
          <w:szCs w:val="20"/>
          <w:color w:val="auto"/>
        </w:rPr>
      </w:pPr>
      <w:r>
        <w:rPr>
          <w:rFonts w:ascii="Arial" w:cs="Arial" w:eastAsia="Arial" w:hAnsi="Arial"/>
          <w:sz w:val="16"/>
          <w:szCs w:val="16"/>
          <w:b w:val="1"/>
          <w:bCs w:val="1"/>
          <w:color w:val="auto"/>
        </w:rPr>
        <w:t>OFFER DOCUMENT</w:t>
      </w:r>
    </w:p>
    <w:p>
      <w:pPr>
        <w:spacing w:after="0" w:line="167"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OFFER OF RESTRICTED STOCK UNITS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are responsible for reporting any income you realize from the sale of Shares acquired upon vesting of Restricted Stock Units and paying any applicable taxes due on such income.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(g)</w:t>
      </w:r>
      <w:r>
        <w:rPr>
          <w:sz w:val="20"/>
          <w:szCs w:val="20"/>
          <w:color w:val="auto"/>
        </w:rPr>
        <w:tab/>
      </w:r>
      <w:r>
        <w:rPr>
          <w:rFonts w:ascii="Arial" w:cs="Arial" w:eastAsia="Arial" w:hAnsi="Arial"/>
          <w:sz w:val="14"/>
          <w:szCs w:val="14"/>
          <w:b w:val="1"/>
          <w:bCs w:val="1"/>
          <w:color w:val="auto"/>
        </w:rPr>
        <w:t>What are the taxation consequences if a dividend is paid on the Shares?</w:t>
      </w:r>
    </w:p>
    <w:p>
      <w:pPr>
        <w:spacing w:after="0" w:line="22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If you vest in the Restricted Stock Units and become a Company stockholder, you may be entitled to receive dividends on the Shares obtained from vesting in the Restricted Stock Units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(h)</w:t>
      </w:r>
      <w:r>
        <w:rPr>
          <w:sz w:val="20"/>
          <w:szCs w:val="20"/>
          <w:color w:val="auto"/>
        </w:rPr>
        <w:tab/>
      </w:r>
      <w:r>
        <w:rPr>
          <w:rFonts w:ascii="Arial" w:cs="Arial" w:eastAsia="Arial" w:hAnsi="Arial"/>
          <w:sz w:val="14"/>
          <w:szCs w:val="14"/>
          <w:b w:val="1"/>
          <w:bCs w:val="1"/>
          <w:color w:val="auto"/>
        </w:rPr>
        <w:t>What are the tax withholding and reporting obligations associated with the Restricted Stock Units?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will be responsible for reporting on your tax return and paying any tax liability in relation to the Restricted Stock Units and any Shares issued to you at vesting. It is also your responsibility to report and pay any tax liability on the sale of any Shares acquired under the Plan any dividends received.</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Your employer will be required to withhold tax due on the Restricted Stock Units only if you have not provided your Tax File Number or Australian Business Number, as applicable, to your employer.</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5"/>
          <w:szCs w:val="15"/>
          <w:i w:val="1"/>
          <w:iCs w:val="1"/>
          <w:color w:val="auto"/>
        </w:rPr>
        <w:t>You will be responsible for determining this amount and calculating your tax accordingly.</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13.</w:t>
        <w:tab/>
        <w:t>WHAT ARE THE U.S. TAX CONSEQUENCES OF PARTICIPATION IN THE PLAN?</w:t>
      </w:r>
    </w:p>
    <w:p>
      <w:pPr>
        <w:spacing w:after="0" w:line="225"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Australian residents who are not U.S. citizens or tax residents should not be subject to U.S. tax by reason only of the award or vesting of the Restricted Stock Units and/or the sale of Shares, except with respect to dividends as described above. However, liability for U.S. tax may accrue if an Australian resident is otherwise subject to U.S. tax.</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is only an indication of the likely U.S. tax consequences for an Australian resident who is awarded Restricted Stock Units under the Plan. Each Australian resident should seek his or her own advice as to the U.S. tax consequences of the Plan.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ANALOG DEVICES,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- 6</w:t>
      </w:r>
    </w:p>
    <w:p>
      <w:pPr>
        <w:sectPr>
          <w:pgSz w:w="11900" w:h="16838" w:orient="portrait"/>
          <w:cols w:equalWidth="0" w:num="1">
            <w:col w:w="11240"/>
          </w:cols>
          <w:pgMar w:left="320" w:top="1030" w:right="339" w:bottom="1440" w:gutter="0" w:footer="0" w:header="0"/>
        </w:sectPr>
      </w:pPr>
    </w:p>
    <w:bookmarkStart w:id="106" w:name="page107"/>
    <w:bookmarkEnd w:id="106"/>
    <w:p>
      <w:pPr>
        <w:ind w:left="51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67"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EMPLOYER INFORMATION STATEMENT – DENMARK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33" w:lineRule="exact"/>
        <w:rPr>
          <w:sz w:val="20"/>
          <w:szCs w:val="20"/>
          <w:color w:val="auto"/>
        </w:rPr>
      </w:pPr>
    </w:p>
    <w:p>
      <w:pPr>
        <w:ind w:left="300" w:hanging="292"/>
        <w:spacing w:after="0"/>
        <w:tabs>
          <w:tab w:leader="none" w:pos="30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Date of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approved the grant of RSUs under the Plan on Grant Date. On this basis, the Date of Grant for your RSUs is Grant Date.</w:t>
      </w:r>
    </w:p>
    <w:p>
      <w:pPr>
        <w:spacing w:after="0" w:line="16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Terms and Conditions of the RSU Grant</w:t>
      </w:r>
    </w:p>
    <w:p>
      <w:pPr>
        <w:spacing w:after="0" w:line="171"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3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Vesting Date of RSUs</w:t>
      </w:r>
    </w:p>
    <w:p>
      <w:pPr>
        <w:spacing w:after="0" w:line="171"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When your RSUs vest, the Company will issue one share of the Company’s common stock to you in settlement of each vested RSU.</w:t>
      </w:r>
    </w:p>
    <w:p>
      <w:pPr>
        <w:spacing w:after="0" w:line="163" w:lineRule="exact"/>
        <w:rPr>
          <w:sz w:val="20"/>
          <w:szCs w:val="20"/>
          <w:color w:val="auto"/>
        </w:rPr>
      </w:pPr>
    </w:p>
    <w:p>
      <w:pPr>
        <w:ind w:left="300" w:hanging="292"/>
        <w:spacing w:after="0"/>
        <w:tabs>
          <w:tab w:leader="none" w:pos="300"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p>
    <w:p>
      <w:pPr>
        <w:spacing w:after="0" w:line="171" w:lineRule="exact"/>
        <w:rPr>
          <w:sz w:val="20"/>
          <w:szCs w:val="20"/>
          <w:color w:val="auto"/>
        </w:rPr>
      </w:pPr>
    </w:p>
    <w:p>
      <w:pPr>
        <w:ind w:left="660" w:right="20"/>
        <w:spacing w:after="0" w:line="275" w:lineRule="auto"/>
        <w:rPr>
          <w:sz w:val="20"/>
          <w:szCs w:val="20"/>
          <w:color w:val="auto"/>
        </w:rPr>
      </w:pPr>
      <w:r>
        <w:rPr>
          <w:rFonts w:ascii="Arial" w:cs="Arial" w:eastAsia="Arial" w:hAnsi="Arial"/>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Your Rights upon Termination of Service</w:t>
      </w:r>
    </w:p>
    <w:p>
      <w:pPr>
        <w:spacing w:after="0" w:line="171" w:lineRule="exact"/>
        <w:rPr>
          <w:sz w:val="20"/>
          <w:szCs w:val="20"/>
          <w:color w:val="auto"/>
        </w:rPr>
      </w:pPr>
    </w:p>
    <w:p>
      <w:pPr>
        <w:ind w:left="660"/>
        <w:spacing w:after="0" w:line="275" w:lineRule="auto"/>
        <w:rPr>
          <w:sz w:val="20"/>
          <w:szCs w:val="20"/>
          <w:color w:val="auto"/>
        </w:rPr>
      </w:pPr>
      <w:r>
        <w:rPr>
          <w:rFonts w:ascii="Arial" w:cs="Arial" w:eastAsia="Arial" w:hAnsi="Arial"/>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14" w:lineRule="exact"/>
        <w:rPr>
          <w:sz w:val="20"/>
          <w:szCs w:val="20"/>
          <w:color w:val="auto"/>
        </w:rPr>
      </w:pPr>
    </w:p>
    <w:p>
      <w:pPr>
        <w:ind w:left="300" w:hanging="292"/>
        <w:spacing w:after="0"/>
        <w:tabs>
          <w:tab w:leader="none" w:pos="30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Aspects of Participating in the Plan</w:t>
      </w:r>
    </w:p>
    <w:p>
      <w:pPr>
        <w:spacing w:after="0" w:line="171"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29" w:lineRule="exact"/>
        <w:rPr>
          <w:sz w:val="20"/>
          <w:szCs w:val="20"/>
          <w:color w:val="auto"/>
        </w:rPr>
      </w:pPr>
    </w:p>
    <w:p>
      <w:pPr>
        <w:jc w:val="both"/>
        <w:ind w:left="660"/>
        <w:spacing w:after="0" w:line="286" w:lineRule="auto"/>
        <w:rPr>
          <w:sz w:val="20"/>
          <w:szCs w:val="20"/>
          <w:color w:val="auto"/>
        </w:rPr>
      </w:pPr>
      <w:r>
        <w:rPr>
          <w:rFonts w:ascii="Arial" w:cs="Arial" w:eastAsia="Arial" w:hAnsi="Arial"/>
          <w:sz w:val="15"/>
          <w:szCs w:val="15"/>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08" w:lineRule="exact"/>
        <w:rPr>
          <w:sz w:val="20"/>
          <w:szCs w:val="20"/>
          <w:color w:val="auto"/>
        </w:rPr>
      </w:pPr>
    </w:p>
    <w:p>
      <w:pPr>
        <w:ind w:left="300" w:hanging="292"/>
        <w:spacing w:after="0"/>
        <w:tabs>
          <w:tab w:leader="none" w:pos="30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Other Issues</w:t>
      </w:r>
    </w:p>
    <w:p>
      <w:pPr>
        <w:spacing w:after="0" w:line="171" w:lineRule="exact"/>
        <w:rPr>
          <w:sz w:val="20"/>
          <w:szCs w:val="20"/>
          <w:color w:val="auto"/>
        </w:rPr>
      </w:pPr>
    </w:p>
    <w:p>
      <w:pPr>
        <w:ind w:left="660"/>
        <w:spacing w:after="0" w:line="310"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C - 1</w:t>
      </w:r>
    </w:p>
    <w:p>
      <w:pPr>
        <w:sectPr>
          <w:pgSz w:w="11900" w:h="16838" w:orient="portrait"/>
          <w:cols w:equalWidth="0" w:num="1">
            <w:col w:w="11240"/>
          </w:cols>
          <w:pgMar w:left="320" w:top="1030" w:right="339" w:bottom="1440" w:gutter="0" w:footer="0" w:header="0"/>
        </w:sectPr>
      </w:pPr>
    </w:p>
    <w:bookmarkStart w:id="107" w:name="page108"/>
    <w:bookmarkEnd w:id="107"/>
    <w:p>
      <w:pPr>
        <w:ind w:left="51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67" w:lineRule="exact"/>
        <w:rPr>
          <w:sz w:val="20"/>
          <w:szCs w:val="20"/>
          <w:color w:val="auto"/>
        </w:rPr>
      </w:pPr>
    </w:p>
    <w:p>
      <w:pPr>
        <w:jc w:val="right"/>
        <w:ind w:right="2399"/>
        <w:spacing w:after="0"/>
        <w:rPr>
          <w:sz w:val="20"/>
          <w:szCs w:val="20"/>
          <w:color w:val="auto"/>
        </w:rPr>
      </w:pPr>
      <w:r>
        <w:rPr>
          <w:rFonts w:ascii="Arial" w:cs="Arial" w:eastAsia="Arial" w:hAnsi="Arial"/>
          <w:sz w:val="16"/>
          <w:szCs w:val="16"/>
          <w:b w:val="1"/>
          <w:bCs w:val="1"/>
          <w:color w:val="auto"/>
        </w:rPr>
        <w:t>EMPLOYER INFORMATION STATEMENT – DENMARK</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7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APPENDIX C - 2</w:t>
      </w:r>
    </w:p>
    <w:p>
      <w:pPr>
        <w:sectPr>
          <w:pgSz w:w="11900" w:h="16838" w:orient="portrait"/>
          <w:cols w:equalWidth="0" w:num="1">
            <w:col w:w="10139"/>
          </w:cols>
          <w:pgMar w:left="320" w:top="1030" w:right="1440" w:bottom="1440" w:gutter="0" w:footer="0" w:header="0"/>
        </w:sectPr>
      </w:pPr>
    </w:p>
    <w:bookmarkStart w:id="108" w:name="page109"/>
    <w:bookmarkEnd w:id="108"/>
    <w:p>
      <w:pPr>
        <w:jc w:val="center"/>
        <w:ind w:right="-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
        <w:spacing w:after="0" w:line="271"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Restricted Stock Unit Agreement</w:t>
      </w:r>
      <w:r>
        <w:rPr>
          <w:rFonts w:ascii="Arial" w:cs="Arial" w:eastAsia="Arial" w:hAnsi="Arial"/>
          <w:sz w:val="16"/>
          <w:szCs w:val="16"/>
          <w:color w:val="auto"/>
        </w:rPr>
        <w:t xml:space="preserve"> (“Aftalen”), i tillægget til Aftalen og i Ordningen.</w:t>
      </w:r>
    </w:p>
    <w:p>
      <w:pPr>
        <w:spacing w:after="0" w:line="105"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136" w:lineRule="exact"/>
        <w:rPr>
          <w:sz w:val="20"/>
          <w:szCs w:val="20"/>
          <w:color w:val="auto"/>
        </w:rPr>
      </w:pPr>
    </w:p>
    <w:p>
      <w:pPr>
        <w:ind w:left="8"/>
        <w:spacing w:after="0"/>
        <w:tabs>
          <w:tab w:leader="none" w:pos="268"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117" w:lineRule="exact"/>
        <w:rPr>
          <w:sz w:val="20"/>
          <w:szCs w:val="20"/>
          <w:color w:val="auto"/>
        </w:rPr>
      </w:pPr>
    </w:p>
    <w:p>
      <w:pPr>
        <w:jc w:val="both"/>
        <w:ind w:left="8"/>
        <w:spacing w:after="0" w:line="293" w:lineRule="auto"/>
        <w:rPr>
          <w:sz w:val="20"/>
          <w:szCs w:val="20"/>
          <w:color w:val="auto"/>
        </w:rPr>
      </w:pPr>
      <w:r>
        <w:rPr>
          <w:rFonts w:ascii="Arial" w:cs="Arial" w:eastAsia="Arial" w:hAnsi="Arial"/>
          <w:sz w:val="15"/>
          <w:szCs w:val="15"/>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1" w:lineRule="exact"/>
        <w:rPr>
          <w:sz w:val="20"/>
          <w:szCs w:val="20"/>
          <w:color w:val="auto"/>
        </w:rPr>
      </w:pPr>
    </w:p>
    <w:p>
      <w:pPr>
        <w:ind w:left="288" w:hanging="288"/>
        <w:spacing w:after="0"/>
        <w:tabs>
          <w:tab w:leader="none" w:pos="288"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Modningsdato for RSU’er</w:t>
      </w:r>
    </w:p>
    <w:p>
      <w:pPr>
        <w:spacing w:after="0" w:line="117" w:lineRule="exact"/>
        <w:rPr>
          <w:sz w:val="20"/>
          <w:szCs w:val="20"/>
          <w:color w:val="auto"/>
        </w:rPr>
      </w:pPr>
    </w:p>
    <w:p>
      <w:pPr>
        <w:jc w:val="both"/>
        <w:ind w:left="8"/>
        <w:spacing w:after="0" w:line="278"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0" w:lineRule="exact"/>
        <w:rPr>
          <w:sz w:val="20"/>
          <w:szCs w:val="20"/>
          <w:color w:val="auto"/>
        </w:rPr>
      </w:pPr>
    </w:p>
    <w:p>
      <w:pPr>
        <w:ind w:left="8"/>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150" w:lineRule="exact"/>
        <w:rPr>
          <w:sz w:val="20"/>
          <w:szCs w:val="20"/>
          <w:color w:val="auto"/>
        </w:rPr>
      </w:pPr>
    </w:p>
    <w:p>
      <w:pPr>
        <w:ind w:left="288" w:hanging="288"/>
        <w:spacing w:after="0"/>
        <w:tabs>
          <w:tab w:leader="none" w:pos="288"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Udnyttelseskurs</w:t>
      </w:r>
    </w:p>
    <w:p>
      <w:pPr>
        <w:spacing w:after="0" w:line="117" w:lineRule="exact"/>
        <w:rPr>
          <w:sz w:val="20"/>
          <w:szCs w:val="20"/>
          <w:color w:val="auto"/>
        </w:rPr>
      </w:pPr>
    </w:p>
    <w:p>
      <w:pPr>
        <w:ind w:left="8"/>
        <w:spacing w:after="0" w:line="293"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73" w:lineRule="exact"/>
        <w:rPr>
          <w:sz w:val="20"/>
          <w:szCs w:val="20"/>
          <w:color w:val="auto"/>
        </w:rPr>
      </w:pPr>
    </w:p>
    <w:p>
      <w:pPr>
        <w:ind w:left="288" w:hanging="288"/>
        <w:spacing w:after="0"/>
        <w:tabs>
          <w:tab w:leader="none" w:pos="288"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Din retsstilling i forbindelse med fratræden</w:t>
      </w:r>
    </w:p>
    <w:p>
      <w:pPr>
        <w:spacing w:after="0" w:line="117" w:lineRule="exact"/>
        <w:rPr>
          <w:sz w:val="20"/>
          <w:szCs w:val="20"/>
          <w:color w:val="auto"/>
        </w:rPr>
      </w:pPr>
    </w:p>
    <w:p>
      <w:pPr>
        <w:ind w:left="8" w:right="20"/>
        <w:spacing w:after="0" w:line="293"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87" w:lineRule="exact"/>
        <w:rPr>
          <w:sz w:val="20"/>
          <w:szCs w:val="20"/>
          <w:color w:val="auto"/>
        </w:rPr>
      </w:pPr>
    </w:p>
    <w:p>
      <w:pPr>
        <w:ind w:left="288" w:hanging="288"/>
        <w:spacing w:after="0"/>
        <w:tabs>
          <w:tab w:leader="none" w:pos="288"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Økonomiske aspekter ved at deltage i Ordningen</w:t>
      </w:r>
    </w:p>
    <w:p>
      <w:pPr>
        <w:spacing w:after="0" w:line="117" w:lineRule="exact"/>
        <w:rPr>
          <w:sz w:val="20"/>
          <w:szCs w:val="20"/>
          <w:color w:val="auto"/>
        </w:rPr>
      </w:pPr>
    </w:p>
    <w:p>
      <w:pPr>
        <w:jc w:val="both"/>
        <w:ind w:left="8" w:right="20"/>
        <w:spacing w:after="0" w:line="278"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0" w:lineRule="exact"/>
        <w:rPr>
          <w:sz w:val="20"/>
          <w:szCs w:val="20"/>
          <w:color w:val="auto"/>
        </w:rPr>
      </w:pPr>
    </w:p>
    <w:p>
      <w:pPr>
        <w:jc w:val="both"/>
        <w:ind w:left="8"/>
        <w:spacing w:after="0" w:line="305" w:lineRule="auto"/>
        <w:rPr>
          <w:sz w:val="20"/>
          <w:szCs w:val="20"/>
          <w:color w:val="auto"/>
        </w:rPr>
      </w:pPr>
      <w:r>
        <w:rPr>
          <w:rFonts w:ascii="Arial" w:cs="Arial" w:eastAsia="Arial" w:hAnsi="Arial"/>
          <w:sz w:val="15"/>
          <w:szCs w:val="15"/>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81" w:lineRule="exact"/>
        <w:rPr>
          <w:sz w:val="20"/>
          <w:szCs w:val="20"/>
          <w:color w:val="auto"/>
        </w:rPr>
      </w:pPr>
    </w:p>
    <w:p>
      <w:pPr>
        <w:ind w:left="288" w:hanging="288"/>
        <w:spacing w:after="0"/>
        <w:tabs>
          <w:tab w:leader="none" w:pos="288"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Diverse</w:t>
      </w:r>
    </w:p>
    <w:p>
      <w:pPr>
        <w:spacing w:after="0" w:line="117" w:lineRule="exact"/>
        <w:rPr>
          <w:sz w:val="20"/>
          <w:szCs w:val="20"/>
          <w:color w:val="auto"/>
        </w:rPr>
      </w:pPr>
    </w:p>
    <w:p>
      <w:pPr>
        <w:jc w:val="both"/>
        <w:ind w:left="8" w:right="20"/>
        <w:spacing w:after="0" w:line="278" w:lineRule="auto"/>
        <w:rPr>
          <w:sz w:val="20"/>
          <w:szCs w:val="20"/>
          <w:color w:val="auto"/>
        </w:rPr>
      </w:pPr>
      <w:r>
        <w:rPr>
          <w:rFonts w:ascii="Arial" w:cs="Arial" w:eastAsia="Arial" w:hAnsi="Arial"/>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APPENDIX C - 3</w:t>
      </w:r>
    </w:p>
    <w:p>
      <w:pPr>
        <w:sectPr>
          <w:pgSz w:w="11900" w:h="16838" w:orient="portrait"/>
          <w:cols w:equalWidth="0" w:num="1">
            <w:col w:w="10588"/>
          </w:cols>
          <w:pgMar w:left="652" w:top="1030" w:right="659" w:bottom="1440" w:gutter="0" w:footer="0" w:header="0"/>
        </w:sectPr>
      </w:pPr>
    </w:p>
    <w:bookmarkStart w:id="109" w:name="page110"/>
    <w:bookmarkEnd w:id="109"/>
    <w:p>
      <w:pPr>
        <w:jc w:val="center"/>
        <w:ind w:right="-11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APPENDIX C - 4</w:t>
      </w:r>
    </w:p>
    <w:p>
      <w:pPr>
        <w:sectPr>
          <w:pgSz w:w="11900" w:h="16838" w:orient="portrait"/>
          <w:cols w:equalWidth="0" w:num="1">
            <w:col w:w="10139"/>
          </w:cols>
          <w:pgMar w:left="320" w:top="1030"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u w:val="single" w:color="auto"/>
          <w:color w:val="auto"/>
        </w:rPr>
        <w:t>Trust Arrangement</w:t>
      </w:r>
      <w:r>
        <w:rPr>
          <w:rFonts w:ascii="Arial" w:cs="Arial" w:eastAsia="Arial" w:hAnsi="Arial"/>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Participant hereby understands and agrees that the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RSUs granted to the Participant in Israel.</w:t>
      </w:r>
    </w:p>
    <w:p>
      <w:pPr>
        <w:spacing w:after="0" w:line="22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Please sign this Israeli Appendix and return it to the address shown on the top within 45 days of receipt. If Analog Devices, (Israel) Ltd. or Analog Devices, Inc. does not receive your signed Israel Appendix, your RSUs shall terminate and will become null and void.</w:t>
      </w:r>
    </w:p>
    <w:p>
      <w:pPr>
        <w:sectPr>
          <w:pgSz w:w="11900" w:h="16838" w:orient="portrait"/>
          <w:cols w:equalWidth="0" w:num="1">
            <w:col w:w="10580"/>
          </w:cols>
          <w:pgMar w:left="660" w:top="1030" w:right="6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w:t>
      </w:r>
    </w:p>
    <w:p>
      <w:pPr>
        <w:spacing w:after="0" w:line="42" w:lineRule="exact"/>
        <w:rPr>
          <w:sz w:val="20"/>
          <w:szCs w:val="20"/>
          <w:color w:val="auto"/>
        </w:rPr>
      </w:pPr>
    </w:p>
    <w:p>
      <w:pPr>
        <w:ind w:left="160"/>
        <w:spacing w:after="0"/>
        <w:tabs>
          <w:tab w:leader="none" w:pos="2540" w:val="left"/>
        </w:tabs>
        <w:rPr>
          <w:sz w:val="20"/>
          <w:szCs w:val="20"/>
          <w:color w:val="auto"/>
        </w:rPr>
      </w:pPr>
      <w:r>
        <w:rPr>
          <w:rFonts w:ascii="Arial" w:cs="Arial" w:eastAsia="Arial" w:hAnsi="Arial"/>
          <w:sz w:val="16"/>
          <w:szCs w:val="16"/>
          <w:color w:val="auto"/>
        </w:rPr>
        <w:t>Name: Participant Name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w:t>
      </w:r>
    </w:p>
    <w:p>
      <w:pPr>
        <w:spacing w:after="0" w:line="425" w:lineRule="exact"/>
        <w:rPr>
          <w:sz w:val="20"/>
          <w:szCs w:val="20"/>
          <w:color w:val="auto"/>
        </w:rPr>
      </w:pPr>
    </w:p>
    <w:p>
      <w:pPr>
        <w:sectPr>
          <w:pgSz w:w="11900" w:h="16838" w:orient="portrait"/>
          <w:cols w:equalWidth="0" w:num="2">
            <w:col w:w="4360" w:space="340"/>
            <w:col w:w="5880"/>
          </w:cols>
          <w:pgMar w:left="660" w:top="1030" w:right="659" w:bottom="1440" w:gutter="0" w:footer="0" w:header="0"/>
          <w:type w:val="continuous"/>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APPENDIX D - 1</w:t>
      </w:r>
    </w:p>
    <w:p>
      <w:pPr>
        <w:sectPr>
          <w:pgSz w:w="11900" w:h="16838" w:orient="portrait"/>
          <w:cols w:equalWidth="0" w:num="1">
            <w:col w:w="10580"/>
          </w:cols>
          <w:pgMar w:left="660" w:top="1030" w:right="659" w:bottom="1440" w:gutter="0" w:footer="0" w:header="0"/>
          <w:type w:val="continuous"/>
        </w:sectPr>
      </w:pPr>
    </w:p>
    <w:bookmarkStart w:id="111" w:name="page112"/>
    <w:bookmarkEnd w:id="111"/>
    <w:p>
      <w:pPr>
        <w:jc w:val="center"/>
        <w:ind w:right="-3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ANALOG DEVICES, INC.</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2020 EQUITY INCENTIVE PLAN</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7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11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113"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spacing w:after="0" w:line="19" w:lineRule="exact"/>
        <w:rPr>
          <w:rFonts w:ascii="Arial" w:cs="Arial" w:eastAsia="Arial" w:hAnsi="Arial"/>
          <w:sz w:val="16"/>
          <w:szCs w:val="16"/>
          <w:color w:val="auto"/>
        </w:rPr>
      </w:pPr>
    </w:p>
    <w:p>
      <w:pPr>
        <w:ind w:left="660" w:right="20" w:hanging="328"/>
        <w:spacing w:after="0" w:line="246"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57" w:lineRule="auto"/>
        <w:tabs>
          <w:tab w:leader="none" w:pos="649" w:val="left"/>
        </w:tabs>
        <w:numPr>
          <w:ilvl w:val="0"/>
          <w:numId w:val="90"/>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APPENDIX E - 1</w:t>
      </w:r>
    </w:p>
    <w:p>
      <w:pPr>
        <w:sectPr>
          <w:pgSz w:w="11900" w:h="16838" w:orient="portrait"/>
          <w:cols w:equalWidth="0" w:num="1">
            <w:col w:w="10920"/>
          </w:cols>
          <w:pgMar w:left="320" w:top="1030" w:right="659" w:bottom="1440" w:gutter="0" w:footer="0" w:header="0"/>
        </w:sectPr>
      </w:pPr>
    </w:p>
    <w:bookmarkStart w:id="112" w:name="page113"/>
    <w:bookmarkEnd w:id="112"/>
    <w:p>
      <w:pPr>
        <w:jc w:val="center"/>
        <w:ind w:right="-3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ANALOG DEVICES, INC.</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2020 EQUITY INCENTIVE PLAN</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63" w:lineRule="exact"/>
        <w:rPr>
          <w:sz w:val="20"/>
          <w:szCs w:val="20"/>
          <w:color w:val="auto"/>
        </w:rPr>
      </w:pPr>
    </w:p>
    <w:p>
      <w:pPr>
        <w:ind w:left="660" w:hanging="652"/>
        <w:spacing w:after="0" w:line="263" w:lineRule="auto"/>
        <w:tabs>
          <w:tab w:leader="none" w:pos="34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24" w:lineRule="exact"/>
        <w:rPr>
          <w:rFonts w:ascii="Arial" w:cs="Arial" w:eastAsia="Arial" w:hAnsi="Arial"/>
          <w:sz w:val="16"/>
          <w:szCs w:val="16"/>
          <w:color w:val="auto"/>
        </w:rPr>
      </w:pPr>
    </w:p>
    <w:p>
      <w:pPr>
        <w:ind w:left="660" w:right="20" w:hanging="652"/>
        <w:spacing w:after="0" w:line="280" w:lineRule="auto"/>
        <w:tabs>
          <w:tab w:leader="none" w:pos="33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1"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52" w:lineRule="exact"/>
        <w:rPr>
          <w:sz w:val="20"/>
          <w:szCs w:val="20"/>
          <w:color w:val="auto"/>
        </w:rPr>
      </w:pPr>
    </w:p>
    <w:p>
      <w:pPr>
        <w:ind w:left="640" w:hanging="632"/>
        <w:spacing w:after="0"/>
        <w:tabs>
          <w:tab w:leader="none" w:pos="6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Election relates to all Awards granted to the Employee or assumed and converted under the Plan up to the termination dates of the Plan.</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this Election the following words and phrases have the following meanings:</w:t>
      </w:r>
    </w:p>
    <w:p>
      <w:pPr>
        <w:spacing w:after="0" w:line="244" w:lineRule="exact"/>
        <w:rPr>
          <w:rFonts w:ascii="Arial" w:cs="Arial" w:eastAsia="Arial" w:hAnsi="Arial"/>
          <w:sz w:val="16"/>
          <w:szCs w:val="16"/>
          <w:color w:val="auto"/>
        </w:rPr>
      </w:pPr>
    </w:p>
    <w:p>
      <w:pPr>
        <w:ind w:left="1300" w:hanging="797"/>
        <w:spacing w:after="0"/>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248" w:lineRule="exact"/>
        <w:rPr>
          <w:rFonts w:ascii="Arial" w:cs="Arial" w:eastAsia="Arial" w:hAnsi="Arial"/>
          <w:sz w:val="16"/>
          <w:szCs w:val="16"/>
          <w:color w:val="auto"/>
        </w:rPr>
      </w:pPr>
    </w:p>
    <w:p>
      <w:pPr>
        <w:ind w:left="1300" w:hanging="841"/>
        <w:spacing w:after="0"/>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Employment Income</w:t>
      </w:r>
      <w:r>
        <w:rPr>
          <w:rFonts w:ascii="Arial" w:cs="Arial" w:eastAsia="Arial" w:hAnsi="Arial"/>
          <w:sz w:val="16"/>
          <w:szCs w:val="16"/>
          <w:color w:val="auto"/>
        </w:rPr>
        <w:t>” from Awards on which employer's National Insurance Contributions becomes due is defined as:</w:t>
      </w:r>
    </w:p>
    <w:p>
      <w:pPr>
        <w:spacing w:after="0" w:line="252" w:lineRule="exact"/>
        <w:rPr>
          <w:rFonts w:ascii="Arial" w:cs="Arial" w:eastAsia="Arial" w:hAnsi="Arial"/>
          <w:sz w:val="16"/>
          <w:szCs w:val="16"/>
          <w:color w:val="auto"/>
        </w:rPr>
      </w:pPr>
    </w:p>
    <w:p>
      <w:pPr>
        <w:ind w:left="1960" w:right="20" w:hanging="656"/>
        <w:spacing w:after="0" w:line="275" w:lineRule="auto"/>
        <w:tabs>
          <w:tab w:leader="none" w:pos="19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99" w:lineRule="exact"/>
        <w:rPr>
          <w:rFonts w:ascii="Arial" w:cs="Arial" w:eastAsia="Arial" w:hAnsi="Arial"/>
          <w:sz w:val="16"/>
          <w:szCs w:val="16"/>
          <w:color w:val="auto"/>
        </w:rPr>
      </w:pPr>
    </w:p>
    <w:p>
      <w:pPr>
        <w:ind w:left="1960" w:hanging="656"/>
        <w:spacing w:after="0" w:line="275" w:lineRule="auto"/>
        <w:tabs>
          <w:tab w:leader="none" w:pos="19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99" w:lineRule="exact"/>
        <w:rPr>
          <w:rFonts w:ascii="Arial" w:cs="Arial" w:eastAsia="Arial" w:hAnsi="Arial"/>
          <w:sz w:val="16"/>
          <w:szCs w:val="16"/>
          <w:color w:val="auto"/>
        </w:rPr>
      </w:pPr>
    </w:p>
    <w:p>
      <w:pPr>
        <w:ind w:left="1960" w:hanging="656"/>
        <w:spacing w:after="0" w:line="275" w:lineRule="auto"/>
        <w:tabs>
          <w:tab w:leader="none" w:pos="19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99" w:lineRule="exact"/>
        <w:rPr>
          <w:rFonts w:ascii="Arial" w:cs="Arial" w:eastAsia="Arial" w:hAnsi="Arial"/>
          <w:sz w:val="16"/>
          <w:szCs w:val="16"/>
          <w:color w:val="auto"/>
        </w:rPr>
      </w:pPr>
    </w:p>
    <w:p>
      <w:pPr>
        <w:ind w:left="2600" w:hanging="648"/>
        <w:spacing w:after="0"/>
        <w:tabs>
          <w:tab w:leader="none" w:pos="2600" w:val="left"/>
        </w:tabs>
        <w:numPr>
          <w:ilvl w:val="3"/>
          <w:numId w:val="93"/>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248" w:lineRule="exact"/>
        <w:rPr>
          <w:rFonts w:ascii="Arial" w:cs="Arial" w:eastAsia="Arial" w:hAnsi="Arial"/>
          <w:sz w:val="16"/>
          <w:szCs w:val="16"/>
          <w:color w:val="auto"/>
        </w:rPr>
      </w:pPr>
    </w:p>
    <w:p>
      <w:pPr>
        <w:ind w:left="2600" w:hanging="648"/>
        <w:spacing w:after="0" w:line="275" w:lineRule="auto"/>
        <w:tabs>
          <w:tab w:leader="none" w:pos="2600" w:val="left"/>
        </w:tabs>
        <w:numPr>
          <w:ilvl w:val="3"/>
          <w:numId w:val="93"/>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99" w:lineRule="exact"/>
        <w:rPr>
          <w:rFonts w:ascii="Arial" w:cs="Arial" w:eastAsia="Arial" w:hAnsi="Arial"/>
          <w:sz w:val="16"/>
          <w:szCs w:val="16"/>
          <w:color w:val="auto"/>
        </w:rPr>
      </w:pPr>
    </w:p>
    <w:p>
      <w:pPr>
        <w:ind w:left="2600" w:right="20" w:hanging="648"/>
        <w:spacing w:after="0" w:line="275" w:lineRule="auto"/>
        <w:tabs>
          <w:tab w:leader="none" w:pos="2591" w:val="left"/>
        </w:tabs>
        <w:numPr>
          <w:ilvl w:val="3"/>
          <w:numId w:val="93"/>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195" w:lineRule="exact"/>
        <w:rPr>
          <w:rFonts w:ascii="Arial" w:cs="Arial" w:eastAsia="Arial" w:hAnsi="Arial"/>
          <w:sz w:val="16"/>
          <w:szCs w:val="16"/>
          <w:color w:val="auto"/>
        </w:rPr>
      </w:pPr>
    </w:p>
    <w:p>
      <w:pPr>
        <w:ind w:left="1300" w:hanging="887"/>
        <w:spacing w:after="0"/>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248" w:lineRule="exact"/>
        <w:rPr>
          <w:rFonts w:ascii="Arial" w:cs="Arial" w:eastAsia="Arial" w:hAnsi="Arial"/>
          <w:sz w:val="16"/>
          <w:szCs w:val="16"/>
          <w:color w:val="auto"/>
        </w:rPr>
      </w:pPr>
    </w:p>
    <w:p>
      <w:pPr>
        <w:ind w:left="1300" w:hanging="878"/>
        <w:spacing w:after="0"/>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252" w:lineRule="exact"/>
        <w:rPr>
          <w:rFonts w:ascii="Arial" w:cs="Arial" w:eastAsia="Arial" w:hAnsi="Arial"/>
          <w:sz w:val="16"/>
          <w:szCs w:val="16"/>
          <w:color w:val="auto"/>
        </w:rPr>
      </w:pPr>
    </w:p>
    <w:p>
      <w:pPr>
        <w:ind w:left="660" w:hanging="652"/>
        <w:spacing w:after="0" w:line="275" w:lineRule="auto"/>
        <w:tabs>
          <w:tab w:leader="none" w:pos="65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9" w:lineRule="exact"/>
        <w:rPr>
          <w:rFonts w:ascii="Arial" w:cs="Arial" w:eastAsia="Arial" w:hAnsi="Arial"/>
          <w:sz w:val="16"/>
          <w:szCs w:val="16"/>
          <w:color w:val="auto"/>
        </w:rPr>
      </w:pPr>
    </w:p>
    <w:p>
      <w:pPr>
        <w:ind w:left="660" w:hanging="652"/>
        <w:spacing w:after="0" w:line="275"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9" w:lineRule="exact"/>
        <w:rPr>
          <w:rFonts w:ascii="Arial" w:cs="Arial" w:eastAsia="Arial" w:hAnsi="Arial"/>
          <w:sz w:val="16"/>
          <w:szCs w:val="16"/>
          <w:color w:val="auto"/>
        </w:rPr>
      </w:pPr>
    </w:p>
    <w:p>
      <w:pPr>
        <w:ind w:left="660" w:right="20" w:hanging="652"/>
        <w:spacing w:after="0" w:line="275" w:lineRule="auto"/>
        <w:tabs>
          <w:tab w:leader="none" w:pos="65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APPENDIX E - 2</w:t>
      </w:r>
    </w:p>
    <w:p>
      <w:pPr>
        <w:sectPr>
          <w:pgSz w:w="11900" w:h="16838" w:orient="portrait"/>
          <w:cols w:equalWidth="0" w:num="1">
            <w:col w:w="10920"/>
          </w:cols>
          <w:pgMar w:left="320" w:top="1030" w:right="6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ANALOG DEVICES,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EQUITY INCENTIVE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252" w:lineRule="exact"/>
        <w:rPr>
          <w:rFonts w:ascii="Arial" w:cs="Arial" w:eastAsia="Arial" w:hAnsi="Arial"/>
          <w:sz w:val="16"/>
          <w:szCs w:val="16"/>
          <w:b w:val="1"/>
          <w:bCs w:val="1"/>
          <w:color w:val="auto"/>
        </w:rPr>
      </w:pPr>
    </w:p>
    <w:p>
      <w:pPr>
        <w:jc w:val="both"/>
        <w:ind w:left="660" w:right="320"/>
        <w:spacing w:after="0" w:line="315" w:lineRule="auto"/>
        <w:rPr>
          <w:rFonts w:ascii="Arial" w:cs="Arial" w:eastAsia="Arial" w:hAnsi="Arial"/>
          <w:sz w:val="16"/>
          <w:szCs w:val="16"/>
          <w:b w:val="1"/>
          <w:bCs w:val="1"/>
          <w:color w:val="auto"/>
        </w:rPr>
      </w:pPr>
      <w:r>
        <w:rPr>
          <w:rFonts w:ascii="Arial" w:cs="Arial" w:eastAsia="Arial" w:hAnsi="Arial"/>
          <w:sz w:val="14"/>
          <w:szCs w:val="14"/>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91" w:lineRule="exact"/>
        <w:rPr>
          <w:rFonts w:ascii="Arial" w:cs="Arial" w:eastAsia="Arial" w:hAnsi="Arial"/>
          <w:sz w:val="16"/>
          <w:szCs w:val="16"/>
          <w:b w:val="1"/>
          <w:bCs w:val="1"/>
          <w:color w:val="auto"/>
        </w:rPr>
      </w:pPr>
    </w:p>
    <w:p>
      <w:pPr>
        <w:ind w:left="660" w:hanging="652"/>
        <w:spacing w:after="0"/>
        <w:tabs>
          <w:tab w:leader="none" w:pos="66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252" w:lineRule="exact"/>
        <w:rPr>
          <w:sz w:val="20"/>
          <w:szCs w:val="20"/>
          <w:color w:val="auto"/>
        </w:rPr>
      </w:pPr>
    </w:p>
    <w:p>
      <w:pPr>
        <w:ind w:left="660" w:right="340" w:hanging="652"/>
        <w:spacing w:after="0" w:line="275" w:lineRule="auto"/>
        <w:tabs>
          <w:tab w:leader="none" w:pos="65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9" w:lineRule="exact"/>
        <w:rPr>
          <w:rFonts w:ascii="Arial" w:cs="Arial" w:eastAsia="Arial" w:hAnsi="Arial"/>
          <w:sz w:val="16"/>
          <w:szCs w:val="16"/>
          <w:color w:val="auto"/>
        </w:rPr>
      </w:pPr>
    </w:p>
    <w:p>
      <w:pPr>
        <w:ind w:left="980" w:hanging="324"/>
        <w:spacing w:after="0"/>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113" w:lineRule="exact"/>
        <w:rPr>
          <w:rFonts w:ascii="Arial" w:cs="Arial" w:eastAsia="Arial" w:hAnsi="Arial"/>
          <w:sz w:val="16"/>
          <w:szCs w:val="16"/>
          <w:color w:val="auto"/>
        </w:rPr>
      </w:pPr>
    </w:p>
    <w:p>
      <w:pPr>
        <w:ind w:left="1020" w:hanging="364"/>
        <w:spacing w:after="0"/>
        <w:tabs>
          <w:tab w:leader="none" w:pos="10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113" w:lineRule="exact"/>
        <w:rPr>
          <w:rFonts w:ascii="Arial" w:cs="Arial" w:eastAsia="Arial" w:hAnsi="Arial"/>
          <w:sz w:val="16"/>
          <w:szCs w:val="16"/>
          <w:color w:val="auto"/>
        </w:rPr>
      </w:pPr>
    </w:p>
    <w:p>
      <w:pPr>
        <w:ind w:left="1300" w:right="320" w:hanging="644"/>
        <w:spacing w:after="0" w:line="275" w:lineRule="auto"/>
        <w:tabs>
          <w:tab w:leader="none" w:pos="1115" w:val="left"/>
        </w:tabs>
        <w:numPr>
          <w:ilvl w:val="1"/>
          <w:numId w:val="95"/>
        </w:numPr>
        <w:rPr>
          <w:rFonts w:ascii="Arial" w:cs="Arial" w:eastAsia="Arial" w:hAnsi="Arial"/>
          <w:sz w:val="16"/>
          <w:szCs w:val="16"/>
          <w:color w:val="auto"/>
        </w:rPr>
      </w:pPr>
      <w:r>
        <w:rPr>
          <w:rFonts w:ascii="Arial" w:cs="Arial" w:eastAsia="Arial" w:hAnsi="Arial"/>
          <w:sz w:val="16"/>
          <w:szCs w:val="16"/>
          <w:color w:val="auto"/>
        </w:rPr>
        <w:t>by arranging, on behalf of the Employee, for the sale of some of the securities which the Employee is entitled to receive in respect of the Awards; and/or</w:t>
      </w:r>
    </w:p>
    <w:p>
      <w:pPr>
        <w:spacing w:after="0" w:line="64" w:lineRule="exact"/>
        <w:rPr>
          <w:rFonts w:ascii="Arial" w:cs="Arial" w:eastAsia="Arial" w:hAnsi="Arial"/>
          <w:sz w:val="16"/>
          <w:szCs w:val="16"/>
          <w:color w:val="auto"/>
        </w:rPr>
      </w:pPr>
    </w:p>
    <w:p>
      <w:pPr>
        <w:ind w:left="1060" w:hanging="404"/>
        <w:spacing w:after="0"/>
        <w:tabs>
          <w:tab w:leader="none" w:pos="10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113" w:lineRule="exact"/>
        <w:rPr>
          <w:rFonts w:ascii="Arial" w:cs="Arial" w:eastAsia="Arial" w:hAnsi="Arial"/>
          <w:sz w:val="16"/>
          <w:szCs w:val="16"/>
          <w:color w:val="auto"/>
        </w:rPr>
      </w:pPr>
    </w:p>
    <w:p>
      <w:pPr>
        <w:ind w:left="660" w:right="320" w:hanging="652"/>
        <w:spacing w:after="0" w:line="275"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9" w:lineRule="exact"/>
        <w:rPr>
          <w:rFonts w:ascii="Arial" w:cs="Arial" w:eastAsia="Arial" w:hAnsi="Arial"/>
          <w:sz w:val="16"/>
          <w:szCs w:val="16"/>
          <w:color w:val="auto"/>
        </w:rPr>
      </w:pPr>
    </w:p>
    <w:p>
      <w:pPr>
        <w:jc w:val="both"/>
        <w:ind w:left="660" w:right="320" w:hanging="652"/>
        <w:spacing w:after="0" w:line="261" w:lineRule="auto"/>
        <w:tabs>
          <w:tab w:leader="none" w:pos="65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25"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252" w:lineRule="exact"/>
        <w:rPr>
          <w:sz w:val="20"/>
          <w:szCs w:val="20"/>
          <w:color w:val="auto"/>
        </w:rPr>
      </w:pPr>
    </w:p>
    <w:p>
      <w:pPr>
        <w:ind w:left="660" w:right="340" w:hanging="652"/>
        <w:spacing w:after="0" w:line="275" w:lineRule="auto"/>
        <w:tabs>
          <w:tab w:leader="none" w:pos="651"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9" w:lineRule="exact"/>
        <w:rPr>
          <w:rFonts w:ascii="Arial" w:cs="Arial" w:eastAsia="Arial" w:hAnsi="Arial"/>
          <w:sz w:val="16"/>
          <w:szCs w:val="16"/>
          <w:color w:val="auto"/>
        </w:rPr>
      </w:pPr>
    </w:p>
    <w:p>
      <w:pPr>
        <w:ind w:left="660" w:hanging="652"/>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This Election will continue in effect until the earliest of the following:</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67" w:lineRule="exact"/>
        <w:rPr>
          <w:rFonts w:ascii="Arial" w:cs="Arial" w:eastAsia="Arial" w:hAnsi="Arial"/>
          <w:sz w:val="16"/>
          <w:szCs w:val="16"/>
          <w:color w:val="auto"/>
        </w:rPr>
      </w:pPr>
    </w:p>
    <w:p>
      <w:pPr>
        <w:ind w:left="1060" w:hanging="404"/>
        <w:spacing w:after="0"/>
        <w:tabs>
          <w:tab w:leader="none" w:pos="10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67" w:lineRule="exact"/>
        <w:rPr>
          <w:rFonts w:ascii="Arial" w:cs="Arial" w:eastAsia="Arial" w:hAnsi="Arial"/>
          <w:sz w:val="16"/>
          <w:szCs w:val="16"/>
          <w:color w:val="auto"/>
        </w:rPr>
      </w:pPr>
    </w:p>
    <w:p>
      <w:pPr>
        <w:ind w:left="1100" w:hanging="444"/>
        <w:spacing w:after="0"/>
        <w:tabs>
          <w:tab w:leader="none" w:pos="11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67" w:lineRule="exact"/>
        <w:rPr>
          <w:rFonts w:ascii="Arial" w:cs="Arial" w:eastAsia="Arial" w:hAnsi="Arial"/>
          <w:sz w:val="16"/>
          <w:szCs w:val="16"/>
          <w:color w:val="auto"/>
        </w:rPr>
      </w:pPr>
    </w:p>
    <w:p>
      <w:pPr>
        <w:ind w:left="1300" w:hanging="644"/>
        <w:spacing w:after="0" w:line="275" w:lineRule="auto"/>
        <w:tabs>
          <w:tab w:leader="none" w:pos="1125" w:val="left"/>
        </w:tabs>
        <w:numPr>
          <w:ilvl w:val="1"/>
          <w:numId w:val="97"/>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8" w:lineRule="exact"/>
        <w:rPr>
          <w:rFonts w:ascii="Arial" w:cs="Arial" w:eastAsia="Arial" w:hAnsi="Arial"/>
          <w:sz w:val="16"/>
          <w:szCs w:val="16"/>
          <w:color w:val="auto"/>
        </w:rPr>
      </w:pPr>
    </w:p>
    <w:p>
      <w:pPr>
        <w:ind w:left="640" w:hanging="632"/>
        <w:spacing w:after="0"/>
        <w:tabs>
          <w:tab w:leader="none" w:pos="6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This Election will continue in force regardless of whether the Employee ceases to be an employee of the Employer.</w:t>
      </w:r>
    </w:p>
    <w:p>
      <w:pPr>
        <w:spacing w:after="0" w:line="248" w:lineRule="exact"/>
        <w:rPr>
          <w:rFonts w:ascii="Arial" w:cs="Arial" w:eastAsia="Arial" w:hAnsi="Arial"/>
          <w:sz w:val="16"/>
          <w:szCs w:val="16"/>
          <w:color w:val="auto"/>
        </w:rPr>
      </w:pPr>
    </w:p>
    <w:p>
      <w:pPr>
        <w:jc w:val="both"/>
        <w:ind w:left="660" w:hanging="652"/>
        <w:spacing w:after="0" w:line="261"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E - 3</w:t>
      </w:r>
    </w:p>
    <w:p>
      <w:pPr>
        <w:sectPr>
          <w:pgSz w:w="11900" w:h="16838" w:orient="portrait"/>
          <w:cols w:equalWidth="0" w:num="1">
            <w:col w:w="11240"/>
          </w:cols>
          <w:pgMar w:left="320" w:top="1030"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ANALOG DEVICES, INC.</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EQUITY INCENTIVE PLAN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Signature for and 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behalf of Analog Devices, Inc.</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281178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Richard P. Ahern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Global Total Rewards &amp; HR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E - 4</w:t>
      </w:r>
    </w:p>
    <w:p>
      <w:pPr>
        <w:sectPr>
          <w:pgSz w:w="11900" w:h="16838" w:orient="portrait"/>
          <w:cols w:equalWidth="0" w:num="1">
            <w:col w:w="11240"/>
          </w:cols>
          <w:pgMar w:left="320" w:top="1030" w:right="339" w:bottom="1440" w:gutter="0" w:footer="0" w:header="0"/>
        </w:sectPr>
      </w:pPr>
    </w:p>
    <w:bookmarkStart w:id="115" w:name="page116"/>
    <w:bookmarkEnd w:id="115"/>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11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ANALOG DEVICES, INC.</w:t>
      </w:r>
    </w:p>
    <w:p>
      <w:pPr>
        <w:spacing w:after="0" w:line="11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2020 EQUITY INCENTIVE PLAN</w:t>
      </w:r>
    </w:p>
    <w:p>
      <w:pPr>
        <w:spacing w:after="0" w:line="11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Limited</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4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15 Pressing Lane, Blyth Road, Hayes, England, UB3 1EP</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00895439</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6873689030216A</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120/A4055</w:t>
            </w:r>
          </w:p>
        </w:tc>
      </w:tr>
      <w:tr>
        <w:trPr>
          <w:trHeight w:val="548"/>
        </w:trPr>
        <w:tc>
          <w:tcPr>
            <w:tcW w:w="4540" w:type="dxa"/>
            <w:vAlign w:val="bottom"/>
          </w:tcPr>
          <w:p>
            <w:pPr>
              <w:spacing w:after="0"/>
              <w:rPr>
                <w:sz w:val="20"/>
                <w:szCs w:val="20"/>
                <w:color w:val="auto"/>
              </w:rPr>
            </w:pPr>
            <w:r>
              <w:rPr>
                <w:rFonts w:ascii="Arial" w:cs="Arial" w:eastAsia="Arial" w:hAnsi="Arial"/>
                <w:sz w:val="16"/>
                <w:szCs w:val="16"/>
                <w:color w:val="auto"/>
              </w:rPr>
              <w:t>Linear Technology (UK) Limited</w:t>
            </w:r>
          </w:p>
        </w:tc>
        <w:tc>
          <w:tcPr>
            <w:tcW w:w="4620" w:type="dxa"/>
            <w:vAlign w:val="bottom"/>
          </w:tcPr>
          <w:p>
            <w:pPr>
              <w:spacing w:after="0"/>
              <w:rPr>
                <w:sz w:val="24"/>
                <w:szCs w:val="24"/>
                <w:color w:val="auto"/>
              </w:rPr>
            </w:pPr>
          </w:p>
        </w:tc>
      </w:tr>
      <w:tr>
        <w:trPr>
          <w:trHeight w:val="235"/>
        </w:trPr>
        <w:tc>
          <w:tcPr>
            <w:tcW w:w="454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r>
      <w:tr>
        <w:trPr>
          <w:trHeight w:val="230"/>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3 The Listons, Liston Road, Marlow, Buckinghamshire, SL7 1FD</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02149602</w:t>
            </w:r>
          </w:p>
        </w:tc>
      </w:tr>
      <w:tr>
        <w:trPr>
          <w:trHeight w:val="236"/>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120PA00148447</w:t>
            </w:r>
          </w:p>
        </w:tc>
      </w:tr>
      <w:tr>
        <w:trPr>
          <w:trHeight w:val="237"/>
        </w:trPr>
        <w:tc>
          <w:tcPr>
            <w:tcW w:w="4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APPENDIX E - 5</w:t>
      </w:r>
    </w:p>
    <w:p>
      <w:pPr>
        <w:sectPr>
          <w:pgSz w:w="11900" w:h="16838" w:orient="portrait"/>
          <w:cols w:equalWidth="0" w:num="1">
            <w:col w:w="10139"/>
          </w:cols>
          <w:pgMar w:left="320" w:top="1030" w:right="1440" w:bottom="1440" w:gutter="0" w:footer="0" w:header="0"/>
        </w:sectPr>
      </w:pPr>
    </w:p>
    <w:bookmarkStart w:id="116" w:name="page117"/>
    <w:bookmarkEnd w:id="11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10.6</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66" w:lineRule="exact"/>
        <w:rPr>
          <w:sz w:val="20"/>
          <w:szCs w:val="20"/>
          <w:color w:val="auto"/>
        </w:rPr>
      </w:pPr>
    </w:p>
    <w:p>
      <w:pPr>
        <w:ind w:left="8"/>
        <w:spacing w:after="0"/>
        <w:rPr>
          <w:sz w:val="20"/>
          <w:szCs w:val="20"/>
          <w:color w:val="auto"/>
        </w:rPr>
      </w:pPr>
      <w:r>
        <w:rPr>
          <w:rFonts w:ascii="Arial" w:cs="Arial" w:eastAsia="Arial" w:hAnsi="Arial"/>
          <w:sz w:val="16"/>
          <w:szCs w:val="16"/>
          <w:color w:val="auto"/>
        </w:rPr>
        <w:t>Participant Name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6"/>
          <w:szCs w:val="16"/>
          <w:color w:val="auto"/>
        </w:rPr>
        <w:t>Employee ID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Grant ID: Client Grant ID</w:t>
      </w:r>
    </w:p>
    <w:p>
      <w:pPr>
        <w:spacing w:after="0" w:line="248" w:lineRule="exact"/>
        <w:rPr>
          <w:sz w:val="20"/>
          <w:szCs w:val="20"/>
          <w:color w:val="auto"/>
        </w:rPr>
      </w:pPr>
    </w:p>
    <w:p>
      <w:pPr>
        <w:jc w:val="both"/>
        <w:ind w:left="8" w:right="320"/>
        <w:spacing w:after="0" w:line="251"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38" w:lineRule="exact"/>
        <w:rPr>
          <w:sz w:val="20"/>
          <w:szCs w:val="20"/>
          <w:color w:val="auto"/>
        </w:rPr>
      </w:pPr>
    </w:p>
    <w:p>
      <w:pPr>
        <w:ind w:left="288" w:hanging="288"/>
        <w:spacing w:after="0"/>
        <w:tabs>
          <w:tab w:leader="none" w:pos="288"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67" w:lineRule="exact"/>
        <w:rPr>
          <w:sz w:val="20"/>
          <w:szCs w:val="20"/>
          <w:color w:val="auto"/>
        </w:rPr>
      </w:pPr>
    </w:p>
    <w:p>
      <w:pPr>
        <w:jc w:val="both"/>
        <w:ind w:left="328" w:right="320"/>
        <w:spacing w:after="0" w:line="275" w:lineRule="auto"/>
        <w:rPr>
          <w:sz w:val="20"/>
          <w:szCs w:val="20"/>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14" w:lineRule="exact"/>
        <w:rPr>
          <w:sz w:val="20"/>
          <w:szCs w:val="20"/>
          <w:color w:val="auto"/>
        </w:rPr>
      </w:pPr>
    </w:p>
    <w:p>
      <w:pPr>
        <w:ind w:left="328"/>
        <w:spacing w:after="0"/>
        <w:tabs>
          <w:tab w:leader="none" w:pos="1528" w:val="left"/>
        </w:tabs>
        <w:rPr>
          <w:sz w:val="20"/>
          <w:szCs w:val="20"/>
          <w:color w:val="auto"/>
        </w:rPr>
      </w:pPr>
      <w:r>
        <w:rPr>
          <w:rFonts w:ascii="Arial" w:cs="Arial" w:eastAsia="Arial" w:hAnsi="Arial"/>
          <w:sz w:val="16"/>
          <w:szCs w:val="16"/>
          <w:b w:val="1"/>
          <w:bCs w:val="1"/>
          <w:color w:val="0000CC"/>
        </w:rPr>
        <w:t>Date of Grant:</w:t>
      </w:r>
      <w:r>
        <w:rPr>
          <w:sz w:val="20"/>
          <w:szCs w:val="20"/>
          <w:color w:val="auto"/>
        </w:rPr>
        <w:tab/>
      </w:r>
      <w:r>
        <w:rPr>
          <w:rFonts w:ascii="Arial" w:cs="Arial" w:eastAsia="Arial" w:hAnsi="Arial"/>
          <w:sz w:val="15"/>
          <w:szCs w:val="15"/>
          <w:b w:val="1"/>
          <w:bCs w:val="1"/>
          <w:color w:val="0000CC"/>
        </w:rPr>
        <w:t>Grant Date</w:t>
      </w:r>
    </w:p>
    <w:p>
      <w:pPr>
        <w:spacing w:after="0" w:line="23" w:lineRule="exact"/>
        <w:rPr>
          <w:sz w:val="20"/>
          <w:szCs w:val="20"/>
          <w:color w:val="auto"/>
        </w:rPr>
      </w:pPr>
    </w:p>
    <w:p>
      <w:pPr>
        <w:ind w:left="328"/>
        <w:spacing w:after="0"/>
        <w:tabs>
          <w:tab w:leader="none" w:pos="4448" w:val="left"/>
        </w:tabs>
        <w:rPr>
          <w:sz w:val="20"/>
          <w:szCs w:val="20"/>
          <w:color w:val="auto"/>
        </w:rPr>
      </w:pPr>
      <w:r>
        <w:rPr>
          <w:rFonts w:ascii="Arial" w:cs="Arial" w:eastAsia="Arial" w:hAnsi="Arial"/>
          <w:sz w:val="16"/>
          <w:szCs w:val="16"/>
          <w:b w:val="1"/>
          <w:bCs w:val="1"/>
          <w:color w:val="0000CC"/>
        </w:rPr>
        <w:t>Number of Performance RSUs (“Initial Grant Number”):</w:t>
      </w:r>
      <w:r>
        <w:rPr>
          <w:sz w:val="20"/>
          <w:szCs w:val="20"/>
          <w:color w:val="auto"/>
        </w:rPr>
        <w:tab/>
      </w:r>
      <w:r>
        <w:rPr>
          <w:rFonts w:ascii="Arial" w:cs="Arial" w:eastAsia="Arial" w:hAnsi="Arial"/>
          <w:sz w:val="14"/>
          <w:szCs w:val="14"/>
          <w:b w:val="1"/>
          <w:bCs w:val="1"/>
          <w:color w:val="0000CC"/>
        </w:rPr>
        <w:t>Number of Awards Granted</w:t>
      </w:r>
    </w:p>
    <w:p>
      <w:pPr>
        <w:spacing w:after="0" w:line="5" w:lineRule="exact"/>
        <w:rPr>
          <w:sz w:val="20"/>
          <w:szCs w:val="20"/>
          <w:color w:val="auto"/>
        </w:rPr>
      </w:pPr>
    </w:p>
    <w:p>
      <w:pPr>
        <w:ind w:left="328"/>
        <w:spacing w:after="0"/>
        <w:tabs>
          <w:tab w:leader="none" w:pos="1428" w:val="left"/>
        </w:tabs>
        <w:rPr>
          <w:sz w:val="20"/>
          <w:szCs w:val="20"/>
          <w:color w:val="auto"/>
        </w:rPr>
      </w:pPr>
      <w:r>
        <w:rPr>
          <w:rFonts w:ascii="Arial" w:cs="Arial" w:eastAsia="Arial" w:hAnsi="Arial"/>
          <w:sz w:val="16"/>
          <w:szCs w:val="16"/>
          <w:b w:val="1"/>
          <w:bCs w:val="1"/>
          <w:color w:val="0000CC"/>
        </w:rPr>
        <w:t>Vesting Date:</w:t>
      </w:r>
      <w:r>
        <w:rPr>
          <w:sz w:val="20"/>
          <w:szCs w:val="20"/>
          <w:color w:val="auto"/>
        </w:rPr>
        <w:tab/>
      </w:r>
      <w:r>
        <w:rPr>
          <w:rFonts w:ascii="Arial" w:cs="Arial" w:eastAsia="Arial" w:hAnsi="Arial"/>
          <w:sz w:val="14"/>
          <w:szCs w:val="14"/>
          <w:b w:val="1"/>
          <w:bCs w:val="1"/>
          <w:color w:val="0000CC"/>
        </w:rPr>
        <w:t>Cliff Vesting Date</w:t>
      </w:r>
    </w:p>
    <w:p>
      <w:pPr>
        <w:spacing w:after="0" w:line="207" w:lineRule="exact"/>
        <w:rPr>
          <w:sz w:val="20"/>
          <w:szCs w:val="20"/>
          <w:color w:val="auto"/>
        </w:rPr>
      </w:pPr>
    </w:p>
    <w:p>
      <w:pPr>
        <w:jc w:val="both"/>
        <w:ind w:left="328" w:right="320"/>
        <w:spacing w:after="0" w:line="261" w:lineRule="auto"/>
        <w:rPr>
          <w:sz w:val="20"/>
          <w:szCs w:val="20"/>
          <w:color w:val="auto"/>
        </w:rPr>
      </w:pPr>
      <w:r>
        <w:rPr>
          <w:rFonts w:ascii="Arial" w:cs="Arial" w:eastAsia="Arial" w:hAnsi="Arial"/>
          <w:sz w:val="16"/>
          <w:szCs w:val="16"/>
          <w:color w:val="auto"/>
        </w:rPr>
        <w:t xml:space="preserve">If the Participant resides in a European Economic Area, European Union member state or the United Kingdom, due to local legal requirements the Participant </w:t>
      </w:r>
      <w:r>
        <w:rPr>
          <w:rFonts w:ascii="Arial" w:cs="Arial" w:eastAsia="Arial" w:hAnsi="Arial"/>
          <w:sz w:val="16"/>
          <w:szCs w:val="16"/>
          <w:b w:val="1"/>
          <w:bCs w:val="1"/>
          <w:i w:val="1"/>
          <w:iCs w:val="1"/>
          <w:color w:val="auto"/>
        </w:rPr>
        <w:t xml:space="preserve">must accept </w:t>
      </w:r>
      <w:r>
        <w:rPr>
          <w:rFonts w:ascii="Arial" w:cs="Arial" w:eastAsia="Arial" w:hAnsi="Arial"/>
          <w:sz w:val="16"/>
          <w:szCs w:val="16"/>
          <w:color w:val="auto"/>
        </w:rPr>
        <w:t>this Agreement no later than Grant Custom 4 or</w:t>
      </w:r>
      <w:r>
        <w:rPr>
          <w:rFonts w:ascii="Arial" w:cs="Arial" w:eastAsia="Arial" w:hAnsi="Arial"/>
          <w:sz w:val="16"/>
          <w:szCs w:val="16"/>
          <w:b w:val="1"/>
          <w:bCs w:val="1"/>
          <w:i w:val="1"/>
          <w:iCs w:val="1"/>
          <w:color w:val="auto"/>
        </w:rPr>
        <w:t xml:space="preserve"> this Award shall terminate and will become null and void</w:t>
      </w:r>
      <w:r>
        <w:rPr>
          <w:rFonts w:ascii="Arial" w:cs="Arial" w:eastAsia="Arial" w:hAnsi="Arial"/>
          <w:sz w:val="16"/>
          <w:szCs w:val="16"/>
          <w:color w:val="auto"/>
        </w:rPr>
        <w:t>. For purposes of this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is deemed to reside in the country where his or her Employer is located.</w:t>
      </w:r>
    </w:p>
    <w:p>
      <w:pPr>
        <w:spacing w:after="0" w:line="183" w:lineRule="exact"/>
        <w:rPr>
          <w:sz w:val="20"/>
          <w:szCs w:val="20"/>
          <w:color w:val="auto"/>
        </w:rPr>
      </w:pPr>
    </w:p>
    <w:p>
      <w:pPr>
        <w:jc w:val="both"/>
        <w:ind w:left="328" w:right="320"/>
        <w:spacing w:after="0" w:line="261" w:lineRule="auto"/>
        <w:rPr>
          <w:sz w:val="20"/>
          <w:szCs w:val="20"/>
          <w:color w:val="auto"/>
        </w:rPr>
      </w:pPr>
      <w:r>
        <w:rPr>
          <w:rFonts w:ascii="Arial" w:cs="Arial" w:eastAsia="Arial" w:hAnsi="Arial"/>
          <w:sz w:val="16"/>
          <w:szCs w:val="16"/>
          <w:color w:val="auto"/>
        </w:rPr>
        <w:t>If the Participant resides in the United States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83" w:lineRule="exact"/>
        <w:rPr>
          <w:sz w:val="20"/>
          <w:szCs w:val="20"/>
          <w:color w:val="auto"/>
        </w:rPr>
      </w:pPr>
    </w:p>
    <w:p>
      <w:pPr>
        <w:jc w:val="both"/>
        <w:ind w:left="328" w:right="320"/>
        <w:spacing w:after="0" w:line="256" w:lineRule="auto"/>
        <w:rPr>
          <w:sz w:val="20"/>
          <w:szCs w:val="20"/>
          <w:color w:val="auto"/>
        </w:rPr>
      </w:pPr>
      <w:r>
        <w:rPr>
          <w:rFonts w:ascii="Arial" w:cs="Arial" w:eastAsia="Arial" w:hAnsi="Arial"/>
          <w:sz w:val="16"/>
          <w:szCs w:val="16"/>
          <w:color w:val="auto"/>
        </w:rPr>
        <w:t>Each one (1) Performance RSU shall, if and when it vests in accordance with this Agreement, automatically convert into one (1) share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33" w:lineRule="exact"/>
        <w:rPr>
          <w:sz w:val="20"/>
          <w:szCs w:val="20"/>
          <w:color w:val="auto"/>
        </w:rPr>
      </w:pPr>
    </w:p>
    <w:p>
      <w:pPr>
        <w:ind w:left="288" w:hanging="288"/>
        <w:spacing w:after="0"/>
        <w:tabs>
          <w:tab w:leader="none" w:pos="288"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right="320" w:hanging="324"/>
        <w:spacing w:after="0" w:line="267" w:lineRule="auto"/>
        <w:tabs>
          <w:tab w:leader="none" w:pos="677" w:val="left"/>
        </w:tabs>
        <w:numPr>
          <w:ilvl w:val="1"/>
          <w:numId w:val="99"/>
        </w:numPr>
        <w:rPr>
          <w:rFonts w:ascii="Arial" w:cs="Arial" w:eastAsia="Arial" w:hAnsi="Arial"/>
          <w:sz w:val="15"/>
          <w:szCs w:val="15"/>
          <w:color w:val="auto"/>
        </w:rPr>
      </w:pPr>
      <w:r>
        <w:rPr>
          <w:rFonts w:ascii="Arial" w:cs="Arial" w:eastAsia="Arial" w:hAnsi="Arial"/>
          <w:sz w:val="15"/>
          <w:szCs w:val="15"/>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27" w:lineRule="exact"/>
        <w:rPr>
          <w:rFonts w:ascii="Arial" w:cs="Arial" w:eastAsia="Arial" w:hAnsi="Arial"/>
          <w:sz w:val="15"/>
          <w:szCs w:val="15"/>
          <w:color w:val="auto"/>
        </w:rPr>
      </w:pPr>
    </w:p>
    <w:p>
      <w:pPr>
        <w:jc w:val="both"/>
        <w:ind w:left="648" w:right="320" w:hanging="324"/>
        <w:spacing w:after="0" w:line="256" w:lineRule="auto"/>
        <w:tabs>
          <w:tab w:leader="none" w:pos="721"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25"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08"/>
          </w:cols>
          <w:pgMar w:left="652" w:top="1440" w:right="339" w:bottom="1440" w:gutter="0" w:footer="0" w:header="0"/>
        </w:sectPr>
      </w:pPr>
    </w:p>
    <w:bookmarkStart w:id="117" w:name="page118"/>
    <w:bookmarkEnd w:id="117"/>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hanging="324"/>
        <w:spacing w:after="0" w:line="253" w:lineRule="auto"/>
        <w:tabs>
          <w:tab w:leader="none" w:pos="70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37" w:lineRule="exact"/>
        <w:rPr>
          <w:rFonts w:ascii="Arial" w:cs="Arial" w:eastAsia="Arial" w:hAnsi="Arial"/>
          <w:sz w:val="16"/>
          <w:szCs w:val="16"/>
          <w:color w:val="auto"/>
        </w:rPr>
      </w:pPr>
    </w:p>
    <w:p>
      <w:pPr>
        <w:jc w:val="both"/>
        <w:ind w:left="648" w:hanging="324"/>
        <w:spacing w:after="0" w:line="269" w:lineRule="auto"/>
        <w:tabs>
          <w:tab w:leader="none" w:pos="686" w:val="left"/>
        </w:tabs>
        <w:numPr>
          <w:ilvl w:val="1"/>
          <w:numId w:val="100"/>
        </w:numPr>
        <w:rPr>
          <w:rFonts w:ascii="Arial" w:cs="Arial" w:eastAsia="Arial" w:hAnsi="Arial"/>
          <w:sz w:val="15"/>
          <w:szCs w:val="15"/>
          <w:color w:val="auto"/>
        </w:rPr>
      </w:pPr>
      <w:r>
        <w:rPr>
          <w:rFonts w:ascii="Arial" w:cs="Arial" w:eastAsia="Arial" w:hAnsi="Arial"/>
          <w:sz w:val="15"/>
          <w:szCs w:val="15"/>
          <w:color w:val="auto"/>
        </w:rPr>
        <w:t xml:space="preserve">In the event the Participant becomes </w:t>
      </w:r>
      <w:r>
        <w:rPr>
          <w:rFonts w:ascii="Arial" w:cs="Arial" w:eastAsia="Arial" w:hAnsi="Arial"/>
          <w:sz w:val="15"/>
          <w:szCs w:val="15"/>
          <w:u w:val="single" w:color="auto"/>
          <w:color w:val="auto"/>
        </w:rPr>
        <w:t>Disabled</w:t>
      </w:r>
      <w:r>
        <w:rPr>
          <w:rFonts w:ascii="Arial" w:cs="Arial" w:eastAsia="Arial" w:hAnsi="Arial"/>
          <w:sz w:val="15"/>
          <w:szCs w:val="15"/>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27" w:lineRule="exact"/>
        <w:rPr>
          <w:rFonts w:ascii="Arial" w:cs="Arial" w:eastAsia="Arial" w:hAnsi="Arial"/>
          <w:sz w:val="15"/>
          <w:szCs w:val="15"/>
          <w:color w:val="auto"/>
        </w:rPr>
      </w:pPr>
    </w:p>
    <w:p>
      <w:pPr>
        <w:jc w:val="both"/>
        <w:ind w:left="648" w:hanging="324"/>
        <w:spacing w:after="0" w:line="274" w:lineRule="auto"/>
        <w:tabs>
          <w:tab w:leader="none" w:pos="71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2" w:lineRule="exact"/>
        <w:rPr>
          <w:rFonts w:ascii="Arial" w:cs="Arial" w:eastAsia="Arial" w:hAnsi="Arial"/>
          <w:sz w:val="15"/>
          <w:szCs w:val="15"/>
          <w:color w:val="auto"/>
        </w:rPr>
      </w:pPr>
    </w:p>
    <w:p>
      <w:pPr>
        <w:ind w:left="288" w:hanging="288"/>
        <w:spacing w:after="0"/>
        <w:tabs>
          <w:tab w:leader="none" w:pos="28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8" w:hanging="344"/>
        <w:spacing w:after="0"/>
        <w:tabs>
          <w:tab w:leader="none" w:pos="668" w:val="left"/>
        </w:tabs>
        <w:numPr>
          <w:ilvl w:val="1"/>
          <w:numId w:val="101"/>
        </w:numPr>
        <w:rPr>
          <w:rFonts w:ascii="Arial" w:cs="Arial" w:eastAsia="Arial" w:hAnsi="Arial"/>
          <w:sz w:val="15"/>
          <w:szCs w:val="15"/>
          <w:color w:val="auto"/>
        </w:rPr>
      </w:pPr>
      <w:r>
        <w:rPr>
          <w:rFonts w:ascii="Arial" w:cs="Arial" w:eastAsia="Arial" w:hAnsi="Arial"/>
          <w:sz w:val="15"/>
          <w:szCs w:val="15"/>
          <w:color w:val="auto"/>
        </w:rPr>
        <w:t>The Participant shall not sell, assign, transfer, pledge or otherwise encumber any Performance RSUs, either voluntarily or by operation of law.</w:t>
      </w:r>
    </w:p>
    <w:p>
      <w:pPr>
        <w:spacing w:after="0" w:line="178" w:lineRule="exact"/>
        <w:rPr>
          <w:rFonts w:ascii="Arial" w:cs="Arial" w:eastAsia="Arial" w:hAnsi="Arial"/>
          <w:sz w:val="15"/>
          <w:szCs w:val="15"/>
          <w:color w:val="auto"/>
        </w:rPr>
      </w:pPr>
    </w:p>
    <w:p>
      <w:pPr>
        <w:jc w:val="both"/>
        <w:ind w:left="648" w:hanging="324"/>
        <w:spacing w:after="0" w:line="261" w:lineRule="auto"/>
        <w:tabs>
          <w:tab w:leader="none" w:pos="72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28" w:lineRule="exact"/>
        <w:rPr>
          <w:rFonts w:ascii="Arial" w:cs="Arial" w:eastAsia="Arial" w:hAnsi="Arial"/>
          <w:sz w:val="16"/>
          <w:szCs w:val="16"/>
          <w:color w:val="auto"/>
        </w:rPr>
      </w:pPr>
    </w:p>
    <w:p>
      <w:pPr>
        <w:jc w:val="both"/>
        <w:ind w:left="328" w:hanging="328"/>
        <w:spacing w:after="0" w:line="253" w:lineRule="auto"/>
        <w:tabs>
          <w:tab w:leader="none" w:pos="301"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37" w:lineRule="exact"/>
        <w:rPr>
          <w:rFonts w:ascii="Arial" w:cs="Arial" w:eastAsia="Arial" w:hAnsi="Arial"/>
          <w:sz w:val="16"/>
          <w:szCs w:val="16"/>
          <w:color w:val="auto"/>
        </w:rPr>
      </w:pPr>
    </w:p>
    <w:p>
      <w:pPr>
        <w:jc w:val="both"/>
        <w:ind w:left="328" w:hanging="328"/>
        <w:spacing w:after="0" w:line="304" w:lineRule="auto"/>
        <w:tabs>
          <w:tab w:leader="none" w:pos="314"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Provisions of the Plan</w:t>
      </w:r>
      <w:r>
        <w:rPr>
          <w:rFonts w:ascii="Arial" w:cs="Arial" w:eastAsia="Arial" w:hAnsi="Arial"/>
          <w:sz w:val="14"/>
          <w:szCs w:val="14"/>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02" w:lineRule="exact"/>
        <w:rPr>
          <w:rFonts w:ascii="Arial" w:cs="Arial" w:eastAsia="Arial" w:hAnsi="Arial"/>
          <w:sz w:val="14"/>
          <w:szCs w:val="14"/>
          <w:color w:val="auto"/>
        </w:rPr>
      </w:pPr>
    </w:p>
    <w:p>
      <w:pPr>
        <w:ind w:left="288" w:hanging="288"/>
        <w:spacing w:after="0"/>
        <w:tabs>
          <w:tab w:leader="none" w:pos="288"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67" w:lineRule="auto"/>
        <w:tabs>
          <w:tab w:leader="none" w:pos="704" w:val="left"/>
        </w:tabs>
        <w:numPr>
          <w:ilvl w:val="1"/>
          <w:numId w:val="101"/>
        </w:numPr>
        <w:rPr>
          <w:rFonts w:ascii="Arial" w:cs="Arial" w:eastAsia="Arial" w:hAnsi="Arial"/>
          <w:sz w:val="15"/>
          <w:szCs w:val="15"/>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30" w:lineRule="exact"/>
        <w:rPr>
          <w:rFonts w:ascii="Arial" w:cs="Arial" w:eastAsia="Arial" w:hAnsi="Arial"/>
          <w:sz w:val="15"/>
          <w:szCs w:val="15"/>
          <w:color w:val="auto"/>
        </w:rPr>
      </w:pPr>
    </w:p>
    <w:p>
      <w:pPr>
        <w:ind w:left="648" w:right="20" w:hanging="324"/>
        <w:spacing w:after="0" w:line="275" w:lineRule="auto"/>
        <w:tabs>
          <w:tab w:leader="none" w:pos="77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88"/>
          </w:cols>
          <w:pgMar w:left="652" w:top="1440" w:right="659" w:bottom="1440" w:gutter="0" w:footer="0" w:header="0"/>
        </w:sectPr>
      </w:pPr>
    </w:p>
    <w:bookmarkStart w:id="118" w:name="page119"/>
    <w:bookmarkEnd w:id="118"/>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8"/>
        <w:spacing w:after="0" w:line="275" w:lineRule="auto"/>
        <w:rPr>
          <w:sz w:val="20"/>
          <w:szCs w:val="20"/>
          <w:color w:val="auto"/>
        </w:rPr>
      </w:pPr>
      <w:r>
        <w:rPr>
          <w:rFonts w:ascii="Arial" w:cs="Arial" w:eastAsia="Arial" w:hAnsi="Arial"/>
          <w:sz w:val="16"/>
          <w:szCs w:val="16"/>
          <w:color w:val="auto"/>
        </w:rPr>
        <w:t>Employer, or their respective agents, at their discretion, to satisfy the obligations, if any, with regard to all Tax-Related Items by one or a combination of the methods set forth below:</w:t>
      </w:r>
    </w:p>
    <w:p>
      <w:pPr>
        <w:spacing w:after="0" w:line="118" w:lineRule="exact"/>
        <w:rPr>
          <w:sz w:val="20"/>
          <w:szCs w:val="20"/>
          <w:color w:val="auto"/>
        </w:rPr>
      </w:pPr>
    </w:p>
    <w:p>
      <w:pPr>
        <w:jc w:val="both"/>
        <w:ind w:left="968" w:hanging="320"/>
        <w:spacing w:after="0" w:line="278" w:lineRule="auto"/>
        <w:tabs>
          <w:tab w:leader="none" w:pos="105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8" w:lineRule="exact"/>
        <w:rPr>
          <w:rFonts w:ascii="Arial" w:cs="Arial" w:eastAsia="Arial" w:hAnsi="Arial"/>
          <w:sz w:val="15"/>
          <w:szCs w:val="15"/>
          <w:color w:val="auto"/>
        </w:rPr>
      </w:pPr>
    </w:p>
    <w:p>
      <w:pPr>
        <w:ind w:left="968" w:hanging="320"/>
        <w:spacing w:after="0" w:line="275" w:lineRule="auto"/>
        <w:tabs>
          <w:tab w:leader="none" w:pos="10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8" w:lineRule="exact"/>
        <w:rPr>
          <w:rFonts w:ascii="Arial" w:cs="Arial" w:eastAsia="Arial" w:hAnsi="Arial"/>
          <w:sz w:val="16"/>
          <w:szCs w:val="16"/>
          <w:color w:val="auto"/>
        </w:rPr>
      </w:pPr>
    </w:p>
    <w:p>
      <w:pPr>
        <w:ind w:left="968" w:hanging="320"/>
        <w:spacing w:after="0" w:line="275" w:lineRule="auto"/>
        <w:tabs>
          <w:tab w:leader="none" w:pos="111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8" w:lineRule="exact"/>
        <w:rPr>
          <w:sz w:val="20"/>
          <w:szCs w:val="20"/>
          <w:color w:val="auto"/>
        </w:rPr>
      </w:pPr>
    </w:p>
    <w:p>
      <w:pPr>
        <w:jc w:val="both"/>
        <w:ind w:left="968"/>
        <w:spacing w:after="0" w:line="256" w:lineRule="auto"/>
        <w:rPr>
          <w:sz w:val="20"/>
          <w:szCs w:val="20"/>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33" w:lineRule="exact"/>
        <w:rPr>
          <w:sz w:val="20"/>
          <w:szCs w:val="20"/>
          <w:color w:val="auto"/>
        </w:rPr>
      </w:pPr>
    </w:p>
    <w:p>
      <w:pPr>
        <w:jc w:val="both"/>
        <w:ind w:left="968"/>
        <w:spacing w:after="0" w:line="252" w:lineRule="auto"/>
        <w:rPr>
          <w:sz w:val="20"/>
          <w:szCs w:val="20"/>
          <w:color w:val="auto"/>
        </w:rPr>
      </w:pPr>
      <w:r>
        <w:rPr>
          <w:rFonts w:ascii="Arial" w:cs="Arial" w:eastAsia="Arial" w:hAnsi="Arial"/>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37" w:lineRule="exact"/>
        <w:rPr>
          <w:sz w:val="20"/>
          <w:szCs w:val="20"/>
          <w:color w:val="auto"/>
        </w:rPr>
      </w:pPr>
    </w:p>
    <w:p>
      <w:pPr>
        <w:jc w:val="both"/>
        <w:ind w:left="968"/>
        <w:spacing w:after="0" w:line="293" w:lineRule="auto"/>
        <w:rPr>
          <w:sz w:val="20"/>
          <w:szCs w:val="20"/>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09" w:lineRule="exact"/>
        <w:rPr>
          <w:sz w:val="20"/>
          <w:szCs w:val="20"/>
          <w:color w:val="auto"/>
        </w:rPr>
      </w:pPr>
    </w:p>
    <w:p>
      <w:pPr>
        <w:jc w:val="both"/>
        <w:ind w:left="328" w:right="20" w:hanging="328"/>
        <w:spacing w:after="0" w:line="272" w:lineRule="auto"/>
        <w:tabs>
          <w:tab w:leader="none" w:pos="341" w:val="left"/>
        </w:tabs>
        <w:numPr>
          <w:ilvl w:val="0"/>
          <w:numId w:val="103"/>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23" w:lineRule="exact"/>
        <w:rPr>
          <w:rFonts w:ascii="Arial" w:cs="Arial" w:eastAsia="Arial" w:hAnsi="Arial"/>
          <w:sz w:val="15"/>
          <w:szCs w:val="15"/>
          <w:color w:val="auto"/>
        </w:rPr>
      </w:pPr>
    </w:p>
    <w:p>
      <w:pPr>
        <w:jc w:val="both"/>
        <w:ind w:left="328" w:hanging="328"/>
        <w:spacing w:after="0" w:line="251" w:lineRule="auto"/>
        <w:tabs>
          <w:tab w:leader="none" w:pos="355"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Repatriation and Other Legal Requirements</w:t>
      </w:r>
      <w:r>
        <w:rPr>
          <w:rFonts w:ascii="Arial" w:cs="Arial" w:eastAsia="Arial" w:hAnsi="Arial"/>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38" w:lineRule="exact"/>
        <w:rPr>
          <w:rFonts w:ascii="Arial" w:cs="Arial" w:eastAsia="Arial" w:hAnsi="Arial"/>
          <w:sz w:val="16"/>
          <w:szCs w:val="16"/>
          <w:color w:val="auto"/>
        </w:rPr>
      </w:pPr>
    </w:p>
    <w:p>
      <w:pPr>
        <w:ind w:left="288" w:hanging="288"/>
        <w:spacing w:after="0"/>
        <w:tabs>
          <w:tab w:leader="none" w:pos="28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7" w:lineRule="exact"/>
        <w:rPr>
          <w:sz w:val="20"/>
          <w:szCs w:val="20"/>
          <w:color w:val="auto"/>
        </w:rPr>
      </w:pPr>
    </w:p>
    <w:p>
      <w:pPr>
        <w:jc w:val="both"/>
        <w:ind w:left="648" w:right="20" w:hanging="324"/>
        <w:spacing w:after="0" w:line="256" w:lineRule="auto"/>
        <w:tabs>
          <w:tab w:leader="none" w:pos="66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88"/>
          </w:cols>
          <w:pgMar w:left="652" w:top="1440" w:right="659" w:bottom="1440" w:gutter="0" w:footer="0" w:header="0"/>
        </w:sectPr>
      </w:pPr>
    </w:p>
    <w:bookmarkStart w:id="119" w:name="page120"/>
    <w:bookmarkEnd w:id="119"/>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right="20"/>
        <w:spacing w:after="0" w:line="275" w:lineRule="auto"/>
        <w:rPr>
          <w:sz w:val="20"/>
          <w:szCs w:val="20"/>
          <w:color w:val="auto"/>
        </w:rPr>
      </w:pPr>
      <w:r>
        <w:rPr>
          <w:rFonts w:ascii="Arial" w:cs="Arial" w:eastAsia="Arial" w:hAnsi="Arial"/>
          <w:sz w:val="16"/>
          <w:szCs w:val="16"/>
          <w:color w:val="auto"/>
        </w:rPr>
        <w:t>conditions and continuing service as an employee at the will of the Company or the Employer through the Vesting Date (not through the act of being hired or engaged or being granted the Performance RSUs hereunder).</w:t>
      </w:r>
    </w:p>
    <w:p>
      <w:pPr>
        <w:spacing w:after="0" w:line="118" w:lineRule="exact"/>
        <w:rPr>
          <w:sz w:val="20"/>
          <w:szCs w:val="20"/>
          <w:color w:val="auto"/>
        </w:rPr>
      </w:pPr>
    </w:p>
    <w:p>
      <w:pPr>
        <w:jc w:val="both"/>
        <w:ind w:left="324" w:hanging="324"/>
        <w:spacing w:after="0" w:line="290" w:lineRule="auto"/>
        <w:tabs>
          <w:tab w:leader="none" w:pos="351"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2" w:lineRule="exact"/>
        <w:rPr>
          <w:rFonts w:ascii="Arial" w:cs="Arial" w:eastAsia="Arial" w:hAnsi="Arial"/>
          <w:sz w:val="14"/>
          <w:szCs w:val="14"/>
          <w:color w:val="auto"/>
        </w:rPr>
      </w:pPr>
    </w:p>
    <w:p>
      <w:pPr>
        <w:jc w:val="both"/>
        <w:ind w:left="324" w:hanging="324"/>
        <w:spacing w:after="0" w:line="274" w:lineRule="auto"/>
        <w:tabs>
          <w:tab w:leader="none" w:pos="409"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Exclusion from Termination Indemnities and Other Benefits</w:t>
      </w:r>
      <w:r>
        <w:rPr>
          <w:rFonts w:ascii="Arial" w:cs="Arial" w:eastAsia="Arial" w:hAnsi="Arial"/>
          <w:sz w:val="15"/>
          <w:szCs w:val="15"/>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22" w:lineRule="exact"/>
        <w:rPr>
          <w:rFonts w:ascii="Arial" w:cs="Arial" w:eastAsia="Arial" w:hAnsi="Arial"/>
          <w:sz w:val="15"/>
          <w:szCs w:val="15"/>
          <w:color w:val="auto"/>
        </w:rPr>
      </w:pPr>
    </w:p>
    <w:p>
      <w:pPr>
        <w:jc w:val="both"/>
        <w:ind w:left="324" w:hanging="324"/>
        <w:spacing w:after="0" w:line="251" w:lineRule="auto"/>
        <w:tabs>
          <w:tab w:leader="none" w:pos="47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8" w:lineRule="exact"/>
        <w:rPr>
          <w:rFonts w:ascii="Arial" w:cs="Arial" w:eastAsia="Arial" w:hAnsi="Arial"/>
          <w:sz w:val="16"/>
          <w:szCs w:val="16"/>
          <w:color w:val="auto"/>
        </w:rPr>
      </w:pPr>
    </w:p>
    <w:p>
      <w:pPr>
        <w:jc w:val="both"/>
        <w:ind w:left="324" w:hanging="324"/>
        <w:spacing w:after="0" w:line="256" w:lineRule="auto"/>
        <w:tabs>
          <w:tab w:leader="none" w:pos="342"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32" w:lineRule="exact"/>
        <w:rPr>
          <w:rFonts w:ascii="Arial" w:cs="Arial" w:eastAsia="Arial" w:hAnsi="Arial"/>
          <w:sz w:val="16"/>
          <w:szCs w:val="16"/>
          <w:color w:val="auto"/>
        </w:rPr>
      </w:pPr>
    </w:p>
    <w:p>
      <w:pPr>
        <w:ind w:left="324" w:hanging="324"/>
        <w:spacing w:after="0"/>
        <w:tabs>
          <w:tab w:leader="none" w:pos="324"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67" w:lineRule="exact"/>
        <w:rPr>
          <w:rFonts w:ascii="Arial" w:cs="Arial" w:eastAsia="Arial" w:hAnsi="Arial"/>
          <w:sz w:val="16"/>
          <w:szCs w:val="16"/>
          <w:color w:val="auto"/>
        </w:rPr>
      </w:pPr>
    </w:p>
    <w:p>
      <w:pPr>
        <w:ind w:left="324" w:hanging="324"/>
        <w:spacing w:after="0" w:line="275" w:lineRule="auto"/>
        <w:tabs>
          <w:tab w:leader="none" w:pos="351"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8" w:lineRule="exact"/>
        <w:rPr>
          <w:rFonts w:ascii="Arial" w:cs="Arial" w:eastAsia="Arial" w:hAnsi="Arial"/>
          <w:sz w:val="16"/>
          <w:szCs w:val="16"/>
          <w:color w:val="auto"/>
        </w:rPr>
      </w:pPr>
    </w:p>
    <w:p>
      <w:pPr>
        <w:ind w:left="324" w:right="20" w:hanging="324"/>
        <w:spacing w:after="0" w:line="349" w:lineRule="auto"/>
        <w:tabs>
          <w:tab w:leader="none" w:pos="418"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1" w:lineRule="exact"/>
        <w:rPr>
          <w:rFonts w:ascii="Arial" w:cs="Arial" w:eastAsia="Arial" w:hAnsi="Arial"/>
          <w:sz w:val="14"/>
          <w:szCs w:val="14"/>
          <w:color w:val="auto"/>
        </w:rPr>
      </w:pPr>
    </w:p>
    <w:p>
      <w:pPr>
        <w:jc w:val="both"/>
        <w:ind w:left="324" w:hanging="324"/>
        <w:spacing w:after="0" w:line="253" w:lineRule="auto"/>
        <w:tabs>
          <w:tab w:leader="none" w:pos="31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37" w:lineRule="exact"/>
        <w:rPr>
          <w:rFonts w:ascii="Arial" w:cs="Arial" w:eastAsia="Arial" w:hAnsi="Arial"/>
          <w:sz w:val="16"/>
          <w:szCs w:val="16"/>
          <w:color w:val="auto"/>
        </w:rPr>
      </w:pPr>
    </w:p>
    <w:p>
      <w:pPr>
        <w:ind w:left="324" w:right="20" w:hanging="324"/>
        <w:spacing w:after="0" w:line="275" w:lineRule="auto"/>
        <w:tabs>
          <w:tab w:leader="none" w:pos="31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324" w:hanging="324"/>
        <w:spacing w:after="0" w:line="275" w:lineRule="auto"/>
        <w:tabs>
          <w:tab w:leader="none" w:pos="445"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324" w:hanging="324"/>
        <w:spacing w:after="0" w:line="275" w:lineRule="auto"/>
        <w:tabs>
          <w:tab w:leader="none" w:pos="46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ind w:left="324" w:right="20" w:hanging="324"/>
        <w:spacing w:after="0" w:line="275" w:lineRule="auto"/>
        <w:tabs>
          <w:tab w:leader="none" w:pos="517"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Notwithstanding any other provision of the Plan or this Agreement, unless there is an available exemption from any registration, qualification or other legal requirement applicable to the Shares, the Company shall not be</w:t>
      </w:r>
    </w:p>
    <w:p>
      <w:pPr>
        <w:spacing w:after="0" w:line="10"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64"/>
          </w:cols>
          <w:pgMar w:left="976" w:top="1440" w:right="659" w:bottom="1440" w:gutter="0" w:footer="0" w:header="0"/>
        </w:sectPr>
      </w:pPr>
    </w:p>
    <w:bookmarkStart w:id="120" w:name="page121"/>
    <w:bookmarkEnd w:id="120"/>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49" w:lineRule="auto"/>
        <w:rPr>
          <w:sz w:val="20"/>
          <w:szCs w:val="20"/>
          <w:color w:val="auto"/>
        </w:rPr>
      </w:pPr>
      <w:r>
        <w:rPr>
          <w:rFonts w:ascii="Arial" w:cs="Arial" w:eastAsia="Arial" w:hAnsi="Arial"/>
          <w:sz w:val="16"/>
          <w:szCs w:val="16"/>
          <w:color w:val="auto"/>
        </w:rPr>
        <w:t>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41" w:lineRule="exact"/>
        <w:rPr>
          <w:sz w:val="20"/>
          <w:szCs w:val="20"/>
          <w:color w:val="auto"/>
        </w:rPr>
      </w:pPr>
    </w:p>
    <w:p>
      <w:pPr>
        <w:ind w:left="324" w:right="20" w:hanging="324"/>
        <w:spacing w:after="0" w:line="275" w:lineRule="auto"/>
        <w:tabs>
          <w:tab w:leader="none" w:pos="364"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8" w:lineRule="exact"/>
        <w:rPr>
          <w:rFonts w:ascii="Arial" w:cs="Arial" w:eastAsia="Arial" w:hAnsi="Arial"/>
          <w:sz w:val="16"/>
          <w:szCs w:val="16"/>
          <w:color w:val="auto"/>
        </w:rPr>
      </w:pPr>
    </w:p>
    <w:p>
      <w:pPr>
        <w:jc w:val="both"/>
        <w:ind w:left="324" w:hanging="324"/>
        <w:spacing w:after="0" w:line="286" w:lineRule="auto"/>
        <w:tabs>
          <w:tab w:leader="none" w:pos="364"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2" w:lineRule="exact"/>
        <w:rPr>
          <w:rFonts w:ascii="Arial" w:cs="Arial" w:eastAsia="Arial" w:hAnsi="Arial"/>
          <w:sz w:val="15"/>
          <w:szCs w:val="15"/>
          <w:color w:val="auto"/>
        </w:rPr>
      </w:pPr>
    </w:p>
    <w:p>
      <w:pPr>
        <w:jc w:val="both"/>
        <w:ind w:left="324" w:hanging="324"/>
        <w:spacing w:after="0" w:line="315" w:lineRule="auto"/>
        <w:tabs>
          <w:tab w:leader="none" w:pos="351" w:val="left"/>
        </w:tabs>
        <w:numPr>
          <w:ilvl w:val="0"/>
          <w:numId w:val="106"/>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5" w:lineRule="exact"/>
        <w:rPr>
          <w:rFonts w:ascii="Arial" w:cs="Arial" w:eastAsia="Arial" w:hAnsi="Arial"/>
          <w:sz w:val="14"/>
          <w:szCs w:val="14"/>
          <w:color w:val="auto"/>
        </w:rPr>
      </w:pPr>
    </w:p>
    <w:p>
      <w:pPr>
        <w:jc w:val="both"/>
        <w:ind w:left="324" w:hanging="324"/>
        <w:spacing w:after="0" w:line="256" w:lineRule="auto"/>
        <w:tabs>
          <w:tab w:leader="none" w:pos="44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32" w:lineRule="exact"/>
        <w:rPr>
          <w:rFonts w:ascii="Arial" w:cs="Arial" w:eastAsia="Arial" w:hAnsi="Arial"/>
          <w:sz w:val="16"/>
          <w:szCs w:val="16"/>
          <w:color w:val="auto"/>
        </w:rPr>
      </w:pPr>
    </w:p>
    <w:p>
      <w:pPr>
        <w:jc w:val="both"/>
        <w:ind w:left="324" w:hanging="324"/>
        <w:spacing w:after="0" w:line="274" w:lineRule="auto"/>
        <w:tabs>
          <w:tab w:leader="none" w:pos="405"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Appendix B</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22" w:lineRule="exact"/>
        <w:rPr>
          <w:rFonts w:ascii="Arial" w:cs="Arial" w:eastAsia="Arial" w:hAnsi="Arial"/>
          <w:sz w:val="15"/>
          <w:szCs w:val="15"/>
          <w:color w:val="auto"/>
        </w:rPr>
      </w:pPr>
    </w:p>
    <w:p>
      <w:pPr>
        <w:jc w:val="both"/>
        <w:ind w:left="324" w:hanging="324"/>
        <w:spacing w:after="0" w:line="256" w:lineRule="auto"/>
        <w:tabs>
          <w:tab w:leader="none" w:pos="34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5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64"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32" w:lineRule="exact"/>
        <w:rPr>
          <w:rFonts w:ascii="Arial" w:cs="Arial" w:eastAsia="Arial" w:hAnsi="Arial"/>
          <w:sz w:val="16"/>
          <w:szCs w:val="16"/>
          <w:color w:val="auto"/>
        </w:rPr>
      </w:pPr>
    </w:p>
    <w:p>
      <w:pPr>
        <w:jc w:val="both"/>
        <w:ind w:left="324" w:hanging="324"/>
        <w:spacing w:after="0" w:line="286" w:lineRule="auto"/>
        <w:tabs>
          <w:tab w:leader="none" w:pos="432" w:val="left"/>
        </w:tabs>
        <w:numPr>
          <w:ilvl w:val="0"/>
          <w:numId w:val="106"/>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2" w:lineRule="exact"/>
        <w:rPr>
          <w:rFonts w:ascii="Arial" w:cs="Arial" w:eastAsia="Arial" w:hAnsi="Arial"/>
          <w:sz w:val="15"/>
          <w:szCs w:val="15"/>
          <w:color w:val="auto"/>
        </w:rPr>
      </w:pPr>
    </w:p>
    <w:p>
      <w:pPr>
        <w:jc w:val="both"/>
        <w:ind w:left="324" w:hanging="324"/>
        <w:spacing w:after="0" w:line="253" w:lineRule="auto"/>
        <w:tabs>
          <w:tab w:leader="none" w:pos="481"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Performance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under the Plan during such times as the Participant is considered to have “inside</w:t>
      </w:r>
    </w:p>
    <w:p>
      <w:pPr>
        <w:spacing w:after="0" w:line="29"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64"/>
          </w:cols>
          <w:pgMar w:left="976" w:top="1440" w:right="659" w:bottom="1440" w:gutter="0" w:footer="0" w:header="0"/>
        </w:sectPr>
      </w:pPr>
    </w:p>
    <w:bookmarkStart w:id="121" w:name="page122"/>
    <w:bookmarkEnd w:id="121"/>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51" w:lineRule="auto"/>
        <w:rPr>
          <w:sz w:val="20"/>
          <w:szCs w:val="20"/>
          <w:color w:val="auto"/>
        </w:rPr>
      </w:pPr>
      <w:r>
        <w:rPr>
          <w:rFonts w:ascii="Arial" w:cs="Arial" w:eastAsia="Arial" w:hAnsi="Arial"/>
          <w:sz w:val="16"/>
          <w:szCs w:val="16"/>
          <w:color w:val="auto"/>
        </w:rPr>
        <w:t>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8" w:lineRule="exact"/>
        <w:rPr>
          <w:sz w:val="20"/>
          <w:szCs w:val="20"/>
          <w:color w:val="auto"/>
        </w:rPr>
      </w:pPr>
    </w:p>
    <w:p>
      <w:pPr>
        <w:jc w:val="both"/>
        <w:ind w:left="324" w:hanging="324"/>
        <w:spacing w:after="0" w:line="269" w:lineRule="auto"/>
        <w:tabs>
          <w:tab w:leader="none" w:pos="405"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7" w:lineRule="exact"/>
        <w:rPr>
          <w:rFonts w:ascii="Arial" w:cs="Arial" w:eastAsia="Arial" w:hAnsi="Arial"/>
          <w:sz w:val="15"/>
          <w:szCs w:val="15"/>
          <w:color w:val="auto"/>
        </w:rPr>
      </w:pPr>
    </w:p>
    <w:p>
      <w:pPr>
        <w:ind w:left="324" w:right="20" w:hanging="324"/>
        <w:spacing w:after="0" w:line="275" w:lineRule="auto"/>
        <w:tabs>
          <w:tab w:leader="none" w:pos="351"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72" w:lineRule="exact"/>
        <w:rPr>
          <w:sz w:val="20"/>
          <w:szCs w:val="20"/>
          <w:color w:val="auto"/>
        </w:rPr>
      </w:pPr>
    </w:p>
    <w:tbl>
      <w:tblPr>
        <w:tblLayout w:type="fixed"/>
        <w:tblInd w:w="804" w:type="dxa"/>
        <w:tblCellMar>
          <w:top w:w="0" w:type="dxa"/>
          <w:left w:w="0" w:type="dxa"/>
          <w:bottom w:w="0" w:type="dxa"/>
          <w:right w:w="0" w:type="dxa"/>
        </w:tblCellMar>
      </w:tblPr>
      <w:tr>
        <w:trPr>
          <w:trHeight w:val="21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760" w:type="dxa"/>
            <w:vAlign w:val="bottom"/>
          </w:tcPr>
          <w:p>
            <w:pPr>
              <w:jc w:val="right"/>
              <w:ind w:right="159"/>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24"/>
        </w:trPr>
        <w:tc>
          <w:tcPr>
            <w:tcW w:w="4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7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w w:val="98"/>
              </w:rPr>
              <w:t>Vincent Roche, President &amp; Chief Executive Officer</w:t>
            </w:r>
          </w:p>
        </w:tc>
      </w:tr>
      <w:tr>
        <w:trPr>
          <w:trHeight w:val="864"/>
        </w:trPr>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60" w:type="dxa"/>
            <w:vAlign w:val="bottom"/>
          </w:tcPr>
          <w:p>
            <w:pPr>
              <w:jc w:val="right"/>
              <w:ind w:right="1559"/>
              <w:spacing w:after="0"/>
              <w:rPr>
                <w:sz w:val="20"/>
                <w:szCs w:val="20"/>
                <w:color w:val="auto"/>
              </w:rPr>
            </w:pPr>
            <w:r>
              <w:rPr>
                <w:rFonts w:ascii="Arial" w:cs="Arial" w:eastAsia="Arial" w:hAnsi="Arial"/>
                <w:sz w:val="16"/>
                <w:szCs w:val="16"/>
                <w:color w:val="auto"/>
              </w:rPr>
              <w:t>6</w:t>
            </w:r>
          </w:p>
        </w:tc>
        <w:tc>
          <w:tcPr>
            <w:tcW w:w="3620" w:type="dxa"/>
            <w:vAlign w:val="bottom"/>
          </w:tcPr>
          <w:p>
            <w:pPr>
              <w:spacing w:after="0"/>
              <w:rPr>
                <w:sz w:val="24"/>
                <w:szCs w:val="24"/>
                <w:color w:val="auto"/>
              </w:rPr>
            </w:pPr>
          </w:p>
        </w:tc>
      </w:tr>
    </w:tbl>
    <w:p>
      <w:pPr>
        <w:sectPr>
          <w:pgSz w:w="11900" w:h="16838" w:orient="portrait"/>
          <w:cols w:equalWidth="0" w:num="1">
            <w:col w:w="10264"/>
          </w:cols>
          <w:pgMar w:left="976" w:top="1440" w:right="659" w:bottom="1440" w:gutter="0" w:footer="0" w:header="0"/>
        </w:sectPr>
      </w:pPr>
    </w:p>
    <w:bookmarkStart w:id="122" w:name="page123"/>
    <w:bookmarkEnd w:id="122"/>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302" w:lineRule="exact"/>
        <w:rPr>
          <w:sz w:val="20"/>
          <w:szCs w:val="20"/>
          <w:color w:val="auto"/>
        </w:rPr>
      </w:pPr>
    </w:p>
    <w:p>
      <w:pPr>
        <w:ind w:left="288" w:hanging="288"/>
        <w:spacing w:after="0"/>
        <w:tabs>
          <w:tab w:leader="none" w:pos="28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three-year period beginning on Grant Date and ending on Grant Custom 1 (the “Performance Period”).</w:t>
      </w:r>
    </w:p>
    <w:p>
      <w:pPr>
        <w:spacing w:after="0" w:line="167" w:lineRule="exact"/>
        <w:rPr>
          <w:rFonts w:ascii="Arial" w:cs="Arial" w:eastAsia="Arial" w:hAnsi="Arial"/>
          <w:sz w:val="16"/>
          <w:szCs w:val="16"/>
          <w:color w:val="auto"/>
        </w:rPr>
      </w:pPr>
    </w:p>
    <w:p>
      <w:pPr>
        <w:ind w:left="288" w:hanging="288"/>
        <w:spacing w:after="0"/>
        <w:tabs>
          <w:tab w:leader="none" w:pos="28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67" w:lineRule="exact"/>
        <w:rPr>
          <w:rFonts w:ascii="Arial" w:cs="Arial" w:eastAsia="Arial" w:hAnsi="Arial"/>
          <w:sz w:val="16"/>
          <w:szCs w:val="16"/>
          <w:color w:val="auto"/>
        </w:rPr>
      </w:pPr>
    </w:p>
    <w:p>
      <w:pPr>
        <w:ind w:left="328" w:right="20" w:hanging="328"/>
        <w:spacing w:after="0" w:line="275" w:lineRule="auto"/>
        <w:tabs>
          <w:tab w:leader="none" w:pos="43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8" w:lineRule="exact"/>
        <w:rPr>
          <w:rFonts w:ascii="Arial" w:cs="Arial" w:eastAsia="Arial" w:hAnsi="Arial"/>
          <w:sz w:val="16"/>
          <w:szCs w:val="16"/>
          <w:color w:val="auto"/>
        </w:rPr>
      </w:pPr>
    </w:p>
    <w:p>
      <w:pPr>
        <w:jc w:val="both"/>
        <w:ind w:left="328" w:hanging="328"/>
        <w:spacing w:after="0" w:line="256" w:lineRule="auto"/>
        <w:tabs>
          <w:tab w:leader="none" w:pos="287"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Performance-Based Vesting Terms</w:t>
      </w:r>
      <w:r>
        <w:rPr>
          <w:rFonts w:ascii="Arial" w:cs="Arial" w:eastAsia="Arial" w:hAnsi="Arial"/>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32" w:lineRule="exact"/>
        <w:rPr>
          <w:rFonts w:ascii="Arial" w:cs="Arial" w:eastAsia="Arial" w:hAnsi="Arial"/>
          <w:sz w:val="16"/>
          <w:szCs w:val="16"/>
          <w:color w:val="auto"/>
        </w:rPr>
      </w:pPr>
    </w:p>
    <w:p>
      <w:pPr>
        <w:jc w:val="both"/>
        <w:ind w:left="328" w:hanging="328"/>
        <w:spacing w:after="0" w:line="253" w:lineRule="auto"/>
        <w:tabs>
          <w:tab w:leader="none" w:pos="328"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comparison of the TSR (as defined below) of the Company relative to the median TSR of the Peer Group (as defined below) during the Performance Period and are equal to 100% plus or minus one and a half times the difference between the Company’s TSR and the median Peer Group TSR. The number of Performance RSUs that shall vest shall be equal to a number of Performance RSUs that is between 0% and 200% of the Initial Grant Number, up to a maximum of 100% of the Initial Grant Number if the Company’s TSR is negative. Attainment among Performance Parameters is subject to interpolation on a linear basis.</w:t>
      </w:r>
    </w:p>
    <w:p>
      <w:pPr>
        <w:spacing w:after="0" w:line="137" w:lineRule="exact"/>
        <w:rPr>
          <w:sz w:val="20"/>
          <w:szCs w:val="20"/>
          <w:color w:val="auto"/>
        </w:rPr>
      </w:pPr>
    </w:p>
    <w:p>
      <w:pPr>
        <w:ind w:left="328" w:right="20"/>
        <w:spacing w:after="0" w:line="310" w:lineRule="auto"/>
        <w:rPr>
          <w:sz w:val="20"/>
          <w:szCs w:val="20"/>
          <w:color w:val="auto"/>
        </w:rPr>
      </w:pPr>
      <w:r>
        <w:rPr>
          <w:rFonts w:ascii="Arial" w:cs="Arial" w:eastAsia="Arial" w:hAnsi="Arial"/>
          <w:sz w:val="15"/>
          <w:szCs w:val="15"/>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94" w:lineRule="exact"/>
        <w:rPr>
          <w:sz w:val="20"/>
          <w:szCs w:val="20"/>
          <w:color w:val="auto"/>
        </w:rPr>
      </w:pPr>
    </w:p>
    <w:p>
      <w:pPr>
        <w:ind w:left="328"/>
        <w:spacing w:after="0"/>
        <w:rPr>
          <w:sz w:val="20"/>
          <w:szCs w:val="20"/>
          <w:color w:val="auto"/>
        </w:rPr>
      </w:pPr>
      <w:r>
        <w:rPr>
          <w:rFonts w:ascii="Arial" w:cs="Arial" w:eastAsia="Arial" w:hAnsi="Arial"/>
          <w:sz w:val="16"/>
          <w:szCs w:val="16"/>
          <w:color w:val="auto"/>
        </w:rPr>
        <w:t>Total Shareholder Return (“TSR”) shall be computed according to the following formula:</w:t>
      </w:r>
    </w:p>
    <w:p>
      <w:pPr>
        <w:spacing w:after="0" w:line="167"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 xml:space="preserve">TSR = </w:t>
      </w:r>
      <w:r>
        <w:rPr>
          <w:rFonts w:ascii="Arial" w:cs="Arial" w:eastAsia="Arial" w:hAnsi="Arial"/>
          <w:sz w:val="16"/>
          <w:szCs w:val="16"/>
          <w:u w:val="single" w:color="auto"/>
          <w:color w:val="auto"/>
        </w:rPr>
        <w:t>(Ending Stock Price – Beginning Stock Price + Cumulative Cash Dividend Payments)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(Beginning Stock Price)</w:t>
      </w:r>
    </w:p>
    <w:p>
      <w:pPr>
        <w:spacing w:after="0" w:line="234" w:lineRule="exact"/>
        <w:rPr>
          <w:sz w:val="20"/>
          <w:szCs w:val="20"/>
          <w:color w:val="auto"/>
        </w:rPr>
      </w:pPr>
    </w:p>
    <w:p>
      <w:pPr>
        <w:ind w:left="328" w:right="20"/>
        <w:spacing w:after="0" w:line="293" w:lineRule="auto"/>
        <w:rPr>
          <w:sz w:val="20"/>
          <w:szCs w:val="20"/>
          <w:color w:val="auto"/>
        </w:rPr>
      </w:pPr>
      <w:r>
        <w:rPr>
          <w:rFonts w:ascii="Arial" w:cs="Arial" w:eastAsia="Arial" w:hAnsi="Arial"/>
          <w:sz w:val="16"/>
          <w:szCs w:val="16"/>
          <w:color w:val="auto"/>
        </w:rPr>
        <w:t>“Beginning Stock Price” shall mean the average of the closing prices of the applicable stock for the 90 calendar days starting and including the first day of the Performance Period.</w:t>
      </w:r>
    </w:p>
    <w:p>
      <w:pPr>
        <w:spacing w:after="0" w:line="131" w:lineRule="exact"/>
        <w:rPr>
          <w:sz w:val="20"/>
          <w:szCs w:val="20"/>
          <w:color w:val="auto"/>
        </w:rPr>
      </w:pPr>
    </w:p>
    <w:p>
      <w:pPr>
        <w:ind w:left="328" w:right="20"/>
        <w:spacing w:after="0" w:line="293" w:lineRule="auto"/>
        <w:rPr>
          <w:sz w:val="20"/>
          <w:szCs w:val="20"/>
          <w:color w:val="auto"/>
        </w:rPr>
      </w:pPr>
      <w:r>
        <w:rPr>
          <w:rFonts w:ascii="Arial" w:cs="Arial" w:eastAsia="Arial" w:hAnsi="Arial"/>
          <w:sz w:val="16"/>
          <w:szCs w:val="16"/>
          <w:color w:val="auto"/>
        </w:rPr>
        <w:t>“Ending Stock Price” shall mean the average of the closing price of the applicable stock for the 90 calendar days up to and including the last day of the Performance Period.</w:t>
      </w:r>
    </w:p>
    <w:p>
      <w:pPr>
        <w:spacing w:after="0" w:line="145" w:lineRule="exact"/>
        <w:rPr>
          <w:sz w:val="20"/>
          <w:szCs w:val="20"/>
          <w:color w:val="auto"/>
        </w:rPr>
      </w:pPr>
    </w:p>
    <w:p>
      <w:pPr>
        <w:ind w:left="328"/>
        <w:spacing w:after="0"/>
        <w:rPr>
          <w:sz w:val="20"/>
          <w:szCs w:val="20"/>
          <w:color w:val="auto"/>
        </w:rPr>
      </w:pPr>
      <w:r>
        <w:rPr>
          <w:rFonts w:ascii="Arial" w:cs="Arial" w:eastAsia="Arial" w:hAnsi="Arial"/>
          <w:sz w:val="15"/>
          <w:szCs w:val="15"/>
          <w:color w:val="auto"/>
        </w:rPr>
        <w:t>“Cumulative Cash Dividend Payments” shall mean the sum of all cash dividends declared during the Performance Period, based on their ex-dividend date.</w:t>
      </w:r>
    </w:p>
    <w:p>
      <w:pPr>
        <w:spacing w:after="0" w:line="206" w:lineRule="exact"/>
        <w:rPr>
          <w:sz w:val="20"/>
          <w:szCs w:val="20"/>
          <w:color w:val="auto"/>
        </w:rPr>
      </w:pPr>
    </w:p>
    <w:p>
      <w:pPr>
        <w:ind w:left="328" w:right="20"/>
        <w:spacing w:after="0" w:line="275" w:lineRule="auto"/>
        <w:rPr>
          <w:sz w:val="20"/>
          <w:szCs w:val="20"/>
          <w:color w:val="auto"/>
        </w:rPr>
      </w:pPr>
      <w:r>
        <w:rPr>
          <w:rFonts w:ascii="Arial" w:cs="Arial" w:eastAsia="Arial" w:hAnsi="Arial"/>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0588"/>
          </w:cols>
          <w:pgMar w:left="652" w:top="1030" w:right="659" w:bottom="1440" w:gutter="0" w:footer="0" w:header="0"/>
        </w:sectPr>
      </w:pPr>
    </w:p>
    <w:bookmarkStart w:id="123" w:name="page124"/>
    <w:bookmarkEnd w:id="123"/>
    <w:p>
      <w:pPr>
        <w:ind w:left="4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Three examples are set forth below:</w:t>
      </w:r>
    </w:p>
    <w:p>
      <w:pPr>
        <w:spacing w:after="0" w:line="184" w:lineRule="exact"/>
        <w:rPr>
          <w:sz w:val="20"/>
          <w:szCs w:val="20"/>
          <w:color w:val="auto"/>
        </w:rPr>
      </w:pPr>
    </w:p>
    <w:tbl>
      <w:tblPr>
        <w:tblLayout w:type="fixed"/>
        <w:tblInd w:w="310" w:type="dxa"/>
        <w:tblCellMar>
          <w:top w:w="0" w:type="dxa"/>
          <w:left w:w="0" w:type="dxa"/>
          <w:bottom w:w="0" w:type="dxa"/>
          <w:right w:w="0" w:type="dxa"/>
        </w:tblCellMar>
      </w:tblPr>
      <w:tr>
        <w:trPr>
          <w:trHeight w:val="220"/>
        </w:trPr>
        <w:tc>
          <w:tcPr>
            <w:tcW w:w="980" w:type="dxa"/>
            <w:vAlign w:val="bottom"/>
            <w:tcBorders>
              <w:top w:val="single" w:sz="8" w:color="auto"/>
              <w:left w:val="single" w:sz="8" w:color="auto"/>
              <w:right w:val="single" w:sz="8" w:color="auto"/>
            </w:tcBorders>
            <w:shd w:val="clear" w:color="auto" w:fill="C6D9F0"/>
          </w:tcPr>
          <w:p>
            <w:pPr>
              <w:ind w:left="260"/>
              <w:spacing w:after="0"/>
              <w:rPr>
                <w:sz w:val="20"/>
                <w:szCs w:val="20"/>
                <w:color w:val="auto"/>
              </w:rPr>
            </w:pPr>
            <w:r>
              <w:rPr>
                <w:rFonts w:ascii="Arial" w:cs="Arial" w:eastAsia="Arial" w:hAnsi="Arial"/>
                <w:sz w:val="16"/>
                <w:szCs w:val="16"/>
                <w:color w:val="auto"/>
              </w:rPr>
              <w:t>Payout</w:t>
            </w:r>
          </w:p>
        </w:tc>
        <w:tc>
          <w:tcPr>
            <w:tcW w:w="2480" w:type="dxa"/>
            <w:vAlign w:val="bottom"/>
            <w:tcBorders>
              <w:top w:val="single" w:sz="8" w:color="auto"/>
              <w:right w:val="single" w:sz="8" w:color="auto"/>
            </w:tcBorders>
            <w:shd w:val="clear" w:color="auto" w:fill="C6D9F0"/>
          </w:tcPr>
          <w:p>
            <w:pPr>
              <w:spacing w:after="0"/>
              <w:rPr>
                <w:sz w:val="19"/>
                <w:szCs w:val="19"/>
                <w:color w:val="auto"/>
              </w:rPr>
            </w:pPr>
          </w:p>
        </w:tc>
        <w:tc>
          <w:tcPr>
            <w:tcW w:w="6100" w:type="dxa"/>
            <w:vAlign w:val="bottom"/>
            <w:tcBorders>
              <w:top w:val="single" w:sz="8" w:color="auto"/>
              <w:right w:val="single" w:sz="8" w:color="auto"/>
            </w:tcBorders>
            <w:shd w:val="clear" w:color="auto" w:fill="C6D9F0"/>
          </w:tcPr>
          <w:p>
            <w:pPr>
              <w:spacing w:after="0"/>
              <w:rPr>
                <w:sz w:val="19"/>
                <w:szCs w:val="19"/>
                <w:color w:val="auto"/>
              </w:rPr>
            </w:pPr>
          </w:p>
        </w:tc>
      </w:tr>
      <w:tr>
        <w:trPr>
          <w:trHeight w:val="219"/>
        </w:trPr>
        <w:tc>
          <w:tcPr>
            <w:tcW w:w="980" w:type="dxa"/>
            <w:vAlign w:val="bottom"/>
            <w:tcBorders>
              <w:left w:val="single" w:sz="8" w:color="auto"/>
              <w:bottom w:val="single" w:sz="8" w:color="auto"/>
              <w:right w:val="single" w:sz="8" w:color="auto"/>
            </w:tcBorders>
            <w:shd w:val="clear" w:color="auto" w:fill="C6D9F0"/>
          </w:tcPr>
          <w:p>
            <w:pPr>
              <w:ind w:left="240"/>
              <w:spacing w:after="0"/>
              <w:rPr>
                <w:sz w:val="20"/>
                <w:szCs w:val="20"/>
                <w:color w:val="auto"/>
              </w:rPr>
            </w:pPr>
            <w:r>
              <w:rPr>
                <w:rFonts w:ascii="Arial" w:cs="Arial" w:eastAsia="Arial" w:hAnsi="Arial"/>
                <w:sz w:val="16"/>
                <w:szCs w:val="16"/>
                <w:color w:val="auto"/>
              </w:rPr>
              <w:t>Percent</w:t>
            </w:r>
          </w:p>
        </w:tc>
        <w:tc>
          <w:tcPr>
            <w:tcW w:w="248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color w:val="auto"/>
                <w:w w:val="91"/>
              </w:rPr>
              <w:t>Number of Potential Shares Attained</w:t>
            </w:r>
          </w:p>
        </w:tc>
        <w:tc>
          <w:tcPr>
            <w:tcW w:w="6100" w:type="dxa"/>
            <w:vAlign w:val="bottom"/>
            <w:tcBorders>
              <w:bottom w:val="single" w:sz="8" w:color="auto"/>
              <w:right w:val="single" w:sz="8" w:color="auto"/>
            </w:tcBorders>
            <w:shd w:val="clear" w:color="auto" w:fill="C6D9F0"/>
          </w:tcPr>
          <w:p>
            <w:pPr>
              <w:ind w:left="2240"/>
              <w:spacing w:after="0"/>
              <w:rPr>
                <w:sz w:val="20"/>
                <w:szCs w:val="20"/>
                <w:color w:val="auto"/>
              </w:rPr>
            </w:pPr>
            <w:r>
              <w:rPr>
                <w:rFonts w:ascii="Arial" w:cs="Arial" w:eastAsia="Arial" w:hAnsi="Arial"/>
                <w:sz w:val="16"/>
                <w:szCs w:val="16"/>
                <w:color w:val="auto"/>
              </w:rPr>
              <w:t>Performance Parameters</w:t>
            </w:r>
          </w:p>
        </w:tc>
      </w:tr>
      <w:tr>
        <w:trPr>
          <w:trHeight w:val="236"/>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0</w:t>
            </w:r>
          </w:p>
        </w:tc>
        <w:tc>
          <w:tcPr>
            <w:tcW w:w="6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TSR minus Peer Group Median TSR is less than or equal to -66.67</w:t>
            </w:r>
          </w:p>
        </w:tc>
      </w:tr>
      <w:tr>
        <w:trPr>
          <w:trHeight w:val="237"/>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Number of Awards Granted</w:t>
            </w:r>
          </w:p>
        </w:tc>
        <w:tc>
          <w:tcPr>
            <w:tcW w:w="6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TSR minus Peer Group Median TSR equals 0</w:t>
            </w:r>
          </w:p>
        </w:tc>
      </w:tr>
      <w:tr>
        <w:trPr>
          <w:trHeight w:val="237"/>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200%</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Grant Custom 2</w:t>
            </w:r>
          </w:p>
        </w:tc>
        <w:tc>
          <w:tcPr>
            <w:tcW w:w="6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Company TSR minus Peer Group Median TSR is greater than or equal to +66.67</w:t>
            </w:r>
          </w:p>
        </w:tc>
      </w:tr>
    </w:tbl>
    <w:p>
      <w:pPr>
        <w:spacing w:after="0" w:line="34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Performance Parameters shall be subject to the adjustments approved by the Compensation Committee of the Board and set forth in writing at the time the Performance Parameters are approved.</w:t>
      </w:r>
    </w:p>
    <w:p>
      <w:pPr>
        <w:spacing w:after="0" w:line="34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0580"/>
          </w:cols>
          <w:pgMar w:left="980" w:top="1030" w:right="339" w:bottom="1440" w:gutter="0" w:footer="0" w:header="0"/>
        </w:sectPr>
      </w:pPr>
    </w:p>
    <w:bookmarkStart w:id="124" w:name="page125"/>
    <w:bookmarkEnd w:id="124"/>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358" w:lineRule="exact"/>
        <w:rPr>
          <w:sz w:val="20"/>
          <w:szCs w:val="20"/>
          <w:color w:val="auto"/>
        </w:rPr>
      </w:pPr>
    </w:p>
    <w:p>
      <w:pPr>
        <w:jc w:val="both"/>
        <w:ind w:left="8" w:right="320"/>
        <w:spacing w:after="0" w:line="286" w:lineRule="auto"/>
        <w:rPr>
          <w:sz w:val="20"/>
          <w:szCs w:val="20"/>
          <w:color w:val="auto"/>
        </w:rPr>
      </w:pPr>
      <w:r>
        <w:rPr>
          <w:rFonts w:ascii="Arial" w:cs="Arial" w:eastAsia="Arial" w:hAnsi="Arial"/>
          <w:sz w:val="15"/>
          <w:szCs w:val="15"/>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07" w:lineRule="exact"/>
        <w:rPr>
          <w:sz w:val="20"/>
          <w:szCs w:val="20"/>
          <w:color w:val="auto"/>
        </w:rPr>
      </w:pPr>
    </w:p>
    <w:p>
      <w:pPr>
        <w:jc w:val="both"/>
        <w:ind w:left="8" w:right="320"/>
        <w:spacing w:after="0" w:line="253" w:lineRule="auto"/>
        <w:rPr>
          <w:sz w:val="20"/>
          <w:szCs w:val="20"/>
          <w:color w:val="auto"/>
        </w:rPr>
      </w:pPr>
      <w:r>
        <w:rPr>
          <w:rFonts w:ascii="Arial" w:cs="Arial" w:eastAsia="Arial" w:hAnsi="Arial"/>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2020.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8" w:lineRule="exact"/>
        <w:rPr>
          <w:sz w:val="20"/>
          <w:szCs w:val="20"/>
          <w:color w:val="auto"/>
        </w:rPr>
      </w:pPr>
    </w:p>
    <w:p>
      <w:pPr>
        <w:jc w:val="both"/>
        <w:ind w:left="8" w:right="320"/>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23" w:lineRule="exact"/>
        <w:rPr>
          <w:sz w:val="20"/>
          <w:szCs w:val="20"/>
          <w:color w:val="auto"/>
        </w:rPr>
      </w:pPr>
    </w:p>
    <w:p>
      <w:pPr>
        <w:jc w:val="both"/>
        <w:ind w:left="8" w:right="320"/>
        <w:spacing w:after="0" w:line="286"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46"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66" w:lineRule="exact"/>
        <w:rPr>
          <w:sz w:val="20"/>
          <w:szCs w:val="20"/>
          <w:color w:val="auto"/>
        </w:rPr>
      </w:pPr>
    </w:p>
    <w:p>
      <w:pPr>
        <w:jc w:val="both"/>
        <w:ind w:left="8"/>
        <w:spacing w:after="0" w:line="286" w:lineRule="auto"/>
        <w:rPr>
          <w:sz w:val="20"/>
          <w:szCs w:val="20"/>
          <w:color w:val="auto"/>
        </w:rPr>
      </w:pPr>
      <w:r>
        <w:rPr>
          <w:rFonts w:ascii="Arial" w:cs="Arial" w:eastAsia="Arial" w:hAnsi="Arial"/>
          <w:sz w:val="15"/>
          <w:szCs w:val="15"/>
          <w:b w:val="1"/>
          <w:bCs w:val="1"/>
          <w:i w:val="1"/>
          <w:iCs w:val="1"/>
          <w:u w:val="single" w:color="auto"/>
          <w:color w:val="auto"/>
        </w:rPr>
        <w:t>Data Privacy Information and Consent</w:t>
      </w:r>
      <w:r>
        <w:rPr>
          <w:rFonts w:ascii="Arial" w:cs="Arial" w:eastAsia="Arial" w:hAnsi="Arial"/>
          <w:sz w:val="15"/>
          <w:szCs w:val="15"/>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2" w:lineRule="exact"/>
        <w:rPr>
          <w:sz w:val="20"/>
          <w:szCs w:val="20"/>
          <w:color w:val="auto"/>
        </w:rPr>
      </w:pPr>
    </w:p>
    <w:p>
      <w:pPr>
        <w:jc w:val="both"/>
        <w:ind w:left="328" w:hanging="328"/>
        <w:spacing w:after="0" w:line="272" w:lineRule="auto"/>
        <w:tabs>
          <w:tab w:leader="none" w:pos="373"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Collection and Usage</w:t>
      </w:r>
      <w:r>
        <w:rPr>
          <w:rFonts w:ascii="Arial" w:cs="Arial" w:eastAsia="Arial" w:hAnsi="Arial"/>
          <w:sz w:val="15"/>
          <w:szCs w:val="15"/>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23" w:lineRule="exact"/>
        <w:rPr>
          <w:rFonts w:ascii="Arial" w:cs="Arial" w:eastAsia="Arial" w:hAnsi="Arial"/>
          <w:sz w:val="15"/>
          <w:szCs w:val="15"/>
          <w:color w:val="auto"/>
        </w:rPr>
      </w:pPr>
    </w:p>
    <w:p>
      <w:pPr>
        <w:jc w:val="both"/>
        <w:ind w:left="328" w:hanging="328"/>
        <w:spacing w:after="0" w:line="274" w:lineRule="auto"/>
        <w:tabs>
          <w:tab w:leader="none" w:pos="368" w:val="left"/>
        </w:tabs>
        <w:numPr>
          <w:ilvl w:val="0"/>
          <w:numId w:val="109"/>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Stock Plan Administration Service Providers</w:t>
      </w:r>
      <w:r>
        <w:rPr>
          <w:rFonts w:ascii="Arial" w:cs="Arial" w:eastAsia="Arial" w:hAnsi="Arial"/>
          <w:sz w:val="15"/>
          <w:szCs w:val="15"/>
          <w:b w:val="1"/>
          <w:bCs w:val="1"/>
          <w:i w:val="1"/>
          <w:iCs w:val="1"/>
          <w:color w:val="auto"/>
        </w:rPr>
        <w:t>. The Company transfers participant data to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22" w:lineRule="exact"/>
        <w:rPr>
          <w:rFonts w:ascii="Arial" w:cs="Arial" w:eastAsia="Arial" w:hAnsi="Arial"/>
          <w:sz w:val="15"/>
          <w:szCs w:val="15"/>
          <w:color w:val="auto"/>
        </w:rPr>
      </w:pPr>
    </w:p>
    <w:p>
      <w:pPr>
        <w:jc w:val="both"/>
        <w:ind w:left="328" w:hanging="328"/>
        <w:spacing w:after="0" w:line="291" w:lineRule="auto"/>
        <w:tabs>
          <w:tab w:leader="none" w:pos="427" w:val="left"/>
        </w:tabs>
        <w:numPr>
          <w:ilvl w:val="0"/>
          <w:numId w:val="109"/>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4"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0908"/>
          </w:cols>
          <w:pgMar w:left="652" w:top="1030" w:right="339" w:bottom="1440" w:gutter="0" w:footer="0" w:header="0"/>
        </w:sectPr>
      </w:pPr>
    </w:p>
    <w:bookmarkStart w:id="125" w:name="page126"/>
    <w:bookmarkEnd w:id="125"/>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64" w:lineRule="exact"/>
        <w:rPr>
          <w:sz w:val="20"/>
          <w:szCs w:val="20"/>
          <w:color w:val="auto"/>
        </w:rPr>
      </w:pPr>
    </w:p>
    <w:p>
      <w:pPr>
        <w:jc w:val="both"/>
        <w:ind w:left="328" w:hanging="328"/>
        <w:spacing w:after="0" w:line="298" w:lineRule="auto"/>
        <w:tabs>
          <w:tab w:leader="none" w:pos="395" w:val="left"/>
        </w:tabs>
        <w:numPr>
          <w:ilvl w:val="0"/>
          <w:numId w:val="110"/>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Retention</w:t>
      </w:r>
      <w:r>
        <w:rPr>
          <w:rFonts w:ascii="Arial" w:cs="Arial" w:eastAsia="Arial" w:hAnsi="Arial"/>
          <w:sz w:val="14"/>
          <w:szCs w:val="14"/>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employment with the Employer. When the Company no longer needs the Participant’s personal data, which will generally be seven years after the Participant is granted Performance RSUs under the Plan, the Company will remove it from it from its systems. If the Company keeps data longer, it would be to satisfy legal or regulatory obligations and the Company’s legal basis would be relevant laws or regulations.</w:t>
      </w:r>
    </w:p>
    <w:p>
      <w:pPr>
        <w:spacing w:after="0" w:line="107" w:lineRule="exact"/>
        <w:rPr>
          <w:rFonts w:ascii="Arial" w:cs="Arial" w:eastAsia="Arial" w:hAnsi="Arial"/>
          <w:sz w:val="14"/>
          <w:szCs w:val="14"/>
          <w:color w:val="auto"/>
        </w:rPr>
      </w:pPr>
    </w:p>
    <w:p>
      <w:pPr>
        <w:jc w:val="both"/>
        <w:ind w:left="328" w:hanging="328"/>
        <w:spacing w:after="0" w:line="256" w:lineRule="auto"/>
        <w:tabs>
          <w:tab w:leader="none" w:pos="346"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32" w:lineRule="exact"/>
        <w:rPr>
          <w:rFonts w:ascii="Arial" w:cs="Arial" w:eastAsia="Arial" w:hAnsi="Arial"/>
          <w:sz w:val="16"/>
          <w:szCs w:val="16"/>
          <w:color w:val="auto"/>
        </w:rPr>
      </w:pPr>
    </w:p>
    <w:p>
      <w:pPr>
        <w:jc w:val="both"/>
        <w:ind w:left="328" w:hanging="328"/>
        <w:spacing w:after="0" w:line="272" w:lineRule="auto"/>
        <w:tabs>
          <w:tab w:leader="none" w:pos="341" w:val="left"/>
        </w:tabs>
        <w:numPr>
          <w:ilvl w:val="0"/>
          <w:numId w:val="110"/>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Subject Rights</w:t>
      </w:r>
      <w:r>
        <w:rPr>
          <w:rFonts w:ascii="Arial" w:cs="Arial" w:eastAsia="Arial" w:hAnsi="Arial"/>
          <w:sz w:val="15"/>
          <w:szCs w:val="15"/>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23" w:lineRule="exact"/>
        <w:rPr>
          <w:sz w:val="20"/>
          <w:szCs w:val="20"/>
          <w:color w:val="auto"/>
        </w:rPr>
      </w:pPr>
    </w:p>
    <w:p>
      <w:pPr>
        <w:ind w:left="8" w:right="340"/>
        <w:spacing w:after="0" w:line="275" w:lineRule="auto"/>
        <w:rPr>
          <w:sz w:val="20"/>
          <w:szCs w:val="20"/>
          <w:color w:val="auto"/>
        </w:rPr>
      </w:pPr>
      <w:r>
        <w:rPr>
          <w:rFonts w:ascii="Arial" w:cs="Arial" w:eastAsia="Arial" w:hAnsi="Arial"/>
          <w:sz w:val="16"/>
          <w:szCs w:val="16"/>
          <w:b w:val="1"/>
          <w:bCs w:val="1"/>
          <w:i w:val="1"/>
          <w:iCs w:val="1"/>
          <w:color w:val="auto"/>
        </w:rPr>
        <w:t>If the Participant agrees with the data processing practices described in this notice, please declare the Participant’s consent by clicking “Accept Your Grant” on the Accepting Your Grants page on Fidelity’s participant website.</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IRELAND</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9(b) of the Agreement:</w:t>
      </w:r>
    </w:p>
    <w:p>
      <w:pPr>
        <w:spacing w:after="0" w:line="167" w:lineRule="exact"/>
        <w:rPr>
          <w:sz w:val="20"/>
          <w:szCs w:val="20"/>
          <w:color w:val="auto"/>
        </w:rPr>
      </w:pPr>
    </w:p>
    <w:p>
      <w:pPr>
        <w:ind w:left="8" w:right="320"/>
        <w:spacing w:after="0" w:line="275" w:lineRule="auto"/>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105"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0908"/>
          </w:cols>
          <w:pgMar w:left="652" w:top="1030" w:right="339" w:bottom="1440" w:gutter="0" w:footer="0" w:header="0"/>
        </w:sectPr>
      </w:pPr>
    </w:p>
    <w:bookmarkStart w:id="126" w:name="page127"/>
    <w:bookmarkEnd w:id="12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10.7</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Participant Name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Employee 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Grant ID: Client Grant ID</w:t>
      </w:r>
    </w:p>
    <w:p>
      <w:pPr>
        <w:spacing w:after="0" w:line="248" w:lineRule="exact"/>
        <w:rPr>
          <w:sz w:val="20"/>
          <w:szCs w:val="20"/>
          <w:color w:val="auto"/>
        </w:rPr>
      </w:pPr>
    </w:p>
    <w:p>
      <w:pPr>
        <w:jc w:val="both"/>
        <w:ind w:right="320"/>
        <w:spacing w:after="0" w:line="251"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38" w:lineRule="exact"/>
        <w:rPr>
          <w:sz w:val="20"/>
          <w:szCs w:val="20"/>
          <w:color w:val="auto"/>
        </w:rPr>
      </w:pPr>
    </w:p>
    <w:p>
      <w:pPr>
        <w:ind w:left="960" w:hanging="644"/>
        <w:spacing w:after="0"/>
        <w:tabs>
          <w:tab w:leader="none" w:pos="960"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67" w:lineRule="exact"/>
        <w:rPr>
          <w:sz w:val="20"/>
          <w:szCs w:val="20"/>
          <w:color w:val="auto"/>
        </w:rPr>
      </w:pPr>
    </w:p>
    <w:p>
      <w:pPr>
        <w:jc w:val="both"/>
        <w:ind w:left="320" w:right="320"/>
        <w:spacing w:after="0" w:line="275" w:lineRule="auto"/>
        <w:rPr>
          <w:sz w:val="20"/>
          <w:szCs w:val="20"/>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14"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6"/>
          <w:szCs w:val="16"/>
          <w:b w:val="1"/>
          <w:bCs w:val="1"/>
          <w:color w:val="0000CC"/>
        </w:rPr>
        <w:t>Date of Grant:</w:t>
      </w:r>
      <w:r>
        <w:rPr>
          <w:sz w:val="20"/>
          <w:szCs w:val="20"/>
          <w:color w:val="auto"/>
        </w:rPr>
        <w:tab/>
      </w:r>
      <w:r>
        <w:rPr>
          <w:rFonts w:ascii="Arial" w:cs="Arial" w:eastAsia="Arial" w:hAnsi="Arial"/>
          <w:sz w:val="15"/>
          <w:szCs w:val="15"/>
          <w:b w:val="1"/>
          <w:bCs w:val="1"/>
          <w:color w:val="0000CC"/>
        </w:rPr>
        <w:t>Grant Date</w:t>
      </w:r>
    </w:p>
    <w:p>
      <w:pPr>
        <w:spacing w:after="0" w:line="23" w:lineRule="exact"/>
        <w:rPr>
          <w:sz w:val="20"/>
          <w:szCs w:val="20"/>
          <w:color w:val="auto"/>
        </w:rPr>
      </w:pPr>
    </w:p>
    <w:p>
      <w:pPr>
        <w:ind w:left="320"/>
        <w:spacing w:after="0"/>
        <w:tabs>
          <w:tab w:leader="none" w:pos="4440" w:val="left"/>
        </w:tabs>
        <w:rPr>
          <w:sz w:val="20"/>
          <w:szCs w:val="20"/>
          <w:color w:val="auto"/>
        </w:rPr>
      </w:pPr>
      <w:r>
        <w:rPr>
          <w:rFonts w:ascii="Arial" w:cs="Arial" w:eastAsia="Arial" w:hAnsi="Arial"/>
          <w:sz w:val="16"/>
          <w:szCs w:val="16"/>
          <w:b w:val="1"/>
          <w:bCs w:val="1"/>
          <w:color w:val="0000CC"/>
        </w:rPr>
        <w:t>Number of Performance RSUs (“Initial Grant Number”):</w:t>
      </w:r>
      <w:r>
        <w:rPr>
          <w:sz w:val="20"/>
          <w:szCs w:val="20"/>
          <w:color w:val="auto"/>
        </w:rPr>
        <w:tab/>
      </w:r>
      <w:r>
        <w:rPr>
          <w:rFonts w:ascii="Arial" w:cs="Arial" w:eastAsia="Arial" w:hAnsi="Arial"/>
          <w:sz w:val="14"/>
          <w:szCs w:val="14"/>
          <w:b w:val="1"/>
          <w:bCs w:val="1"/>
          <w:color w:val="0000CC"/>
        </w:rPr>
        <w:t>Number of Awards Granted</w:t>
      </w:r>
    </w:p>
    <w:p>
      <w:pPr>
        <w:spacing w:after="0" w:line="5"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6"/>
          <w:szCs w:val="16"/>
          <w:b w:val="1"/>
          <w:bCs w:val="1"/>
          <w:color w:val="0000CC"/>
        </w:rPr>
        <w:t>Vesting Date:</w:t>
      </w:r>
      <w:r>
        <w:rPr>
          <w:sz w:val="20"/>
          <w:szCs w:val="20"/>
          <w:color w:val="auto"/>
        </w:rPr>
        <w:tab/>
      </w:r>
      <w:r>
        <w:rPr>
          <w:rFonts w:ascii="Arial" w:cs="Arial" w:eastAsia="Arial" w:hAnsi="Arial"/>
          <w:sz w:val="14"/>
          <w:szCs w:val="14"/>
          <w:b w:val="1"/>
          <w:bCs w:val="1"/>
          <w:color w:val="0000CC"/>
        </w:rPr>
        <w:t>Cliff Vesting Date</w:t>
      </w:r>
    </w:p>
    <w:p>
      <w:pPr>
        <w:spacing w:after="0" w:line="207" w:lineRule="exact"/>
        <w:rPr>
          <w:sz w:val="20"/>
          <w:szCs w:val="20"/>
          <w:color w:val="auto"/>
        </w:rPr>
      </w:pPr>
    </w:p>
    <w:p>
      <w:pPr>
        <w:jc w:val="both"/>
        <w:ind w:left="320" w:right="320"/>
        <w:spacing w:after="0" w:line="253" w:lineRule="auto"/>
        <w:rPr>
          <w:sz w:val="20"/>
          <w:szCs w:val="20"/>
          <w:color w:val="auto"/>
        </w:rPr>
      </w:pPr>
      <w:r>
        <w:rPr>
          <w:rFonts w:ascii="Arial" w:cs="Arial" w:eastAsia="Arial" w:hAnsi="Arial"/>
          <w:sz w:val="16"/>
          <w:szCs w:val="16"/>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Arial" w:cs="Arial" w:eastAsia="Arial" w:hAnsi="Arial"/>
          <w:sz w:val="16"/>
          <w:szCs w:val="16"/>
          <w:b w:val="1"/>
          <w:bCs w:val="1"/>
          <w:i w:val="1"/>
          <w:iCs w:val="1"/>
          <w:color w:val="auto"/>
        </w:rPr>
        <w:t>must accept</w:t>
      </w:r>
      <w:r>
        <w:rPr>
          <w:rFonts w:ascii="Arial" w:cs="Arial" w:eastAsia="Arial" w:hAnsi="Arial"/>
          <w:sz w:val="16"/>
          <w:szCs w:val="16"/>
          <w:color w:val="auto"/>
        </w:rPr>
        <w:t xml:space="preserve"> this Agreement no later than Grant Custom 4 or </w:t>
      </w:r>
      <w:r>
        <w:rPr>
          <w:rFonts w:ascii="Arial" w:cs="Arial" w:eastAsia="Arial" w:hAnsi="Arial"/>
          <w:sz w:val="16"/>
          <w:szCs w:val="16"/>
          <w:b w:val="1"/>
          <w:bCs w:val="1"/>
          <w:i w:val="1"/>
          <w:iCs w:val="1"/>
          <w:color w:val="auto"/>
        </w:rPr>
        <w:t>this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Award shall terminate and will become null and void</w:t>
      </w:r>
      <w:r>
        <w:rPr>
          <w:rFonts w:ascii="Arial" w:cs="Arial" w:eastAsia="Arial" w:hAnsi="Arial"/>
          <w:sz w:val="16"/>
          <w:szCs w:val="16"/>
          <w:color w:val="auto"/>
        </w:rPr>
        <w:t>. For purposes of this Agreement, the Participant is deemed to reside in the country where his or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Employer is located. In addition, if the Participant resides in Israel, written consent may be required by Grant Custom 3, the Participant should refer to Appendix B for details.</w:t>
      </w:r>
    </w:p>
    <w:p>
      <w:pPr>
        <w:spacing w:after="0" w:line="191" w:lineRule="exact"/>
        <w:rPr>
          <w:sz w:val="20"/>
          <w:szCs w:val="20"/>
          <w:color w:val="auto"/>
        </w:rPr>
      </w:pPr>
    </w:p>
    <w:p>
      <w:pPr>
        <w:jc w:val="both"/>
        <w:ind w:left="320" w:right="320"/>
        <w:spacing w:after="0" w:line="256" w:lineRule="auto"/>
        <w:rPr>
          <w:sz w:val="20"/>
          <w:szCs w:val="20"/>
          <w:color w:val="auto"/>
        </w:rPr>
      </w:pPr>
      <w:r>
        <w:rPr>
          <w:rFonts w:ascii="Arial" w:cs="Arial" w:eastAsia="Arial" w:hAnsi="Arial"/>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87" w:lineRule="exact"/>
        <w:rPr>
          <w:sz w:val="20"/>
          <w:szCs w:val="20"/>
          <w:color w:val="auto"/>
        </w:rPr>
      </w:pPr>
    </w:p>
    <w:p>
      <w:pPr>
        <w:jc w:val="both"/>
        <w:ind w:left="320" w:right="320"/>
        <w:spacing w:after="0" w:line="256" w:lineRule="auto"/>
        <w:rPr>
          <w:sz w:val="20"/>
          <w:szCs w:val="20"/>
          <w:color w:val="auto"/>
        </w:rPr>
      </w:pPr>
      <w:r>
        <w:rPr>
          <w:rFonts w:ascii="Arial" w:cs="Arial" w:eastAsia="Arial" w:hAnsi="Arial"/>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33" w:lineRule="exact"/>
        <w:rPr>
          <w:sz w:val="20"/>
          <w:szCs w:val="20"/>
          <w:color w:val="auto"/>
        </w:rPr>
      </w:pPr>
    </w:p>
    <w:p>
      <w:pPr>
        <w:ind w:left="640" w:hanging="324"/>
        <w:spacing w:after="0"/>
        <w:tabs>
          <w:tab w:leader="none" w:pos="640" w:val="left"/>
        </w:tabs>
        <w:numPr>
          <w:ilvl w:val="0"/>
          <w:numId w:val="11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67" w:lineRule="exact"/>
        <w:rPr>
          <w:sz w:val="20"/>
          <w:szCs w:val="20"/>
          <w:color w:val="auto"/>
        </w:rPr>
      </w:pPr>
    </w:p>
    <w:p>
      <w:pPr>
        <w:jc w:val="both"/>
        <w:ind w:left="640" w:right="320" w:hanging="324"/>
        <w:spacing w:after="0" w:line="288" w:lineRule="auto"/>
        <w:tabs>
          <w:tab w:leader="none" w:pos="669"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Arial" w:cs="Arial" w:eastAsia="Arial" w:hAnsi="Arial"/>
          <w:sz w:val="14"/>
          <w:szCs w:val="14"/>
          <w:color w:val="auto"/>
        </w:rPr>
      </w:pPr>
    </w:p>
    <w:p>
      <w:pPr>
        <w:jc w:val="both"/>
        <w:ind w:left="640" w:right="320" w:hanging="324"/>
        <w:spacing w:after="0" w:line="256" w:lineRule="auto"/>
        <w:tabs>
          <w:tab w:leader="none" w:pos="71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200" w:lineRule="exact"/>
        <w:rPr>
          <w:sz w:val="20"/>
          <w:szCs w:val="20"/>
          <w:color w:val="auto"/>
        </w:rPr>
      </w:pPr>
    </w:p>
    <w:p>
      <w:pPr>
        <w:spacing w:after="0" w:line="23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00"/>
          </w:cols>
          <w:pgMar w:left="660" w:top="1440" w:right="339" w:bottom="1440" w:gutter="0" w:footer="0" w:header="0"/>
        </w:sectPr>
      </w:pPr>
    </w:p>
    <w:bookmarkStart w:id="127" w:name="page128"/>
    <w:bookmarkEnd w:id="127"/>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jc w:val="both"/>
        <w:ind w:left="648" w:hanging="324"/>
        <w:spacing w:after="0" w:line="269" w:lineRule="auto"/>
        <w:tabs>
          <w:tab w:leader="none" w:pos="702" w:val="left"/>
        </w:tabs>
        <w:numPr>
          <w:ilvl w:val="1"/>
          <w:numId w:val="114"/>
        </w:numPr>
        <w:rPr>
          <w:rFonts w:ascii="Arial" w:cs="Arial" w:eastAsia="Arial" w:hAnsi="Arial"/>
          <w:sz w:val="15"/>
          <w:szCs w:val="15"/>
          <w:color w:val="auto"/>
        </w:rPr>
      </w:pPr>
      <w:r>
        <w:rPr>
          <w:rFonts w:ascii="Arial" w:cs="Arial" w:eastAsia="Arial" w:hAnsi="Arial"/>
          <w:sz w:val="15"/>
          <w:szCs w:val="15"/>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 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27" w:lineRule="exact"/>
        <w:rPr>
          <w:rFonts w:ascii="Arial" w:cs="Arial" w:eastAsia="Arial" w:hAnsi="Arial"/>
          <w:sz w:val="15"/>
          <w:szCs w:val="15"/>
          <w:color w:val="auto"/>
        </w:rPr>
      </w:pPr>
    </w:p>
    <w:p>
      <w:pPr>
        <w:jc w:val="both"/>
        <w:ind w:left="648" w:hanging="324"/>
        <w:spacing w:after="0" w:line="287" w:lineRule="auto"/>
        <w:tabs>
          <w:tab w:leader="none" w:pos="686" w:val="left"/>
        </w:tabs>
        <w:numPr>
          <w:ilvl w:val="1"/>
          <w:numId w:val="114"/>
        </w:numPr>
        <w:rPr>
          <w:rFonts w:ascii="Arial" w:cs="Arial" w:eastAsia="Arial" w:hAnsi="Arial"/>
          <w:sz w:val="14"/>
          <w:szCs w:val="14"/>
          <w:color w:val="auto"/>
        </w:rPr>
      </w:pPr>
      <w:r>
        <w:rPr>
          <w:rFonts w:ascii="Arial" w:cs="Arial" w:eastAsia="Arial" w:hAnsi="Arial"/>
          <w:sz w:val="14"/>
          <w:szCs w:val="14"/>
          <w:color w:val="auto"/>
        </w:rPr>
        <w:t xml:space="preserve">In the event the Participant becomes </w:t>
      </w:r>
      <w:r>
        <w:rPr>
          <w:rFonts w:ascii="Arial" w:cs="Arial" w:eastAsia="Arial" w:hAnsi="Arial"/>
          <w:sz w:val="14"/>
          <w:szCs w:val="14"/>
          <w:u w:val="single" w:color="auto"/>
          <w:color w:val="auto"/>
        </w:rPr>
        <w:t>Disabled</w:t>
      </w:r>
      <w:r>
        <w:rPr>
          <w:rFonts w:ascii="Arial" w:cs="Arial" w:eastAsia="Arial" w:hAnsi="Arial"/>
          <w:sz w:val="14"/>
          <w:szCs w:val="14"/>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19" w:lineRule="exact"/>
        <w:rPr>
          <w:rFonts w:ascii="Arial" w:cs="Arial" w:eastAsia="Arial" w:hAnsi="Arial"/>
          <w:sz w:val="14"/>
          <w:szCs w:val="14"/>
          <w:color w:val="auto"/>
        </w:rPr>
      </w:pPr>
    </w:p>
    <w:p>
      <w:pPr>
        <w:jc w:val="both"/>
        <w:ind w:left="648" w:hanging="324"/>
        <w:spacing w:after="0" w:line="274" w:lineRule="auto"/>
        <w:tabs>
          <w:tab w:leader="none" w:pos="711" w:val="left"/>
        </w:tabs>
        <w:numPr>
          <w:ilvl w:val="1"/>
          <w:numId w:val="114"/>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2" w:lineRule="exact"/>
        <w:rPr>
          <w:rFonts w:ascii="Arial" w:cs="Arial" w:eastAsia="Arial" w:hAnsi="Arial"/>
          <w:sz w:val="15"/>
          <w:szCs w:val="15"/>
          <w:color w:val="auto"/>
        </w:rPr>
      </w:pPr>
    </w:p>
    <w:p>
      <w:pPr>
        <w:ind w:left="288" w:hanging="288"/>
        <w:spacing w:after="0"/>
        <w:tabs>
          <w:tab w:leader="none" w:pos="288"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8" w:hanging="344"/>
        <w:spacing w:after="0"/>
        <w:tabs>
          <w:tab w:leader="none" w:pos="668" w:val="left"/>
        </w:tabs>
        <w:numPr>
          <w:ilvl w:val="1"/>
          <w:numId w:val="115"/>
        </w:numPr>
        <w:rPr>
          <w:rFonts w:ascii="Arial" w:cs="Arial" w:eastAsia="Arial" w:hAnsi="Arial"/>
          <w:sz w:val="15"/>
          <w:szCs w:val="15"/>
          <w:color w:val="auto"/>
        </w:rPr>
      </w:pPr>
      <w:r>
        <w:rPr>
          <w:rFonts w:ascii="Arial" w:cs="Arial" w:eastAsia="Arial" w:hAnsi="Arial"/>
          <w:sz w:val="15"/>
          <w:szCs w:val="15"/>
          <w:color w:val="auto"/>
        </w:rPr>
        <w:t>The Participant shall not sell, assign, transfer, pledge or otherwise encumber any Performance RSUs, either voluntarily or by operation of law.</w:t>
      </w:r>
    </w:p>
    <w:p>
      <w:pPr>
        <w:spacing w:after="0" w:line="178" w:lineRule="exact"/>
        <w:rPr>
          <w:rFonts w:ascii="Arial" w:cs="Arial" w:eastAsia="Arial" w:hAnsi="Arial"/>
          <w:sz w:val="15"/>
          <w:szCs w:val="15"/>
          <w:color w:val="auto"/>
        </w:rPr>
      </w:pPr>
    </w:p>
    <w:p>
      <w:pPr>
        <w:jc w:val="both"/>
        <w:ind w:left="648" w:hanging="324"/>
        <w:spacing w:after="0" w:line="261" w:lineRule="auto"/>
        <w:tabs>
          <w:tab w:leader="none" w:pos="72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28" w:lineRule="exact"/>
        <w:rPr>
          <w:rFonts w:ascii="Arial" w:cs="Arial" w:eastAsia="Arial" w:hAnsi="Arial"/>
          <w:sz w:val="16"/>
          <w:szCs w:val="16"/>
          <w:color w:val="auto"/>
        </w:rPr>
      </w:pPr>
    </w:p>
    <w:p>
      <w:pPr>
        <w:jc w:val="both"/>
        <w:ind w:left="328" w:hanging="328"/>
        <w:spacing w:after="0" w:line="253" w:lineRule="auto"/>
        <w:tabs>
          <w:tab w:leader="none" w:pos="30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37" w:lineRule="exact"/>
        <w:rPr>
          <w:rFonts w:ascii="Arial" w:cs="Arial" w:eastAsia="Arial" w:hAnsi="Arial"/>
          <w:sz w:val="16"/>
          <w:szCs w:val="16"/>
          <w:color w:val="auto"/>
        </w:rPr>
      </w:pPr>
    </w:p>
    <w:p>
      <w:pPr>
        <w:jc w:val="both"/>
        <w:ind w:left="328" w:hanging="328"/>
        <w:spacing w:after="0" w:line="304" w:lineRule="auto"/>
        <w:tabs>
          <w:tab w:leader="none" w:pos="314" w:val="left"/>
        </w:tabs>
        <w:numPr>
          <w:ilvl w:val="0"/>
          <w:numId w:val="115"/>
        </w:numPr>
        <w:rPr>
          <w:rFonts w:ascii="Arial" w:cs="Arial" w:eastAsia="Arial" w:hAnsi="Arial"/>
          <w:sz w:val="14"/>
          <w:szCs w:val="14"/>
          <w:color w:val="auto"/>
        </w:rPr>
      </w:pPr>
      <w:r>
        <w:rPr>
          <w:rFonts w:ascii="Arial" w:cs="Arial" w:eastAsia="Arial" w:hAnsi="Arial"/>
          <w:sz w:val="14"/>
          <w:szCs w:val="14"/>
          <w:u w:val="single" w:color="auto"/>
          <w:color w:val="auto"/>
        </w:rPr>
        <w:t>Provisions of the Plan</w:t>
      </w:r>
      <w:r>
        <w:rPr>
          <w:rFonts w:ascii="Arial" w:cs="Arial" w:eastAsia="Arial" w:hAnsi="Arial"/>
          <w:sz w:val="14"/>
          <w:szCs w:val="14"/>
          <w:color w:val="auto"/>
        </w:rPr>
        <w:t>. The Performance RSUs and Shares, including the grant and issuance thereof, are subject to the provisions of the Plan. A copy of the Plan prospectus is available on the Company’s Intranet at https://thecircuit.web.analog.com/Pages/CircuitHome.aspx.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(Stock_Plan_Admin@Analog.com).</w:t>
      </w:r>
    </w:p>
    <w:p>
      <w:pPr>
        <w:spacing w:after="0" w:line="102" w:lineRule="exact"/>
        <w:rPr>
          <w:rFonts w:ascii="Arial" w:cs="Arial" w:eastAsia="Arial" w:hAnsi="Arial"/>
          <w:sz w:val="14"/>
          <w:szCs w:val="14"/>
          <w:color w:val="auto"/>
        </w:rPr>
      </w:pPr>
    </w:p>
    <w:p>
      <w:pPr>
        <w:ind w:left="288" w:hanging="288"/>
        <w:spacing w:after="0"/>
        <w:tabs>
          <w:tab w:leader="none" w:pos="288"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72" w:lineRule="auto"/>
        <w:tabs>
          <w:tab w:leader="none" w:pos="704" w:val="left"/>
        </w:tabs>
        <w:numPr>
          <w:ilvl w:val="1"/>
          <w:numId w:val="115"/>
        </w:numPr>
        <w:rPr>
          <w:rFonts w:ascii="Arial" w:cs="Arial" w:eastAsia="Arial" w:hAnsi="Arial"/>
          <w:sz w:val="15"/>
          <w:szCs w:val="15"/>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w:t>
      </w:r>
    </w:p>
    <w:p>
      <w:pPr>
        <w:spacing w:after="0" w:line="200" w:lineRule="exact"/>
        <w:rPr>
          <w:sz w:val="20"/>
          <w:szCs w:val="20"/>
          <w:color w:val="auto"/>
        </w:rPr>
      </w:pPr>
    </w:p>
    <w:p>
      <w:pPr>
        <w:spacing w:after="0" w:line="220"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88"/>
          </w:cols>
          <w:pgMar w:left="652" w:top="1440" w:right="659" w:bottom="1440" w:gutter="0" w:footer="0" w:header="0"/>
        </w:sectPr>
      </w:pPr>
    </w:p>
    <w:bookmarkStart w:id="128" w:name="page129"/>
    <w:bookmarkEnd w:id="128"/>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jc w:val="both"/>
        <w:ind w:left="648"/>
        <w:spacing w:after="0" w:line="253" w:lineRule="auto"/>
        <w:rPr>
          <w:sz w:val="20"/>
          <w:szCs w:val="20"/>
          <w:color w:val="auto"/>
        </w:rPr>
      </w:pPr>
      <w:r>
        <w:rPr>
          <w:rFonts w:ascii="Arial" w:cs="Arial" w:eastAsia="Arial" w:hAnsi="Arial"/>
          <w:sz w:val="16"/>
          <w:szCs w:val="16"/>
          <w:color w:val="auto"/>
        </w:rPr>
        <w:t>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37" w:lineRule="exact"/>
        <w:rPr>
          <w:sz w:val="20"/>
          <w:szCs w:val="20"/>
          <w:color w:val="auto"/>
        </w:rPr>
      </w:pPr>
    </w:p>
    <w:p>
      <w:pPr>
        <w:jc w:val="both"/>
        <w:ind w:left="648" w:hanging="324"/>
        <w:spacing w:after="0" w:line="286" w:lineRule="auto"/>
        <w:tabs>
          <w:tab w:leader="none" w:pos="776" w:val="left"/>
        </w:tabs>
        <w:numPr>
          <w:ilvl w:val="0"/>
          <w:numId w:val="116"/>
        </w:numPr>
        <w:rPr>
          <w:rFonts w:ascii="Arial" w:cs="Arial" w:eastAsia="Arial" w:hAnsi="Arial"/>
          <w:sz w:val="15"/>
          <w:szCs w:val="15"/>
          <w:color w:val="auto"/>
        </w:rPr>
      </w:pPr>
      <w:r>
        <w:rPr>
          <w:rFonts w:ascii="Arial" w:cs="Arial" w:eastAsia="Arial" w:hAnsi="Arial"/>
          <w:sz w:val="15"/>
          <w:szCs w:val="15"/>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2" w:lineRule="exact"/>
        <w:rPr>
          <w:rFonts w:ascii="Arial" w:cs="Arial" w:eastAsia="Arial" w:hAnsi="Arial"/>
          <w:sz w:val="15"/>
          <w:szCs w:val="15"/>
          <w:color w:val="auto"/>
        </w:rPr>
      </w:pPr>
    </w:p>
    <w:p>
      <w:pPr>
        <w:jc w:val="both"/>
        <w:ind w:left="968" w:hanging="320"/>
        <w:spacing w:after="0" w:line="278" w:lineRule="auto"/>
        <w:tabs>
          <w:tab w:leader="none" w:pos="1050" w:val="left"/>
        </w:tabs>
        <w:numPr>
          <w:ilvl w:val="1"/>
          <w:numId w:val="116"/>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8" w:lineRule="exact"/>
        <w:rPr>
          <w:rFonts w:ascii="Arial" w:cs="Arial" w:eastAsia="Arial" w:hAnsi="Arial"/>
          <w:sz w:val="15"/>
          <w:szCs w:val="15"/>
          <w:color w:val="auto"/>
        </w:rPr>
      </w:pPr>
    </w:p>
    <w:p>
      <w:pPr>
        <w:ind w:left="968" w:hanging="320"/>
        <w:spacing w:after="0" w:line="275" w:lineRule="auto"/>
        <w:tabs>
          <w:tab w:leader="none" w:pos="104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8" w:lineRule="exact"/>
        <w:rPr>
          <w:rFonts w:ascii="Arial" w:cs="Arial" w:eastAsia="Arial" w:hAnsi="Arial"/>
          <w:sz w:val="16"/>
          <w:szCs w:val="16"/>
          <w:color w:val="auto"/>
        </w:rPr>
      </w:pPr>
    </w:p>
    <w:p>
      <w:pPr>
        <w:ind w:left="968" w:hanging="320"/>
        <w:spacing w:after="0" w:line="275" w:lineRule="auto"/>
        <w:tabs>
          <w:tab w:leader="none" w:pos="1119"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8" w:lineRule="exact"/>
        <w:rPr>
          <w:sz w:val="20"/>
          <w:szCs w:val="20"/>
          <w:color w:val="auto"/>
        </w:rPr>
      </w:pPr>
    </w:p>
    <w:p>
      <w:pPr>
        <w:jc w:val="both"/>
        <w:ind w:left="968"/>
        <w:spacing w:after="0" w:line="256" w:lineRule="auto"/>
        <w:rPr>
          <w:sz w:val="20"/>
          <w:szCs w:val="20"/>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33" w:lineRule="exact"/>
        <w:rPr>
          <w:sz w:val="20"/>
          <w:szCs w:val="20"/>
          <w:color w:val="auto"/>
        </w:rPr>
      </w:pPr>
    </w:p>
    <w:p>
      <w:pPr>
        <w:jc w:val="both"/>
        <w:ind w:left="968"/>
        <w:spacing w:after="0" w:line="252" w:lineRule="auto"/>
        <w:rPr>
          <w:sz w:val="20"/>
          <w:szCs w:val="20"/>
          <w:color w:val="auto"/>
        </w:rPr>
      </w:pPr>
      <w:r>
        <w:rPr>
          <w:rFonts w:ascii="Arial" w:cs="Arial" w:eastAsia="Arial" w:hAnsi="Arial"/>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37" w:lineRule="exact"/>
        <w:rPr>
          <w:sz w:val="20"/>
          <w:szCs w:val="20"/>
          <w:color w:val="auto"/>
        </w:rPr>
      </w:pPr>
    </w:p>
    <w:p>
      <w:pPr>
        <w:jc w:val="both"/>
        <w:ind w:left="968"/>
        <w:spacing w:after="0" w:line="293" w:lineRule="auto"/>
        <w:rPr>
          <w:sz w:val="20"/>
          <w:szCs w:val="20"/>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09" w:lineRule="exact"/>
        <w:rPr>
          <w:sz w:val="20"/>
          <w:szCs w:val="20"/>
          <w:color w:val="auto"/>
        </w:rPr>
      </w:pPr>
    </w:p>
    <w:p>
      <w:pPr>
        <w:jc w:val="both"/>
        <w:ind w:left="328" w:right="20" w:hanging="328"/>
        <w:spacing w:after="0" w:line="272" w:lineRule="auto"/>
        <w:tabs>
          <w:tab w:leader="none" w:pos="341" w:val="left"/>
        </w:tabs>
        <w:numPr>
          <w:ilvl w:val="0"/>
          <w:numId w:val="117"/>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23" w:lineRule="exact"/>
        <w:rPr>
          <w:rFonts w:ascii="Arial" w:cs="Arial" w:eastAsia="Arial" w:hAnsi="Arial"/>
          <w:sz w:val="15"/>
          <w:szCs w:val="15"/>
          <w:color w:val="auto"/>
        </w:rPr>
      </w:pPr>
    </w:p>
    <w:p>
      <w:pPr>
        <w:jc w:val="both"/>
        <w:ind w:left="328" w:hanging="328"/>
        <w:spacing w:after="0" w:line="251" w:lineRule="auto"/>
        <w:tabs>
          <w:tab w:leader="none" w:pos="35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Repatriation and Other Legal Requirements</w:t>
      </w:r>
      <w:r>
        <w:rPr>
          <w:rFonts w:ascii="Arial" w:cs="Arial" w:eastAsia="Arial" w:hAnsi="Arial"/>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200" w:lineRule="exact"/>
        <w:rPr>
          <w:sz w:val="20"/>
          <w:szCs w:val="20"/>
          <w:color w:val="auto"/>
        </w:rPr>
      </w:pP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88"/>
          </w:cols>
          <w:pgMar w:left="652" w:top="1440" w:right="659" w:bottom="1440" w:gutter="0" w:footer="0" w:header="0"/>
        </w:sectPr>
      </w:pPr>
    </w:p>
    <w:bookmarkStart w:id="129" w:name="page130"/>
    <w:bookmarkEnd w:id="129"/>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ind w:left="288" w:hanging="288"/>
        <w:spacing w:after="0"/>
        <w:tabs>
          <w:tab w:leader="none" w:pos="288"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right="20" w:hanging="324"/>
        <w:spacing w:after="0" w:line="298" w:lineRule="auto"/>
        <w:tabs>
          <w:tab w:leader="none" w:pos="666" w:val="left"/>
        </w:tabs>
        <w:numPr>
          <w:ilvl w:val="1"/>
          <w:numId w:val="118"/>
        </w:numPr>
        <w:rPr>
          <w:rFonts w:ascii="Arial" w:cs="Arial" w:eastAsia="Arial" w:hAnsi="Arial"/>
          <w:sz w:val="14"/>
          <w:szCs w:val="14"/>
          <w:color w:val="auto"/>
        </w:rPr>
      </w:pPr>
      <w:r>
        <w:rPr>
          <w:rFonts w:ascii="Arial" w:cs="Arial" w:eastAsia="Arial" w:hAnsi="Arial"/>
          <w:sz w:val="14"/>
          <w:szCs w:val="14"/>
          <w:u w:val="single" w:color="auto"/>
          <w:color w:val="auto"/>
        </w:rPr>
        <w:t>No Rights to Employment</w:t>
      </w:r>
      <w:r>
        <w:rPr>
          <w:rFonts w:ascii="Arial" w:cs="Arial" w:eastAsia="Arial" w:hAnsi="Arial"/>
          <w:sz w:val="14"/>
          <w:szCs w:val="14"/>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07" w:lineRule="exact"/>
        <w:rPr>
          <w:rFonts w:ascii="Arial" w:cs="Arial" w:eastAsia="Arial" w:hAnsi="Arial"/>
          <w:sz w:val="14"/>
          <w:szCs w:val="14"/>
          <w:color w:val="auto"/>
        </w:rPr>
      </w:pPr>
    </w:p>
    <w:p>
      <w:pPr>
        <w:jc w:val="both"/>
        <w:ind w:left="648" w:hanging="324"/>
        <w:spacing w:after="0" w:line="290" w:lineRule="auto"/>
        <w:tabs>
          <w:tab w:leader="none" w:pos="675" w:val="left"/>
        </w:tabs>
        <w:numPr>
          <w:ilvl w:val="1"/>
          <w:numId w:val="118"/>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2" w:lineRule="exact"/>
        <w:rPr>
          <w:rFonts w:ascii="Arial" w:cs="Arial" w:eastAsia="Arial" w:hAnsi="Arial"/>
          <w:sz w:val="14"/>
          <w:szCs w:val="14"/>
          <w:color w:val="auto"/>
        </w:rPr>
      </w:pPr>
    </w:p>
    <w:p>
      <w:pPr>
        <w:jc w:val="both"/>
        <w:ind w:left="648" w:hanging="324"/>
        <w:spacing w:after="0" w:line="274" w:lineRule="auto"/>
        <w:tabs>
          <w:tab w:leader="none" w:pos="733" w:val="left"/>
        </w:tabs>
        <w:numPr>
          <w:ilvl w:val="1"/>
          <w:numId w:val="118"/>
        </w:numPr>
        <w:rPr>
          <w:rFonts w:ascii="Arial" w:cs="Arial" w:eastAsia="Arial" w:hAnsi="Arial"/>
          <w:sz w:val="15"/>
          <w:szCs w:val="15"/>
          <w:color w:val="auto"/>
        </w:rPr>
      </w:pPr>
      <w:r>
        <w:rPr>
          <w:rFonts w:ascii="Arial" w:cs="Arial" w:eastAsia="Arial" w:hAnsi="Arial"/>
          <w:sz w:val="15"/>
          <w:szCs w:val="15"/>
          <w:u w:val="single" w:color="auto"/>
          <w:color w:val="auto"/>
        </w:rPr>
        <w:t>Exclusion from Termination Indemnities and Other Benefits</w:t>
      </w:r>
      <w:r>
        <w:rPr>
          <w:rFonts w:ascii="Arial" w:cs="Arial" w:eastAsia="Arial" w:hAnsi="Arial"/>
          <w:sz w:val="15"/>
          <w:szCs w:val="15"/>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22" w:lineRule="exact"/>
        <w:rPr>
          <w:rFonts w:ascii="Arial" w:cs="Arial" w:eastAsia="Arial" w:hAnsi="Arial"/>
          <w:sz w:val="15"/>
          <w:szCs w:val="15"/>
          <w:color w:val="auto"/>
        </w:rPr>
      </w:pPr>
    </w:p>
    <w:p>
      <w:pPr>
        <w:jc w:val="both"/>
        <w:ind w:left="648" w:hanging="324"/>
        <w:spacing w:after="0" w:line="251" w:lineRule="auto"/>
        <w:tabs>
          <w:tab w:leader="none" w:pos="796"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8" w:lineRule="exact"/>
        <w:rPr>
          <w:rFonts w:ascii="Arial" w:cs="Arial" w:eastAsia="Arial" w:hAnsi="Arial"/>
          <w:sz w:val="16"/>
          <w:szCs w:val="16"/>
          <w:color w:val="auto"/>
        </w:rPr>
      </w:pPr>
    </w:p>
    <w:p>
      <w:pPr>
        <w:jc w:val="both"/>
        <w:ind w:left="648" w:hanging="324"/>
        <w:spacing w:after="0" w:line="256" w:lineRule="auto"/>
        <w:tabs>
          <w:tab w:leader="none" w:pos="666"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32" w:lineRule="exact"/>
        <w:rPr>
          <w:rFonts w:ascii="Arial" w:cs="Arial" w:eastAsia="Arial" w:hAnsi="Arial"/>
          <w:sz w:val="16"/>
          <w:szCs w:val="16"/>
          <w:color w:val="auto"/>
        </w:rPr>
      </w:pPr>
    </w:p>
    <w:p>
      <w:pPr>
        <w:ind w:left="648" w:hanging="324"/>
        <w:spacing w:after="0"/>
        <w:tabs>
          <w:tab w:leader="none" w:pos="648"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67" w:lineRule="exact"/>
        <w:rPr>
          <w:rFonts w:ascii="Arial" w:cs="Arial" w:eastAsia="Arial" w:hAnsi="Arial"/>
          <w:sz w:val="16"/>
          <w:szCs w:val="16"/>
          <w:color w:val="auto"/>
        </w:rPr>
      </w:pPr>
    </w:p>
    <w:p>
      <w:pPr>
        <w:ind w:left="648" w:hanging="324"/>
        <w:spacing w:after="0" w:line="275" w:lineRule="auto"/>
        <w:tabs>
          <w:tab w:leader="none" w:pos="675"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8" w:lineRule="exact"/>
        <w:rPr>
          <w:rFonts w:ascii="Arial" w:cs="Arial" w:eastAsia="Arial" w:hAnsi="Arial"/>
          <w:sz w:val="16"/>
          <w:szCs w:val="16"/>
          <w:color w:val="auto"/>
        </w:rPr>
      </w:pPr>
    </w:p>
    <w:p>
      <w:pPr>
        <w:ind w:left="648" w:right="20" w:hanging="324"/>
        <w:spacing w:after="0" w:line="349" w:lineRule="auto"/>
        <w:tabs>
          <w:tab w:leader="none" w:pos="742" w:val="left"/>
        </w:tabs>
        <w:numPr>
          <w:ilvl w:val="1"/>
          <w:numId w:val="118"/>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1" w:lineRule="exact"/>
        <w:rPr>
          <w:rFonts w:ascii="Arial" w:cs="Arial" w:eastAsia="Arial" w:hAnsi="Arial"/>
          <w:sz w:val="14"/>
          <w:szCs w:val="14"/>
          <w:color w:val="auto"/>
        </w:rPr>
      </w:pPr>
    </w:p>
    <w:p>
      <w:pPr>
        <w:jc w:val="both"/>
        <w:ind w:left="648" w:hanging="324"/>
        <w:spacing w:after="0" w:line="253" w:lineRule="auto"/>
        <w:tabs>
          <w:tab w:leader="none" w:pos="639"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37" w:lineRule="exact"/>
        <w:rPr>
          <w:rFonts w:ascii="Arial" w:cs="Arial" w:eastAsia="Arial" w:hAnsi="Arial"/>
          <w:sz w:val="16"/>
          <w:szCs w:val="16"/>
          <w:color w:val="auto"/>
        </w:rPr>
      </w:pPr>
    </w:p>
    <w:p>
      <w:pPr>
        <w:ind w:left="648" w:right="20" w:hanging="324"/>
        <w:spacing w:after="0" w:line="275" w:lineRule="auto"/>
        <w:tabs>
          <w:tab w:leader="none" w:pos="639"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648" w:hanging="324"/>
        <w:spacing w:after="0" w:line="275" w:lineRule="auto"/>
        <w:tabs>
          <w:tab w:leader="none" w:pos="769" w:val="left"/>
        </w:tabs>
        <w:numPr>
          <w:ilvl w:val="1"/>
          <w:numId w:val="11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200" w:lineRule="exact"/>
        <w:rPr>
          <w:sz w:val="20"/>
          <w:szCs w:val="20"/>
          <w:color w:val="auto"/>
        </w:rPr>
      </w:pPr>
    </w:p>
    <w:p>
      <w:pPr>
        <w:spacing w:after="0" w:line="215"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588"/>
          </w:cols>
          <w:pgMar w:left="652" w:top="1440" w:right="659" w:bottom="1440" w:gutter="0" w:footer="0" w:header="0"/>
        </w:sectPr>
      </w:pPr>
    </w:p>
    <w:bookmarkStart w:id="130" w:name="page131"/>
    <w:bookmarkEnd w:id="130"/>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ind w:left="324" w:hanging="324"/>
        <w:spacing w:after="0" w:line="275" w:lineRule="auto"/>
        <w:tabs>
          <w:tab w:leader="none" w:pos="463"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24" w:hanging="324"/>
        <w:spacing w:after="0" w:line="267" w:lineRule="auto"/>
        <w:tabs>
          <w:tab w:leader="none" w:pos="517"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7" w:lineRule="exact"/>
        <w:rPr>
          <w:rFonts w:ascii="Arial" w:cs="Arial" w:eastAsia="Arial" w:hAnsi="Arial"/>
          <w:sz w:val="15"/>
          <w:szCs w:val="15"/>
          <w:color w:val="auto"/>
        </w:rPr>
      </w:pPr>
    </w:p>
    <w:p>
      <w:pPr>
        <w:ind w:left="324" w:right="20" w:hanging="324"/>
        <w:spacing w:after="0" w:line="275" w:lineRule="auto"/>
        <w:tabs>
          <w:tab w:leader="none" w:pos="36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8" w:lineRule="exact"/>
        <w:rPr>
          <w:rFonts w:ascii="Arial" w:cs="Arial" w:eastAsia="Arial" w:hAnsi="Arial"/>
          <w:sz w:val="16"/>
          <w:szCs w:val="16"/>
          <w:color w:val="auto"/>
        </w:rPr>
      </w:pPr>
    </w:p>
    <w:p>
      <w:pPr>
        <w:jc w:val="both"/>
        <w:ind w:left="324" w:hanging="324"/>
        <w:spacing w:after="0" w:line="286" w:lineRule="auto"/>
        <w:tabs>
          <w:tab w:leader="none" w:pos="364"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2" w:lineRule="exact"/>
        <w:rPr>
          <w:rFonts w:ascii="Arial" w:cs="Arial" w:eastAsia="Arial" w:hAnsi="Arial"/>
          <w:sz w:val="15"/>
          <w:szCs w:val="15"/>
          <w:color w:val="auto"/>
        </w:rPr>
      </w:pPr>
    </w:p>
    <w:p>
      <w:pPr>
        <w:jc w:val="both"/>
        <w:ind w:left="324" w:hanging="324"/>
        <w:spacing w:after="0" w:line="315" w:lineRule="auto"/>
        <w:tabs>
          <w:tab w:leader="none" w:pos="351" w:val="left"/>
        </w:tabs>
        <w:numPr>
          <w:ilvl w:val="0"/>
          <w:numId w:val="119"/>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5" w:lineRule="exact"/>
        <w:rPr>
          <w:rFonts w:ascii="Arial" w:cs="Arial" w:eastAsia="Arial" w:hAnsi="Arial"/>
          <w:sz w:val="14"/>
          <w:szCs w:val="14"/>
          <w:color w:val="auto"/>
        </w:rPr>
      </w:pPr>
    </w:p>
    <w:p>
      <w:pPr>
        <w:jc w:val="both"/>
        <w:ind w:left="324" w:hanging="324"/>
        <w:spacing w:after="0" w:line="256" w:lineRule="auto"/>
        <w:tabs>
          <w:tab w:leader="none" w:pos="44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9" w:lineRule="exact"/>
        <w:rPr>
          <w:rFonts w:ascii="Arial" w:cs="Arial" w:eastAsia="Arial" w:hAnsi="Arial"/>
          <w:sz w:val="16"/>
          <w:szCs w:val="16"/>
          <w:color w:val="auto"/>
        </w:rPr>
      </w:pPr>
    </w:p>
    <w:p>
      <w:pPr>
        <w:jc w:val="both"/>
        <w:ind w:left="324" w:hanging="324"/>
        <w:spacing w:after="0" w:line="274" w:lineRule="auto"/>
        <w:tabs>
          <w:tab w:leader="none" w:pos="405"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Appendix B</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22" w:lineRule="exact"/>
        <w:rPr>
          <w:rFonts w:ascii="Arial" w:cs="Arial" w:eastAsia="Arial" w:hAnsi="Arial"/>
          <w:sz w:val="15"/>
          <w:szCs w:val="15"/>
          <w:color w:val="auto"/>
        </w:rPr>
      </w:pPr>
    </w:p>
    <w:p>
      <w:pPr>
        <w:jc w:val="both"/>
        <w:ind w:left="324" w:hanging="324"/>
        <w:spacing w:after="0" w:line="256" w:lineRule="auto"/>
        <w:tabs>
          <w:tab w:leader="none" w:pos="346"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55"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64"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32" w:lineRule="exact"/>
        <w:rPr>
          <w:rFonts w:ascii="Arial" w:cs="Arial" w:eastAsia="Arial" w:hAnsi="Arial"/>
          <w:sz w:val="16"/>
          <w:szCs w:val="16"/>
          <w:color w:val="auto"/>
        </w:rPr>
      </w:pPr>
    </w:p>
    <w:p>
      <w:pPr>
        <w:jc w:val="both"/>
        <w:ind w:left="324" w:hanging="324"/>
        <w:spacing w:after="0" w:line="286" w:lineRule="auto"/>
        <w:tabs>
          <w:tab w:leader="none" w:pos="432" w:val="left"/>
        </w:tabs>
        <w:numPr>
          <w:ilvl w:val="0"/>
          <w:numId w:val="119"/>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9"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64"/>
          </w:cols>
          <w:pgMar w:left="976" w:top="1440" w:right="659" w:bottom="1440" w:gutter="0" w:footer="0" w:header="0"/>
        </w:sectPr>
      </w:pPr>
    </w:p>
    <w:bookmarkStart w:id="131" w:name="page132"/>
    <w:bookmarkEnd w:id="131"/>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jc w:val="both"/>
        <w:ind w:left="324" w:right="320" w:hanging="324"/>
        <w:spacing w:after="0" w:line="284" w:lineRule="auto"/>
        <w:tabs>
          <w:tab w:leader="none" w:pos="481"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Insider Trading Restrictions/Market Abuse Laws</w:t>
      </w:r>
      <w:r>
        <w:rPr>
          <w:rFonts w:ascii="Arial" w:cs="Arial" w:eastAsia="Arial" w:hAnsi="Arial"/>
          <w:sz w:val="14"/>
          <w:szCs w:val="14"/>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4"/>
          <w:szCs w:val="14"/>
          <w:i w:val="1"/>
          <w:iCs w:val="1"/>
          <w:color w:val="auto"/>
        </w:rPr>
        <w:t>e.g.</w:t>
      </w:r>
      <w:r>
        <w:rPr>
          <w:rFonts w:ascii="Arial" w:cs="Arial" w:eastAsia="Arial" w:hAnsi="Arial"/>
          <w:sz w:val="14"/>
          <w:szCs w:val="14"/>
          <w:color w:val="auto"/>
        </w:rPr>
        <w:t>, Performance RSUs), or rights linked to the value of Common Stock (</w:t>
      </w:r>
      <w:r>
        <w:rPr>
          <w:rFonts w:ascii="Arial" w:cs="Arial" w:eastAsia="Arial" w:hAnsi="Arial"/>
          <w:sz w:val="14"/>
          <w:szCs w:val="14"/>
          <w:i w:val="1"/>
          <w:iCs w:val="1"/>
          <w:color w:val="auto"/>
        </w:rPr>
        <w:t>e.g.</w:t>
      </w:r>
      <w:r>
        <w:rPr>
          <w:rFonts w:ascii="Arial" w:cs="Arial" w:eastAsia="Arial" w:hAnsi="Arial"/>
          <w:sz w:val="14"/>
          <w:szCs w:val="14"/>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w:t>
      </w:r>
    </w:p>
    <w:p>
      <w:pPr>
        <w:spacing w:after="0" w:line="3" w:lineRule="exact"/>
        <w:rPr>
          <w:rFonts w:ascii="Arial" w:cs="Arial" w:eastAsia="Arial" w:hAnsi="Arial"/>
          <w:sz w:val="14"/>
          <w:szCs w:val="14"/>
          <w:color w:val="auto"/>
        </w:rPr>
      </w:pPr>
    </w:p>
    <w:p>
      <w:pPr>
        <w:jc w:val="both"/>
        <w:ind w:left="324" w:right="340"/>
        <w:spacing w:after="0" w:line="250" w:lineRule="auto"/>
        <w:tabs>
          <w:tab w:leader="none" w:pos="57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7" w:lineRule="exact"/>
        <w:rPr>
          <w:rFonts w:ascii="Arial" w:cs="Arial" w:eastAsia="Arial" w:hAnsi="Arial"/>
          <w:sz w:val="16"/>
          <w:szCs w:val="16"/>
          <w:color w:val="auto"/>
        </w:rPr>
      </w:pPr>
    </w:p>
    <w:p>
      <w:pPr>
        <w:jc w:val="both"/>
        <w:ind w:left="324" w:right="320" w:hanging="324"/>
        <w:spacing w:after="0" w:line="269" w:lineRule="auto"/>
        <w:tabs>
          <w:tab w:leader="none" w:pos="405"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7" w:lineRule="exact"/>
        <w:rPr>
          <w:rFonts w:ascii="Arial" w:cs="Arial" w:eastAsia="Arial" w:hAnsi="Arial"/>
          <w:sz w:val="15"/>
          <w:szCs w:val="15"/>
          <w:color w:val="auto"/>
        </w:rPr>
      </w:pPr>
    </w:p>
    <w:p>
      <w:pPr>
        <w:ind w:left="324" w:right="340" w:hanging="324"/>
        <w:spacing w:after="0" w:line="275" w:lineRule="auto"/>
        <w:tabs>
          <w:tab w:leader="none" w:pos="35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15" w:lineRule="exact"/>
        <w:rPr>
          <w:sz w:val="20"/>
          <w:szCs w:val="20"/>
          <w:color w:val="auto"/>
        </w:rPr>
      </w:pPr>
    </w:p>
    <w:tbl>
      <w:tblPr>
        <w:tblLayout w:type="fixed"/>
        <w:tblInd w:w="864" w:type="dxa"/>
        <w:tblCellMar>
          <w:top w:w="0" w:type="dxa"/>
          <w:left w:w="0" w:type="dxa"/>
          <w:bottom w:w="0" w:type="dxa"/>
          <w:right w:w="0" w:type="dxa"/>
        </w:tblCellMar>
      </w:tblPr>
      <w:tr>
        <w:trPr>
          <w:trHeight w:val="21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780" w:type="dxa"/>
            <w:vAlign w:val="bottom"/>
          </w:tcPr>
          <w:p>
            <w:pPr>
              <w:ind w:left="1300"/>
              <w:spacing w:after="0"/>
              <w:rPr>
                <w:sz w:val="20"/>
                <w:szCs w:val="20"/>
                <w:color w:val="auto"/>
              </w:rPr>
            </w:pPr>
            <w:r>
              <w:rPr>
                <w:rFonts w:ascii="Arial" w:cs="Arial" w:eastAsia="Arial" w:hAnsi="Arial"/>
                <w:sz w:val="16"/>
                <w:szCs w:val="16"/>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23"/>
        </w:trPr>
        <w:tc>
          <w:tcPr>
            <w:tcW w:w="480" w:type="dxa"/>
            <w:vAlign w:val="bottom"/>
          </w:tcPr>
          <w:p>
            <w:pPr>
              <w:spacing w:after="0"/>
              <w:rPr>
                <w:sz w:val="19"/>
                <w:szCs w:val="19"/>
                <w:color w:val="auto"/>
              </w:rPr>
            </w:pPr>
          </w:p>
        </w:tc>
        <w:tc>
          <w:tcPr>
            <w:tcW w:w="372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78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24"/>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584"/>
          </w:cols>
          <w:pgMar w:left="976" w:top="1440" w:right="339" w:bottom="1440" w:gutter="0" w:footer="0" w:header="0"/>
        </w:sectPr>
      </w:pPr>
    </w:p>
    <w:bookmarkStart w:id="132" w:name="page133"/>
    <w:bookmarkEnd w:id="132"/>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A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88" w:lineRule="exact"/>
        <w:rPr>
          <w:sz w:val="20"/>
          <w:szCs w:val="20"/>
          <w:color w:val="auto"/>
        </w:rPr>
      </w:pPr>
    </w:p>
    <w:p>
      <w:pPr>
        <w:jc w:val="both"/>
        <w:ind w:left="328" w:hanging="328"/>
        <w:spacing w:after="0" w:line="270" w:lineRule="auto"/>
        <w:tabs>
          <w:tab w:leader="none" w:pos="301"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Performance Period</w:t>
      </w:r>
      <w:r>
        <w:rPr>
          <w:rFonts w:ascii="Arial" w:cs="Arial" w:eastAsia="Arial" w:hAnsi="Arial"/>
          <w:sz w:val="15"/>
          <w:szCs w:val="15"/>
          <w:color w:val="auto"/>
        </w:rPr>
        <w:t>. The three-year period beginning on the first day of the first quarter of the Company’s fiscal year 2020 and ending on the last day of the fourth quarter of the Company’s fiscal year 2022 (the “Performance Period”). The Performance Period shall consist of the following three performance measurement periods: (i) the one-year period commencing on the first day of the first quarter and ending on the last day of the fourth quarter of the Company’s fiscal year 2020 (“FY 2020 Period”); (ii) the two-year period beginning on the first day of the first quarter of the Company’s fiscal year 2020 and ending on the last day of the fourth quarter of the Company’s fiscal year 2021 (“Cumulative FY20/21 Period”) and (iii) and the three-year period beginning on the first day of the first quarter of the Company’s fiscal year 2020 and ending on the last day of the fourth quarter of the Company’s fiscal year 2022 (“Cumulative FY20/22 Period,” and collectively, the “Performance Measurement Periods”);</w:t>
      </w:r>
    </w:p>
    <w:p>
      <w:pPr>
        <w:spacing w:after="0" w:line="126" w:lineRule="exact"/>
        <w:rPr>
          <w:rFonts w:ascii="Arial" w:cs="Arial" w:eastAsia="Arial" w:hAnsi="Arial"/>
          <w:sz w:val="15"/>
          <w:szCs w:val="15"/>
          <w:color w:val="auto"/>
        </w:rPr>
      </w:pPr>
    </w:p>
    <w:p>
      <w:pPr>
        <w:ind w:left="288" w:hanging="288"/>
        <w:spacing w:after="0"/>
        <w:tabs>
          <w:tab w:leader="none" w:pos="28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67" w:lineRule="exact"/>
        <w:rPr>
          <w:rFonts w:ascii="Arial" w:cs="Arial" w:eastAsia="Arial" w:hAnsi="Arial"/>
          <w:sz w:val="16"/>
          <w:szCs w:val="16"/>
          <w:color w:val="auto"/>
        </w:rPr>
      </w:pPr>
    </w:p>
    <w:p>
      <w:pPr>
        <w:jc w:val="both"/>
        <w:ind w:left="328" w:right="20" w:hanging="328"/>
        <w:spacing w:after="0" w:line="261" w:lineRule="auto"/>
        <w:tabs>
          <w:tab w:leader="none" w:pos="287"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29" w:lineRule="exact"/>
        <w:rPr>
          <w:sz w:val="20"/>
          <w:szCs w:val="20"/>
          <w:color w:val="auto"/>
        </w:rPr>
      </w:pPr>
    </w:p>
    <w:p>
      <w:pPr>
        <w:jc w:val="both"/>
        <w:ind w:left="328"/>
        <w:spacing w:after="0" w:line="256" w:lineRule="auto"/>
        <w:rPr>
          <w:sz w:val="20"/>
          <w:szCs w:val="20"/>
          <w:color w:val="auto"/>
        </w:rPr>
      </w:pPr>
      <w:r>
        <w:rPr>
          <w:rFonts w:ascii="Arial" w:cs="Arial" w:eastAsia="Arial" w:hAnsi="Arial"/>
          <w:sz w:val="16"/>
          <w:szCs w:val="16"/>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 Goals and the attainment of the Minimum Profit Margin described in Section 4 below, provided the Participant continues to provide services to the Company or the Employer, or their respective successors, through the Vesting Date.</w:t>
      </w:r>
    </w:p>
    <w:p>
      <w:pPr>
        <w:spacing w:after="0" w:line="133" w:lineRule="exact"/>
        <w:rPr>
          <w:sz w:val="20"/>
          <w:szCs w:val="20"/>
          <w:color w:val="auto"/>
        </w:rPr>
      </w:pPr>
    </w:p>
    <w:p>
      <w:pPr>
        <w:jc w:val="both"/>
        <w:ind w:left="328" w:hanging="328"/>
        <w:spacing w:after="0" w:line="251" w:lineRule="auto"/>
        <w:tabs>
          <w:tab w:leader="none" w:pos="34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attainment of the Operating Profit Goals established for each of the Performance Measurement Periods and the Minimum Profit Margin for each of the Performance Measurement Periods. The attainment level, ranging from 0% to 200%, of the Operating Profit Goal applicable to each Performance Measurement Period shall be measured separately on each corresponding Determination Date and weighted equally. For the avoidance of doubt, a 0% attainment level shall be applied to a Performance Measurement Period if the Minimum Profit Margin with respect to the corresponding Performance Measurement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38" w:lineRule="exact"/>
        <w:rPr>
          <w:rFonts w:ascii="Arial" w:cs="Arial" w:eastAsia="Arial" w:hAnsi="Arial"/>
          <w:sz w:val="16"/>
          <w:szCs w:val="16"/>
          <w:color w:val="auto"/>
        </w:rPr>
      </w:pPr>
    </w:p>
    <w:p>
      <w:pPr>
        <w:ind w:left="968" w:hanging="320"/>
        <w:spacing w:after="0" w:line="275" w:lineRule="auto"/>
        <w:tabs>
          <w:tab w:leader="none" w:pos="107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“Operating Profit Goal” shall mean the goal related to Non-GAAP Operating Profit Before Taxes for each of the Performance Measurement Periods approved by the Compensation Committee of the Board in connection with the grant of the Award.</w:t>
      </w:r>
    </w:p>
    <w:p>
      <w:pPr>
        <w:spacing w:after="0" w:line="118" w:lineRule="exact"/>
        <w:rPr>
          <w:rFonts w:ascii="Arial" w:cs="Arial" w:eastAsia="Arial" w:hAnsi="Arial"/>
          <w:sz w:val="16"/>
          <w:szCs w:val="16"/>
          <w:color w:val="auto"/>
        </w:rPr>
      </w:pPr>
    </w:p>
    <w:p>
      <w:pPr>
        <w:jc w:val="both"/>
        <w:ind w:left="968" w:hanging="320"/>
        <w:spacing w:after="0" w:line="278" w:lineRule="auto"/>
        <w:tabs>
          <w:tab w:leader="none" w:pos="1029" w:val="left"/>
        </w:tabs>
        <w:numPr>
          <w:ilvl w:val="1"/>
          <w:numId w:val="122"/>
        </w:numPr>
        <w:rPr>
          <w:rFonts w:ascii="Arial" w:cs="Arial" w:eastAsia="Arial" w:hAnsi="Arial"/>
          <w:sz w:val="15"/>
          <w:szCs w:val="15"/>
          <w:color w:val="auto"/>
        </w:rPr>
      </w:pPr>
      <w:r>
        <w:rPr>
          <w:rFonts w:ascii="Arial" w:cs="Arial" w:eastAsia="Arial" w:hAnsi="Arial"/>
          <w:sz w:val="15"/>
          <w:szCs w:val="15"/>
          <w:color w:val="auto"/>
        </w:rPr>
        <w:t>“Minimum Profit Margin” means the minimum Profit Margin, as approved by the Compensation Committee of the Board in connection with the grant of the Award, that shall apply to each fiscal year and that must be attained with respect to a fiscal year as a condition to recognizing and applying the attainment level of the Operating Profit Goal for the corresponding Performance Measurement Period. “Profit Margin” means the quotient obtained by dividing Non-GAAP Operating Profit Before Taxes by Revenue for each of the Performance Measurement Periods.</w:t>
      </w:r>
    </w:p>
    <w:p>
      <w:pPr>
        <w:spacing w:after="0" w:line="118" w:lineRule="exact"/>
        <w:rPr>
          <w:rFonts w:ascii="Arial" w:cs="Arial" w:eastAsia="Arial" w:hAnsi="Arial"/>
          <w:sz w:val="15"/>
          <w:szCs w:val="15"/>
          <w:color w:val="auto"/>
        </w:rPr>
      </w:pPr>
    </w:p>
    <w:p>
      <w:pPr>
        <w:jc w:val="both"/>
        <w:ind w:left="968" w:hanging="320"/>
        <w:spacing w:after="0" w:line="256" w:lineRule="auto"/>
        <w:tabs>
          <w:tab w:leader="none" w:pos="101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32" w:lineRule="exact"/>
        <w:rPr>
          <w:rFonts w:ascii="Arial" w:cs="Arial" w:eastAsia="Arial" w:hAnsi="Arial"/>
          <w:sz w:val="16"/>
          <w:szCs w:val="16"/>
          <w:color w:val="auto"/>
        </w:rPr>
      </w:pPr>
    </w:p>
    <w:p>
      <w:pPr>
        <w:ind w:left="968" w:right="20" w:hanging="320"/>
        <w:spacing w:after="0" w:line="275" w:lineRule="auto"/>
        <w:tabs>
          <w:tab w:leader="none" w:pos="104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8" w:lineRule="exact"/>
        <w:rPr>
          <w:rFonts w:ascii="Arial" w:cs="Arial" w:eastAsia="Arial" w:hAnsi="Arial"/>
          <w:sz w:val="16"/>
          <w:szCs w:val="16"/>
          <w:color w:val="auto"/>
        </w:rPr>
      </w:pPr>
    </w:p>
    <w:p>
      <w:pPr>
        <w:jc w:val="both"/>
        <w:ind w:left="968" w:right="20" w:hanging="320"/>
        <w:spacing w:after="0" w:line="261" w:lineRule="auto"/>
        <w:tabs>
          <w:tab w:leader="none" w:pos="105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28" w:lineRule="exact"/>
        <w:rPr>
          <w:rFonts w:ascii="Arial" w:cs="Arial" w:eastAsia="Arial" w:hAnsi="Arial"/>
          <w:sz w:val="16"/>
          <w:szCs w:val="16"/>
          <w:color w:val="auto"/>
        </w:rPr>
      </w:pPr>
    </w:p>
    <w:p>
      <w:pPr>
        <w:ind w:left="1468" w:hanging="496"/>
        <w:spacing w:after="0" w:line="261" w:lineRule="auto"/>
        <w:tabs>
          <w:tab w:leader="none" w:pos="1348" w:val="left"/>
        </w:tabs>
        <w:numPr>
          <w:ilvl w:val="2"/>
          <w:numId w:val="122"/>
        </w:numPr>
        <w:rPr>
          <w:rFonts w:ascii="Arial" w:cs="Arial" w:eastAsia="Arial" w:hAnsi="Arial"/>
          <w:sz w:val="16"/>
          <w:szCs w:val="16"/>
          <w:color w:val="auto"/>
        </w:rPr>
      </w:pPr>
      <w:r>
        <w:rPr>
          <w:rFonts w:ascii="Arial" w:cs="Arial" w:eastAsia="Arial" w:hAnsi="Arial"/>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28" w:lineRule="exact"/>
        <w:rPr>
          <w:rFonts w:ascii="Arial" w:cs="Arial" w:eastAsia="Arial" w:hAnsi="Arial"/>
          <w:sz w:val="16"/>
          <w:szCs w:val="16"/>
          <w:color w:val="auto"/>
        </w:rPr>
      </w:pPr>
    </w:p>
    <w:p>
      <w:pPr>
        <w:ind w:left="1328" w:hanging="356"/>
        <w:spacing w:after="0"/>
        <w:tabs>
          <w:tab w:leader="none" w:pos="1328" w:val="left"/>
        </w:tabs>
        <w:numPr>
          <w:ilvl w:val="2"/>
          <w:numId w:val="122"/>
        </w:numPr>
        <w:rPr>
          <w:rFonts w:ascii="Arial" w:cs="Arial" w:eastAsia="Arial" w:hAnsi="Arial"/>
          <w:sz w:val="16"/>
          <w:szCs w:val="16"/>
          <w:color w:val="auto"/>
        </w:rPr>
      </w:pPr>
      <w:r>
        <w:rPr>
          <w:rFonts w:ascii="Arial" w:cs="Arial" w:eastAsia="Arial" w:hAnsi="Arial"/>
          <w:sz w:val="16"/>
          <w:szCs w:val="16"/>
          <w:color w:val="auto"/>
        </w:rPr>
        <w:t>items relating to unusual or extraordinary corporate transactions, events or developments, or</w:t>
      </w:r>
    </w:p>
    <w:p>
      <w:pPr>
        <w:spacing w:after="0" w:line="167" w:lineRule="exact"/>
        <w:rPr>
          <w:rFonts w:ascii="Arial" w:cs="Arial" w:eastAsia="Arial" w:hAnsi="Arial"/>
          <w:sz w:val="16"/>
          <w:szCs w:val="16"/>
          <w:color w:val="auto"/>
        </w:rPr>
      </w:pPr>
    </w:p>
    <w:p>
      <w:pPr>
        <w:ind w:left="1368" w:hanging="396"/>
        <w:spacing w:after="0"/>
        <w:tabs>
          <w:tab w:leader="none" w:pos="1368" w:val="left"/>
        </w:tabs>
        <w:numPr>
          <w:ilvl w:val="2"/>
          <w:numId w:val="122"/>
        </w:numPr>
        <w:rPr>
          <w:rFonts w:ascii="Arial" w:cs="Arial" w:eastAsia="Arial" w:hAnsi="Arial"/>
          <w:sz w:val="16"/>
          <w:szCs w:val="16"/>
          <w:color w:val="auto"/>
        </w:rPr>
      </w:pPr>
      <w:r>
        <w:rPr>
          <w:rFonts w:ascii="Arial" w:cs="Arial" w:eastAsia="Arial" w:hAnsi="Arial"/>
          <w:sz w:val="16"/>
          <w:szCs w:val="16"/>
          <w:color w:val="auto"/>
        </w:rPr>
        <w:t>items relating to gains or losses for material litigation, arbitration and contractual settlements.</w:t>
      </w:r>
    </w:p>
    <w:p>
      <w:pPr>
        <w:spacing w:after="0" w:line="200" w:lineRule="exact"/>
        <w:rPr>
          <w:sz w:val="20"/>
          <w:szCs w:val="20"/>
          <w:color w:val="auto"/>
        </w:rPr>
      </w:pP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0588"/>
          </w:cols>
          <w:pgMar w:left="652" w:top="1044" w:right="65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Examples illustrating the application of the Performance Parameters are set forth below, providing that the Minimum Profit Margin is met in each fiscal year:</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980" w:type="dxa"/>
            <w:vAlign w:val="bottom"/>
            <w:tcBorders>
              <w:top w:val="single" w:sz="8" w:color="auto"/>
              <w:left w:val="single" w:sz="8" w:color="auto"/>
              <w:right w:val="single" w:sz="8" w:color="auto"/>
            </w:tcBorders>
            <w:shd w:val="clear" w:color="auto" w:fill="C6D9F0"/>
          </w:tcPr>
          <w:p>
            <w:pPr>
              <w:ind w:left="260"/>
              <w:spacing w:after="0"/>
              <w:rPr>
                <w:sz w:val="20"/>
                <w:szCs w:val="20"/>
                <w:color w:val="auto"/>
              </w:rPr>
            </w:pPr>
            <w:r>
              <w:rPr>
                <w:rFonts w:ascii="Arial" w:cs="Arial" w:eastAsia="Arial" w:hAnsi="Arial"/>
                <w:sz w:val="16"/>
                <w:szCs w:val="16"/>
                <w:color w:val="auto"/>
              </w:rPr>
              <w:t>Payout</w:t>
            </w:r>
          </w:p>
        </w:tc>
        <w:tc>
          <w:tcPr>
            <w:tcW w:w="2500" w:type="dxa"/>
            <w:vAlign w:val="bottom"/>
            <w:tcBorders>
              <w:top w:val="single" w:sz="8" w:color="auto"/>
              <w:right w:val="single" w:sz="8" w:color="auto"/>
            </w:tcBorders>
            <w:shd w:val="clear" w:color="auto" w:fill="C6D9F0"/>
          </w:tcPr>
          <w:p>
            <w:pPr>
              <w:spacing w:after="0"/>
              <w:rPr>
                <w:sz w:val="19"/>
                <w:szCs w:val="19"/>
                <w:color w:val="auto"/>
              </w:rPr>
            </w:pPr>
          </w:p>
        </w:tc>
        <w:tc>
          <w:tcPr>
            <w:tcW w:w="6100" w:type="dxa"/>
            <w:vAlign w:val="bottom"/>
            <w:tcBorders>
              <w:top w:val="single" w:sz="8" w:color="auto"/>
              <w:right w:val="single" w:sz="8" w:color="auto"/>
            </w:tcBorders>
            <w:shd w:val="clear" w:color="auto" w:fill="C6D9F0"/>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tcBorders>
              <w:left w:val="single" w:sz="8" w:color="auto"/>
              <w:bottom w:val="single" w:sz="8" w:color="auto"/>
              <w:right w:val="single" w:sz="8" w:color="auto"/>
            </w:tcBorders>
            <w:shd w:val="clear" w:color="auto" w:fill="C6D9F0"/>
          </w:tcPr>
          <w:p>
            <w:pPr>
              <w:ind w:left="240"/>
              <w:spacing w:after="0"/>
              <w:rPr>
                <w:sz w:val="20"/>
                <w:szCs w:val="20"/>
                <w:color w:val="auto"/>
              </w:rPr>
            </w:pPr>
            <w:r>
              <w:rPr>
                <w:rFonts w:ascii="Arial" w:cs="Arial" w:eastAsia="Arial" w:hAnsi="Arial"/>
                <w:sz w:val="16"/>
                <w:szCs w:val="16"/>
                <w:color w:val="auto"/>
              </w:rPr>
              <w:t>Percent</w:t>
            </w:r>
          </w:p>
        </w:tc>
        <w:tc>
          <w:tcPr>
            <w:tcW w:w="250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color w:val="auto"/>
                <w:w w:val="92"/>
              </w:rPr>
              <w:t>Number of Potential Shares Attained</w:t>
            </w:r>
          </w:p>
        </w:tc>
        <w:tc>
          <w:tcPr>
            <w:tcW w:w="6100" w:type="dxa"/>
            <w:vAlign w:val="bottom"/>
            <w:tcBorders>
              <w:bottom w:val="single" w:sz="8" w:color="auto"/>
              <w:right w:val="single" w:sz="8" w:color="auto"/>
            </w:tcBorders>
            <w:shd w:val="clear" w:color="auto" w:fill="C6D9F0"/>
          </w:tcPr>
          <w:p>
            <w:pPr>
              <w:ind w:left="2240"/>
              <w:spacing w:after="0"/>
              <w:rPr>
                <w:sz w:val="20"/>
                <w:szCs w:val="20"/>
                <w:color w:val="auto"/>
              </w:rPr>
            </w:pPr>
            <w:r>
              <w:rPr>
                <w:rFonts w:ascii="Arial" w:cs="Arial" w:eastAsia="Arial" w:hAnsi="Arial"/>
                <w:sz w:val="16"/>
                <w:szCs w:val="16"/>
                <w:color w:val="auto"/>
              </w:rPr>
              <w:t>Performance Parameters</w:t>
            </w:r>
          </w:p>
        </w:tc>
        <w:tc>
          <w:tcPr>
            <w:tcW w:w="0" w:type="dxa"/>
            <w:vAlign w:val="bottom"/>
          </w:tcPr>
          <w:p>
            <w:pPr>
              <w:spacing w:after="0"/>
              <w:rPr>
                <w:sz w:val="1"/>
                <w:szCs w:val="1"/>
                <w:color w:val="auto"/>
              </w:rPr>
            </w:pPr>
          </w:p>
        </w:tc>
      </w:tr>
      <w:tr>
        <w:trPr>
          <w:trHeight w:val="2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0</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112"/>
        </w:trPr>
        <w:tc>
          <w:tcPr>
            <w:tcW w:w="98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6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Compensation Committee of the Board</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61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100%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Number of Awards Granted</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Company Operating Profit Goal meets target approved by Compensation Committee of the</w:t>
            </w:r>
          </w:p>
        </w:tc>
        <w:tc>
          <w:tcPr>
            <w:tcW w:w="0" w:type="dxa"/>
            <w:vAlign w:val="bottom"/>
          </w:tcPr>
          <w:p>
            <w:pPr>
              <w:spacing w:after="0"/>
              <w:rPr>
                <w:sz w:val="1"/>
                <w:szCs w:val="1"/>
                <w:color w:val="auto"/>
              </w:rPr>
            </w:pPr>
          </w:p>
        </w:tc>
      </w:tr>
      <w:tr>
        <w:trPr>
          <w:trHeight w:val="112"/>
        </w:trPr>
        <w:tc>
          <w:tcPr>
            <w:tcW w:w="98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6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Board</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61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200%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Grant Custom 2</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7"/>
              </w:rPr>
              <w:t>Company Operating Profit Goal meets or exceeds the maximum target approved by the</w:t>
            </w:r>
          </w:p>
        </w:tc>
        <w:tc>
          <w:tcPr>
            <w:tcW w:w="0" w:type="dxa"/>
            <w:vAlign w:val="bottom"/>
          </w:tcPr>
          <w:p>
            <w:pPr>
              <w:spacing w:after="0"/>
              <w:rPr>
                <w:sz w:val="1"/>
                <w:szCs w:val="1"/>
                <w:color w:val="auto"/>
              </w:rPr>
            </w:pPr>
          </w:p>
        </w:tc>
      </w:tr>
      <w:tr>
        <w:trPr>
          <w:trHeight w:val="112"/>
        </w:trPr>
        <w:tc>
          <w:tcPr>
            <w:tcW w:w="98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6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Compensation Committee of the Board</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61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0860"/>
          </w:cols>
          <w:pgMar w:left="320" w:top="1440" w:right="719" w:bottom="1440" w:gutter="0" w:footer="0" w:header="0"/>
        </w:sectPr>
      </w:pPr>
    </w:p>
    <w:bookmarkStart w:id="134" w:name="page135"/>
    <w:bookmarkEnd w:id="134"/>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8" w:right="320"/>
        <w:spacing w:after="0" w:line="286" w:lineRule="auto"/>
        <w:rPr>
          <w:sz w:val="20"/>
          <w:szCs w:val="20"/>
          <w:color w:val="auto"/>
        </w:rPr>
      </w:pPr>
      <w:r>
        <w:rPr>
          <w:rFonts w:ascii="Arial" w:cs="Arial" w:eastAsia="Arial" w:hAnsi="Arial"/>
          <w:sz w:val="15"/>
          <w:szCs w:val="15"/>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07" w:lineRule="exact"/>
        <w:rPr>
          <w:sz w:val="20"/>
          <w:szCs w:val="20"/>
          <w:color w:val="auto"/>
        </w:rPr>
      </w:pPr>
    </w:p>
    <w:p>
      <w:pPr>
        <w:jc w:val="both"/>
        <w:ind w:left="8" w:right="320"/>
        <w:spacing w:after="0" w:line="253" w:lineRule="auto"/>
        <w:rPr>
          <w:sz w:val="20"/>
          <w:szCs w:val="20"/>
          <w:color w:val="auto"/>
        </w:rPr>
      </w:pPr>
      <w:r>
        <w:rPr>
          <w:rFonts w:ascii="Arial" w:cs="Arial" w:eastAsia="Arial" w:hAnsi="Arial"/>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2020.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32" w:lineRule="exact"/>
        <w:rPr>
          <w:sz w:val="20"/>
          <w:szCs w:val="20"/>
          <w:color w:val="auto"/>
        </w:rPr>
      </w:pPr>
    </w:p>
    <w:p>
      <w:pPr>
        <w:jc w:val="both"/>
        <w:ind w:left="8" w:right="320"/>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23" w:lineRule="exact"/>
        <w:rPr>
          <w:sz w:val="20"/>
          <w:szCs w:val="20"/>
          <w:color w:val="auto"/>
        </w:rPr>
      </w:pPr>
    </w:p>
    <w:p>
      <w:pPr>
        <w:jc w:val="both"/>
        <w:ind w:left="8" w:right="320"/>
        <w:spacing w:after="0" w:line="286"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66" w:lineRule="exact"/>
        <w:rPr>
          <w:sz w:val="20"/>
          <w:szCs w:val="20"/>
          <w:color w:val="auto"/>
        </w:rPr>
      </w:pPr>
    </w:p>
    <w:p>
      <w:pPr>
        <w:jc w:val="both"/>
        <w:ind w:left="8"/>
        <w:spacing w:after="0" w:line="286" w:lineRule="auto"/>
        <w:rPr>
          <w:sz w:val="20"/>
          <w:szCs w:val="20"/>
          <w:color w:val="auto"/>
        </w:rPr>
      </w:pPr>
      <w:r>
        <w:rPr>
          <w:rFonts w:ascii="Arial" w:cs="Arial" w:eastAsia="Arial" w:hAnsi="Arial"/>
          <w:sz w:val="15"/>
          <w:szCs w:val="15"/>
          <w:b w:val="1"/>
          <w:bCs w:val="1"/>
          <w:i w:val="1"/>
          <w:iCs w:val="1"/>
          <w:u w:val="single" w:color="auto"/>
          <w:color w:val="auto"/>
        </w:rPr>
        <w:t>Data Privacy Information and Consent</w:t>
      </w:r>
      <w:r>
        <w:rPr>
          <w:rFonts w:ascii="Arial" w:cs="Arial" w:eastAsia="Arial" w:hAnsi="Arial"/>
          <w:sz w:val="15"/>
          <w:szCs w:val="15"/>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2" w:lineRule="exact"/>
        <w:rPr>
          <w:sz w:val="20"/>
          <w:szCs w:val="20"/>
          <w:color w:val="auto"/>
        </w:rPr>
      </w:pPr>
    </w:p>
    <w:p>
      <w:pPr>
        <w:jc w:val="both"/>
        <w:ind w:left="328" w:hanging="328"/>
        <w:spacing w:after="0" w:line="272" w:lineRule="auto"/>
        <w:tabs>
          <w:tab w:leader="none" w:pos="373" w:val="left"/>
        </w:tabs>
        <w:numPr>
          <w:ilvl w:val="0"/>
          <w:numId w:val="123"/>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Collection and Usage</w:t>
      </w:r>
      <w:r>
        <w:rPr>
          <w:rFonts w:ascii="Arial" w:cs="Arial" w:eastAsia="Arial" w:hAnsi="Arial"/>
          <w:sz w:val="15"/>
          <w:szCs w:val="15"/>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23" w:lineRule="exact"/>
        <w:rPr>
          <w:rFonts w:ascii="Arial" w:cs="Arial" w:eastAsia="Arial" w:hAnsi="Arial"/>
          <w:sz w:val="15"/>
          <w:szCs w:val="15"/>
          <w:color w:val="auto"/>
        </w:rPr>
      </w:pPr>
    </w:p>
    <w:p>
      <w:pPr>
        <w:jc w:val="both"/>
        <w:ind w:left="328" w:hanging="328"/>
        <w:spacing w:after="0" w:line="298" w:lineRule="auto"/>
        <w:tabs>
          <w:tab w:leader="none" w:pos="382" w:val="left"/>
        </w:tabs>
        <w:numPr>
          <w:ilvl w:val="0"/>
          <w:numId w:val="123"/>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7" w:lineRule="exact"/>
        <w:rPr>
          <w:rFonts w:ascii="Arial" w:cs="Arial" w:eastAsia="Arial" w:hAnsi="Arial"/>
          <w:sz w:val="14"/>
          <w:szCs w:val="14"/>
          <w:color w:val="auto"/>
        </w:rPr>
      </w:pPr>
    </w:p>
    <w:p>
      <w:pPr>
        <w:jc w:val="both"/>
        <w:ind w:left="328" w:hanging="328"/>
        <w:spacing w:after="0" w:line="291" w:lineRule="auto"/>
        <w:tabs>
          <w:tab w:leader="none" w:pos="427" w:val="left"/>
        </w:tabs>
        <w:numPr>
          <w:ilvl w:val="0"/>
          <w:numId w:val="123"/>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2" w:lineRule="exact"/>
        <w:rPr>
          <w:rFonts w:ascii="Arial" w:cs="Arial" w:eastAsia="Arial" w:hAnsi="Arial"/>
          <w:sz w:val="14"/>
          <w:szCs w:val="14"/>
          <w:color w:val="auto"/>
        </w:rPr>
      </w:pPr>
    </w:p>
    <w:p>
      <w:pPr>
        <w:jc w:val="both"/>
        <w:ind w:left="328" w:hanging="328"/>
        <w:spacing w:after="0" w:line="256" w:lineRule="auto"/>
        <w:tabs>
          <w:tab w:leader="none" w:pos="395" w:val="left"/>
        </w:tabs>
        <w:numPr>
          <w:ilvl w:val="0"/>
          <w:numId w:val="123"/>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employment with the Employer. If the Company keeps data longer, it would be to satisfy legal or regulatory obligations and the Company’s legal basis would be relevant laws or regulations.</w:t>
      </w: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0908"/>
          </w:cols>
          <w:pgMar w:left="652" w:top="1044" w:right="339" w:bottom="1440" w:gutter="0" w:footer="0" w:header="0"/>
        </w:sectPr>
      </w:pPr>
    </w:p>
    <w:bookmarkStart w:id="135" w:name="page136"/>
    <w:bookmarkEnd w:id="135"/>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50" w:lineRule="exact"/>
        <w:rPr>
          <w:sz w:val="20"/>
          <w:szCs w:val="20"/>
          <w:color w:val="auto"/>
        </w:rPr>
      </w:pPr>
    </w:p>
    <w:p>
      <w:pPr>
        <w:jc w:val="both"/>
        <w:ind w:left="328" w:hanging="328"/>
        <w:spacing w:after="0" w:line="256" w:lineRule="auto"/>
        <w:tabs>
          <w:tab w:leader="none" w:pos="346"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32" w:lineRule="exact"/>
        <w:rPr>
          <w:rFonts w:ascii="Arial" w:cs="Arial" w:eastAsia="Arial" w:hAnsi="Arial"/>
          <w:sz w:val="16"/>
          <w:szCs w:val="16"/>
          <w:color w:val="auto"/>
        </w:rPr>
      </w:pPr>
    </w:p>
    <w:p>
      <w:pPr>
        <w:jc w:val="both"/>
        <w:ind w:left="328" w:hanging="328"/>
        <w:spacing w:after="0" w:line="252" w:lineRule="auto"/>
        <w:tabs>
          <w:tab w:leader="none" w:pos="341" w:val="left"/>
        </w:tabs>
        <w:numPr>
          <w:ilvl w:val="0"/>
          <w:numId w:val="12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37" w:lineRule="exact"/>
        <w:rPr>
          <w:sz w:val="20"/>
          <w:szCs w:val="20"/>
          <w:color w:val="auto"/>
        </w:rPr>
      </w:pPr>
    </w:p>
    <w:p>
      <w:pPr>
        <w:jc w:val="both"/>
        <w:ind w:left="8" w:right="340"/>
        <w:spacing w:after="0" w:line="261" w:lineRule="auto"/>
        <w:rPr>
          <w:sz w:val="20"/>
          <w:szCs w:val="20"/>
          <w:color w:val="auto"/>
        </w:rPr>
      </w:pPr>
      <w:r>
        <w:rPr>
          <w:rFonts w:ascii="Arial" w:cs="Arial" w:eastAsia="Arial" w:hAnsi="Arial"/>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23" w:lineRule="exact"/>
        <w:rPr>
          <w:sz w:val="20"/>
          <w:szCs w:val="20"/>
          <w:color w:val="auto"/>
        </w:rPr>
      </w:pPr>
    </w:p>
    <w:p>
      <w:pPr>
        <w:jc w:val="both"/>
        <w:ind w:left="8" w:right="340"/>
        <w:spacing w:after="0" w:line="275"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AUSTRALIA</w:t>
      </w:r>
    </w:p>
    <w:p>
      <w:pPr>
        <w:spacing w:after="0" w:line="252" w:lineRule="exact"/>
        <w:rPr>
          <w:sz w:val="20"/>
          <w:szCs w:val="20"/>
          <w:color w:val="auto"/>
        </w:rPr>
      </w:pPr>
    </w:p>
    <w:p>
      <w:pPr>
        <w:jc w:val="both"/>
        <w:ind w:left="8" w:right="320"/>
        <w:spacing w:after="0" w:line="261" w:lineRule="auto"/>
        <w:rPr>
          <w:sz w:val="20"/>
          <w:szCs w:val="20"/>
          <w:color w:val="auto"/>
        </w:rPr>
      </w:pPr>
      <w:r>
        <w:rPr>
          <w:rFonts w:ascii="Arial" w:cs="Arial" w:eastAsia="Arial" w:hAnsi="Arial"/>
          <w:sz w:val="16"/>
          <w:szCs w:val="16"/>
          <w:u w:val="single" w:color="auto"/>
          <w:color w:val="auto"/>
        </w:rPr>
        <w:t>Australian Offer Documen</w:t>
      </w:r>
      <w:r>
        <w:rPr>
          <w:rFonts w:ascii="Arial" w:cs="Arial" w:eastAsia="Arial" w:hAnsi="Arial"/>
          <w:sz w:val="16"/>
          <w:szCs w:val="16"/>
          <w:color w:val="auto"/>
        </w:rPr>
        <w:t>t. This offer of Performance RSUs is intended to comply with the provisions of the Corporations Act 2001, ASIC Regulatory Guide 49 and ASIC Class Order CO 14/1000. Additional details are set forth in the Offer Document for the offer of Performance RSUs to Australian resident employees, which is attached hereto as Appendix C.</w:t>
      </w:r>
    </w:p>
    <w:p>
      <w:pPr>
        <w:spacing w:after="0" w:line="21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AUSTRIA</w:t>
      </w:r>
    </w:p>
    <w:p>
      <w:pPr>
        <w:spacing w:after="0" w:line="266" w:lineRule="exact"/>
        <w:rPr>
          <w:sz w:val="20"/>
          <w:szCs w:val="20"/>
          <w:color w:val="auto"/>
        </w:rPr>
      </w:pPr>
    </w:p>
    <w:p>
      <w:pPr>
        <w:jc w:val="both"/>
        <w:ind w:left="8" w:right="320"/>
        <w:spacing w:after="0" w:line="256"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Arial" w:cs="Arial" w:eastAsia="Arial" w:hAnsi="Arial"/>
          <w:sz w:val="16"/>
          <w:szCs w:val="16"/>
          <w:i w:val="1"/>
          <w:iCs w:val="1"/>
          <w:color w:val="auto"/>
        </w:rPr>
        <w:t>Standmeldung/Wertpapiere</w:t>
      </w:r>
      <w:r>
        <w:rPr>
          <w:rFonts w:ascii="Arial" w:cs="Arial" w:eastAsia="Arial" w:hAnsi="Arial"/>
          <w:sz w:val="16"/>
          <w:szCs w:val="16"/>
          <w:color w:val="auto"/>
        </w:rPr>
        <w:t>.” An exemption applies if the value of the securities held outside Austria as of December 31 does not exceed certain thresholds. If applicable, the deadline for filing the annual report is January 31 of the following year.</w:t>
      </w:r>
    </w:p>
    <w:p>
      <w:pPr>
        <w:spacing w:after="0" w:line="227" w:lineRule="exact"/>
        <w:rPr>
          <w:sz w:val="20"/>
          <w:szCs w:val="20"/>
          <w:color w:val="auto"/>
        </w:rPr>
      </w:pPr>
    </w:p>
    <w:p>
      <w:pPr>
        <w:jc w:val="both"/>
        <w:ind w:left="8" w:right="320"/>
        <w:spacing w:after="0" w:line="253" w:lineRule="auto"/>
        <w:rPr>
          <w:sz w:val="20"/>
          <w:szCs w:val="20"/>
          <w:color w:val="auto"/>
        </w:rPr>
      </w:pPr>
      <w:r>
        <w:rPr>
          <w:rFonts w:ascii="Arial" w:cs="Arial" w:eastAsia="Arial" w:hAnsi="Arial"/>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Arial" w:cs="Arial" w:eastAsia="Arial" w:hAnsi="Arial"/>
          <w:sz w:val="16"/>
          <w:szCs w:val="16"/>
          <w:i w:val="1"/>
          <w:iCs w:val="1"/>
          <w:color w:val="auto"/>
        </w:rPr>
        <w:t>Meldungen SI-Forderungen</w:t>
      </w:r>
      <w:r>
        <w:rPr>
          <w:rFonts w:ascii="Arial" w:cs="Arial" w:eastAsia="Arial" w:hAnsi="Arial"/>
          <w:sz w:val="16"/>
          <w:szCs w:val="16"/>
          <w:color w:val="auto"/>
        </w:rPr>
        <w:t xml:space="preserve"> </w:t>
      </w:r>
      <w:r>
        <w:rPr>
          <w:rFonts w:ascii="Arial" w:cs="Arial" w:eastAsia="Arial" w:hAnsi="Arial"/>
          <w:sz w:val="16"/>
          <w:szCs w:val="16"/>
          <w:i w:val="1"/>
          <w:iCs w:val="1"/>
          <w:color w:val="auto"/>
        </w:rPr>
        <w:t>und/oder SI-Verpflichtungen</w:t>
      </w:r>
      <w:r>
        <w:rPr>
          <w:rFonts w:ascii="Arial" w:cs="Arial" w:eastAsia="Arial" w:hAnsi="Arial"/>
          <w:sz w:val="16"/>
          <w:szCs w:val="16"/>
          <w:color w:val="auto"/>
        </w:rPr>
        <w:t>.”</w:t>
      </w:r>
    </w:p>
    <w:p>
      <w:pPr>
        <w:spacing w:after="0" w:line="214"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BELGIUM</w:t>
      </w:r>
    </w:p>
    <w:p>
      <w:pPr>
        <w:spacing w:after="0" w:line="266" w:lineRule="exact"/>
        <w:rPr>
          <w:sz w:val="20"/>
          <w:szCs w:val="20"/>
          <w:color w:val="auto"/>
        </w:rPr>
      </w:pPr>
    </w:p>
    <w:p>
      <w:pPr>
        <w:jc w:val="both"/>
        <w:ind w:left="8" w:right="320"/>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27" w:lineRule="exact"/>
        <w:rPr>
          <w:sz w:val="20"/>
          <w:szCs w:val="20"/>
          <w:color w:val="auto"/>
        </w:rPr>
      </w:pPr>
    </w:p>
    <w:p>
      <w:pPr>
        <w:jc w:val="both"/>
        <w:ind w:left="8" w:right="340"/>
        <w:spacing w:after="0" w:line="253"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28"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CANADA</w:t>
      </w:r>
    </w:p>
    <w:p>
      <w:pPr>
        <w:spacing w:after="0" w:line="266"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sectPr>
          <w:pgSz w:w="11900" w:h="16838" w:orient="portrait"/>
          <w:cols w:equalWidth="0" w:num="1">
            <w:col w:w="10908"/>
          </w:cols>
          <w:pgMar w:left="652" w:top="104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32"/>
        <w:spacing w:after="0"/>
        <w:rPr>
          <w:sz w:val="20"/>
          <w:szCs w:val="20"/>
          <w:color w:val="auto"/>
        </w:rPr>
      </w:pPr>
      <w:r>
        <w:rPr>
          <w:rFonts w:ascii="Arial" w:cs="Arial" w:eastAsia="Arial" w:hAnsi="Arial"/>
          <w:sz w:val="15"/>
          <w:szCs w:val="15"/>
          <w:color w:val="auto"/>
        </w:rPr>
        <w:t>APPENDIX B - 2</w:t>
      </w:r>
    </w:p>
    <w:p>
      <w:pPr>
        <w:sectPr>
          <w:pgSz w:w="11900" w:h="16838" w:orient="portrait"/>
          <w:cols w:equalWidth="0" w:num="1">
            <w:col w:w="10908"/>
          </w:cols>
          <w:pgMar w:left="652" w:top="1044" w:right="339" w:bottom="1440" w:gutter="0" w:footer="0" w:header="0"/>
          <w:type w:val="continuous"/>
        </w:sectPr>
      </w:pPr>
    </w:p>
    <w:bookmarkStart w:id="136" w:name="page137"/>
    <w:bookmarkEnd w:id="136"/>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13"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24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213"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French Language Acknowledgment</w:t>
      </w:r>
      <w:r>
        <w:rPr>
          <w:rFonts w:ascii="Arial" w:cs="Arial" w:eastAsia="Arial" w:hAnsi="Arial"/>
          <w:sz w:val="16"/>
          <w:szCs w:val="16"/>
          <w:color w:val="auto"/>
        </w:rPr>
        <w:t>. This provision supplements Section 9(q) of the Agreement:</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CHINA</w:t>
      </w:r>
    </w:p>
    <w:p>
      <w:pPr>
        <w:spacing w:after="0" w:line="266"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- 3</w:t>
      </w:r>
    </w:p>
    <w:p>
      <w:pPr>
        <w:sectPr>
          <w:pgSz w:w="11900" w:h="16838" w:orient="portrait"/>
          <w:cols w:equalWidth="0" w:num="1">
            <w:col w:w="10580"/>
          </w:cols>
          <w:pgMar w:left="660" w:top="1044" w:right="659" w:bottom="1440" w:gutter="0" w:footer="0" w:header="0"/>
        </w:sectPr>
      </w:pPr>
    </w:p>
    <w:bookmarkStart w:id="137" w:name="page138"/>
    <w:bookmarkEnd w:id="137"/>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Plan have been obtained from the SAFE or its local counterpart (“SAFE Approval”). In the event that SAFE Approval has not been 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7"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Tax Liability</w:t>
      </w:r>
      <w:r>
        <w:rPr>
          <w:rFonts w:ascii="Arial" w:cs="Arial" w:eastAsia="Arial" w:hAnsi="Arial"/>
          <w:sz w:val="16"/>
          <w:szCs w:val="16"/>
          <w:color w:val="auto"/>
        </w:rPr>
        <w:t>. Taxes are due at the time of vesting of the Performance RSUs. The Participant understands and agrees that Tax-Related Items may be taken by the Employer from the Participant’s salary or other cash compensation.</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DENMARK</w:t>
      </w:r>
    </w:p>
    <w:p>
      <w:pPr>
        <w:spacing w:after="0" w:line="26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u w:val="single" w:color="auto"/>
          <w:color w:val="auto"/>
        </w:rPr>
        <w:t>Danish Stock Option Act</w:t>
      </w:r>
      <w:r>
        <w:rPr>
          <w:rFonts w:ascii="Arial" w:cs="Arial" w:eastAsia="Arial" w:hAnsi="Arial"/>
          <w:sz w:val="15"/>
          <w:szCs w:val="15"/>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EGYPT</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FINLAND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- 4</w:t>
      </w:r>
    </w:p>
    <w:p>
      <w:pPr>
        <w:sectPr>
          <w:pgSz w:w="11900" w:h="16838" w:orient="portrait"/>
          <w:cols w:equalWidth="0" w:num="1">
            <w:col w:w="10580"/>
          </w:cols>
          <w:pgMar w:left="660" w:top="1044" w:right="659" w:bottom="1440" w:gutter="0" w:footer="0" w:header="0"/>
        </w:sectPr>
      </w:pPr>
    </w:p>
    <w:bookmarkStart w:id="138" w:name="page139"/>
    <w:bookmarkEnd w:id="138"/>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26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u w:val="single" w:color="auto"/>
          <w:color w:val="auto"/>
        </w:rPr>
        <w:t>French-Qualified Performance RSUs</w:t>
      </w:r>
      <w:r>
        <w:rPr>
          <w:rFonts w:ascii="Arial" w:cs="Arial" w:eastAsia="Arial" w:hAnsi="Arial"/>
          <w:sz w:val="16"/>
          <w:szCs w:val="16"/>
          <w:color w:val="auto"/>
        </w:rPr>
        <w:t>. The Performance RSUs are intended to qualify for the favorable tax and social security regime in France under Section L. 225-197-1 to L. 225-197-6-1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Except in the event of the Participant’s death or Disability (as defined in the French Sub-plan and as determined under Section 2(d) of the Agreement)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26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the event the Participant becomes Disabled (as defined in the French Sub-plan and as determined under Section 2(d) of the Agreement), the Unvested Performance RSUs as of the date of the Participant’s termination shall vest in full as of the date of the termination, as determined under Section 2(d) of the Agreement.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262"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2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Further, as long as the Performance RSUs and the Shares acquired at vesting of the Performance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9(u) in the Agreement:</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Certain adjustments may disqualify the Performance RSUs, in which case they may no longer benefit from favorable tax and social security treatment in France.</w:t>
      </w:r>
    </w:p>
    <w:p>
      <w:pPr>
        <w:spacing w:after="0" w:line="28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ectPr>
          <w:pgSz w:w="11900" w:h="16838" w:orient="portrait"/>
          <w:cols w:equalWidth="0" w:num="1">
            <w:col w:w="10580"/>
          </w:cols>
          <w:pgMar w:left="660" w:top="1044" w:right="6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APPENDIX B - 5</w:t>
      </w:r>
    </w:p>
    <w:p>
      <w:pPr>
        <w:sectPr>
          <w:pgSz w:w="11900" w:h="16838" w:orient="portrait"/>
          <w:cols w:equalWidth="0" w:num="1">
            <w:col w:w="10580"/>
          </w:cols>
          <w:pgMar w:left="660" w:top="1044" w:right="659" w:bottom="1440" w:gutter="0" w:footer="0" w:header="0"/>
          <w:type w:val="continuous"/>
        </w:sectPr>
      </w:pPr>
    </w:p>
    <w:bookmarkStart w:id="139" w:name="page140"/>
    <w:bookmarkEnd w:id="139"/>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50"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i w:val="1"/>
          <w:iCs w:val="1"/>
          <w:u w:val="single" w:color="auto"/>
          <w:color w:val="auto"/>
        </w:rPr>
        <w:t>Consentement a la Langue</w:t>
      </w:r>
      <w:r>
        <w:rPr>
          <w:rFonts w:ascii="Arial" w:cs="Arial" w:eastAsia="Arial" w:hAnsi="Arial"/>
          <w:sz w:val="15"/>
          <w:szCs w:val="15"/>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25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can be accessed via the Bundesbank’s website (www.bundesbank.de) and is available in both German and English. It is Participant’s responsibility to comply with this reporting obligation and the Participant should consult with his or her personal tax advisor in this regard.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26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u w:val="single" w:color="auto"/>
          <w:color w:val="auto"/>
        </w:rPr>
        <w:t>Securities Law Notice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WARNING</w:t>
      </w:r>
      <w:r>
        <w:rPr>
          <w:rFonts w:ascii="Arial" w:cs="Arial" w:eastAsia="Arial" w:hAnsi="Arial"/>
          <w:sz w:val="16"/>
          <w:szCs w:val="16"/>
          <w:i w:val="1"/>
          <w:iCs w:val="1"/>
          <w:color w:val="auto"/>
        </w:rPr>
        <w:t>: The contents of this document have not been reviewed by any regulatory authority in Hong Kong. The Participant should</w:t>
      </w:r>
      <w:r>
        <w:rPr>
          <w:rFonts w:ascii="Arial" w:cs="Arial" w:eastAsia="Arial" w:hAnsi="Arial"/>
          <w:sz w:val="16"/>
          <w:szCs w:val="16"/>
          <w:color w:val="auto"/>
        </w:rPr>
        <w:t xml:space="preserve"> </w:t>
      </w:r>
      <w:r>
        <w:rPr>
          <w:rFonts w:ascii="Arial" w:cs="Arial" w:eastAsia="Arial" w:hAnsi="Arial"/>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HUNGARY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INDIA</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32"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of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ISRAEL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- 6</w:t>
      </w:r>
    </w:p>
    <w:p>
      <w:pPr>
        <w:sectPr>
          <w:pgSz w:w="11900" w:h="16838" w:orient="portrait"/>
          <w:cols w:equalWidth="0" w:num="1">
            <w:col w:w="10580"/>
          </w:cols>
          <w:pgMar w:left="660" w:top="1044" w:right="659" w:bottom="1440" w:gutter="0" w:footer="0" w:header="0"/>
        </w:sectPr>
      </w:pPr>
    </w:p>
    <w:bookmarkStart w:id="140" w:name="page141"/>
    <w:bookmarkEnd w:id="140"/>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u w:val="single" w:color="auto"/>
          <w:color w:val="auto"/>
        </w:rPr>
        <w:t>Trust Arrangement</w:t>
      </w:r>
      <w:r>
        <w:rPr>
          <w:rFonts w:ascii="Arial" w:cs="Arial" w:eastAsia="Arial" w:hAnsi="Arial"/>
          <w:sz w:val="15"/>
          <w:szCs w:val="15"/>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Analog Way, Wilmington, Massachusetts, 01887 U.S.A. If Analog Devices, (Israel) Ltd. or Analog Devices, Inc. does not receive the signed Israeli Appendix within 45 days, the Performance RSUs shall terminate and will become null and void.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ITALY</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In accepting the Performance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8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Tax</w:t>
      </w:r>
      <w:r>
        <w:rPr>
          <w:rFonts w:ascii="Arial" w:cs="Arial" w:eastAsia="Arial" w:hAnsi="Arial"/>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JAPAN</w:t>
      </w:r>
    </w:p>
    <w:p>
      <w:pPr>
        <w:spacing w:after="0" w:line="26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KOREA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- 7</w:t>
      </w:r>
    </w:p>
    <w:p>
      <w:pPr>
        <w:sectPr>
          <w:pgSz w:w="11900" w:h="16838" w:orient="portrait"/>
          <w:cols w:equalWidth="0" w:num="1">
            <w:col w:w="10580"/>
          </w:cols>
          <w:pgMar w:left="660" w:top="1044" w:right="659" w:bottom="1440" w:gutter="0" w:footer="0" w:header="0"/>
        </w:sectPr>
      </w:pPr>
    </w:p>
    <w:bookmarkStart w:id="141" w:name="page142"/>
    <w:bookmarkEnd w:id="141"/>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6"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MALAYSIA</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the Data Privacy Information and Consent provision in the Terms and Conditions for Participants Outside the U.S. set forth above: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- 8</w:t>
      </w:r>
    </w:p>
    <w:p>
      <w:pPr>
        <w:sectPr>
          <w:pgSz w:w="11900" w:h="16838" w:orient="portrait"/>
          <w:cols w:equalWidth="0" w:num="1">
            <w:col w:w="10580"/>
          </w:cols>
          <w:pgMar w:left="660" w:top="1044" w:right="659" w:bottom="1440" w:gutter="0" w:footer="0" w:header="0"/>
        </w:sectPr>
      </w:pPr>
    </w:p>
    <w:bookmarkStart w:id="142" w:name="page143"/>
    <w:bookmarkEnd w:id="142"/>
    <w:p>
      <w:pPr>
        <w:ind w:left="49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309245</wp:posOffset>
            </wp:positionV>
            <wp:extent cx="606933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7">
                      <a:extLst>
                        <a:ext uri="{28A0092B-C50C-407E-A947-70E740481C1C}"/>
                      </a:extLst>
                    </a:blip>
                    <a:srcRect/>
                    <a:stretch>
                      <a:fillRect/>
                    </a:stretch>
                  </pic:blipFill>
                  <pic:spPr bwMode="auto">
                    <a:xfrm>
                      <a:off x="0" y="0"/>
                      <a:ext cx="606933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599"/>
        <w:spacing w:after="0" w:line="292" w:lineRule="auto"/>
        <w:rPr>
          <w:sz w:val="20"/>
          <w:szCs w:val="20"/>
          <w:color w:val="auto"/>
        </w:rPr>
      </w:pPr>
      <w:r>
        <w:rPr>
          <w:rFonts w:ascii="Arial" w:cs="Arial" w:eastAsia="Arial" w:hAnsi="Arial"/>
          <w:sz w:val="14"/>
          <w:szCs w:val="14"/>
          <w:b w:val="1"/>
          <w:bCs w:val="1"/>
          <w:i w:val="1"/>
          <w:iCs w:val="1"/>
          <w:color w:val="auto"/>
        </w:rPr>
        <w:t>The Participant hereby explicitly and unambiguously consents Peserta dengan ini secara eksplicit, secara sukarela dan tanpa sebarang to the collection, use and transfer, in electronic or other form, of keraguan mengizinkan pengumpulan, penggunaan dan pemindahan, dalam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-241935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-224790</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-207645</wp:posOffset>
            </wp:positionV>
            <wp:extent cx="8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-173355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-156210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-139065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-121920</wp:posOffset>
            </wp:positionV>
            <wp:extent cx="889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-104775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-87630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-70485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-53340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-36195</wp:posOffset>
            </wp:positionV>
            <wp:extent cx="889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-241935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-224790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-207645</wp:posOffset>
            </wp:positionV>
            <wp:extent cx="88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-173355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-156210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-139065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-121920</wp:posOffset>
            </wp:positionV>
            <wp:extent cx="889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-104775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-87630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-70485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-53340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-36195</wp:posOffset>
            </wp:positionV>
            <wp:extent cx="889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-1905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-241935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-224790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-207645</wp:posOffset>
            </wp:positionV>
            <wp:extent cx="889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-190500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-173355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-156210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-139065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-121920</wp:posOffset>
            </wp:positionV>
            <wp:extent cx="889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-104775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-87630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-70485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-53340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-36195</wp:posOffset>
            </wp:positionV>
            <wp:extent cx="889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-19050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-1905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right="599"/>
        <w:spacing w:after="0" w:line="246" w:lineRule="auto"/>
        <w:rPr>
          <w:sz w:val="20"/>
          <w:szCs w:val="20"/>
          <w:color w:val="auto"/>
        </w:rPr>
      </w:pPr>
      <w:r>
        <w:rPr>
          <w:rFonts w:ascii="Arial" w:cs="Arial" w:eastAsia="Arial" w:hAnsi="Arial"/>
          <w:sz w:val="16"/>
          <w:szCs w:val="16"/>
          <w:b w:val="1"/>
          <w:bCs w:val="1"/>
          <w:i w:val="1"/>
          <w:iCs w:val="1"/>
          <w:color w:val="auto"/>
        </w:rPr>
        <w:t>his or her personal data as described in this document by and bentuk elektronik atau lain-lain, data peribadinya seperti yang dinyatakan among, as applicable, the Employer, and the Company and its dalam dokumen ini, oleh dan di antara, sebagaimana yang berkenaan, subsidiaries for the exclusive purpose of implementing, Majikan, Syarikat, dan mana-mana anak Syarikatnya bagi tujuan ekslusif administering and managing the Participant’s participation in untuk membantu dalam pelaksanaan, pentadbiran dan pengurusan the Plan. The Participant understands that the Company and penyertaan Peserta dalam Pelan. the Employer may hold certain personal information about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-703580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-686435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-669290</wp:posOffset>
            </wp:positionV>
            <wp:extent cx="889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-652145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-635000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-617855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-600710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-583565</wp:posOffset>
            </wp:positionV>
            <wp:extent cx="889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-566420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-549275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-532130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-514985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-497840</wp:posOffset>
            </wp:positionV>
            <wp:extent cx="889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-480695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-463550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-446405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-429260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-412115</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-394970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-377825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-360680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-343535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-326390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-309245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-274955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-257810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-240665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-223520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-206375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-189230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-172085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-154940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-137795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-120650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-103505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-86360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-69215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-52070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-34925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-17780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-635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-703580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-686435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-669290</wp:posOffset>
            </wp:positionV>
            <wp:extent cx="889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-652145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-635000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-617855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-600710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-583565</wp:posOffset>
            </wp:positionV>
            <wp:extent cx="889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-566420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-549275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-532130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-514985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-497840</wp:posOffset>
            </wp:positionV>
            <wp:extent cx="889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-480695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-463550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-446405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-429260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-412115</wp:posOffset>
            </wp:positionV>
            <wp:extent cx="88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-394970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-377825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-360680</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-343535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-326390</wp:posOffset>
            </wp:positionV>
            <wp:extent cx="889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-309245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-292100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-274955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-257810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-240665</wp:posOffset>
            </wp:positionV>
            <wp:extent cx="889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-223520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-206375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-189230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-172085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-154940</wp:posOffset>
            </wp:positionV>
            <wp:extent cx="889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-137795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-120650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-103505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-86360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-69215</wp:posOffset>
            </wp:positionV>
            <wp:extent cx="889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-52070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-34925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-17780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-635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-703580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-686435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-669290</wp:posOffset>
            </wp:positionV>
            <wp:extent cx="88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-652145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-635000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-617855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-600710</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-583565</wp:posOffset>
            </wp:positionV>
            <wp:extent cx="889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-566420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-549275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-532130</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-514985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-497840</wp:posOffset>
            </wp:positionV>
            <wp:extent cx="889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-480695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-463550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-446405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-429260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-412115</wp:posOffset>
            </wp:positionV>
            <wp:extent cx="889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-394970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-377825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-360680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-343535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-326390</wp:posOffset>
            </wp:positionV>
            <wp:extent cx="889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-309245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-292100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-274955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-257810</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-240665</wp:posOffset>
            </wp:positionV>
            <wp:extent cx="889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-223520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-206375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-189230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-172085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-154940</wp:posOffset>
            </wp:positionV>
            <wp:extent cx="889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-137795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-120650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-103505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-86360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-69215</wp:posOffset>
            </wp:positionV>
            <wp:extent cx="889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-52070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-34925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-17780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2740025</wp:posOffset>
            </wp:positionH>
            <wp:positionV relativeFrom="paragraph">
              <wp:posOffset>-635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line="178" w:lineRule="exact"/>
              <w:rPr>
                <w:sz w:val="20"/>
                <w:szCs w:val="20"/>
                <w:color w:val="auto"/>
              </w:rPr>
            </w:pPr>
            <w:r>
              <w:rPr>
                <w:rFonts w:ascii="Arial" w:cs="Arial" w:eastAsia="Arial" w:hAnsi="Arial"/>
                <w:sz w:val="16"/>
                <w:szCs w:val="16"/>
                <w:b w:val="1"/>
                <w:bCs w:val="1"/>
                <w:i w:val="1"/>
                <w:iCs w:val="1"/>
                <w:color w:val="auto"/>
                <w:w w:val="89"/>
              </w:rPr>
              <w:t>Participant, including, but not limited to, his or her name, home</w:t>
            </w:r>
          </w:p>
        </w:tc>
        <w:tc>
          <w:tcPr>
            <w:tcW w:w="5180" w:type="dxa"/>
            <w:vAlign w:val="bottom"/>
          </w:tcPr>
          <w:p>
            <w:pPr>
              <w:ind w:left="20"/>
              <w:spacing w:after="0" w:line="178" w:lineRule="exact"/>
              <w:rPr>
                <w:sz w:val="20"/>
                <w:szCs w:val="20"/>
                <w:color w:val="auto"/>
              </w:rPr>
            </w:pPr>
            <w:r>
              <w:rPr>
                <w:rFonts w:ascii="Arial" w:cs="Arial" w:eastAsia="Arial" w:hAnsi="Arial"/>
                <w:sz w:val="16"/>
                <w:szCs w:val="16"/>
                <w:b w:val="1"/>
                <w:bCs w:val="1"/>
                <w:i w:val="1"/>
                <w:iCs w:val="1"/>
                <w:color w:val="auto"/>
                <w:w w:val="96"/>
              </w:rPr>
              <w:t>Peserta memahami bahawa Syarikat dan Majikan mungkin memegang</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0"/>
              </w:rPr>
              <w:t>address and telephone number, date of birth, social insurance</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2"/>
              </w:rPr>
              <w:t>maklumat peribadi tertentu tentang Peserta, termasuk, tetapi tidak terhad</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1"/>
              </w:rPr>
              <w:t>number or other identification number, salary, nationality, job</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1"/>
              </w:rPr>
              <w:t>kepada, namanya, alamat rumah dan nombor telefon, tarikh lahir, nombor</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89"/>
              </w:rPr>
              <w:t>title, any shares of stock or directorships held in the Company,</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7"/>
              </w:rPr>
              <w:t>insurans sosial atau nombor pengenalan lain, gaji, kewarganegaraan,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5"/>
              </w:rPr>
              <w:t>details of all Performance RSUs or any other entitlement to</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0"/>
              </w:rPr>
              <w:t>jawatan, apa-apa syer dalam saham atau jawatan pengarah yang dipegang</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88"/>
              </w:rPr>
              <w:t>shares of stock awarded, canceled, exercised, vested, unvested</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0"/>
              </w:rPr>
              <w:t>dalam Syarikat, butir-butir semua Performance RSUs atau apa-apa hak lain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5"/>
              </w:rPr>
              <w:t>or outstanding in the Participant’s favor, for the purpose of</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untuk syer dalam saham yang dianugerahkan, dibatalkan, dilaksanakan,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1"/>
              </w:rPr>
              <w:t>implementing, administering and managing the Plan (“Data”).</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2"/>
              </w:rPr>
              <w:t>terletak hak, tidak diletak hak ataupun yang belum dijelaskan bagi faedah</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1"/>
              </w:rPr>
              <w:t>The source of the Data is the Employer as well as information</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5"/>
              </w:rPr>
              <w:t>Peserta,  untuk  tujuan  eksklusif  bagi  melaksanakan,  mentadbir  dan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1"/>
              </w:rPr>
              <w:t>the Participant is providing to the Company and the Employer</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menguruskan Pelan (“Data”). Sumber Data adalah daripada Majikan dan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7"/>
              </w:rPr>
              <w:t>in connection with the Performance RSUs. The Participant</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0"/>
              </w:rPr>
              <w:t>juga daripada maklumat yang dibekalkan oleh Peserta kepada Syarikat dan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5"/>
              </w:rPr>
              <w:t>understands that Data may be transferred to Fidelity or any</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Majikan berkenaan dengan Performance RSUs. Penerima Anugerah juga</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2"/>
              </w:rPr>
              <w:t>other third parties as may be selected by the Company in the</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1"/>
              </w:rPr>
              <w:t>memahami bahawa Data mungkin dipindahkan kepada Fidelity atau mana-</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rPr>
              <w:t>future, which are assisting in the implementation,</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auto"/>
                <w:w w:val="93"/>
              </w:rPr>
              <w:t>mana pihak ketiga yang mungkin dipilih oleh Syarikat pada masa depan,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rPr>
              <w:t>administration and management of the Plan, that these</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w w:val="92"/>
              </w:rPr>
              <w:t>yang membantu dalam pelaksanaan, pentadbiran dan pengurusan Pelan,</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rPr>
              <w:t>recipients may be located in the Participant’s country or</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w w:val="92"/>
              </w:rPr>
              <w:t>bahawa penerima-penerima ini mungkin berada di negara Peserta atau di</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6"/>
              </w:rPr>
              <w:t>elsewhere and that the recipients’ country (e.g., the United</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w w:val="93"/>
              </w:rPr>
              <w:t>tempat lain, dan bahawa negara penerima (contohnya, Amerika Syarikat)</w:t>
            </w:r>
          </w:p>
        </w:tc>
      </w:tr>
      <w:tr>
        <w:trPr>
          <w:trHeight w:val="189"/>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w w:val="93"/>
              </w:rPr>
              <w:t>States) may have different data privacy laws and protections</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w w:val="91"/>
              </w:rPr>
              <w:t>mungkin mempunyai undang-undang privasi data dan perlindungan yang</w:t>
            </w:r>
          </w:p>
        </w:tc>
      </w:tr>
      <w:tr>
        <w:trPr>
          <w:trHeight w:val="216"/>
        </w:trPr>
        <w:tc>
          <w:tcPr>
            <w:tcW w:w="4320" w:type="dxa"/>
            <w:vAlign w:val="bottom"/>
          </w:tcPr>
          <w:p>
            <w:pPr>
              <w:spacing w:after="0"/>
              <w:rPr>
                <w:sz w:val="20"/>
                <w:szCs w:val="20"/>
                <w:color w:val="auto"/>
              </w:rPr>
            </w:pPr>
            <w:r>
              <w:rPr>
                <w:rFonts w:ascii="Arial" w:cs="Arial" w:eastAsia="Arial" w:hAnsi="Arial"/>
                <w:sz w:val="16"/>
                <w:szCs w:val="16"/>
                <w:b w:val="1"/>
                <w:bCs w:val="1"/>
                <w:i w:val="1"/>
                <w:iCs w:val="1"/>
                <w:color w:val="auto"/>
              </w:rPr>
              <w:t>than the Participant’s country.</w:t>
            </w: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w w:val="94"/>
              </w:rPr>
              <w:t>berbeza daripada negara Peserta. Peserta memahami bahawa dia boleh</w:t>
            </w:r>
          </w:p>
        </w:tc>
      </w:tr>
      <w:tr>
        <w:trPr>
          <w:trHeight w:val="189"/>
        </w:trPr>
        <w:tc>
          <w:tcPr>
            <w:tcW w:w="4320" w:type="dxa"/>
            <w:vAlign w:val="bottom"/>
          </w:tcPr>
          <w:p>
            <w:pPr>
              <w:spacing w:after="0"/>
              <w:rPr>
                <w:sz w:val="16"/>
                <w:szCs w:val="16"/>
                <w:color w:val="auto"/>
              </w:rPr>
            </w:pP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w w:val="96"/>
              </w:rPr>
              <w:t>meminta senarai nama dan alamat mana-mana penerima Data dengan</w:t>
            </w:r>
          </w:p>
        </w:tc>
      </w:tr>
      <w:tr>
        <w:trPr>
          <w:trHeight w:val="206"/>
        </w:trPr>
        <w:tc>
          <w:tcPr>
            <w:tcW w:w="4320" w:type="dxa"/>
            <w:vAlign w:val="bottom"/>
          </w:tcPr>
          <w:p>
            <w:pPr>
              <w:spacing w:after="0"/>
              <w:rPr>
                <w:sz w:val="17"/>
                <w:szCs w:val="17"/>
                <w:color w:val="auto"/>
              </w:rPr>
            </w:pPr>
          </w:p>
        </w:tc>
        <w:tc>
          <w:tcPr>
            <w:tcW w:w="5180" w:type="dxa"/>
            <w:vAlign w:val="bottom"/>
          </w:tcPr>
          <w:p>
            <w:pPr>
              <w:ind w:left="20"/>
              <w:spacing w:after="0"/>
              <w:rPr>
                <w:sz w:val="20"/>
                <w:szCs w:val="20"/>
                <w:color w:val="auto"/>
              </w:rPr>
            </w:pPr>
            <w:r>
              <w:rPr>
                <w:rFonts w:ascii="Arial" w:cs="Arial" w:eastAsia="Arial" w:hAnsi="Arial"/>
                <w:sz w:val="16"/>
                <w:szCs w:val="16"/>
                <w:b w:val="1"/>
                <w:bCs w:val="1"/>
                <w:i w:val="1"/>
                <w:iCs w:val="1"/>
                <w:color w:val="222222"/>
              </w:rPr>
              <w:t>menghubungi wakil sumber manusia tempatannya.</w:t>
            </w:r>
          </w:p>
        </w:tc>
      </w:tr>
      <w:tr>
        <w:trPr>
          <w:trHeight w:val="621"/>
        </w:trPr>
        <w:tc>
          <w:tcPr>
            <w:tcW w:w="4320" w:type="dxa"/>
            <w:vAlign w:val="bottom"/>
          </w:tcPr>
          <w:p>
            <w:pPr>
              <w:spacing w:after="0"/>
              <w:rPr>
                <w:sz w:val="24"/>
                <w:szCs w:val="24"/>
                <w:color w:val="auto"/>
              </w:rPr>
            </w:pPr>
          </w:p>
        </w:tc>
        <w:tc>
          <w:tcPr>
            <w:tcW w:w="5180" w:type="dxa"/>
            <w:vAlign w:val="bottom"/>
          </w:tcPr>
          <w:p>
            <w:pPr>
              <w:ind w:left="680"/>
              <w:spacing w:after="0"/>
              <w:rPr>
                <w:sz w:val="20"/>
                <w:szCs w:val="20"/>
                <w:color w:val="auto"/>
              </w:rPr>
            </w:pPr>
            <w:r>
              <w:rPr>
                <w:rFonts w:ascii="Arial" w:cs="Arial" w:eastAsia="Arial" w:hAnsi="Arial"/>
                <w:sz w:val="16"/>
                <w:szCs w:val="16"/>
                <w:color w:val="auto"/>
              </w:rPr>
              <w:t>APPENDIX B - 9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-2919095</wp:posOffset>
            </wp:positionV>
            <wp:extent cx="6069330" cy="25463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9">
                      <a:extLst>
                        <a:ext uri="{28A0092B-C50C-407E-A947-70E740481C1C}"/>
                      </a:extLst>
                    </a:blip>
                    <a:srcRect/>
                    <a:stretch>
                      <a:fillRect/>
                    </a:stretch>
                  </pic:blipFill>
                  <pic:spPr bwMode="auto">
                    <a:xfrm>
                      <a:off x="0" y="0"/>
                      <a:ext cx="6069330" cy="2546350"/>
                    </a:xfrm>
                    <a:prstGeom prst="rect">
                      <a:avLst/>
                    </a:prstGeom>
                    <a:noFill/>
                  </pic:spPr>
                </pic:pic>
              </a:graphicData>
            </a:graphic>
          </wp:anchor>
        </w:drawing>
      </w:r>
    </w:p>
    <w:p>
      <w:pPr>
        <w:sectPr>
          <w:pgSz w:w="11900" w:h="16838" w:orient="portrait"/>
          <w:cols w:equalWidth="0" w:num="1">
            <w:col w:w="10099"/>
          </w:cols>
          <w:pgMar w:left="360" w:top="1044" w:right="1440" w:bottom="1440" w:gutter="0" w:footer="0" w:header="0"/>
        </w:sectPr>
      </w:pPr>
    </w:p>
    <w:bookmarkStart w:id="143" w:name="page144"/>
    <w:bookmarkEnd w:id="143"/>
    <w:p>
      <w:pPr>
        <w:ind w:left="4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6069330" cy="127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1">
                      <a:extLst>
                        <a:ext uri="{28A0092B-C50C-407E-A947-70E740481C1C}"/>
                      </a:extLst>
                    </a:blip>
                    <a:srcRect/>
                    <a:stretch>
                      <a:fillRect/>
                    </a:stretch>
                  </pic:blipFill>
                  <pic:spPr bwMode="auto">
                    <a:xfrm>
                      <a:off x="0" y="0"/>
                      <a:ext cx="6069330" cy="12700"/>
                    </a:xfrm>
                    <a:prstGeom prst="rect">
                      <a:avLst/>
                    </a:prstGeom>
                    <a:noFill/>
                  </pic:spPr>
                </pic:pic>
              </a:graphicData>
            </a:graphic>
          </wp:anchor>
        </w:drawing>
      </w:r>
    </w:p>
    <w:p>
      <w:pPr>
        <w:sectPr>
          <w:pgSz w:w="11900" w:h="16838" w:orient="portrait"/>
          <w:cols w:equalWidth="0" w:num="1">
            <w:col w:w="11220"/>
          </w:cols>
          <w:pgMar w:left="340" w:top="1044"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firstLine="40"/>
        <w:spacing w:after="0" w:line="284" w:lineRule="auto"/>
        <w:rPr>
          <w:sz w:val="20"/>
          <w:szCs w:val="20"/>
          <w:color w:val="auto"/>
        </w:rPr>
      </w:pPr>
      <w:r>
        <w:rPr>
          <w:rFonts w:ascii="Arial" w:cs="Arial" w:eastAsia="Arial" w:hAnsi="Arial"/>
          <w:sz w:val="14"/>
          <w:szCs w:val="14"/>
          <w:b w:val="1"/>
          <w:bCs w:val="1"/>
          <w:i w:val="1"/>
          <w:iCs w:val="1"/>
          <w:color w:val="auto"/>
        </w:rPr>
        <w:t>The Participant understands that he or she may request a list with the names and addresses of any potential recipients of the Data by contacting his or her local human resources representative. The Participant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Participant may elect to deposit any Shares acquired upon settlement of the Award. The Participant understands that Data will be held only as long as is necessary to implement, administer and manage the Participant’s participation in the Plan. The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Participant understands, however, that refusing or withdrawing his or her consent may affect the Participant’s ability to participate in the Plan. For more information on the consequences of a refusal to consent or withdrawal of consent, the Participant understands that he or she may contact his or her regional stock plan administrator at Stock_Plan_Admin@Analog.com.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1720"/>
        <w:spacing w:after="0" w:line="284" w:lineRule="auto"/>
        <w:rPr>
          <w:sz w:val="20"/>
          <w:szCs w:val="20"/>
          <w:color w:val="auto"/>
        </w:rPr>
      </w:pPr>
      <w:r>
        <w:rPr>
          <w:rFonts w:ascii="Arial" w:cs="Arial" w:eastAsia="Arial" w:hAnsi="Arial"/>
          <w:sz w:val="14"/>
          <w:szCs w:val="14"/>
          <w:b w:val="1"/>
          <w:bCs w:val="1"/>
          <w:i w:val="1"/>
          <w:iCs w:val="1"/>
          <w:color w:val="auto"/>
        </w:rPr>
        <w:t>Peserta memberi kuasa kepada Syarikat, Fidelity, dan mana-mana penerima lain yang mungkin membantu Syarikat (masa sekarang atau pada masa depan) untuk melaksanakan, mentadbir dan menguruskan penyertaan Peserta dalam Pelan untuk menerima, memiliki, menggunakan, mengekalkan dan memindahkan Data, dalam bentuk elektronik atau lain-lain, semata-mata dengan tujuan untuk melaksanakan, mentadbir dan menguruskan penyertaan Peserta dalam Pelan, termasuk apa-apa pemindahan Data yang diperlukan kepada broker atau pihak ketiga dengan siapa Peserta mungkin pilih untuk mendepositkan apa-apa Saham yang diperolehi di atas penyelesaian Anugerah. Peserta memahami bahawa Data akan dipegang hanya untuk tempoh yang diperlukan untuk melaksanakan, mentadbir dan menguruskan penyertaannya dalam Pelan tersebut. Peserta memahami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Peserta memahami bahawa keengganan atau penarikan balik persetujuannya boleh menjejaskan keupayaannya untuk mengambil bahagian dalam Pelan. Untuk maklumat lanjut mengenai akibat keengganannya untuk memberikan keizinan atau penarikan balik keizinan, Peserta fahami bahawa dia boleh menghubungi pentadbir pelan saham serantau di Stock_Plan_Admin@Analog.com.</w:t>
      </w:r>
    </w:p>
    <w:p>
      <w:pPr>
        <w:spacing w:after="0" w:line="1152" w:lineRule="exact"/>
        <w:rPr>
          <w:sz w:val="20"/>
          <w:szCs w:val="20"/>
          <w:color w:val="auto"/>
        </w:rPr>
      </w:pPr>
    </w:p>
    <w:p>
      <w:pPr>
        <w:sectPr>
          <w:pgSz w:w="11900" w:h="16838" w:orient="portrait"/>
          <w:cols w:equalWidth="0" w:num="2">
            <w:col w:w="4280" w:space="80"/>
            <w:col w:w="6860"/>
          </w:cols>
          <w:pgMar w:left="340" w:top="1044" w:right="339" w:bottom="1440" w:gutter="0" w:footer="0" w:header="0"/>
          <w:type w:val="continuous"/>
        </w:sectPr>
      </w:pPr>
    </w:p>
    <w:p>
      <w:pPr>
        <w:spacing w:after="0" w:line="132" w:lineRule="exact"/>
        <w:rPr>
          <w:sz w:val="20"/>
          <w:szCs w:val="20"/>
          <w:color w:val="auto"/>
        </w:rPr>
      </w:pPr>
    </w:p>
    <w:p>
      <w:pPr>
        <w:ind w:left="320"/>
        <w:spacing w:after="0"/>
        <w:rPr>
          <w:sz w:val="20"/>
          <w:szCs w:val="20"/>
          <w:color w:val="auto"/>
        </w:rPr>
      </w:pPr>
      <w:r>
        <w:rPr>
          <w:rFonts w:ascii="Arial" w:cs="Arial" w:eastAsia="Arial" w:hAnsi="Arial"/>
          <w:sz w:val="16"/>
          <w:szCs w:val="16"/>
          <w:b w:val="1"/>
          <w:bCs w:val="1"/>
          <w:u w:val="single" w:color="auto"/>
          <w:color w:val="auto"/>
        </w:rPr>
        <w:t>MEXICO</w:t>
      </w:r>
    </w:p>
    <w:p>
      <w:pPr>
        <w:spacing w:after="0" w:line="266" w:lineRule="exact"/>
        <w:rPr>
          <w:sz w:val="20"/>
          <w:szCs w:val="20"/>
          <w:color w:val="auto"/>
        </w:rPr>
      </w:pPr>
    </w:p>
    <w:p>
      <w:pPr>
        <w:jc w:val="both"/>
        <w:ind w:left="320"/>
        <w:spacing w:after="0" w:line="252"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4" w:lineRule="exact"/>
        <w:rPr>
          <w:sz w:val="20"/>
          <w:szCs w:val="20"/>
          <w:color w:val="auto"/>
        </w:rPr>
      </w:pPr>
    </w:p>
    <w:p>
      <w:pPr>
        <w:jc w:val="both"/>
        <w:ind w:left="320"/>
        <w:spacing w:after="0" w:line="295"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9" w:lineRule="exact"/>
        <w:rPr>
          <w:sz w:val="20"/>
          <w:szCs w:val="20"/>
          <w:color w:val="auto"/>
        </w:rPr>
      </w:pPr>
    </w:p>
    <w:p>
      <w:pPr>
        <w:jc w:val="both"/>
        <w:ind w:left="320"/>
        <w:spacing w:after="0" w:line="310"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5" w:lineRule="exact"/>
        <w:rPr>
          <w:sz w:val="20"/>
          <w:szCs w:val="20"/>
          <w:color w:val="auto"/>
        </w:rPr>
      </w:pPr>
    </w:p>
    <w:p>
      <w:pPr>
        <w:jc w:val="both"/>
        <w:ind w:left="320"/>
        <w:spacing w:after="0" w:line="286"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- 10</w:t>
      </w:r>
    </w:p>
    <w:p>
      <w:pPr>
        <w:sectPr>
          <w:pgSz w:w="11900" w:h="16838" w:orient="portrait"/>
          <w:cols w:equalWidth="0" w:num="1">
            <w:col w:w="11220"/>
          </w:cols>
          <w:pgMar w:left="340" w:top="1044" w:right="339" w:bottom="1440" w:gutter="0" w:footer="0" w:header="0"/>
          <w:type w:val="continuous"/>
        </w:sectPr>
      </w:pPr>
    </w:p>
    <w:bookmarkStart w:id="144" w:name="page145"/>
    <w:bookmarkEnd w:id="144"/>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50" w:lineRule="exact"/>
        <w:rPr>
          <w:sz w:val="20"/>
          <w:szCs w:val="20"/>
          <w:color w:val="auto"/>
        </w:rPr>
      </w:pPr>
    </w:p>
    <w:p>
      <w:pPr>
        <w:jc w:val="both"/>
        <w:spacing w:after="0" w:line="298"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u w:val="single" w:color="auto"/>
          <w:color w:val="auto"/>
        </w:rPr>
        <w:t>Política de Legislación Laboral y Reconocimiento</w:t>
      </w:r>
      <w:r>
        <w:rPr>
          <w:rFonts w:ascii="Arial" w:cs="Arial" w:eastAsia="Arial" w:hAnsi="Arial"/>
          <w:sz w:val="15"/>
          <w:szCs w:val="15"/>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5" w:lineRule="exact"/>
        <w:rPr>
          <w:sz w:val="20"/>
          <w:szCs w:val="20"/>
          <w:color w:val="auto"/>
        </w:rPr>
      </w:pPr>
    </w:p>
    <w:p>
      <w:pPr>
        <w:jc w:val="both"/>
        <w:ind w:right="320"/>
        <w:spacing w:after="0" w:line="256"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67"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By accepting the RSU, the Participant acknowledges that the RSU is intended as an incentive for the Participant to remain employed with the Employer and is not intended as remuneration for labor performed.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NORWAY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252"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The grant of Performance RSUs is being made pursuant to an exemption from registration under Section 10.2 of the SRC that has been approved by the PSEC.</w:t>
      </w:r>
    </w:p>
    <w:p>
      <w:pPr>
        <w:spacing w:after="0" w:line="273" w:lineRule="exact"/>
        <w:rPr>
          <w:sz w:val="20"/>
          <w:szCs w:val="20"/>
          <w:color w:val="auto"/>
        </w:rPr>
      </w:pPr>
    </w:p>
    <w:p>
      <w:pPr>
        <w:jc w:val="both"/>
        <w:ind w:right="320"/>
        <w:spacing w:after="0" w:line="252" w:lineRule="auto"/>
        <w:rPr>
          <w:sz w:val="20"/>
          <w:szCs w:val="20"/>
          <w:color w:val="auto"/>
        </w:rPr>
      </w:pPr>
      <w:r>
        <w:rPr>
          <w:rFonts w:ascii="Arial" w:cs="Arial" w:eastAsia="Arial" w:hAnsi="Arial"/>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31"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23"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w:t>
      </w:r>
    </w:p>
    <w:p>
      <w:pPr>
        <w:spacing w:after="0" w:line="250"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APPENDIX B - 11</w:t>
      </w:r>
    </w:p>
    <w:p>
      <w:pPr>
        <w:sectPr>
          <w:pgSz w:w="11900" w:h="16838" w:orient="portrait"/>
          <w:cols w:equalWidth="0" w:num="1">
            <w:col w:w="10900"/>
          </w:cols>
          <w:pgMar w:left="660" w:top="1044" w:right="339" w:bottom="1440" w:gutter="0" w:footer="0" w:header="0"/>
        </w:sectPr>
      </w:pPr>
    </w:p>
    <w:bookmarkStart w:id="145" w:name="page146"/>
    <w:bookmarkEnd w:id="145"/>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50"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color w:val="auto"/>
        </w:rPr>
        <w:t xml:space="preserve">designated broker should be able to assist the Participant in the sale of Shares on Nasdaq. </w:t>
      </w:r>
      <w:r>
        <w:rPr>
          <w:rFonts w:ascii="Arial" w:cs="Arial" w:eastAsia="Arial" w:hAnsi="Arial"/>
          <w:sz w:val="15"/>
          <w:szCs w:val="15"/>
          <w:i w:val="1"/>
          <w:iCs w:val="1"/>
          <w:color w:val="auto"/>
        </w:rPr>
        <w:t>If the Participant has questions with regard to the application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Philippines securities laws to the disposal or sale of Shares acquired under the Plan the Participant should consult with his or her legal advisor.</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POLAND</w:t>
      </w:r>
    </w:p>
    <w:p>
      <w:pPr>
        <w:spacing w:after="0" w:line="252" w:lineRule="exact"/>
        <w:rPr>
          <w:sz w:val="20"/>
          <w:szCs w:val="20"/>
          <w:color w:val="auto"/>
        </w:rPr>
      </w:pPr>
    </w:p>
    <w:p>
      <w:pPr>
        <w:jc w:val="both"/>
        <w:spacing w:after="0" w:line="315"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95" w:lineRule="exact"/>
        <w:rPr>
          <w:sz w:val="20"/>
          <w:szCs w:val="20"/>
          <w:color w:val="auto"/>
        </w:rPr>
      </w:pPr>
    </w:p>
    <w:p>
      <w:pPr>
        <w:jc w:val="both"/>
        <w:ind w:right="320"/>
        <w:spacing w:after="0" w:line="253"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ROMANIA</w:t>
      </w:r>
    </w:p>
    <w:p>
      <w:pPr>
        <w:spacing w:after="0" w:line="266" w:lineRule="exact"/>
        <w:rPr>
          <w:sz w:val="20"/>
          <w:szCs w:val="20"/>
          <w:color w:val="auto"/>
        </w:rPr>
      </w:pPr>
    </w:p>
    <w:p>
      <w:pPr>
        <w:jc w:val="both"/>
        <w:ind w:right="320"/>
        <w:spacing w:after="0" w:line="286"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SERBIA</w:t>
      </w: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subject to the regulations concerning public offers and private placements under the Law on Capital Markets.</w:t>
      </w:r>
    </w:p>
    <w:p>
      <w:pPr>
        <w:spacing w:after="0" w:line="159" w:lineRule="exact"/>
        <w:rPr>
          <w:sz w:val="20"/>
          <w:szCs w:val="20"/>
          <w:color w:val="auto"/>
        </w:rPr>
      </w:pPr>
    </w:p>
    <w:p>
      <w:pPr>
        <w:jc w:val="both"/>
        <w:ind w:right="340"/>
        <w:spacing w:after="0" w:line="256"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266" w:lineRule="exact"/>
        <w:rPr>
          <w:sz w:val="20"/>
          <w:szCs w:val="20"/>
          <w:color w:val="auto"/>
        </w:rPr>
      </w:pPr>
    </w:p>
    <w:p>
      <w:pPr>
        <w:jc w:val="both"/>
        <w:ind w:right="320"/>
        <w:spacing w:after="0" w:line="274"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The Performance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w:t>
      </w:r>
    </w:p>
    <w:p>
      <w:pPr>
        <w:spacing w:after="0" w:line="217" w:lineRule="exact"/>
        <w:rPr>
          <w:sz w:val="20"/>
          <w:szCs w:val="20"/>
          <w:color w:val="auto"/>
        </w:rPr>
      </w:pPr>
    </w:p>
    <w:p>
      <w:pPr>
        <w:jc w:val="both"/>
        <w:ind w:right="320"/>
        <w:spacing w:after="0" w:line="268"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APPENDIX B - 12</w:t>
      </w:r>
    </w:p>
    <w:p>
      <w:pPr>
        <w:sectPr>
          <w:pgSz w:w="11900" w:h="16838" w:orient="portrait"/>
          <w:cols w:equalWidth="0" w:num="1">
            <w:col w:w="10900"/>
          </w:cols>
          <w:pgMar w:left="660" w:top="1044" w:right="339" w:bottom="1440" w:gutter="0" w:footer="0" w:header="0"/>
        </w:sectPr>
      </w:pPr>
    </w:p>
    <w:bookmarkStart w:id="146" w:name="page147"/>
    <w:bookmarkEnd w:id="146"/>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46"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SPAIN</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67" w:lineRule="exact"/>
        <w:rPr>
          <w:sz w:val="20"/>
          <w:szCs w:val="20"/>
          <w:color w:val="auto"/>
        </w:rPr>
      </w:pPr>
    </w:p>
    <w:p>
      <w:pPr>
        <w:jc w:val="both"/>
        <w:ind w:left="8"/>
        <w:spacing w:after="0" w:line="249" w:lineRule="auto"/>
        <w:rPr>
          <w:sz w:val="20"/>
          <w:szCs w:val="20"/>
          <w:color w:val="auto"/>
        </w:rPr>
      </w:pPr>
      <w:r>
        <w:rPr>
          <w:rFonts w:ascii="Arial" w:cs="Arial" w:eastAsia="Arial" w:hAnsi="Arial"/>
          <w:sz w:val="16"/>
          <w:szCs w:val="16"/>
          <w:color w:val="auto"/>
        </w:rPr>
        <w:t>In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38" w:lineRule="exact"/>
        <w:rPr>
          <w:sz w:val="20"/>
          <w:szCs w:val="20"/>
          <w:color w:val="auto"/>
        </w:rPr>
      </w:pPr>
    </w:p>
    <w:p>
      <w:pPr>
        <w:jc w:val="both"/>
        <w:ind w:left="8"/>
        <w:spacing w:after="0" w:line="285" w:lineRule="auto"/>
        <w:rPr>
          <w:sz w:val="20"/>
          <w:szCs w:val="20"/>
          <w:color w:val="auto"/>
        </w:rPr>
      </w:pPr>
      <w:r>
        <w:rPr>
          <w:rFonts w:ascii="Arial" w:cs="Arial" w:eastAsia="Arial" w:hAnsi="Arial"/>
          <w:sz w:val="14"/>
          <w:szCs w:val="14"/>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 (2) the Participant is dismissed for disciplinary or objective reasons or due to a collective dismissal;</w:t>
      </w:r>
    </w:p>
    <w:p>
      <w:pPr>
        <w:spacing w:after="0" w:line="3" w:lineRule="exact"/>
        <w:rPr>
          <w:sz w:val="20"/>
          <w:szCs w:val="20"/>
          <w:color w:val="auto"/>
        </w:rPr>
      </w:pPr>
    </w:p>
    <w:p>
      <w:pPr>
        <w:jc w:val="both"/>
        <w:ind w:left="8" w:right="20" w:hanging="8"/>
        <w:spacing w:after="0" w:line="291" w:lineRule="auto"/>
        <w:tabs>
          <w:tab w:leader="none" w:pos="251" w:val="left"/>
        </w:tabs>
        <w:numPr>
          <w:ilvl w:val="0"/>
          <w:numId w:val="125"/>
        </w:numPr>
        <w:rPr>
          <w:rFonts w:ascii="Arial" w:cs="Arial" w:eastAsia="Arial" w:hAnsi="Arial"/>
          <w:sz w:val="14"/>
          <w:szCs w:val="14"/>
          <w:color w:val="auto"/>
        </w:rPr>
      </w:pPr>
      <w:r>
        <w:rPr>
          <w:rFonts w:ascii="Arial" w:cs="Arial" w:eastAsia="Arial" w:hAnsi="Arial"/>
          <w:sz w:val="14"/>
          <w:szCs w:val="14"/>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05"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248" w:lineRule="exact"/>
        <w:rPr>
          <w:sz w:val="20"/>
          <w:szCs w:val="20"/>
          <w:color w:val="auto"/>
        </w:rPr>
      </w:pPr>
    </w:p>
    <w:p>
      <w:pPr>
        <w:jc w:val="both"/>
        <w:ind w:left="8" w:right="20"/>
        <w:spacing w:after="0" w:line="256"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227" w:lineRule="exact"/>
        <w:rPr>
          <w:sz w:val="20"/>
          <w:szCs w:val="20"/>
          <w:color w:val="auto"/>
        </w:rPr>
      </w:pPr>
    </w:p>
    <w:p>
      <w:pPr>
        <w:jc w:val="both"/>
        <w:ind w:left="8"/>
        <w:spacing w:after="0" w:line="256"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xml:space="preserve">. The Participant acknowledges that he or she must declare any Shares that are acquired under the Plan to the </w:t>
      </w:r>
      <w:r>
        <w:rPr>
          <w:rFonts w:ascii="Arial" w:cs="Arial" w:eastAsia="Arial" w:hAnsi="Arial"/>
          <w:sz w:val="16"/>
          <w:szCs w:val="16"/>
          <w:i w:val="1"/>
          <w:iCs w:val="1"/>
          <w:color w:val="auto"/>
        </w:rPr>
        <w:t>Dirección General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Comercio e Inversiones </w:t>
      </w:r>
      <w:r>
        <w:rPr>
          <w:rFonts w:ascii="Arial" w:cs="Arial" w:eastAsia="Arial" w:hAnsi="Arial"/>
          <w:sz w:val="16"/>
          <w:szCs w:val="16"/>
          <w:color w:val="auto"/>
        </w:rPr>
        <w:t>of the Ministry of Economy and Competitiveness (the “DGCI”). After the initial declaration, the declaration must be filed with the DGCI</w:t>
      </w:r>
      <w:r>
        <w:rPr>
          <w:rFonts w:ascii="Arial" w:cs="Arial" w:eastAsia="Arial" w:hAnsi="Arial"/>
          <w:sz w:val="16"/>
          <w:szCs w:val="16"/>
          <w:i w:val="1"/>
          <w:iCs w:val="1"/>
          <w:color w:val="auto"/>
        </w:rPr>
        <w:t xml:space="preserve"> </w:t>
      </w:r>
      <w:r>
        <w:rPr>
          <w:rFonts w:ascii="Arial" w:cs="Arial" w:eastAsia="Arial" w:hAnsi="Arial"/>
          <w:sz w:val="16"/>
          <w:szCs w:val="16"/>
          <w:color w:val="auto"/>
        </w:rPr>
        <w:t>on an annual basis each January while the shares are owned; however, if the value of the Shares or the sale proceeds exceed a certain amount, a declaration must be filed within one month of the acquisition or sale, as applicable.</w:t>
      </w:r>
    </w:p>
    <w:p>
      <w:pPr>
        <w:spacing w:after="0" w:line="227" w:lineRule="exact"/>
        <w:rPr>
          <w:sz w:val="20"/>
          <w:szCs w:val="20"/>
          <w:color w:val="auto"/>
        </w:rPr>
      </w:pPr>
    </w:p>
    <w:p>
      <w:pPr>
        <w:jc w:val="both"/>
        <w:ind w:left="8"/>
        <w:spacing w:after="0" w:line="272"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8" w:lineRule="exact"/>
        <w:rPr>
          <w:sz w:val="20"/>
          <w:szCs w:val="20"/>
          <w:color w:val="auto"/>
        </w:rPr>
      </w:pPr>
    </w:p>
    <w:p>
      <w:pPr>
        <w:jc w:val="both"/>
        <w:ind w:left="8"/>
        <w:spacing w:after="0" w:line="261" w:lineRule="auto"/>
        <w:rPr>
          <w:sz w:val="20"/>
          <w:szCs w:val="20"/>
          <w:color w:val="auto"/>
        </w:rPr>
      </w:pPr>
      <w:r>
        <w:rPr>
          <w:rFonts w:ascii="Arial" w:cs="Arial" w:eastAsia="Arial" w:hAnsi="Arial"/>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APPENDIX B - 13</w:t>
      </w:r>
    </w:p>
    <w:p>
      <w:pPr>
        <w:sectPr>
          <w:pgSz w:w="11900" w:h="16838" w:orient="portrait"/>
          <w:cols w:equalWidth="0" w:num="1">
            <w:col w:w="10588"/>
          </w:cols>
          <w:pgMar w:left="652" w:top="1044" w:right="659" w:bottom="1440" w:gutter="0" w:footer="0" w:header="0"/>
        </w:sectPr>
      </w:pPr>
    </w:p>
    <w:bookmarkStart w:id="147" w:name="page148"/>
    <w:bookmarkEnd w:id="147"/>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SWEDEN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6 of the Agreement:</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SWITZERLAND</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TAIWAN</w:t>
      </w: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and participation in the Plan is made available only to employees of the Company and the Employer. It is not a public offer of securities by a Taiwanese company. Therefore, it is exempt from registration in Taiwan.</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213"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THAILAND</w:t>
      </w:r>
    </w:p>
    <w:p>
      <w:pPr>
        <w:spacing w:after="0" w:line="266"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TURKEY</w:t>
      </w:r>
    </w:p>
    <w:p>
      <w:pPr>
        <w:spacing w:after="0" w:line="2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- 14</w:t>
      </w:r>
    </w:p>
    <w:p>
      <w:pPr>
        <w:sectPr>
          <w:pgSz w:w="11900" w:h="16838" w:orient="portrait"/>
          <w:cols w:equalWidth="0" w:num="1">
            <w:col w:w="10580"/>
          </w:cols>
          <w:pgMar w:left="660" w:top="1044" w:right="659" w:bottom="1440" w:gutter="0" w:footer="0" w:header="0"/>
        </w:sectPr>
      </w:pPr>
    </w:p>
    <w:bookmarkStart w:id="148" w:name="page149"/>
    <w:bookmarkEnd w:id="148"/>
    <w:p>
      <w:pPr>
        <w:ind w:left="4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9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9735"/>
                    </a:xfrm>
                    <a:prstGeom prst="rect">
                      <a:avLst/>
                    </a:prstGeom>
                    <a:noFill/>
                  </pic:spPr>
                </pic:pic>
              </a:graphicData>
            </a:graphic>
          </wp:anchor>
        </w:drawing>
        <w:t>APPENDIX B TO</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208"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recovered from the Participant by any of the means referred to in Section 6 of the Agreement.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13"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 - 15</w:t>
      </w:r>
    </w:p>
    <w:p>
      <w:pPr>
        <w:sectPr>
          <w:pgSz w:w="11900" w:h="16838" w:orient="portrait"/>
          <w:cols w:equalWidth="0" w:num="1">
            <w:col w:w="10580"/>
          </w:cols>
          <w:pgMar w:left="660" w:top="1044" w:right="659" w:bottom="1440" w:gutter="0" w:footer="0" w:header="0"/>
        </w:sectPr>
      </w:pPr>
    </w:p>
    <w:bookmarkStart w:id="149" w:name="page150"/>
    <w:bookmarkEnd w:id="149"/>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OF PERFORMANCE RESTRICTED STOCK UNITS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311"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8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1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1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are pleased to provide you with this offer to participate in the Analog Devices, Inc. 2020 Equity Incentive Plan (the “Plan”). This Offer Document sets out information regarding the grant of performance restricted stock units (“Performance RSUs”) over shares of common stock (“Shares”) of Analog Devices, Inc. (the “Company”) to Australian resident employees and directors of the Company and its Australian Subsidiary.</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used but not defined herein shall have the meaning ascribed to such term in the Plan.</w:t>
      </w:r>
    </w:p>
    <w:p>
      <w:pPr>
        <w:spacing w:after="0" w:line="217" w:lineRule="exact"/>
        <w:rPr>
          <w:sz w:val="20"/>
          <w:szCs w:val="20"/>
          <w:color w:val="auto"/>
        </w:rPr>
      </w:pPr>
    </w:p>
    <w:p>
      <w:pPr>
        <w:ind w:left="300" w:hanging="292"/>
        <w:spacing w:after="0"/>
        <w:tabs>
          <w:tab w:leader="none" w:pos="30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OFFER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is an Offer of Performance RSUs, as may be granted from time to time by the Company, to certain eligible employees in accordance with the Plan.</w:t>
      </w:r>
    </w:p>
    <w:p>
      <w:pPr>
        <w:spacing w:after="0" w:line="21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tab/>
        <w:t>TERMS OF GRANT</w:t>
      </w:r>
    </w:p>
    <w:p>
      <w:pPr>
        <w:spacing w:after="0" w:line="22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terms of the grant of Performance RSUs incorporate the rules of the Plan, this Offer Document and the Global Performance Restricted Stock Unit Agreement, and Appendix A thereto (the “Agreement”). By accepting a grant of Performance RSUs, you will be bound by the rules of the Plan, this Offer Document and the Agreement.</w:t>
      </w:r>
    </w:p>
    <w:p>
      <w:pPr>
        <w:spacing w:after="0" w:line="14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tab/>
        <w:t>ADDITIONAL DOCUMENTS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information set out in this Offer Document, attached are copies of the following documents:</w:t>
      </w:r>
    </w:p>
    <w:p>
      <w:pPr>
        <w:spacing w:after="0" w:line="221" w:lineRule="exact"/>
        <w:rPr>
          <w:sz w:val="20"/>
          <w:szCs w:val="20"/>
          <w:color w:val="auto"/>
        </w:rPr>
      </w:pPr>
    </w:p>
    <w:p>
      <w:pPr>
        <w:ind w:left="340" w:hanging="332"/>
        <w:spacing w:after="0"/>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Plan;</w:t>
      </w:r>
    </w:p>
    <w:p>
      <w:pPr>
        <w:spacing w:after="0" w:line="221" w:lineRule="exact"/>
        <w:rPr>
          <w:rFonts w:ascii="Arial" w:cs="Arial" w:eastAsia="Arial" w:hAnsi="Arial"/>
          <w:sz w:val="16"/>
          <w:szCs w:val="16"/>
          <w:color w:val="auto"/>
        </w:rPr>
      </w:pPr>
    </w:p>
    <w:p>
      <w:pPr>
        <w:ind w:left="360" w:hanging="352"/>
        <w:spacing w:after="0"/>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Plan Prospectus; and</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Agreement.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“Additional Documents”).</w:t>
      </w:r>
    </w:p>
    <w:p>
      <w:pPr>
        <w:spacing w:after="0" w:line="2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Agreement sets out, among other details, the vesting conditions applicable to your Performance RSUs, information on the settlement of your Performance RSUs and the consequences of a change in the nature or status of your employment.</w:t>
      </w:r>
    </w:p>
    <w:p>
      <w:pPr>
        <w:spacing w:after="0" w:line="17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Arial" w:cs="Arial" w:eastAsia="Arial" w:hAnsi="Arial"/>
          <w:sz w:val="16"/>
          <w:szCs w:val="16"/>
          <w:i w:val="1"/>
          <w:iCs w:val="1"/>
          <w:color w:val="auto"/>
        </w:rPr>
        <w:t>Corporations Act</w:t>
      </w:r>
      <w:r>
        <w:rPr>
          <w:rFonts w:ascii="Arial" w:cs="Arial" w:eastAsia="Arial" w:hAnsi="Arial"/>
          <w:sz w:val="16"/>
          <w:szCs w:val="16"/>
          <w:color w:val="auto"/>
        </w:rPr>
        <w:t>.</w:t>
      </w: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OF PERFORMANCE RESTRICTED STOCK UNITS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311" w:lineRule="exact"/>
        <w:rPr>
          <w:sz w:val="20"/>
          <w:szCs w:val="20"/>
          <w:color w:val="auto"/>
        </w:rPr>
      </w:pPr>
    </w:p>
    <w:p>
      <w:pPr>
        <w:ind w:left="300" w:hanging="292"/>
        <w:spacing w:after="0"/>
        <w:tabs>
          <w:tab w:leader="none" w:pos="30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RELIANCE ON STATEMENTS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tab/>
        <w:t>WHO IS ELIGIBLE TO PARTICIPATE?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8" w:lineRule="exact"/>
        <w:rPr>
          <w:sz w:val="20"/>
          <w:szCs w:val="20"/>
          <w:color w:val="auto"/>
        </w:rPr>
      </w:pPr>
    </w:p>
    <w:p>
      <w:pPr>
        <w:ind w:left="300" w:hanging="292"/>
        <w:spacing w:after="0"/>
        <w:tabs>
          <w:tab w:leader="none" w:pos="3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ACCEPTING AN AWARD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Agreement sets out additional terms and conditions of your Performance RSU award. You are not required to affirmatively accept your Performance RSU award in writing.</w:t>
      </w:r>
    </w:p>
    <w:p>
      <w:pPr>
        <w:spacing w:after="0" w:line="168" w:lineRule="exact"/>
        <w:rPr>
          <w:sz w:val="20"/>
          <w:szCs w:val="20"/>
          <w:color w:val="auto"/>
        </w:rPr>
      </w:pPr>
    </w:p>
    <w:p>
      <w:pPr>
        <w:ind w:left="300" w:hanging="292"/>
        <w:spacing w:after="0"/>
        <w:tabs>
          <w:tab w:leader="none" w:pos="3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WHAT ARE THE MATERIAL TERMS OF THE PERFORMANCE RSUs?</w:t>
      </w:r>
    </w:p>
    <w:p>
      <w:pPr>
        <w:spacing w:after="0" w:line="22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are Performance RSUs?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Performance RSUs represent the right to receive Shares upon fulfilment of the vesting conditions set out in your Agreement. The Performance RSUs are considered “restricted” because they are subject to forfeiture and restrictions on transfer until they vest. The restrictions are set forth in your Agreement. When your Performance RSUs vest, you will be issued Shares at no monetary cost (other than applicable taxes) to you. Notwithstanding anything to the contrary in the Plan, the Agreement, or any related document, your Performance RSUs will be settled in Shares.</w:t>
      </w:r>
    </w:p>
    <w:p>
      <w:pPr>
        <w:spacing w:after="0" w:line="183" w:lineRule="exact"/>
        <w:rPr>
          <w:sz w:val="20"/>
          <w:szCs w:val="20"/>
          <w:color w:val="auto"/>
        </w:rPr>
      </w:pPr>
    </w:p>
    <w:p>
      <w:pPr>
        <w:ind w:left="360" w:hanging="352"/>
        <w:spacing w:after="0"/>
        <w:tabs>
          <w:tab w:leader="none" w:pos="360"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to pay any money to receive the Performance RSUs?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No. You pay no monetary consideration to receive the Performance RSUs, nor do you pay anything to receive the Shares upon vesting (other than applicable taxes).</w:t>
      </w:r>
    </w:p>
    <w:p>
      <w:pPr>
        <w:spacing w:after="0" w:line="229"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will I receive upon vesting of my Performance RSUs?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your Performance RSUs and the number of Shares subject to the award are set out in the Agreement.</w:t>
      </w:r>
    </w:p>
    <w:p>
      <w:pPr>
        <w:spacing w:after="0" w:line="21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(d)</w:t>
      </w:r>
      <w:r>
        <w:rPr>
          <w:sz w:val="20"/>
          <w:szCs w:val="20"/>
          <w:color w:val="auto"/>
        </w:rPr>
        <w:tab/>
      </w:r>
      <w:r>
        <w:rPr>
          <w:rFonts w:ascii="Arial" w:cs="Arial" w:eastAsia="Arial" w:hAnsi="Arial"/>
          <w:sz w:val="14"/>
          <w:szCs w:val="14"/>
          <w:b w:val="1"/>
          <w:bCs w:val="1"/>
          <w:color w:val="auto"/>
        </w:rPr>
        <w:t>When do I become a stockholder?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You are not a stockholder merely as a result of holding Performance RSUs. The Performance RSUs will not entitle you to any shareholder rights, including the right to vote the Shares or receive dividends, notices of meetings, proxy statements and other materials provided to stockholders, until the restrictions lapse at vesting and the Performance RSUs are paid out in Shares. In this regard, you are not recorded as the owner of the Shares prior to vesting. You should refer to your Agreement for details of the consequences of a change in the nature of your employment.</w:t>
      </w:r>
    </w:p>
    <w:p>
      <w:pPr>
        <w:spacing w:after="0" w:line="183" w:lineRule="exact"/>
        <w:rPr>
          <w:sz w:val="20"/>
          <w:szCs w:val="20"/>
          <w:color w:val="auto"/>
        </w:rPr>
      </w:pPr>
    </w:p>
    <w:p>
      <w:pPr>
        <w:ind w:left="340" w:hanging="332"/>
        <w:spacing w:after="0"/>
        <w:tabs>
          <w:tab w:leader="none" w:pos="34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Can I transfer the Performance RSUs to someone else?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No. The Performance RSUs are generally non-transferable, unless otherwise provided in your Agreement; however, once Shares are issued upon vesting, the Shares will be freely tradeable (subject to the Company’s policies and applicable laws regarding insider trading).</w:t>
      </w:r>
    </w:p>
    <w:p>
      <w:pPr>
        <w:spacing w:after="0" w:line="16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b w:val="1"/>
          <w:bCs w:val="1"/>
          <w:color w:val="auto"/>
        </w:rPr>
        <w:t>(f)</w:t>
      </w:r>
      <w:r>
        <w:rPr>
          <w:sz w:val="20"/>
          <w:szCs w:val="20"/>
          <w:color w:val="auto"/>
        </w:rPr>
        <w:tab/>
      </w:r>
      <w:r>
        <w:rPr>
          <w:rFonts w:ascii="Arial" w:cs="Arial" w:eastAsia="Arial" w:hAnsi="Arial"/>
          <w:sz w:val="14"/>
          <w:szCs w:val="14"/>
          <w:b w:val="1"/>
          <w:bCs w:val="1"/>
          <w:color w:val="auto"/>
        </w:rPr>
        <w:t>What happens if my employment with the Company or Australian Subsidiary terminates?</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Your right to any unvested Performance RSUs will terminate when you terminate employment with the Company or any subsidiary of the Company for reasons including, but not limited to, retirement, resignation, lay-off, discharge, or other change of employment status.</w:t>
      </w:r>
    </w:p>
    <w:p>
      <w:pPr>
        <w:spacing w:after="0" w:line="168" w:lineRule="exact"/>
        <w:rPr>
          <w:sz w:val="20"/>
          <w:szCs w:val="20"/>
          <w:color w:val="auto"/>
        </w:rPr>
      </w:pPr>
    </w:p>
    <w:p>
      <w:pPr>
        <w:ind w:left="300" w:hanging="292"/>
        <w:spacing w:after="0"/>
        <w:tabs>
          <w:tab w:leader="none" w:pos="300"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SHARE IN THE COMPANY</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Common stock of a U.S. corporation is analogous to an ordinary share of an Australian corporation. Each holder of a Share is entitled to one vote for every Share held in the Company.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APPENDIX C - 2</w:t>
      </w:r>
    </w:p>
    <w:p>
      <w:pPr>
        <w:sectPr>
          <w:pgSz w:w="11900" w:h="16838" w:orient="portrait"/>
          <w:cols w:equalWidth="0" w:num="1">
            <w:col w:w="11240"/>
          </w:cols>
          <w:pgMar w:left="320" w:top="1440" w:right="339" w:bottom="1440" w:gutter="0" w:footer="0" w:header="0"/>
          <w:type w:val="continuous"/>
        </w:sectPr>
      </w:pPr>
    </w:p>
    <w:bookmarkStart w:id="151" w:name="page152"/>
    <w:bookmarkEnd w:id="15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OF PERFORMANCE RESTRICTED STOCK UNITS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paid on the Shares out of any funds of the Company legally available for dividends at the discretion of the board of directors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Shares are traded on the Nasdaq Global Select Market in the United States of America and are traded under the symbol “ADI”.</w:t>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8" w:lineRule="exact"/>
        <w:rPr>
          <w:sz w:val="20"/>
          <w:szCs w:val="20"/>
          <w:color w:val="auto"/>
        </w:rPr>
      </w:pPr>
    </w:p>
    <w:p>
      <w:pPr>
        <w:ind w:left="300" w:hanging="292"/>
        <w:spacing w:after="0"/>
        <w:tabs>
          <w:tab w:leader="none" w:pos="30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OBTAIN UPDATED INDICATIVE EXAMPLES OF THE CURRENT MARKET PRICE IN AUSTRALIAN DOLLARS?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may ascertain the current market price of the Shares as traded on the Nasdaq at http://www.nasdaq.com under the code “ADI”. The Australian dollar equivalent of that price can be obtained at: http://www.rba.gov.au/statistics/frequency/exchange-rates.html.</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This will not be a prediction of what the market price per Share will be when the Performance RSUs vest or settle or of the applicable exchange rate on the actual date of vesting or settlement.</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10.</w:t>
        <w:tab/>
        <w:t>WHAT ADDITIONAL RISK FACTORS APPLY TO AUSTRALIAN RESIDENTS’ PARTICIPATION IN THE PLAN?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91" w:lineRule="exact"/>
        <w:rPr>
          <w:sz w:val="20"/>
          <w:szCs w:val="20"/>
          <w:color w:val="auto"/>
        </w:rPr>
      </w:pPr>
    </w:p>
    <w:p>
      <w:pPr>
        <w:jc w:val="both"/>
        <w:spacing w:after="0" w:line="298" w:lineRule="auto"/>
        <w:rPr>
          <w:sz w:val="20"/>
          <w:szCs w:val="20"/>
          <w:color w:val="auto"/>
        </w:rPr>
      </w:pPr>
      <w:r>
        <w:rPr>
          <w:rFonts w:ascii="Arial" w:cs="Arial" w:eastAsia="Arial" w:hAnsi="Arial"/>
          <w:sz w:val="14"/>
          <w:szCs w:val="14"/>
          <w:color w:val="auto"/>
        </w:rPr>
        <w:t>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http://www.sec.gov/, on the Company’s “Investor Relations” page at http://investor.analog.com/, and upon request to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 addition, you should be aware that the Australian dollar value of the Shares you may acquire at vesting will be affected by the U.S. dollar/Australian dollar exchange rate.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Participation in the Plan involves certain risks related to fluctuations in this rate of exchange.</w:t>
      </w:r>
    </w:p>
    <w:p>
      <w:pPr>
        <w:spacing w:after="0" w:line="20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11.</w:t>
        <w:tab/>
        <w:t>PLAN MODIFICATION, TERMINATION ETC.</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tab/>
        <w:t>WHAT ARE THE AUSTRALIAN TAX CONSEQUENCES OF PARTICIPATION IN THE PLAN?</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is a summary of the tax consequences as of October 2020 for an Australian resident employee who receives Performance RSUs under the Plan. You may also be subject to Medicare levy and surcharge.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note that for Performance RSUs granted under the Plan prior to 1 July 2015, different employee share scheme rules apply. The following taxation summary applies only to Performance RSUs granted on or after 1 July 2015. If you hold Performance RSUs granted before 1 July 2015, please consult with your personal tax advisor on the applicable tax treatment.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This summary is necessarily general in nature and does not purport to be tax advice in relation to an actual or potential recipient of Performance RSUs.</w:t>
      </w:r>
    </w:p>
    <w:p>
      <w:pPr>
        <w:spacing w:after="0" w:line="200" w:lineRule="exact"/>
        <w:rPr>
          <w:sz w:val="20"/>
          <w:szCs w:val="20"/>
          <w:color w:val="auto"/>
        </w:rPr>
      </w:pPr>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- 3</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OF PERFORMANCE RESTRICTED STOCK UNITS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If you are a citizen or resident of another country for local tax law purposes or if you transfer employment to another country after the Performance RSUs are granted to you, the information contained in this summary may not be applicable to you. </w:t>
      </w:r>
      <w:r>
        <w:rPr>
          <w:rFonts w:ascii="Arial" w:cs="Arial" w:eastAsia="Arial" w:hAnsi="Arial"/>
          <w:sz w:val="16"/>
          <w:szCs w:val="16"/>
          <w:i w:val="1"/>
          <w:iCs w:val="1"/>
          <w:color w:val="auto"/>
        </w:rPr>
        <w:t>You should seek appropriate professional advice as to how the tax or other laws in Australia and in</w:t>
      </w:r>
      <w:r>
        <w:rPr>
          <w:rFonts w:ascii="Arial" w:cs="Arial" w:eastAsia="Arial" w:hAnsi="Arial"/>
          <w:sz w:val="16"/>
          <w:szCs w:val="16"/>
          <w:color w:val="auto"/>
        </w:rPr>
        <w:t xml:space="preserve"> </w:t>
      </w:r>
      <w:r>
        <w:rPr>
          <w:rFonts w:ascii="Arial" w:cs="Arial" w:eastAsia="Arial" w:hAnsi="Arial"/>
          <w:sz w:val="16"/>
          <w:szCs w:val="16"/>
          <w:i w:val="1"/>
          <w:iCs w:val="1"/>
          <w:color w:val="auto"/>
        </w:rPr>
        <w:t>your country apply to your specific situation.</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are awarded Performance RSUs under the Plan, you should not rely on this summary as anything other than a broad guide, and you should obtain independent taxation advice specific to your particular circumstances before making the decision to accept the Performance RSUs.</w:t>
      </w:r>
    </w:p>
    <w:p>
      <w:pPr>
        <w:spacing w:after="0" w:line="16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4"/>
          <w:szCs w:val="14"/>
          <w:b w:val="1"/>
          <w:bCs w:val="1"/>
          <w:color w:val="auto"/>
        </w:rPr>
        <w:t>What is the effect of the grant of the Performance RSUs?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Australian tax legislation contains specific rules, in Division 83A of the </w:t>
      </w:r>
      <w:r>
        <w:rPr>
          <w:rFonts w:ascii="Arial" w:cs="Arial" w:eastAsia="Arial" w:hAnsi="Arial"/>
          <w:sz w:val="16"/>
          <w:szCs w:val="16"/>
          <w:i w:val="1"/>
          <w:iCs w:val="1"/>
          <w:color w:val="auto"/>
        </w:rPr>
        <w:t>Income Tax Assessment Act 1997</w:t>
      </w:r>
      <w:r>
        <w:rPr>
          <w:rFonts w:ascii="Arial" w:cs="Arial" w:eastAsia="Arial" w:hAnsi="Arial"/>
          <w:sz w:val="16"/>
          <w:szCs w:val="16"/>
          <w:color w:val="auto"/>
        </w:rPr>
        <w:t>, governing the taxation of shares and rights (called “ESS interests”) acquired by employees under employee share schemes. The Performance RSUs granted under the Plan should be regarded as a right to acquire shares and accordingly, an ESS interest for these purposes.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Your assessable income includes the ESS interest at grant, unless the ESS interest is subject to a “real risk of forfeiture,” in which case you will be subject to deferred taxation.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the Performance RSUs, the “real risk of forfeiture” test requires that:</w:t>
      </w:r>
    </w:p>
    <w:p>
      <w:pPr>
        <w:spacing w:after="0" w:line="221" w:lineRule="exact"/>
        <w:rPr>
          <w:sz w:val="20"/>
          <w:szCs w:val="20"/>
          <w:color w:val="auto"/>
        </w:rPr>
      </w:pPr>
    </w:p>
    <w:p>
      <w:pPr>
        <w:ind w:left="660" w:hanging="4"/>
        <w:spacing w:after="0" w:line="275" w:lineRule="auto"/>
        <w:tabs>
          <w:tab w:leader="none" w:pos="101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there must be a real risk that, under the conditions of the Plan, you will forfeit the Performance RSUs or lose them (other than by disposing of them or in connection with the vesting of the Performance RSUs); or</w:t>
      </w:r>
    </w:p>
    <w:p>
      <w:pPr>
        <w:spacing w:after="0" w:line="172" w:lineRule="exact"/>
        <w:rPr>
          <w:rFonts w:ascii="Arial" w:cs="Arial" w:eastAsia="Arial" w:hAnsi="Arial"/>
          <w:sz w:val="16"/>
          <w:szCs w:val="16"/>
          <w:color w:val="auto"/>
        </w:rPr>
      </w:pPr>
    </w:p>
    <w:p>
      <w:pPr>
        <w:ind w:left="660" w:hanging="4"/>
        <w:spacing w:after="0" w:line="275" w:lineRule="auto"/>
        <w:tabs>
          <w:tab w:leader="none" w:pos="10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there must be a real risk that if your Performance RSUs vest, under the conditions of the Plan, you will forfeit the underlying Shares or lose them other than by disposing of them.</w:t>
      </w:r>
    </w:p>
    <w:p>
      <w:pPr>
        <w:spacing w:after="0" w:line="172"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terms of your Performance RSU award are set out in the Additional Documents. It is understood that your Performance RSUs will satisfy the real risk of forfeiture test and that you will be subject to deferred taxation (</w:t>
      </w:r>
      <w:r>
        <w:rPr>
          <w:rFonts w:ascii="Arial" w:cs="Arial" w:eastAsia="Arial" w:hAnsi="Arial"/>
          <w:sz w:val="15"/>
          <w:szCs w:val="15"/>
          <w:i w:val="1"/>
          <w:iCs w:val="1"/>
          <w:color w:val="auto"/>
        </w:rPr>
        <w:t>i.e.</w:t>
      </w:r>
      <w:r>
        <w:rPr>
          <w:rFonts w:ascii="Arial" w:cs="Arial" w:eastAsia="Arial" w:hAnsi="Arial"/>
          <w:sz w:val="15"/>
          <w:szCs w:val="15"/>
          <w:color w:val="auto"/>
        </w:rPr>
        <w:t>, you generally should not be subject to tax when the Performance RSUs are granted to you).</w:t>
      </w: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(b)</w:t>
      </w:r>
      <w:r>
        <w:rPr>
          <w:sz w:val="20"/>
          <w:szCs w:val="20"/>
          <w:color w:val="auto"/>
        </w:rPr>
        <w:tab/>
      </w:r>
      <w:r>
        <w:rPr>
          <w:rFonts w:ascii="Arial" w:cs="Arial" w:eastAsia="Arial" w:hAnsi="Arial"/>
          <w:sz w:val="14"/>
          <w:szCs w:val="14"/>
          <w:b w:val="1"/>
          <w:bCs w:val="1"/>
          <w:color w:val="auto"/>
        </w:rPr>
        <w:t>When will you be taxed if your Performance RSUs are subject to a real risk of forfeiture?</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You will be required to include an amount in your assessable income for the income year (</w:t>
      </w:r>
      <w:r>
        <w:rPr>
          <w:rFonts w:ascii="Arial" w:cs="Arial" w:eastAsia="Arial" w:hAnsi="Arial"/>
          <w:sz w:val="16"/>
          <w:szCs w:val="16"/>
          <w:i w:val="1"/>
          <w:iCs w:val="1"/>
          <w:color w:val="auto"/>
        </w:rPr>
        <w:t>i.e.</w:t>
      </w:r>
      <w:r>
        <w:rPr>
          <w:rFonts w:ascii="Arial" w:cs="Arial" w:eastAsia="Arial" w:hAnsi="Arial"/>
          <w:sz w:val="16"/>
          <w:szCs w:val="16"/>
          <w:color w:val="auto"/>
        </w:rPr>
        <w:t>, the financial year ending 30 June) in which the earliest of the following events occurs in relation to the Performance RSUs (the “ESS deferred taxing point”).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Your ESS deferred taxing point will be the earliest of the following:</w:t>
      </w:r>
    </w:p>
    <w:p>
      <w:pPr>
        <w:spacing w:after="0" w:line="221" w:lineRule="exact"/>
        <w:rPr>
          <w:sz w:val="20"/>
          <w:szCs w:val="20"/>
          <w:color w:val="auto"/>
        </w:rPr>
      </w:pPr>
    </w:p>
    <w:p>
      <w:pPr>
        <w:ind w:left="980" w:hanging="324"/>
        <w:spacing w:after="0"/>
        <w:tabs>
          <w:tab w:leader="none" w:pos="9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when there are no longer any genuine restrictions on the vesting of the Performance RSUs and there is no real risk of you forfeiting your Performance RSUs;</w:t>
      </w:r>
    </w:p>
    <w:p>
      <w:pPr>
        <w:spacing w:after="0" w:line="244" w:lineRule="exact"/>
        <w:rPr>
          <w:rFonts w:ascii="Arial" w:cs="Arial" w:eastAsia="Arial" w:hAnsi="Arial"/>
          <w:sz w:val="14"/>
          <w:szCs w:val="14"/>
          <w:color w:val="auto"/>
        </w:rPr>
      </w:pPr>
    </w:p>
    <w:p>
      <w:pPr>
        <w:ind w:left="1020" w:hanging="364"/>
        <w:spacing w:after="0"/>
        <w:tabs>
          <w:tab w:leader="none" w:pos="10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when the Performance RSUs are settled and there is no genuine restriction on the disposal of the underlying Shares; and</w:t>
      </w:r>
    </w:p>
    <w:p>
      <w:pPr>
        <w:spacing w:after="0" w:line="221" w:lineRule="exact"/>
        <w:rPr>
          <w:rFonts w:ascii="Arial" w:cs="Arial" w:eastAsia="Arial" w:hAnsi="Arial"/>
          <w:sz w:val="16"/>
          <w:szCs w:val="16"/>
          <w:color w:val="auto"/>
        </w:rPr>
      </w:pPr>
    </w:p>
    <w:p>
      <w:pPr>
        <w:ind w:left="1060" w:hanging="404"/>
        <w:spacing w:after="0"/>
        <w:tabs>
          <w:tab w:leader="none" w:pos="10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your cessation of employment (but see Section 11(e) below).</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Generally, this means that you will be subject to tax when your Performance RSUs vest. However, the ESS deferred taxing point for your Performance RSUs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income taxes, the assessable amount may also be subject to Medicare Levy and surcharge (if applicable).</w:t>
      </w:r>
    </w:p>
    <w:p>
      <w:pPr>
        <w:spacing w:after="0" w:line="217"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b w:val="1"/>
          <w:bCs w:val="1"/>
          <w:color w:val="auto"/>
        </w:rPr>
        <w:t>(c)</w:t>
      </w:r>
      <w:r>
        <w:rPr>
          <w:sz w:val="20"/>
          <w:szCs w:val="20"/>
          <w:color w:val="auto"/>
        </w:rPr>
        <w:tab/>
      </w:r>
      <w:r>
        <w:rPr>
          <w:rFonts w:ascii="Arial" w:cs="Arial" w:eastAsia="Arial" w:hAnsi="Arial"/>
          <w:sz w:val="14"/>
          <w:szCs w:val="14"/>
          <w:b w:val="1"/>
          <w:bCs w:val="1"/>
          <w:color w:val="auto"/>
        </w:rPr>
        <w:t>What is the amount to be included in your assessable income if an ESS deferred taxing point occurs?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amount you must include in your assessable income in the income year (</w:t>
      </w:r>
      <w:r>
        <w:rPr>
          <w:rFonts w:ascii="Arial" w:cs="Arial" w:eastAsia="Arial" w:hAnsi="Arial"/>
          <w:sz w:val="15"/>
          <w:szCs w:val="15"/>
          <w:i w:val="1"/>
          <w:iCs w:val="1"/>
          <w:color w:val="auto"/>
        </w:rPr>
        <w:t>i.e.</w:t>
      </w:r>
      <w:r>
        <w:rPr>
          <w:rFonts w:ascii="Arial" w:cs="Arial" w:eastAsia="Arial" w:hAnsi="Arial"/>
          <w:sz w:val="15"/>
          <w:szCs w:val="15"/>
          <w:color w:val="auto"/>
        </w:rPr>
        <w:t>, the financial year ending 30 June) in which the ESS deferred taxing point occurs in relation to your Performance RSUs (</w:t>
      </w:r>
      <w:r>
        <w:rPr>
          <w:rFonts w:ascii="Arial" w:cs="Arial" w:eastAsia="Arial" w:hAnsi="Arial"/>
          <w:sz w:val="15"/>
          <w:szCs w:val="15"/>
          <w:i w:val="1"/>
          <w:iCs w:val="1"/>
          <w:color w:val="auto"/>
        </w:rPr>
        <w:t>i.e.,</w:t>
      </w:r>
      <w:r>
        <w:rPr>
          <w:rFonts w:ascii="Arial" w:cs="Arial" w:eastAsia="Arial" w:hAnsi="Arial"/>
          <w:sz w:val="15"/>
          <w:szCs w:val="15"/>
          <w:color w:val="auto"/>
        </w:rPr>
        <w:t xml:space="preserve"> typically at vesting) will be the difference between the “market value” of the underlying Shares at the ESS deferred taxing point and the cost base of the Performance RSUs (which should be nil because you do not have to pay anything to acquire the Performance RSUs or the underlying Shares).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60"/>
        <w:spacing w:after="0"/>
        <w:rPr>
          <w:sz w:val="20"/>
          <w:szCs w:val="20"/>
          <w:color w:val="auto"/>
        </w:rPr>
      </w:pPr>
      <w:r>
        <w:rPr>
          <w:rFonts w:ascii="Arial" w:cs="Arial" w:eastAsia="Arial" w:hAnsi="Arial"/>
          <w:sz w:val="15"/>
          <w:szCs w:val="15"/>
          <w:color w:val="auto"/>
        </w:rPr>
        <w:t>APPENDIX C - 4</w:t>
      </w:r>
    </w:p>
    <w:p>
      <w:pPr>
        <w:sectPr>
          <w:pgSz w:w="11900" w:h="16838" w:orient="portrait"/>
          <w:cols w:equalWidth="0" w:num="1">
            <w:col w:w="11240"/>
          </w:cols>
          <w:pgMar w:left="320" w:top="1440" w:right="339" w:bottom="1440" w:gutter="0" w:footer="0" w:header="0"/>
          <w:type w:val="continuous"/>
        </w:sectPr>
      </w:pPr>
    </w:p>
    <w:bookmarkStart w:id="153" w:name="page154"/>
    <w:bookmarkEnd w:id="15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OF PERFORMANCE RESTRICTED STOCK UNITS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31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Performance RSUs (which, again, should be nil).</w:t>
      </w:r>
    </w:p>
    <w:p>
      <w:pPr>
        <w:spacing w:after="0" w:line="179" w:lineRule="exact"/>
        <w:rPr>
          <w:sz w:val="20"/>
          <w:szCs w:val="20"/>
          <w:color w:val="auto"/>
        </w:rPr>
      </w:pPr>
    </w:p>
    <w:p>
      <w:pPr>
        <w:ind w:left="400" w:hanging="392"/>
        <w:spacing w:after="0"/>
        <w:tabs>
          <w:tab w:leader="none" w:pos="400"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market value of the Underlying Shares?</w:t>
      </w:r>
    </w:p>
    <w:p>
      <w:pPr>
        <w:spacing w:after="0" w:line="225"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The “market value” of the Performance RSUs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Performance RSUs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83" w:lineRule="exact"/>
        <w:rPr>
          <w:sz w:val="20"/>
          <w:szCs w:val="20"/>
          <w:color w:val="auto"/>
        </w:rPr>
      </w:pPr>
    </w:p>
    <w:p>
      <w:pPr>
        <w:ind w:left="380" w:hanging="372"/>
        <w:spacing w:after="0"/>
        <w:tabs>
          <w:tab w:leader="none" w:pos="38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cease employment before my Performance RSUs vest?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cease employment with your employer prior to the vesting date of some or all of your Performance RSUs and the Performance RSUs do not vest upon termination of employment (</w:t>
      </w:r>
      <w:r>
        <w:rPr>
          <w:rFonts w:ascii="Arial" w:cs="Arial" w:eastAsia="Arial" w:hAnsi="Arial"/>
          <w:sz w:val="16"/>
          <w:szCs w:val="16"/>
          <w:i w:val="1"/>
          <w:iCs w:val="1"/>
          <w:color w:val="auto"/>
        </w:rPr>
        <w:t>i.e.,</w:t>
      </w:r>
      <w:r>
        <w:rPr>
          <w:rFonts w:ascii="Arial" w:cs="Arial" w:eastAsia="Arial" w:hAnsi="Arial"/>
          <w:sz w:val="16"/>
          <w:szCs w:val="16"/>
          <w:color w:val="auto"/>
        </w:rPr>
        <w:t xml:space="preserve"> they are forfeited), you may be treated as having never acquired the forfeited Performance RSUs in which case, no amount will be included in your assessable income.</w:t>
      </w:r>
    </w:p>
    <w:p>
      <w:pPr>
        <w:spacing w:after="0" w:line="179" w:lineRule="exact"/>
        <w:rPr>
          <w:sz w:val="20"/>
          <w:szCs w:val="20"/>
          <w:color w:val="auto"/>
        </w:rPr>
      </w:pPr>
    </w:p>
    <w:p>
      <w:pPr>
        <w:ind w:left="360" w:hanging="352"/>
        <w:spacing w:after="0"/>
        <w:tabs>
          <w:tab w:leader="none" w:pos="36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What tax consequences will arise when I sell my Shares?</w:t>
      </w:r>
    </w:p>
    <w:p>
      <w:pPr>
        <w:spacing w:after="0" w:line="225"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If you sell the Shares acquired upon vesting of your Performance RSUs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26"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If you sell the Shares acquired upon vesting of your Performance RSUs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are responsible for reporting any income you realize from the sale of Shares acquired upon vesting of Performance RSUs and paying any applicable taxes due on such income.</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7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(g)</w:t>
      </w:r>
      <w:r>
        <w:rPr>
          <w:sz w:val="20"/>
          <w:szCs w:val="20"/>
          <w:color w:val="auto"/>
        </w:rPr>
        <w:tab/>
      </w:r>
      <w:r>
        <w:rPr>
          <w:rFonts w:ascii="Arial" w:cs="Arial" w:eastAsia="Arial" w:hAnsi="Arial"/>
          <w:sz w:val="14"/>
          <w:szCs w:val="14"/>
          <w:b w:val="1"/>
          <w:bCs w:val="1"/>
          <w:color w:val="auto"/>
        </w:rPr>
        <w:t>What are the taxation consequences if a dividend is paid on the Shares?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If you vest in the Performance RSUs and become a Company stockholder, you may be entitled to receive dividends on the Shares obtained from vesting in the Performance RSUs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8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(h)</w:t>
      </w:r>
      <w:r>
        <w:rPr>
          <w:sz w:val="20"/>
          <w:szCs w:val="20"/>
          <w:color w:val="auto"/>
        </w:rPr>
        <w:tab/>
      </w:r>
      <w:r>
        <w:rPr>
          <w:rFonts w:ascii="Arial" w:cs="Arial" w:eastAsia="Arial" w:hAnsi="Arial"/>
          <w:sz w:val="14"/>
          <w:szCs w:val="14"/>
          <w:b w:val="1"/>
          <w:bCs w:val="1"/>
          <w:color w:val="auto"/>
        </w:rPr>
        <w:t>What are the tax withholding and reporting obligations associated with the Performance RSUs?</w:t>
      </w:r>
    </w:p>
    <w:p>
      <w:pPr>
        <w:spacing w:after="0" w:line="200" w:lineRule="exact"/>
        <w:rPr>
          <w:sz w:val="20"/>
          <w:szCs w:val="20"/>
          <w:color w:val="auto"/>
        </w:rPr>
      </w:pPr>
    </w:p>
    <w:p>
      <w:pPr>
        <w:spacing w:after="0" w:line="30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- 5</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color w:val="auto"/>
        </w:rPr>
        <w:t>APPENDIX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DOCUMENT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OFFER OF PERFORMANCE RESTRICTED STOCK UNITS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AUSTRALIAN RESIDENT EMPLOYEES</w:t>
      </w:r>
    </w:p>
    <w:p>
      <w:pPr>
        <w:spacing w:after="0" w:line="3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 will be responsible for reporting on your tax return and paying any tax liability in relation to the Performance RSUs and any Shares issued to you at vesting. It is also your responsibility to report and pay any tax liability on the sale of any Shares acquired under the Plan any dividends received.</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Your employer will be required to withhold tax due on the Performance RSUs only if you have not provided your Tax File Number or Australian Business Number, as applicable, to your employer.</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Arial" w:cs="Arial" w:eastAsia="Arial" w:hAnsi="Arial"/>
          <w:sz w:val="15"/>
          <w:szCs w:val="15"/>
          <w:i w:val="1"/>
          <w:iCs w:val="1"/>
          <w:color w:val="auto"/>
        </w:rPr>
        <w:t>You will be responsible for determining this amount and calculating your tax accordingly.</w:t>
      </w:r>
    </w:p>
    <w:p>
      <w:pPr>
        <w:spacing w:after="0" w:line="17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13.</w:t>
        <w:tab/>
        <w:t>WHAT ARE THE U.S. TAX CONSEQUENCES OF PARTICIPATION IN THE PLAN?</w:t>
      </w:r>
    </w:p>
    <w:p>
      <w:pPr>
        <w:spacing w:after="0" w:line="225"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Australian residents who are not U.S. citizens or tax residents should not be subject to U.S. tax by reason only of the award or vesting of the Performance RSUs and/or the sale of Shares, except with respect to dividends as described above. However, liability for U.S. tax may accrue if an Australian resident is otherwise subject to U.S. tax.</w:t>
      </w:r>
    </w:p>
    <w:p>
      <w:pPr>
        <w:spacing w:after="0" w:line="12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This is only an indication of the likely U.S. tax consequences for an Australian resident who is awarded Performance RSUs under the Plan. Each Australian resident should seek his or her own advice as to the U.S. tax consequences of the Plan.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C - 6</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b w:val="1"/>
          <w:bCs w:val="1"/>
          <w:u w:val="single" w:color="auto"/>
          <w:color w:val="auto"/>
        </w:rPr>
        <w:t>APPENDIX 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EMPLOYER INFORMATION STATEMENT – DENMARK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31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33" w:lineRule="exact"/>
        <w:rPr>
          <w:sz w:val="20"/>
          <w:szCs w:val="20"/>
          <w:color w:val="auto"/>
        </w:rPr>
      </w:pPr>
    </w:p>
    <w:p>
      <w:pPr>
        <w:ind w:left="300" w:hanging="292"/>
        <w:spacing w:after="0"/>
        <w:tabs>
          <w:tab w:leader="none" w:pos="30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Date of Grant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 approved the grant of Performance RSUs under the Plan on Grant Date. On this basis, the Date of Grant for your Performance RSUs is Grant Date.</w:t>
      </w:r>
    </w:p>
    <w:p>
      <w:pPr>
        <w:spacing w:after="0" w:line="18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Terms and Conditions of the Performance RSU Grant</w:t>
      </w:r>
    </w:p>
    <w:p>
      <w:pPr>
        <w:spacing w:after="0" w:line="23" w:lineRule="exact"/>
        <w:rPr>
          <w:sz w:val="20"/>
          <w:szCs w:val="20"/>
          <w:color w:val="auto"/>
        </w:rPr>
      </w:pPr>
    </w:p>
    <w:p>
      <w:pPr>
        <w:jc w:val="both"/>
        <w:ind w:left="660"/>
        <w:spacing w:after="0" w:line="268" w:lineRule="auto"/>
        <w:rPr>
          <w:sz w:val="20"/>
          <w:szCs w:val="20"/>
          <w:color w:val="auto"/>
        </w:rPr>
      </w:pPr>
      <w:r>
        <w:rPr>
          <w:rFonts w:ascii="Arial" w:cs="Arial" w:eastAsia="Arial" w:hAnsi="Arial"/>
          <w:sz w:val="15"/>
          <w:szCs w:val="15"/>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20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Vesting Date of Performance RSUs</w:t>
      </w:r>
    </w:p>
    <w:p>
      <w:pPr>
        <w:spacing w:after="0" w:line="171" w:lineRule="exact"/>
        <w:rPr>
          <w:sz w:val="20"/>
          <w:szCs w:val="20"/>
          <w:color w:val="auto"/>
        </w:rPr>
      </w:pPr>
    </w:p>
    <w:p>
      <w:pPr>
        <w:jc w:val="both"/>
        <w:ind w:left="660"/>
        <w:spacing w:after="0" w:line="286" w:lineRule="auto"/>
        <w:rPr>
          <w:sz w:val="20"/>
          <w:szCs w:val="20"/>
          <w:color w:val="auto"/>
        </w:rPr>
      </w:pPr>
      <w:r>
        <w:rPr>
          <w:rFonts w:ascii="Arial" w:cs="Arial" w:eastAsia="Arial" w:hAnsi="Arial"/>
          <w:sz w:val="15"/>
          <w:szCs w:val="15"/>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When your Performance RSUs vest, the Company will issue one share of the Company’s common stock to you in settlement of each vested Performance RSU.</w:t>
      </w:r>
    </w:p>
    <w:p>
      <w:pPr>
        <w:spacing w:after="0" w:line="175" w:lineRule="exact"/>
        <w:rPr>
          <w:sz w:val="20"/>
          <w:szCs w:val="20"/>
          <w:color w:val="auto"/>
        </w:rPr>
      </w:pPr>
    </w:p>
    <w:p>
      <w:pPr>
        <w:ind w:left="300" w:hanging="292"/>
        <w:spacing w:after="0"/>
        <w:tabs>
          <w:tab w:leader="none" w:pos="30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p>
    <w:p>
      <w:pPr>
        <w:spacing w:after="0" w:line="171" w:lineRule="exact"/>
        <w:rPr>
          <w:sz w:val="20"/>
          <w:szCs w:val="20"/>
          <w:color w:val="auto"/>
        </w:rPr>
      </w:pPr>
    </w:p>
    <w:p>
      <w:pPr>
        <w:ind w:left="660"/>
        <w:spacing w:after="0" w:line="275" w:lineRule="auto"/>
        <w:rPr>
          <w:sz w:val="20"/>
          <w:szCs w:val="20"/>
          <w:color w:val="auto"/>
        </w:rPr>
      </w:pPr>
      <w:r>
        <w:rPr>
          <w:rFonts w:ascii="Arial" w:cs="Arial" w:eastAsia="Arial" w:hAnsi="Arial"/>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1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Your Rights upon Termination of Service</w:t>
      </w:r>
    </w:p>
    <w:p>
      <w:pPr>
        <w:spacing w:after="0" w:line="171" w:lineRule="exact"/>
        <w:rPr>
          <w:sz w:val="20"/>
          <w:szCs w:val="20"/>
          <w:color w:val="auto"/>
        </w:rPr>
      </w:pPr>
    </w:p>
    <w:p>
      <w:pPr>
        <w:ind w:left="660"/>
        <w:spacing w:after="0" w:line="275" w:lineRule="auto"/>
        <w:rPr>
          <w:sz w:val="20"/>
          <w:szCs w:val="20"/>
          <w:color w:val="auto"/>
        </w:rPr>
      </w:pPr>
      <w:r>
        <w:rPr>
          <w:rFonts w:ascii="Arial" w:cs="Arial" w:eastAsia="Arial" w:hAnsi="Arial"/>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14" w:lineRule="exact"/>
        <w:rPr>
          <w:sz w:val="20"/>
          <w:szCs w:val="20"/>
          <w:color w:val="auto"/>
        </w:rPr>
      </w:pPr>
    </w:p>
    <w:p>
      <w:pPr>
        <w:ind w:left="300" w:hanging="292"/>
        <w:spacing w:after="0"/>
        <w:tabs>
          <w:tab w:leader="none" w:pos="30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Aspects of Participating in the Plan</w:t>
      </w:r>
    </w:p>
    <w:p>
      <w:pPr>
        <w:spacing w:after="0" w:line="171"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29" w:lineRule="exact"/>
        <w:rPr>
          <w:sz w:val="20"/>
          <w:szCs w:val="20"/>
          <w:color w:val="auto"/>
        </w:rPr>
      </w:pPr>
    </w:p>
    <w:p>
      <w:pPr>
        <w:jc w:val="both"/>
        <w:ind w:left="660"/>
        <w:spacing w:after="0" w:line="269" w:lineRule="auto"/>
        <w:rPr>
          <w:sz w:val="20"/>
          <w:szCs w:val="20"/>
          <w:color w:val="auto"/>
        </w:rPr>
      </w:pPr>
      <w:r>
        <w:rPr>
          <w:rFonts w:ascii="Arial" w:cs="Arial" w:eastAsia="Arial" w:hAnsi="Arial"/>
          <w:sz w:val="15"/>
          <w:szCs w:val="15"/>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 w:lineRule="exact"/>
        <w:rPr>
          <w:sz w:val="20"/>
          <w:szCs w:val="20"/>
          <w:color w:val="auto"/>
        </w:rPr>
      </w:pPr>
    </w:p>
    <w:p>
      <w:pPr>
        <w:ind w:left="300" w:hanging="292"/>
        <w:spacing w:after="0"/>
        <w:tabs>
          <w:tab w:leader="none" w:pos="30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Other Issues</w:t>
      </w:r>
    </w:p>
    <w:p>
      <w:pPr>
        <w:spacing w:after="0" w:line="5" w:lineRule="exact"/>
        <w:rPr>
          <w:sz w:val="20"/>
          <w:szCs w:val="20"/>
          <w:color w:val="auto"/>
        </w:rPr>
      </w:pPr>
    </w:p>
    <w:p>
      <w:pPr>
        <w:ind w:left="660"/>
        <w:spacing w:after="0" w:line="290"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- 1</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6"/>
          <w:szCs w:val="16"/>
          <w:b w:val="1"/>
          <w:bCs w:val="1"/>
          <w:u w:val="single" w:color="auto"/>
          <w:color w:val="auto"/>
        </w:rPr>
        <w:t>APPENDIX D</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EMPLOYER INFORMATION STATEMENT – DENMARK</w:t>
      </w:r>
    </w:p>
    <w:p>
      <w:pPr>
        <w:spacing w:after="0" w:line="5"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- 2</w:t>
      </w:r>
    </w:p>
    <w:p>
      <w:pPr>
        <w:sectPr>
          <w:pgSz w:w="11900" w:h="16838" w:orient="portrait"/>
          <w:cols w:equalWidth="0" w:num="1">
            <w:col w:w="10139"/>
          </w:cols>
          <w:pgMar w:left="320" w:top="1440" w:right="1440" w:bottom="1440" w:gutter="0" w:footer="0" w:header="0"/>
        </w:sectPr>
      </w:pPr>
    </w:p>
    <w:bookmarkStart w:id="157" w:name="page158"/>
    <w:bookmarkEnd w:id="15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6"/>
          <w:szCs w:val="16"/>
          <w:b w:val="1"/>
          <w:bCs w:val="1"/>
          <w:color w:val="auto"/>
        </w:rPr>
        <w:t>ARBEJDSGIVERERKLÆRING – DANMARK</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80"/>
        <w:spacing w:after="0" w:line="271"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Performance Restricted Stock Unit Agreement</w:t>
      </w:r>
      <w:r>
        <w:rPr>
          <w:rFonts w:ascii="Arial" w:cs="Arial" w:eastAsia="Arial" w:hAnsi="Arial"/>
          <w:sz w:val="16"/>
          <w:szCs w:val="16"/>
          <w:color w:val="auto"/>
        </w:rPr>
        <w:t xml:space="preserve"> (“Aftalen”), i tillægget til Aftalen og i Ordningen.</w:t>
      </w:r>
    </w:p>
    <w:p>
      <w:pPr>
        <w:spacing w:after="0" w:line="105"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136"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117" w:lineRule="exact"/>
        <w:rPr>
          <w:sz w:val="20"/>
          <w:szCs w:val="20"/>
          <w:color w:val="auto"/>
        </w:rPr>
      </w:pPr>
    </w:p>
    <w:p>
      <w:pPr>
        <w:jc w:val="both"/>
        <w:ind w:left="180"/>
        <w:spacing w:after="0" w:line="293" w:lineRule="auto"/>
        <w:rPr>
          <w:sz w:val="20"/>
          <w:szCs w:val="20"/>
          <w:color w:val="auto"/>
        </w:rPr>
      </w:pPr>
      <w:r>
        <w:rPr>
          <w:rFonts w:ascii="Arial" w:cs="Arial" w:eastAsia="Arial" w:hAnsi="Arial"/>
          <w:sz w:val="15"/>
          <w:szCs w:val="15"/>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1" w:lineRule="exact"/>
        <w:rPr>
          <w:sz w:val="20"/>
          <w:szCs w:val="20"/>
          <w:color w:val="auto"/>
        </w:rPr>
      </w:pPr>
    </w:p>
    <w:p>
      <w:pPr>
        <w:ind w:left="460" w:hanging="288"/>
        <w:spacing w:after="0"/>
        <w:tabs>
          <w:tab w:leader="none" w:pos="46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Modningsdato for RSU’er</w:t>
      </w:r>
    </w:p>
    <w:p>
      <w:pPr>
        <w:spacing w:after="0" w:line="117" w:lineRule="exact"/>
        <w:rPr>
          <w:sz w:val="20"/>
          <w:szCs w:val="20"/>
          <w:color w:val="auto"/>
        </w:rPr>
      </w:pPr>
    </w:p>
    <w:p>
      <w:pPr>
        <w:jc w:val="both"/>
        <w:ind w:left="180"/>
        <w:spacing w:after="0" w:line="278"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150" w:lineRule="exact"/>
        <w:rPr>
          <w:sz w:val="20"/>
          <w:szCs w:val="20"/>
          <w:color w:val="auto"/>
        </w:rPr>
      </w:pPr>
    </w:p>
    <w:p>
      <w:pPr>
        <w:ind w:left="460" w:hanging="288"/>
        <w:spacing w:after="0"/>
        <w:tabs>
          <w:tab w:leader="none" w:pos="460"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Udnyttelseskurs</w:t>
      </w:r>
    </w:p>
    <w:p>
      <w:pPr>
        <w:spacing w:after="0" w:line="117"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73" w:lineRule="exact"/>
        <w:rPr>
          <w:sz w:val="20"/>
          <w:szCs w:val="20"/>
          <w:color w:val="auto"/>
        </w:rPr>
      </w:pPr>
    </w:p>
    <w:p>
      <w:pPr>
        <w:ind w:left="460" w:hanging="288"/>
        <w:spacing w:after="0"/>
        <w:tabs>
          <w:tab w:leader="none" w:pos="46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Din retsstilling i forbindelse med fratræden</w:t>
      </w:r>
    </w:p>
    <w:p>
      <w:pPr>
        <w:spacing w:after="0" w:line="117" w:lineRule="exact"/>
        <w:rPr>
          <w:sz w:val="20"/>
          <w:szCs w:val="20"/>
          <w:color w:val="auto"/>
        </w:rPr>
      </w:pPr>
    </w:p>
    <w:p>
      <w:pPr>
        <w:ind w:left="180" w:right="20"/>
        <w:spacing w:after="0" w:line="293"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87" w:lineRule="exact"/>
        <w:rPr>
          <w:sz w:val="20"/>
          <w:szCs w:val="20"/>
          <w:color w:val="auto"/>
        </w:rPr>
      </w:pPr>
    </w:p>
    <w:p>
      <w:pPr>
        <w:ind w:left="460" w:hanging="288"/>
        <w:spacing w:after="0"/>
        <w:tabs>
          <w:tab w:leader="none" w:pos="46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Økonomiske aspekter ved at deltage i Ordningen</w:t>
      </w:r>
    </w:p>
    <w:p>
      <w:pPr>
        <w:spacing w:after="0" w:line="117" w:lineRule="exact"/>
        <w:rPr>
          <w:sz w:val="20"/>
          <w:szCs w:val="20"/>
          <w:color w:val="auto"/>
        </w:rPr>
      </w:pPr>
    </w:p>
    <w:p>
      <w:pPr>
        <w:jc w:val="both"/>
        <w:ind w:left="180" w:right="20"/>
        <w:spacing w:after="0" w:line="278"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0" w:lineRule="exact"/>
        <w:rPr>
          <w:sz w:val="20"/>
          <w:szCs w:val="20"/>
          <w:color w:val="auto"/>
        </w:rPr>
      </w:pPr>
    </w:p>
    <w:p>
      <w:pPr>
        <w:jc w:val="both"/>
        <w:ind w:left="180"/>
        <w:spacing w:after="0" w:line="305" w:lineRule="auto"/>
        <w:rPr>
          <w:sz w:val="20"/>
          <w:szCs w:val="20"/>
          <w:color w:val="auto"/>
        </w:rPr>
      </w:pPr>
      <w:r>
        <w:rPr>
          <w:rFonts w:ascii="Arial" w:cs="Arial" w:eastAsia="Arial" w:hAnsi="Arial"/>
          <w:sz w:val="15"/>
          <w:szCs w:val="15"/>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81" w:lineRule="exact"/>
        <w:rPr>
          <w:sz w:val="20"/>
          <w:szCs w:val="20"/>
          <w:color w:val="auto"/>
        </w:rPr>
      </w:pPr>
    </w:p>
    <w:p>
      <w:pPr>
        <w:ind w:left="460" w:hanging="288"/>
        <w:spacing w:after="0"/>
        <w:tabs>
          <w:tab w:leader="none" w:pos="460" w:val="left"/>
        </w:tabs>
        <w:numPr>
          <w:ilvl w:val="0"/>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Diverse</w:t>
      </w:r>
    </w:p>
    <w:p>
      <w:pPr>
        <w:spacing w:after="0" w:line="117" w:lineRule="exact"/>
        <w:rPr>
          <w:sz w:val="20"/>
          <w:szCs w:val="20"/>
          <w:color w:val="auto"/>
        </w:rPr>
      </w:pPr>
    </w:p>
    <w:p>
      <w:pPr>
        <w:jc w:val="both"/>
        <w:ind w:left="180" w:right="20"/>
        <w:spacing w:after="0" w:line="278" w:lineRule="auto"/>
        <w:rPr>
          <w:sz w:val="20"/>
          <w:szCs w:val="20"/>
          <w:color w:val="auto"/>
        </w:rPr>
      </w:pPr>
      <w:r>
        <w:rPr>
          <w:rFonts w:ascii="Arial" w:cs="Arial" w:eastAsia="Arial" w:hAnsi="Arial"/>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APPENDIX D - 3</w:t>
      </w:r>
    </w:p>
    <w:p>
      <w:pPr>
        <w:sectPr>
          <w:pgSz w:w="11900" w:h="16838" w:orient="portrait"/>
          <w:cols w:equalWidth="0" w:num="1">
            <w:col w:w="10760"/>
          </w:cols>
          <w:pgMar w:left="480" w:top="1440" w:right="659" w:bottom="1440" w:gutter="0" w:footer="0" w:header="0"/>
        </w:sectPr>
      </w:pPr>
    </w:p>
    <w:bookmarkStart w:id="158" w:name="page159"/>
    <w:bookmarkEnd w:id="158"/>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1120"/>
        <w:spacing w:after="0"/>
        <w:rPr>
          <w:sz w:val="20"/>
          <w:szCs w:val="20"/>
          <w:color w:val="auto"/>
        </w:rPr>
      </w:pPr>
      <w:r>
        <w:rPr>
          <w:rFonts w:ascii="Arial" w:cs="Arial" w:eastAsia="Arial" w:hAnsi="Arial"/>
          <w:sz w:val="16"/>
          <w:szCs w:val="16"/>
          <w:b w:val="1"/>
          <w:bCs w:val="1"/>
          <w:color w:val="auto"/>
        </w:rPr>
        <w:t>ARBEJDSGIVERERKLÆRING – DANMARK</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APPENDIX D - 4</w:t>
      </w:r>
    </w:p>
    <w:p>
      <w:pPr>
        <w:sectPr>
          <w:pgSz w:w="11900" w:h="16838" w:orient="portrait"/>
          <w:cols w:equalWidth="0" w:num="1">
            <w:col w:w="10139"/>
          </w:cols>
          <w:pgMar w:left="320" w:top="1440" w:right="1440" w:bottom="1440" w:gutter="0" w:footer="0" w:header="0"/>
        </w:sectPr>
      </w:pPr>
    </w:p>
    <w:bookmarkStart w:id="159" w:name="page160"/>
    <w:bookmarkEnd w:id="159"/>
    <w:p>
      <w:pPr>
        <w:jc w:val="center"/>
        <w:ind w:right="-17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t>APPENDIX E</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80"/>
        <w:spacing w:after="0" w:line="263" w:lineRule="auto"/>
        <w:rPr>
          <w:sz w:val="20"/>
          <w:szCs w:val="20"/>
          <w:color w:val="auto"/>
        </w:rPr>
      </w:pPr>
      <w:r>
        <w:rPr>
          <w:rFonts w:ascii="Arial" w:cs="Arial" w:eastAsia="Arial" w:hAnsi="Arial"/>
          <w:sz w:val="16"/>
          <w:szCs w:val="16"/>
          <w:b w:val="1"/>
          <w:bCs w:val="1"/>
          <w:u w:val="single" w:color="auto"/>
          <w:color w:val="auto"/>
        </w:rPr>
        <w:t>Trust Arrangement</w:t>
      </w:r>
      <w:r>
        <w:rPr>
          <w:rFonts w:ascii="Arial" w:cs="Arial" w:eastAsia="Arial" w:hAnsi="Arial"/>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223" w:lineRule="exact"/>
        <w:rPr>
          <w:sz w:val="20"/>
          <w:szCs w:val="20"/>
          <w:color w:val="auto"/>
        </w:rPr>
      </w:pPr>
    </w:p>
    <w:p>
      <w:pPr>
        <w:jc w:val="both"/>
        <w:ind w:left="180"/>
        <w:spacing w:after="0" w:line="274" w:lineRule="auto"/>
        <w:rPr>
          <w:sz w:val="20"/>
          <w:szCs w:val="20"/>
          <w:color w:val="auto"/>
        </w:rPr>
      </w:pPr>
      <w:r>
        <w:rPr>
          <w:rFonts w:ascii="Arial" w:cs="Arial" w:eastAsia="Arial" w:hAnsi="Arial"/>
          <w:sz w:val="15"/>
          <w:szCs w:val="15"/>
          <w:color w:val="auto"/>
        </w:rPr>
        <w:t>The Participant hereby understands and agrees that the Performance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Performance RSUs granted to the Participant in Israel.</w:t>
      </w:r>
    </w:p>
    <w:p>
      <w:pPr>
        <w:spacing w:after="0" w:line="213" w:lineRule="exact"/>
        <w:rPr>
          <w:sz w:val="20"/>
          <w:szCs w:val="20"/>
          <w:color w:val="auto"/>
        </w:rPr>
      </w:pPr>
    </w:p>
    <w:p>
      <w:pPr>
        <w:jc w:val="both"/>
        <w:ind w:left="180" w:right="20"/>
        <w:spacing w:after="0" w:line="280" w:lineRule="auto"/>
        <w:rPr>
          <w:sz w:val="20"/>
          <w:szCs w:val="20"/>
          <w:color w:val="auto"/>
        </w:rPr>
      </w:pPr>
      <w:r>
        <w:rPr>
          <w:rFonts w:ascii="Arial" w:cs="Arial" w:eastAsia="Arial" w:hAnsi="Arial"/>
          <w:sz w:val="16"/>
          <w:szCs w:val="16"/>
          <w:b w:val="1"/>
          <w:bCs w:val="1"/>
          <w:color w:val="auto"/>
        </w:rPr>
        <w:t>Please sign this Israeli Appendix and return it to the address shown on the top within 45 days of receipt. If Analog Devices, (Israel) Ltd. or Analog Devices, Inc. does not receive your signed Israel Appendix, your Performance RSUs shall terminate and will become null and void.</w:t>
      </w:r>
    </w:p>
    <w:p>
      <w:pPr>
        <w:sectPr>
          <w:pgSz w:w="11900" w:h="16838" w:orient="portrait"/>
          <w:cols w:equalWidth="0" w:num="1">
            <w:col w:w="10760"/>
          </w:cols>
          <w:pgMar w:left="480" w:top="1287" w:right="6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_________________________________________________</w:t>
      </w:r>
    </w:p>
    <w:p>
      <w:pPr>
        <w:spacing w:after="0" w:line="42" w:lineRule="exact"/>
        <w:rPr>
          <w:sz w:val="20"/>
          <w:szCs w:val="20"/>
          <w:color w:val="auto"/>
        </w:rPr>
      </w:pPr>
    </w:p>
    <w:p>
      <w:pPr>
        <w:ind w:left="340"/>
        <w:spacing w:after="0"/>
        <w:tabs>
          <w:tab w:leader="none" w:pos="2720" w:val="left"/>
        </w:tabs>
        <w:rPr>
          <w:sz w:val="20"/>
          <w:szCs w:val="20"/>
          <w:color w:val="auto"/>
        </w:rPr>
      </w:pPr>
      <w:r>
        <w:rPr>
          <w:rFonts w:ascii="Arial" w:cs="Arial" w:eastAsia="Arial" w:hAnsi="Arial"/>
          <w:sz w:val="16"/>
          <w:szCs w:val="16"/>
          <w:color w:val="auto"/>
        </w:rPr>
        <w:t>Name: Participant Name</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w:t>
      </w:r>
    </w:p>
    <w:p>
      <w:pPr>
        <w:spacing w:after="0" w:line="425" w:lineRule="exact"/>
        <w:rPr>
          <w:sz w:val="20"/>
          <w:szCs w:val="20"/>
          <w:color w:val="auto"/>
        </w:rPr>
      </w:pPr>
    </w:p>
    <w:p>
      <w:pPr>
        <w:sectPr>
          <w:pgSz w:w="11900" w:h="16838" w:orient="portrait"/>
          <w:cols w:equalWidth="0" w:num="2">
            <w:col w:w="4140" w:space="320"/>
            <w:col w:w="6300"/>
          </w:cols>
          <w:pgMar w:left="480" w:top="1287" w:right="6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APPENDIX E - 1</w:t>
      </w:r>
    </w:p>
    <w:p>
      <w:pPr>
        <w:sectPr>
          <w:pgSz w:w="11900" w:h="16838" w:orient="portrait"/>
          <w:cols w:equalWidth="0" w:num="1">
            <w:col w:w="10760"/>
          </w:cols>
          <w:pgMar w:left="480" w:top="1287" w:right="659" w:bottom="1440" w:gutter="0" w:footer="0" w:header="0"/>
          <w:type w:val="continuous"/>
        </w:sectPr>
      </w:pPr>
    </w:p>
    <w:bookmarkStart w:id="160" w:name="page161"/>
    <w:bookmarkEnd w:id="160"/>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6"/>
          <w:szCs w:val="16"/>
          <w:b w:val="1"/>
          <w:bCs w:val="1"/>
          <w:color w:val="auto"/>
        </w:rPr>
        <w:t>APPENDIX F TO</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7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11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you agree that any employer’s NICs liability that may arise in connection with your Awards will be transferred to you;</w:t>
      </w:r>
    </w:p>
    <w:p>
      <w:pPr>
        <w:spacing w:after="0" w:line="19" w:lineRule="exact"/>
        <w:rPr>
          <w:sz w:val="20"/>
          <w:szCs w:val="20"/>
          <w:color w:val="auto"/>
        </w:rPr>
      </w:pPr>
    </w:p>
    <w:p>
      <w:pPr>
        <w:ind w:left="660" w:right="20" w:hanging="159"/>
        <w:spacing w:after="0" w:line="246" w:lineRule="auto"/>
        <w:rPr>
          <w:sz w:val="20"/>
          <w:szCs w:val="20"/>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spacing w:after="0" w:line="1" w:lineRule="exact"/>
        <w:rPr>
          <w:sz w:val="20"/>
          <w:szCs w:val="20"/>
          <w:color w:val="auto"/>
        </w:rPr>
      </w:pPr>
    </w:p>
    <w:p>
      <w:pPr>
        <w:ind w:left="660" w:hanging="123"/>
        <w:spacing w:after="0" w:line="257" w:lineRule="auto"/>
        <w:rPr>
          <w:sz w:val="20"/>
          <w:szCs w:val="20"/>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APPENDIX F - 1</w:t>
      </w:r>
    </w:p>
    <w:p>
      <w:pPr>
        <w:sectPr>
          <w:pgSz w:w="11900" w:h="16838" w:orient="portrait"/>
          <w:cols w:equalWidth="0" w:num="1">
            <w:col w:w="10920"/>
          </w:cols>
          <w:pgMar w:left="320" w:top="1440" w:right="659" w:bottom="1440" w:gutter="0" w:footer="0" w:header="0"/>
        </w:sectPr>
      </w:pPr>
    </w:p>
    <w:bookmarkStart w:id="161" w:name="page162"/>
    <w:bookmarkEnd w:id="16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6"/>
          <w:szCs w:val="16"/>
          <w:b w:val="1"/>
          <w:bCs w:val="1"/>
          <w:color w:val="auto"/>
        </w:rPr>
        <w:t>APPENDIX F TO</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63" w:lineRule="exact"/>
        <w:rPr>
          <w:sz w:val="20"/>
          <w:szCs w:val="20"/>
          <w:color w:val="auto"/>
        </w:rPr>
      </w:pPr>
    </w:p>
    <w:p>
      <w:pPr>
        <w:ind w:left="660" w:hanging="652"/>
        <w:spacing w:after="0" w:line="263" w:lineRule="auto"/>
        <w:tabs>
          <w:tab w:leader="none" w:pos="34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24" w:lineRule="exact"/>
        <w:rPr>
          <w:rFonts w:ascii="Arial" w:cs="Arial" w:eastAsia="Arial" w:hAnsi="Arial"/>
          <w:sz w:val="16"/>
          <w:szCs w:val="16"/>
          <w:color w:val="auto"/>
        </w:rPr>
      </w:pPr>
    </w:p>
    <w:p>
      <w:pPr>
        <w:ind w:left="660" w:right="20" w:hanging="652"/>
        <w:spacing w:after="0" w:line="280" w:lineRule="auto"/>
        <w:tabs>
          <w:tab w:leader="none" w:pos="33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1" w:lineRule="exact"/>
        <w:rPr>
          <w:sz w:val="20"/>
          <w:szCs w:val="20"/>
          <w:color w:val="auto"/>
        </w:rPr>
      </w:pPr>
    </w:p>
    <w:p>
      <w:pPr>
        <w:ind w:left="300" w:hanging="292"/>
        <w:spacing w:after="0"/>
        <w:tabs>
          <w:tab w:leader="none" w:pos="30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52"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Plans.</w:t>
      </w:r>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244" w:lineRule="exact"/>
        <w:rPr>
          <w:sz w:val="20"/>
          <w:szCs w:val="20"/>
          <w:color w:val="auto"/>
        </w:rPr>
      </w:pPr>
    </w:p>
    <w:p>
      <w:pPr>
        <w:ind w:left="1000" w:hanging="344"/>
        <w:spacing w:after="0"/>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248" w:lineRule="exact"/>
        <w:rPr>
          <w:rFonts w:ascii="Arial" w:cs="Arial" w:eastAsia="Arial" w:hAnsi="Arial"/>
          <w:sz w:val="16"/>
          <w:szCs w:val="16"/>
          <w:color w:val="auto"/>
        </w:rPr>
      </w:pPr>
    </w:p>
    <w:p>
      <w:pPr>
        <w:ind w:left="1000" w:hanging="344"/>
        <w:spacing w:after="0"/>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Employment Income</w:t>
      </w:r>
      <w:r>
        <w:rPr>
          <w:rFonts w:ascii="Arial" w:cs="Arial" w:eastAsia="Arial" w:hAnsi="Arial"/>
          <w:sz w:val="16"/>
          <w:szCs w:val="16"/>
          <w:color w:val="auto"/>
        </w:rPr>
        <w:t>" from Awards on which employer's National Insurance Contributions becomes due is defined as:</w:t>
      </w:r>
    </w:p>
    <w:p>
      <w:pPr>
        <w:spacing w:after="0" w:line="252" w:lineRule="exact"/>
        <w:rPr>
          <w:rFonts w:ascii="Arial" w:cs="Arial" w:eastAsia="Arial" w:hAnsi="Arial"/>
          <w:sz w:val="16"/>
          <w:szCs w:val="16"/>
          <w:color w:val="auto"/>
        </w:rPr>
      </w:pPr>
    </w:p>
    <w:p>
      <w:pPr>
        <w:ind w:left="1960" w:right="20" w:hanging="656"/>
        <w:spacing w:after="0" w:line="275" w:lineRule="auto"/>
        <w:tabs>
          <w:tab w:leader="none" w:pos="1655"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99" w:lineRule="exact"/>
        <w:rPr>
          <w:rFonts w:ascii="Arial" w:cs="Arial" w:eastAsia="Arial" w:hAnsi="Arial"/>
          <w:sz w:val="16"/>
          <w:szCs w:val="16"/>
          <w:color w:val="auto"/>
        </w:rPr>
      </w:pPr>
    </w:p>
    <w:p>
      <w:pPr>
        <w:ind w:left="1960" w:right="20" w:hanging="656"/>
        <w:spacing w:after="0" w:line="275" w:lineRule="auto"/>
        <w:tabs>
          <w:tab w:leader="none" w:pos="17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99" w:lineRule="exact"/>
        <w:rPr>
          <w:rFonts w:ascii="Arial" w:cs="Arial" w:eastAsia="Arial" w:hAnsi="Arial"/>
          <w:sz w:val="16"/>
          <w:szCs w:val="16"/>
          <w:color w:val="auto"/>
        </w:rPr>
      </w:pPr>
    </w:p>
    <w:p>
      <w:pPr>
        <w:ind w:left="1960" w:hanging="656"/>
        <w:spacing w:after="0" w:line="275" w:lineRule="auto"/>
        <w:tabs>
          <w:tab w:leader="none" w:pos="181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99" w:lineRule="exact"/>
        <w:rPr>
          <w:rFonts w:ascii="Arial" w:cs="Arial" w:eastAsia="Arial" w:hAnsi="Arial"/>
          <w:sz w:val="16"/>
          <w:szCs w:val="16"/>
          <w:color w:val="auto"/>
        </w:rPr>
      </w:pPr>
    </w:p>
    <w:p>
      <w:pPr>
        <w:ind w:left="2340" w:hanging="388"/>
        <w:spacing w:after="0"/>
        <w:tabs>
          <w:tab w:leader="none" w:pos="2340" w:val="left"/>
        </w:tabs>
        <w:numPr>
          <w:ilvl w:val="2"/>
          <w:numId w:val="152"/>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248" w:lineRule="exact"/>
        <w:rPr>
          <w:rFonts w:ascii="Arial" w:cs="Arial" w:eastAsia="Arial" w:hAnsi="Arial"/>
          <w:sz w:val="16"/>
          <w:szCs w:val="16"/>
          <w:color w:val="auto"/>
        </w:rPr>
      </w:pPr>
    </w:p>
    <w:p>
      <w:pPr>
        <w:ind w:left="2600" w:right="20" w:hanging="648"/>
        <w:spacing w:after="0" w:line="275" w:lineRule="auto"/>
        <w:tabs>
          <w:tab w:leader="none" w:pos="2415" w:val="left"/>
        </w:tabs>
        <w:numPr>
          <w:ilvl w:val="2"/>
          <w:numId w:val="152"/>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99" w:lineRule="exact"/>
        <w:rPr>
          <w:rFonts w:ascii="Arial" w:cs="Arial" w:eastAsia="Arial" w:hAnsi="Arial"/>
          <w:sz w:val="16"/>
          <w:szCs w:val="16"/>
          <w:color w:val="auto"/>
        </w:rPr>
      </w:pPr>
    </w:p>
    <w:p>
      <w:pPr>
        <w:ind w:left="2600" w:right="20" w:hanging="648"/>
        <w:spacing w:after="0" w:line="275" w:lineRule="auto"/>
        <w:tabs>
          <w:tab w:leader="none" w:pos="2368" w:val="left"/>
        </w:tabs>
        <w:numPr>
          <w:ilvl w:val="2"/>
          <w:numId w:val="152"/>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195" w:lineRule="exact"/>
        <w:rPr>
          <w:rFonts w:ascii="Arial" w:cs="Arial" w:eastAsia="Arial" w:hAnsi="Arial"/>
          <w:sz w:val="16"/>
          <w:szCs w:val="16"/>
          <w:color w:val="auto"/>
        </w:rPr>
      </w:pPr>
    </w:p>
    <w:p>
      <w:pPr>
        <w:ind w:left="1000" w:hanging="344"/>
        <w:spacing w:after="0"/>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248" w:lineRule="exact"/>
        <w:rPr>
          <w:rFonts w:ascii="Arial" w:cs="Arial" w:eastAsia="Arial" w:hAnsi="Arial"/>
          <w:sz w:val="16"/>
          <w:szCs w:val="16"/>
          <w:color w:val="auto"/>
        </w:rPr>
      </w:pPr>
    </w:p>
    <w:p>
      <w:pPr>
        <w:ind w:left="1000" w:hanging="344"/>
        <w:spacing w:after="0"/>
        <w:tabs>
          <w:tab w:leader="none" w:pos="10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252" w:lineRule="exact"/>
        <w:rPr>
          <w:sz w:val="20"/>
          <w:szCs w:val="20"/>
          <w:color w:val="auto"/>
        </w:rPr>
      </w:pPr>
    </w:p>
    <w:p>
      <w:pPr>
        <w:ind w:left="520" w:right="20" w:hanging="647"/>
        <w:spacing w:after="0" w:line="275" w:lineRule="auto"/>
        <w:tabs>
          <w:tab w:leader="none" w:pos="50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9" w:lineRule="exact"/>
        <w:rPr>
          <w:sz w:val="20"/>
          <w:szCs w:val="20"/>
          <w:color w:val="auto"/>
        </w:rPr>
      </w:pPr>
    </w:p>
    <w:p>
      <w:pPr>
        <w:ind w:left="400" w:right="20" w:hanging="647"/>
        <w:spacing w:after="0" w:line="275" w:lineRule="auto"/>
        <w:tabs>
          <w:tab w:leader="none" w:pos="380" w:val="left"/>
        </w:tabs>
        <w:rPr>
          <w:sz w:val="20"/>
          <w:szCs w:val="20"/>
          <w:color w:val="auto"/>
        </w:rPr>
      </w:pPr>
      <w:r>
        <w:rPr>
          <w:rFonts w:ascii="Arial" w:cs="Arial" w:eastAsia="Arial" w:hAnsi="Arial"/>
          <w:sz w:val="16"/>
          <w:szCs w:val="16"/>
          <w:color w:val="auto"/>
        </w:rPr>
        <w:t>1.4</w:t>
        <w:tab/>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9" w:lineRule="exact"/>
        <w:rPr>
          <w:sz w:val="20"/>
          <w:szCs w:val="20"/>
          <w:color w:val="auto"/>
        </w:rPr>
      </w:pPr>
    </w:p>
    <w:p>
      <w:pPr>
        <w:ind w:left="360" w:hanging="647"/>
        <w:spacing w:after="0" w:line="275" w:lineRule="auto"/>
        <w:tabs>
          <w:tab w:leader="none" w:pos="340" w:val="left"/>
        </w:tabs>
        <w:rPr>
          <w:sz w:val="20"/>
          <w:szCs w:val="20"/>
          <w:color w:val="auto"/>
        </w:rPr>
      </w:pPr>
      <w:r>
        <w:rPr>
          <w:rFonts w:ascii="Arial" w:cs="Arial" w:eastAsia="Arial" w:hAnsi="Arial"/>
          <w:sz w:val="16"/>
          <w:szCs w:val="16"/>
          <w:color w:val="auto"/>
        </w:rPr>
        <w:t>1.5</w:t>
        <w:tab/>
        <w:t>This Election does not apply to the extent that it relates to relevant employment income which is employment income of the earner by virtue of Chapter 3A of Part VII of ITEPA (employment income: securities with artificially depressed market value).</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APPENDIX F - 2</w:t>
      </w:r>
    </w:p>
    <w:p>
      <w:pPr>
        <w:sectPr>
          <w:pgSz w:w="11900" w:h="16838" w:orient="portrait"/>
          <w:cols w:equalWidth="0" w:num="1">
            <w:col w:w="10920"/>
          </w:cols>
          <w:pgMar w:left="320" w:top="1440" w:right="659" w:bottom="1440" w:gutter="0" w:footer="0" w:header="0"/>
          <w:type w:val="continuous"/>
        </w:sectPr>
      </w:pPr>
    </w:p>
    <w:bookmarkStart w:id="162" w:name="page163"/>
    <w:bookmarkEnd w:id="162"/>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APPENDIX F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32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The Election</w:t>
      </w:r>
    </w:p>
    <w:p>
      <w:pPr>
        <w:spacing w:after="0" w:line="252" w:lineRule="exact"/>
        <w:rPr>
          <w:sz w:val="20"/>
          <w:szCs w:val="20"/>
          <w:color w:val="auto"/>
        </w:rPr>
      </w:pPr>
    </w:p>
    <w:p>
      <w:pPr>
        <w:jc w:val="both"/>
        <w:ind w:left="660" w:right="320"/>
        <w:spacing w:after="0" w:line="286" w:lineRule="auto"/>
        <w:rPr>
          <w:sz w:val="20"/>
          <w:szCs w:val="20"/>
          <w:color w:val="auto"/>
        </w:rPr>
      </w:pPr>
      <w:r>
        <w:rPr>
          <w:rFonts w:ascii="Arial" w:cs="Arial" w:eastAsia="Arial" w:hAnsi="Arial"/>
          <w:sz w:val="15"/>
          <w:szCs w:val="15"/>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pacing w:after="0" w:line="108" w:lineRule="exact"/>
        <w:rPr>
          <w:sz w:val="20"/>
          <w:szCs w:val="20"/>
          <w:color w:val="auto"/>
        </w:rPr>
      </w:pPr>
    </w:p>
    <w:p>
      <w:pPr>
        <w:ind w:left="300" w:hanging="292"/>
        <w:spacing w:after="0"/>
        <w:tabs>
          <w:tab w:leader="none" w:pos="30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25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The Employee hereby authorizes the Company and/or the Employer to collect the Employer’s Liability in respect of any Relevant Employment Income from the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Employee at any time after the Chargeable Event:</w:t>
      </w:r>
    </w:p>
    <w:p>
      <w:pPr>
        <w:spacing w:after="0" w:line="234" w:lineRule="exact"/>
        <w:rPr>
          <w:sz w:val="20"/>
          <w:szCs w:val="20"/>
          <w:color w:val="auto"/>
        </w:rPr>
      </w:pPr>
    </w:p>
    <w:p>
      <w:pPr>
        <w:ind w:left="980" w:hanging="324"/>
        <w:spacing w:after="0"/>
        <w:tabs>
          <w:tab w:leader="none" w:pos="9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113" w:lineRule="exact"/>
        <w:rPr>
          <w:rFonts w:ascii="Arial" w:cs="Arial" w:eastAsia="Arial" w:hAnsi="Arial"/>
          <w:sz w:val="16"/>
          <w:szCs w:val="16"/>
          <w:color w:val="auto"/>
        </w:rPr>
      </w:pPr>
    </w:p>
    <w:p>
      <w:pPr>
        <w:ind w:left="1020" w:hanging="364"/>
        <w:spacing w:after="0"/>
        <w:tabs>
          <w:tab w:leader="none" w:pos="10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113" w:lineRule="exact"/>
        <w:rPr>
          <w:rFonts w:ascii="Arial" w:cs="Arial" w:eastAsia="Arial" w:hAnsi="Arial"/>
          <w:sz w:val="16"/>
          <w:szCs w:val="16"/>
          <w:color w:val="auto"/>
        </w:rPr>
      </w:pPr>
    </w:p>
    <w:p>
      <w:pPr>
        <w:ind w:left="1300" w:right="320" w:hanging="644"/>
        <w:spacing w:after="0" w:line="275" w:lineRule="auto"/>
        <w:tabs>
          <w:tab w:leader="none" w:pos="111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by arranging, on behalf of the Employee, for the sale of some of the securities which the Employee is entitled to receive in respect of the Awards; and/or</w:t>
      </w:r>
    </w:p>
    <w:p>
      <w:pPr>
        <w:spacing w:after="0" w:line="64" w:lineRule="exact"/>
        <w:rPr>
          <w:rFonts w:ascii="Arial" w:cs="Arial" w:eastAsia="Arial" w:hAnsi="Arial"/>
          <w:sz w:val="16"/>
          <w:szCs w:val="16"/>
          <w:color w:val="auto"/>
        </w:rPr>
      </w:pPr>
    </w:p>
    <w:p>
      <w:pPr>
        <w:ind w:left="1060" w:hanging="404"/>
        <w:spacing w:after="0"/>
        <w:tabs>
          <w:tab w:leader="none" w:pos="10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113" w:lineRule="exact"/>
        <w:rPr>
          <w:sz w:val="20"/>
          <w:szCs w:val="20"/>
          <w:color w:val="auto"/>
        </w:rPr>
      </w:pPr>
    </w:p>
    <w:p>
      <w:pPr>
        <w:jc w:val="both"/>
        <w:ind w:left="400" w:right="340" w:hanging="647"/>
        <w:spacing w:after="0" w:line="275" w:lineRule="auto"/>
        <w:tabs>
          <w:tab w:leader="none" w:pos="380" w:val="left"/>
        </w:tabs>
        <w:rPr>
          <w:sz w:val="20"/>
          <w:szCs w:val="20"/>
          <w:color w:val="auto"/>
        </w:rPr>
      </w:pPr>
      <w:r>
        <w:rPr>
          <w:rFonts w:ascii="Arial" w:cs="Arial" w:eastAsia="Arial" w:hAnsi="Arial"/>
          <w:sz w:val="16"/>
          <w:szCs w:val="16"/>
          <w:color w:val="auto"/>
        </w:rPr>
        <w:t>3.2</w:t>
        <w:tab/>
        <w:t>The Company hereby reserves for itself and the Employer the right to withhold the transfer of any securities in respect of the Awards to the Employee until full payment of the Employer’s Liability is received.</w:t>
      </w:r>
    </w:p>
    <w:p>
      <w:pPr>
        <w:spacing w:after="0" w:line="199" w:lineRule="exact"/>
        <w:rPr>
          <w:sz w:val="20"/>
          <w:szCs w:val="20"/>
          <w:color w:val="auto"/>
        </w:rPr>
      </w:pPr>
    </w:p>
    <w:p>
      <w:pPr>
        <w:jc w:val="both"/>
        <w:ind w:left="420" w:right="320" w:hanging="647"/>
        <w:spacing w:after="0" w:line="261" w:lineRule="auto"/>
        <w:tabs>
          <w:tab w:leader="none" w:pos="400" w:val="left"/>
        </w:tabs>
        <w:rPr>
          <w:sz w:val="20"/>
          <w:szCs w:val="20"/>
          <w:color w:val="auto"/>
        </w:rPr>
      </w:pPr>
      <w:r>
        <w:rPr>
          <w:rFonts w:ascii="Arial" w:cs="Arial" w:eastAsia="Arial" w:hAnsi="Arial"/>
          <w:sz w:val="16"/>
          <w:szCs w:val="16"/>
          <w:color w:val="auto"/>
        </w:rPr>
        <w:t>3.3</w:t>
        <w:tab/>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25" w:lineRule="exact"/>
        <w:rPr>
          <w:sz w:val="20"/>
          <w:szCs w:val="20"/>
          <w:color w:val="auto"/>
        </w:rPr>
      </w:pPr>
    </w:p>
    <w:p>
      <w:pPr>
        <w:ind w:left="300" w:hanging="292"/>
        <w:spacing w:after="0"/>
        <w:tabs>
          <w:tab w:leader="none" w:pos="30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252" w:lineRule="exact"/>
        <w:rPr>
          <w:sz w:val="20"/>
          <w:szCs w:val="20"/>
          <w:color w:val="auto"/>
        </w:rPr>
      </w:pPr>
    </w:p>
    <w:p>
      <w:pPr>
        <w:ind w:left="380" w:right="320" w:hanging="647"/>
        <w:spacing w:after="0" w:line="275" w:lineRule="auto"/>
        <w:tabs>
          <w:tab w:leader="none" w:pos="360" w:val="left"/>
        </w:tabs>
        <w:rPr>
          <w:sz w:val="20"/>
          <w:szCs w:val="20"/>
          <w:color w:val="auto"/>
        </w:rPr>
      </w:pPr>
      <w:r>
        <w:rPr>
          <w:rFonts w:ascii="Arial" w:cs="Arial" w:eastAsia="Arial" w:hAnsi="Arial"/>
          <w:sz w:val="16"/>
          <w:szCs w:val="16"/>
          <w:color w:val="auto"/>
        </w:rPr>
        <w:t>4.1</w:t>
        <w:tab/>
        <w:t>The Employee and the Company agree to be bound by the terms of this Election regardless of whether the Employee is transferred abroad or is not employed by the Employer on the date on which the Employer’s Liability becomes due.</w:t>
      </w:r>
    </w:p>
    <w:p>
      <w:pPr>
        <w:spacing w:after="0" w:line="19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This Election will continue in effect until the earliest of the following:</w:t>
      </w:r>
    </w:p>
    <w:p>
      <w:pPr>
        <w:spacing w:after="0" w:line="248" w:lineRule="exact"/>
        <w:rPr>
          <w:sz w:val="20"/>
          <w:szCs w:val="20"/>
          <w:color w:val="auto"/>
        </w:rPr>
      </w:pPr>
    </w:p>
    <w:p>
      <w:pPr>
        <w:ind w:left="980" w:hanging="324"/>
        <w:spacing w:after="0"/>
        <w:tabs>
          <w:tab w:leader="none" w:pos="98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67" w:lineRule="exact"/>
        <w:rPr>
          <w:rFonts w:ascii="Arial" w:cs="Arial" w:eastAsia="Arial" w:hAnsi="Arial"/>
          <w:sz w:val="16"/>
          <w:szCs w:val="16"/>
          <w:color w:val="auto"/>
        </w:rPr>
      </w:pPr>
    </w:p>
    <w:p>
      <w:pPr>
        <w:ind w:left="1060" w:hanging="404"/>
        <w:spacing w:after="0"/>
        <w:tabs>
          <w:tab w:leader="none" w:pos="10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67" w:lineRule="exact"/>
        <w:rPr>
          <w:rFonts w:ascii="Arial" w:cs="Arial" w:eastAsia="Arial" w:hAnsi="Arial"/>
          <w:sz w:val="16"/>
          <w:szCs w:val="16"/>
          <w:color w:val="auto"/>
        </w:rPr>
      </w:pPr>
    </w:p>
    <w:p>
      <w:pPr>
        <w:ind w:left="1100" w:hanging="444"/>
        <w:spacing w:after="0"/>
        <w:tabs>
          <w:tab w:leader="none" w:pos="11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67" w:lineRule="exact"/>
        <w:rPr>
          <w:rFonts w:ascii="Arial" w:cs="Arial" w:eastAsia="Arial" w:hAnsi="Arial"/>
          <w:sz w:val="16"/>
          <w:szCs w:val="16"/>
          <w:color w:val="auto"/>
        </w:rPr>
      </w:pPr>
    </w:p>
    <w:p>
      <w:pPr>
        <w:ind w:left="1300" w:hanging="644"/>
        <w:spacing w:after="0" w:line="275" w:lineRule="auto"/>
        <w:tabs>
          <w:tab w:leader="none" w:pos="112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248" w:lineRule="exact"/>
        <w:rPr>
          <w:sz w:val="20"/>
          <w:szCs w:val="20"/>
          <w:color w:val="auto"/>
        </w:rPr>
      </w:pPr>
    </w:p>
    <w:p>
      <w:pPr>
        <w:jc w:val="both"/>
        <w:ind w:left="380" w:hanging="647"/>
        <w:spacing w:after="0" w:line="261" w:lineRule="auto"/>
        <w:tabs>
          <w:tab w:leader="none" w:pos="360" w:val="left"/>
        </w:tabs>
        <w:rPr>
          <w:sz w:val="20"/>
          <w:szCs w:val="20"/>
          <w:color w:val="auto"/>
        </w:rPr>
      </w:pPr>
      <w:r>
        <w:rPr>
          <w:rFonts w:ascii="Arial" w:cs="Arial" w:eastAsia="Arial" w:hAnsi="Arial"/>
          <w:sz w:val="16"/>
          <w:szCs w:val="16"/>
          <w:color w:val="auto"/>
        </w:rPr>
        <w:t>4.4</w:t>
        <w:tab/>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clicking on the “ACCEPT” box, the Employee agrees to be bound by the terms of this Election.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APPENDIX F - 3</w:t>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APPENDIX F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Signature for and on behalf of Analog Devices, Inc.</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04292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Richard P. Ahern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Global Total Rewards &amp; HR Services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APPENDIX F - 4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1311275" cy="42037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20370"/>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16"/>
          <w:szCs w:val="16"/>
          <w:b w:val="1"/>
          <w:bCs w:val="1"/>
          <w:color w:val="auto"/>
        </w:rPr>
        <w:t>APPENDIX F TO</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Limited</w:t>
      </w: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9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50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15 Pressing Lane, Blyth Road, Hayes, England, UB3 1EP</w:t>
            </w:r>
          </w:p>
        </w:tc>
      </w:tr>
      <w:tr>
        <w:trPr>
          <w:trHeight w:val="237"/>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00895439</w:t>
            </w:r>
          </w:p>
        </w:tc>
      </w:tr>
      <w:tr>
        <w:trPr>
          <w:trHeight w:val="236"/>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6873689030216A</w:t>
            </w:r>
          </w:p>
        </w:tc>
      </w:tr>
      <w:tr>
        <w:trPr>
          <w:trHeight w:val="237"/>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120/A4055</w:t>
            </w:r>
          </w:p>
        </w:tc>
      </w:tr>
      <w:tr>
        <w:trPr>
          <w:trHeight w:val="548"/>
        </w:trPr>
        <w:tc>
          <w:tcPr>
            <w:tcW w:w="4900" w:type="dxa"/>
            <w:vAlign w:val="bottom"/>
          </w:tcPr>
          <w:p>
            <w:pPr>
              <w:spacing w:after="0"/>
              <w:rPr>
                <w:sz w:val="20"/>
                <w:szCs w:val="20"/>
                <w:color w:val="auto"/>
              </w:rPr>
            </w:pPr>
            <w:r>
              <w:rPr>
                <w:rFonts w:ascii="Arial" w:cs="Arial" w:eastAsia="Arial" w:hAnsi="Arial"/>
                <w:sz w:val="16"/>
                <w:szCs w:val="16"/>
                <w:color w:val="auto"/>
              </w:rPr>
              <w:t>Linear Technology (UK) Limited</w:t>
            </w:r>
          </w:p>
        </w:tc>
        <w:tc>
          <w:tcPr>
            <w:tcW w:w="5000" w:type="dxa"/>
            <w:vAlign w:val="bottom"/>
          </w:tcPr>
          <w:p>
            <w:pPr>
              <w:spacing w:after="0"/>
              <w:rPr>
                <w:sz w:val="24"/>
                <w:szCs w:val="24"/>
                <w:color w:val="auto"/>
              </w:rPr>
            </w:pPr>
          </w:p>
        </w:tc>
      </w:tr>
      <w:tr>
        <w:trPr>
          <w:trHeight w:val="235"/>
        </w:trPr>
        <w:tc>
          <w:tcPr>
            <w:tcW w:w="49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r>
      <w:tr>
        <w:trPr>
          <w:trHeight w:val="230"/>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3 The Listons, Liston Road, Marlow, Buckinghamshire, SL7 1FD</w:t>
            </w:r>
          </w:p>
        </w:tc>
      </w:tr>
      <w:tr>
        <w:trPr>
          <w:trHeight w:val="236"/>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02149602</w:t>
            </w:r>
          </w:p>
        </w:tc>
      </w:tr>
      <w:tr>
        <w:trPr>
          <w:trHeight w:val="236"/>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120PA00148447</w:t>
            </w:r>
          </w:p>
        </w:tc>
      </w:tr>
      <w:tr>
        <w:trPr>
          <w:trHeight w:val="237"/>
        </w:trPr>
        <w:tc>
          <w:tcPr>
            <w:tcW w:w="4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5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APPENDIX F - 5</w:t>
      </w:r>
    </w:p>
    <w:p>
      <w:pPr>
        <w:sectPr>
          <w:pgSz w:w="11900" w:h="16838" w:orient="portrait"/>
          <w:cols w:equalWidth="0" w:num="1">
            <w:col w:w="10139"/>
          </w:cols>
          <w:pgMar w:left="320" w:top="1440" w:right="1440" w:bottom="1440" w:gutter="0" w:footer="0" w:header="0"/>
        </w:sectPr>
      </w:pPr>
    </w:p>
    <w:bookmarkStart w:id="165" w:name="page166"/>
    <w:bookmarkEnd w:id="165"/>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b w:val="1"/>
          <w:bCs w:val="1"/>
          <w:color w:val="auto"/>
        </w:rPr>
        <w:t>Exhibit 10. 8</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2020 EQUITY INCENTIVE PLAN</w:t>
      </w:r>
    </w:p>
    <w:p>
      <w:pPr>
        <w:spacing w:after="0" w:line="5"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30"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66" w:lineRule="exact"/>
        <w:rPr>
          <w:sz w:val="20"/>
          <w:szCs w:val="20"/>
          <w:color w:val="auto"/>
        </w:rPr>
      </w:pPr>
    </w:p>
    <w:p>
      <w:pPr>
        <w:ind w:left="8"/>
        <w:spacing w:after="0"/>
        <w:rPr>
          <w:sz w:val="20"/>
          <w:szCs w:val="20"/>
          <w:color w:val="auto"/>
        </w:rPr>
      </w:pPr>
      <w:r>
        <w:rPr>
          <w:rFonts w:ascii="Arial" w:cs="Arial" w:eastAsia="Arial" w:hAnsi="Arial"/>
          <w:sz w:val="16"/>
          <w:szCs w:val="16"/>
          <w:color w:val="auto"/>
        </w:rPr>
        <w:t>Participant Name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6"/>
          <w:szCs w:val="16"/>
          <w:color w:val="auto"/>
        </w:rPr>
        <w:t>Employee ID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Grant ID: Client Grant ID</w:t>
      </w:r>
    </w:p>
    <w:p>
      <w:pPr>
        <w:spacing w:after="0" w:line="248" w:lineRule="exact"/>
        <w:rPr>
          <w:sz w:val="20"/>
          <w:szCs w:val="20"/>
          <w:color w:val="auto"/>
        </w:rPr>
      </w:pPr>
    </w:p>
    <w:p>
      <w:pPr>
        <w:jc w:val="both"/>
        <w:ind w:left="8" w:right="320"/>
        <w:spacing w:after="0" w:line="251"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38" w:lineRule="exact"/>
        <w:rPr>
          <w:sz w:val="20"/>
          <w:szCs w:val="20"/>
          <w:color w:val="auto"/>
        </w:rPr>
      </w:pPr>
    </w:p>
    <w:p>
      <w:pPr>
        <w:ind w:left="288" w:hanging="288"/>
        <w:spacing w:after="0"/>
        <w:tabs>
          <w:tab w:leader="none" w:pos="288"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67" w:lineRule="exact"/>
        <w:rPr>
          <w:sz w:val="20"/>
          <w:szCs w:val="20"/>
          <w:color w:val="auto"/>
        </w:rPr>
      </w:pPr>
    </w:p>
    <w:p>
      <w:pPr>
        <w:jc w:val="both"/>
        <w:ind w:left="328" w:right="320"/>
        <w:spacing w:after="0" w:line="275" w:lineRule="auto"/>
        <w:rPr>
          <w:sz w:val="20"/>
          <w:szCs w:val="20"/>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14" w:lineRule="exact"/>
        <w:rPr>
          <w:sz w:val="20"/>
          <w:szCs w:val="20"/>
          <w:color w:val="auto"/>
        </w:rPr>
      </w:pPr>
    </w:p>
    <w:p>
      <w:pPr>
        <w:ind w:left="328"/>
        <w:spacing w:after="0"/>
        <w:tabs>
          <w:tab w:leader="none" w:pos="1528" w:val="left"/>
        </w:tabs>
        <w:rPr>
          <w:sz w:val="20"/>
          <w:szCs w:val="20"/>
          <w:color w:val="auto"/>
        </w:rPr>
      </w:pPr>
      <w:r>
        <w:rPr>
          <w:rFonts w:ascii="Arial" w:cs="Arial" w:eastAsia="Arial" w:hAnsi="Arial"/>
          <w:sz w:val="16"/>
          <w:szCs w:val="16"/>
          <w:b w:val="1"/>
          <w:bCs w:val="1"/>
          <w:color w:val="0000CC"/>
        </w:rPr>
        <w:t>Date of Grant:</w:t>
      </w:r>
      <w:r>
        <w:rPr>
          <w:sz w:val="20"/>
          <w:szCs w:val="20"/>
          <w:color w:val="auto"/>
        </w:rPr>
        <w:tab/>
      </w:r>
      <w:r>
        <w:rPr>
          <w:rFonts w:ascii="Arial" w:cs="Arial" w:eastAsia="Arial" w:hAnsi="Arial"/>
          <w:sz w:val="15"/>
          <w:szCs w:val="15"/>
          <w:b w:val="1"/>
          <w:bCs w:val="1"/>
          <w:color w:val="0000CC"/>
        </w:rPr>
        <w:t>Grant Date</w:t>
      </w:r>
    </w:p>
    <w:p>
      <w:pPr>
        <w:spacing w:after="0" w:line="23" w:lineRule="exact"/>
        <w:rPr>
          <w:sz w:val="20"/>
          <w:szCs w:val="20"/>
          <w:color w:val="auto"/>
        </w:rPr>
      </w:pPr>
    </w:p>
    <w:p>
      <w:pPr>
        <w:ind w:left="328"/>
        <w:spacing w:after="0"/>
        <w:tabs>
          <w:tab w:leader="none" w:pos="4448" w:val="left"/>
        </w:tabs>
        <w:rPr>
          <w:sz w:val="20"/>
          <w:szCs w:val="20"/>
          <w:color w:val="auto"/>
        </w:rPr>
      </w:pPr>
      <w:r>
        <w:rPr>
          <w:rFonts w:ascii="Arial" w:cs="Arial" w:eastAsia="Arial" w:hAnsi="Arial"/>
          <w:sz w:val="16"/>
          <w:szCs w:val="16"/>
          <w:b w:val="1"/>
          <w:bCs w:val="1"/>
          <w:color w:val="0000CC"/>
        </w:rPr>
        <w:t>Number of Performance RSUs (“Initial Grant Number”):</w:t>
      </w:r>
      <w:r>
        <w:rPr>
          <w:sz w:val="20"/>
          <w:szCs w:val="20"/>
          <w:color w:val="auto"/>
        </w:rPr>
        <w:tab/>
      </w:r>
      <w:r>
        <w:rPr>
          <w:rFonts w:ascii="Arial" w:cs="Arial" w:eastAsia="Arial" w:hAnsi="Arial"/>
          <w:sz w:val="14"/>
          <w:szCs w:val="14"/>
          <w:b w:val="1"/>
          <w:bCs w:val="1"/>
          <w:color w:val="0000CC"/>
        </w:rPr>
        <w:t>Number of Awards Granted</w:t>
      </w:r>
    </w:p>
    <w:p>
      <w:pPr>
        <w:spacing w:after="0" w:line="5" w:lineRule="exact"/>
        <w:rPr>
          <w:sz w:val="20"/>
          <w:szCs w:val="20"/>
          <w:color w:val="auto"/>
        </w:rPr>
      </w:pPr>
    </w:p>
    <w:p>
      <w:pPr>
        <w:ind w:left="328"/>
        <w:spacing w:after="0"/>
        <w:tabs>
          <w:tab w:leader="none" w:pos="1428" w:val="left"/>
        </w:tabs>
        <w:rPr>
          <w:sz w:val="20"/>
          <w:szCs w:val="20"/>
          <w:color w:val="auto"/>
        </w:rPr>
      </w:pPr>
      <w:r>
        <w:rPr>
          <w:rFonts w:ascii="Arial" w:cs="Arial" w:eastAsia="Arial" w:hAnsi="Arial"/>
          <w:sz w:val="16"/>
          <w:szCs w:val="16"/>
          <w:b w:val="1"/>
          <w:bCs w:val="1"/>
          <w:color w:val="0000CC"/>
        </w:rPr>
        <w:t>Vesting Date:</w:t>
      </w:r>
      <w:r>
        <w:rPr>
          <w:sz w:val="20"/>
          <w:szCs w:val="20"/>
          <w:color w:val="auto"/>
        </w:rPr>
        <w:tab/>
      </w:r>
      <w:r>
        <w:rPr>
          <w:rFonts w:ascii="Arial" w:cs="Arial" w:eastAsia="Arial" w:hAnsi="Arial"/>
          <w:sz w:val="14"/>
          <w:szCs w:val="14"/>
          <w:b w:val="1"/>
          <w:bCs w:val="1"/>
          <w:color w:val="0000CC"/>
        </w:rPr>
        <w:t>Cliff Vesting on the 60th day following the end of the Performance Period</w:t>
      </w:r>
    </w:p>
    <w:p>
      <w:pPr>
        <w:spacing w:after="0" w:line="207" w:lineRule="exact"/>
        <w:rPr>
          <w:sz w:val="20"/>
          <w:szCs w:val="20"/>
          <w:color w:val="auto"/>
        </w:rPr>
      </w:pPr>
    </w:p>
    <w:p>
      <w:pPr>
        <w:jc w:val="both"/>
        <w:ind w:left="328" w:right="340"/>
        <w:spacing w:after="0" w:line="261" w:lineRule="auto"/>
        <w:rPr>
          <w:sz w:val="20"/>
          <w:szCs w:val="20"/>
          <w:color w:val="auto"/>
        </w:rPr>
      </w:pPr>
      <w:r>
        <w:rPr>
          <w:rFonts w:ascii="Arial" w:cs="Arial" w:eastAsia="Arial" w:hAnsi="Arial"/>
          <w:sz w:val="16"/>
          <w:szCs w:val="16"/>
          <w:color w:val="auto"/>
        </w:rPr>
        <w:t>If the Participant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83" w:lineRule="exact"/>
        <w:rPr>
          <w:sz w:val="20"/>
          <w:szCs w:val="20"/>
          <w:color w:val="auto"/>
        </w:rPr>
      </w:pPr>
    </w:p>
    <w:p>
      <w:pPr>
        <w:jc w:val="both"/>
        <w:ind w:left="328" w:right="320"/>
        <w:spacing w:after="0" w:line="256" w:lineRule="auto"/>
        <w:rPr>
          <w:sz w:val="20"/>
          <w:szCs w:val="20"/>
          <w:color w:val="auto"/>
        </w:rPr>
      </w:pPr>
      <w:r>
        <w:rPr>
          <w:rFonts w:ascii="Arial" w:cs="Arial" w:eastAsia="Arial" w:hAnsi="Arial"/>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33" w:lineRule="exact"/>
        <w:rPr>
          <w:sz w:val="20"/>
          <w:szCs w:val="20"/>
          <w:color w:val="auto"/>
        </w:rPr>
      </w:pPr>
    </w:p>
    <w:p>
      <w:pPr>
        <w:ind w:left="288" w:hanging="288"/>
        <w:spacing w:after="0"/>
        <w:tabs>
          <w:tab w:leader="none" w:pos="288"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right="320" w:hanging="324"/>
        <w:spacing w:after="0" w:line="288" w:lineRule="auto"/>
        <w:tabs>
          <w:tab w:leader="none" w:pos="677" w:val="left"/>
        </w:tabs>
        <w:numPr>
          <w:ilvl w:val="1"/>
          <w:numId w:val="158"/>
        </w:numPr>
        <w:rPr>
          <w:rFonts w:ascii="Arial" w:cs="Arial" w:eastAsia="Arial" w:hAnsi="Arial"/>
          <w:sz w:val="14"/>
          <w:szCs w:val="14"/>
          <w:color w:val="auto"/>
        </w:rPr>
      </w:pPr>
      <w:r>
        <w:rPr>
          <w:rFonts w:ascii="Arial" w:cs="Arial" w:eastAsia="Arial" w:hAnsi="Arial"/>
          <w:sz w:val="14"/>
          <w:szCs w:val="14"/>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Arial" w:cs="Arial" w:eastAsia="Arial" w:hAnsi="Arial"/>
          <w:sz w:val="14"/>
          <w:szCs w:val="14"/>
          <w:color w:val="auto"/>
        </w:rPr>
      </w:pPr>
    </w:p>
    <w:p>
      <w:pPr>
        <w:jc w:val="both"/>
        <w:ind w:left="648" w:right="320" w:hanging="324"/>
        <w:spacing w:after="0" w:line="256" w:lineRule="auto"/>
        <w:tabs>
          <w:tab w:leader="none" w:pos="721" w:val="left"/>
        </w:tabs>
        <w:numPr>
          <w:ilvl w:val="1"/>
          <w:numId w:val="158"/>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32" w:lineRule="exact"/>
        <w:rPr>
          <w:rFonts w:ascii="Arial" w:cs="Arial" w:eastAsia="Arial" w:hAnsi="Arial"/>
          <w:sz w:val="16"/>
          <w:szCs w:val="16"/>
          <w:color w:val="auto"/>
        </w:rPr>
      </w:pPr>
    </w:p>
    <w:p>
      <w:pPr>
        <w:jc w:val="both"/>
        <w:ind w:left="648" w:right="320" w:hanging="324"/>
        <w:spacing w:after="0" w:line="272" w:lineRule="auto"/>
        <w:tabs>
          <w:tab w:leader="none" w:pos="702" w:val="left"/>
        </w:tabs>
        <w:numPr>
          <w:ilvl w:val="1"/>
          <w:numId w:val="158"/>
        </w:numPr>
        <w:rPr>
          <w:rFonts w:ascii="Arial" w:cs="Arial" w:eastAsia="Arial" w:hAnsi="Arial"/>
          <w:sz w:val="15"/>
          <w:szCs w:val="15"/>
          <w:color w:val="auto"/>
        </w:rPr>
      </w:pPr>
      <w:r>
        <w:rPr>
          <w:rFonts w:ascii="Arial" w:cs="Arial" w:eastAsia="Arial" w:hAnsi="Arial"/>
          <w:sz w:val="15"/>
          <w:szCs w:val="15"/>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 attainment level equal to 100% for each of the Performance Measurement Periods that end subsequent to the Participant’s death. In the event of the Participant’s death after the end of the Performance Period but prior to the Vesting Date, the Unvested</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332"/>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908"/>
          </w:cols>
          <w:pgMar w:left="652" w:top="1440" w:right="339" w:bottom="1440" w:gutter="0" w:footer="0" w:header="0"/>
          <w:type w:val="continuous"/>
        </w:sectPr>
      </w:pPr>
    </w:p>
    <w:bookmarkStart w:id="166" w:name="page167"/>
    <w:bookmarkEnd w:id="166"/>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8"/>
        <w:spacing w:after="0" w:line="275" w:lineRule="auto"/>
        <w:rPr>
          <w:sz w:val="20"/>
          <w:szCs w:val="20"/>
          <w:color w:val="auto"/>
        </w:rPr>
      </w:pPr>
      <w:r>
        <w:rPr>
          <w:rFonts w:ascii="Arial" w:cs="Arial" w:eastAsia="Arial" w:hAnsi="Arial"/>
          <w:sz w:val="16"/>
          <w:szCs w:val="16"/>
          <w:color w:val="auto"/>
        </w:rPr>
        <w:t>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18" w:lineRule="exact"/>
        <w:rPr>
          <w:sz w:val="20"/>
          <w:szCs w:val="20"/>
          <w:color w:val="auto"/>
        </w:rPr>
      </w:pPr>
    </w:p>
    <w:p>
      <w:pPr>
        <w:jc w:val="both"/>
        <w:ind w:left="648" w:hanging="324"/>
        <w:spacing w:after="0" w:line="287" w:lineRule="auto"/>
        <w:tabs>
          <w:tab w:leader="none" w:pos="686" w:val="left"/>
        </w:tabs>
        <w:numPr>
          <w:ilvl w:val="1"/>
          <w:numId w:val="159"/>
        </w:numPr>
        <w:rPr>
          <w:rFonts w:ascii="Arial" w:cs="Arial" w:eastAsia="Arial" w:hAnsi="Arial"/>
          <w:sz w:val="14"/>
          <w:szCs w:val="14"/>
          <w:color w:val="auto"/>
        </w:rPr>
      </w:pPr>
      <w:r>
        <w:rPr>
          <w:rFonts w:ascii="Arial" w:cs="Arial" w:eastAsia="Arial" w:hAnsi="Arial"/>
          <w:sz w:val="14"/>
          <w:szCs w:val="14"/>
          <w:color w:val="auto"/>
        </w:rPr>
        <w:t xml:space="preserve">In the event the Participant becomes </w:t>
      </w:r>
      <w:r>
        <w:rPr>
          <w:rFonts w:ascii="Arial" w:cs="Arial" w:eastAsia="Arial" w:hAnsi="Arial"/>
          <w:sz w:val="14"/>
          <w:szCs w:val="14"/>
          <w:u w:val="single" w:color="auto"/>
          <w:color w:val="auto"/>
        </w:rPr>
        <w:t>Disabled</w:t>
      </w:r>
      <w:r>
        <w:rPr>
          <w:rFonts w:ascii="Arial" w:cs="Arial" w:eastAsia="Arial" w:hAnsi="Arial"/>
          <w:sz w:val="14"/>
          <w:szCs w:val="14"/>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119" w:lineRule="exact"/>
        <w:rPr>
          <w:rFonts w:ascii="Arial" w:cs="Arial" w:eastAsia="Arial" w:hAnsi="Arial"/>
          <w:sz w:val="14"/>
          <w:szCs w:val="14"/>
          <w:color w:val="auto"/>
        </w:rPr>
      </w:pPr>
    </w:p>
    <w:p>
      <w:pPr>
        <w:jc w:val="both"/>
        <w:ind w:left="648" w:hanging="324"/>
        <w:spacing w:after="0" w:line="274" w:lineRule="auto"/>
        <w:tabs>
          <w:tab w:leader="none" w:pos="711" w:val="left"/>
        </w:tabs>
        <w:numPr>
          <w:ilvl w:val="1"/>
          <w:numId w:val="159"/>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2" w:lineRule="exact"/>
        <w:rPr>
          <w:rFonts w:ascii="Arial" w:cs="Arial" w:eastAsia="Arial" w:hAnsi="Arial"/>
          <w:sz w:val="15"/>
          <w:szCs w:val="15"/>
          <w:color w:val="auto"/>
        </w:rPr>
      </w:pPr>
    </w:p>
    <w:p>
      <w:pPr>
        <w:ind w:left="288" w:hanging="288"/>
        <w:spacing w:after="0"/>
        <w:tabs>
          <w:tab w:leader="none" w:pos="28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8" w:hanging="344"/>
        <w:spacing w:after="0"/>
        <w:tabs>
          <w:tab w:leader="none" w:pos="668" w:val="left"/>
        </w:tabs>
        <w:numPr>
          <w:ilvl w:val="1"/>
          <w:numId w:val="160"/>
        </w:numPr>
        <w:rPr>
          <w:rFonts w:ascii="Arial" w:cs="Arial" w:eastAsia="Arial" w:hAnsi="Arial"/>
          <w:sz w:val="15"/>
          <w:szCs w:val="15"/>
          <w:color w:val="auto"/>
        </w:rPr>
      </w:pPr>
      <w:r>
        <w:rPr>
          <w:rFonts w:ascii="Arial" w:cs="Arial" w:eastAsia="Arial" w:hAnsi="Arial"/>
          <w:sz w:val="15"/>
          <w:szCs w:val="15"/>
          <w:color w:val="auto"/>
        </w:rPr>
        <w:t>The Participant shall not sell, assign, transfer, pledge or otherwise encumber any Performance RSUs, either voluntarily or by operation of law.</w:t>
      </w:r>
    </w:p>
    <w:p>
      <w:pPr>
        <w:spacing w:after="0" w:line="178" w:lineRule="exact"/>
        <w:rPr>
          <w:rFonts w:ascii="Arial" w:cs="Arial" w:eastAsia="Arial" w:hAnsi="Arial"/>
          <w:sz w:val="15"/>
          <w:szCs w:val="15"/>
          <w:color w:val="auto"/>
        </w:rPr>
      </w:pPr>
    </w:p>
    <w:p>
      <w:pPr>
        <w:jc w:val="both"/>
        <w:ind w:left="648" w:hanging="324"/>
        <w:spacing w:after="0" w:line="261" w:lineRule="auto"/>
        <w:tabs>
          <w:tab w:leader="none" w:pos="726"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28" w:lineRule="exact"/>
        <w:rPr>
          <w:rFonts w:ascii="Arial" w:cs="Arial" w:eastAsia="Arial" w:hAnsi="Arial"/>
          <w:sz w:val="16"/>
          <w:szCs w:val="16"/>
          <w:color w:val="auto"/>
        </w:rPr>
      </w:pPr>
    </w:p>
    <w:p>
      <w:pPr>
        <w:ind w:left="648" w:hanging="648"/>
        <w:spacing w:after="0" w:line="253" w:lineRule="auto"/>
        <w:tabs>
          <w:tab w:leader="none" w:pos="297"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37" w:lineRule="exact"/>
        <w:rPr>
          <w:rFonts w:ascii="Arial" w:cs="Arial" w:eastAsia="Arial" w:hAnsi="Arial"/>
          <w:sz w:val="16"/>
          <w:szCs w:val="16"/>
          <w:color w:val="auto"/>
        </w:rPr>
      </w:pPr>
    </w:p>
    <w:p>
      <w:pPr>
        <w:ind w:left="648" w:hanging="648"/>
        <w:spacing w:after="0" w:line="253" w:lineRule="auto"/>
        <w:tabs>
          <w:tab w:leader="none" w:pos="310"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Provisions of the Plan</w:t>
      </w:r>
      <w:r>
        <w:rPr>
          <w:rFonts w:ascii="Arial" w:cs="Arial" w:eastAsia="Arial" w:hAnsi="Arial"/>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Arial" w:cs="Arial" w:eastAsia="Arial" w:hAnsi="Arial"/>
          <w:sz w:val="16"/>
          <w:szCs w:val="16"/>
          <w:u w:val="single" w:color="auto"/>
          <w:color w:val="0000FF"/>
        </w:rPr>
        <w:t>https://thecircuit.web.analog.com/Pages/CircuitHome.aspx</w:t>
      </w:r>
      <w:r>
        <w:rPr>
          <w:rFonts w:ascii="Arial" w:cs="Arial" w:eastAsia="Arial" w:hAnsi="Arial"/>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Arial" w:cs="Arial" w:eastAsia="Arial" w:hAnsi="Arial"/>
          <w:sz w:val="16"/>
          <w:szCs w:val="16"/>
          <w:u w:val="single" w:color="auto"/>
          <w:color w:val="0000FF"/>
        </w:rPr>
        <w:t>Stock_Plan_Admin@Analog.com</w:t>
      </w:r>
      <w:r>
        <w:rPr>
          <w:rFonts w:ascii="Arial" w:cs="Arial" w:eastAsia="Arial" w:hAnsi="Arial"/>
          <w:sz w:val="16"/>
          <w:szCs w:val="16"/>
          <w:color w:val="auto"/>
        </w:rPr>
        <w:t>).</w:t>
      </w:r>
    </w:p>
    <w:p>
      <w:pPr>
        <w:spacing w:after="0" w:line="137" w:lineRule="exact"/>
        <w:rPr>
          <w:rFonts w:ascii="Arial" w:cs="Arial" w:eastAsia="Arial" w:hAnsi="Arial"/>
          <w:sz w:val="16"/>
          <w:szCs w:val="16"/>
          <w:color w:val="auto"/>
        </w:rPr>
      </w:pPr>
    </w:p>
    <w:p>
      <w:pPr>
        <w:ind w:left="288" w:hanging="288"/>
        <w:spacing w:after="0"/>
        <w:tabs>
          <w:tab w:leader="none" w:pos="288"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67" w:lineRule="auto"/>
        <w:tabs>
          <w:tab w:leader="none" w:pos="704" w:val="left"/>
        </w:tabs>
        <w:numPr>
          <w:ilvl w:val="1"/>
          <w:numId w:val="160"/>
        </w:numPr>
        <w:rPr>
          <w:rFonts w:ascii="Arial" w:cs="Arial" w:eastAsia="Arial" w:hAnsi="Arial"/>
          <w:sz w:val="15"/>
          <w:szCs w:val="15"/>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200" w:lineRule="exact"/>
        <w:rPr>
          <w:sz w:val="20"/>
          <w:szCs w:val="20"/>
          <w:color w:val="auto"/>
        </w:rPr>
      </w:pPr>
    </w:p>
    <w:p>
      <w:pPr>
        <w:spacing w:after="0" w:line="227"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588"/>
          </w:cols>
          <w:pgMar w:left="652" w:top="1440" w:right="659" w:bottom="1440" w:gutter="0" w:footer="0" w:header="0"/>
        </w:sectPr>
      </w:pPr>
    </w:p>
    <w:bookmarkStart w:id="167" w:name="page168"/>
    <w:bookmarkEnd w:id="167"/>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hanging="324"/>
        <w:spacing w:after="0" w:line="286" w:lineRule="auto"/>
        <w:tabs>
          <w:tab w:leader="none" w:pos="776" w:val="left"/>
        </w:tabs>
        <w:numPr>
          <w:ilvl w:val="0"/>
          <w:numId w:val="161"/>
        </w:numPr>
        <w:rPr>
          <w:rFonts w:ascii="Arial" w:cs="Arial" w:eastAsia="Arial" w:hAnsi="Arial"/>
          <w:sz w:val="15"/>
          <w:szCs w:val="15"/>
          <w:color w:val="auto"/>
        </w:rPr>
      </w:pPr>
      <w:r>
        <w:rPr>
          <w:rFonts w:ascii="Arial" w:cs="Arial" w:eastAsia="Arial" w:hAnsi="Arial"/>
          <w:sz w:val="15"/>
          <w:szCs w:val="15"/>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2" w:lineRule="exact"/>
        <w:rPr>
          <w:rFonts w:ascii="Arial" w:cs="Arial" w:eastAsia="Arial" w:hAnsi="Arial"/>
          <w:sz w:val="15"/>
          <w:szCs w:val="15"/>
          <w:color w:val="auto"/>
        </w:rPr>
      </w:pPr>
    </w:p>
    <w:p>
      <w:pPr>
        <w:jc w:val="both"/>
        <w:ind w:left="968" w:hanging="320"/>
        <w:spacing w:after="0" w:line="278" w:lineRule="auto"/>
        <w:tabs>
          <w:tab w:leader="none" w:pos="1050" w:val="left"/>
        </w:tabs>
        <w:numPr>
          <w:ilvl w:val="1"/>
          <w:numId w:val="161"/>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8" w:lineRule="exact"/>
        <w:rPr>
          <w:rFonts w:ascii="Arial" w:cs="Arial" w:eastAsia="Arial" w:hAnsi="Arial"/>
          <w:sz w:val="15"/>
          <w:szCs w:val="15"/>
          <w:color w:val="auto"/>
        </w:rPr>
      </w:pPr>
    </w:p>
    <w:p>
      <w:pPr>
        <w:ind w:left="968" w:hanging="320"/>
        <w:spacing w:after="0" w:line="275" w:lineRule="auto"/>
        <w:tabs>
          <w:tab w:leader="none" w:pos="104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118" w:lineRule="exact"/>
        <w:rPr>
          <w:rFonts w:ascii="Arial" w:cs="Arial" w:eastAsia="Arial" w:hAnsi="Arial"/>
          <w:sz w:val="16"/>
          <w:szCs w:val="16"/>
          <w:color w:val="auto"/>
        </w:rPr>
      </w:pPr>
    </w:p>
    <w:p>
      <w:pPr>
        <w:ind w:left="968" w:hanging="320"/>
        <w:spacing w:after="0" w:line="275" w:lineRule="auto"/>
        <w:tabs>
          <w:tab w:leader="none" w:pos="1119"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8" w:lineRule="exact"/>
        <w:rPr>
          <w:sz w:val="20"/>
          <w:szCs w:val="20"/>
          <w:color w:val="auto"/>
        </w:rPr>
      </w:pPr>
    </w:p>
    <w:p>
      <w:pPr>
        <w:jc w:val="both"/>
        <w:ind w:left="968"/>
        <w:spacing w:after="0" w:line="256" w:lineRule="auto"/>
        <w:rPr>
          <w:sz w:val="20"/>
          <w:szCs w:val="20"/>
          <w:color w:val="auto"/>
        </w:rPr>
      </w:pPr>
      <w:r>
        <w:rPr>
          <w:rFonts w:ascii="Arial" w:cs="Arial" w:eastAsia="Arial" w:hAnsi="Arial"/>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w:t>
      </w:r>
    </w:p>
    <w:p>
      <w:pPr>
        <w:spacing w:after="0" w:line="133" w:lineRule="exact"/>
        <w:rPr>
          <w:sz w:val="20"/>
          <w:szCs w:val="20"/>
          <w:color w:val="auto"/>
        </w:rPr>
      </w:pPr>
    </w:p>
    <w:p>
      <w:pPr>
        <w:jc w:val="both"/>
        <w:ind w:left="968"/>
        <w:spacing w:after="0" w:line="252" w:lineRule="auto"/>
        <w:rPr>
          <w:sz w:val="20"/>
          <w:szCs w:val="20"/>
          <w:color w:val="auto"/>
        </w:rPr>
      </w:pPr>
      <w:r>
        <w:rPr>
          <w:rFonts w:ascii="Arial" w:cs="Arial" w:eastAsia="Arial" w:hAnsi="Arial"/>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37" w:lineRule="exact"/>
        <w:rPr>
          <w:sz w:val="20"/>
          <w:szCs w:val="20"/>
          <w:color w:val="auto"/>
        </w:rPr>
      </w:pPr>
    </w:p>
    <w:p>
      <w:pPr>
        <w:jc w:val="both"/>
        <w:ind w:left="968"/>
        <w:spacing w:after="0" w:line="293" w:lineRule="auto"/>
        <w:rPr>
          <w:sz w:val="20"/>
          <w:szCs w:val="20"/>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09" w:lineRule="exact"/>
        <w:rPr>
          <w:sz w:val="20"/>
          <w:szCs w:val="20"/>
          <w:color w:val="auto"/>
        </w:rPr>
      </w:pPr>
    </w:p>
    <w:p>
      <w:pPr>
        <w:jc w:val="both"/>
        <w:ind w:left="328" w:right="20" w:hanging="328"/>
        <w:spacing w:after="0" w:line="272" w:lineRule="auto"/>
        <w:tabs>
          <w:tab w:leader="none" w:pos="341" w:val="left"/>
        </w:tabs>
        <w:numPr>
          <w:ilvl w:val="0"/>
          <w:numId w:val="162"/>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23" w:lineRule="exact"/>
        <w:rPr>
          <w:rFonts w:ascii="Arial" w:cs="Arial" w:eastAsia="Arial" w:hAnsi="Arial"/>
          <w:sz w:val="15"/>
          <w:szCs w:val="15"/>
          <w:color w:val="auto"/>
        </w:rPr>
      </w:pPr>
    </w:p>
    <w:p>
      <w:pPr>
        <w:jc w:val="both"/>
        <w:ind w:left="328" w:hanging="328"/>
        <w:spacing w:after="0" w:line="251" w:lineRule="auto"/>
        <w:tabs>
          <w:tab w:leader="none" w:pos="35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Repatriation and Other Legal Requirements</w:t>
      </w:r>
      <w:r>
        <w:rPr>
          <w:rFonts w:ascii="Arial" w:cs="Arial" w:eastAsia="Arial" w:hAnsi="Arial"/>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38" w:lineRule="exact"/>
        <w:rPr>
          <w:rFonts w:ascii="Arial" w:cs="Arial" w:eastAsia="Arial" w:hAnsi="Arial"/>
          <w:sz w:val="16"/>
          <w:szCs w:val="16"/>
          <w:color w:val="auto"/>
        </w:rPr>
      </w:pPr>
    </w:p>
    <w:p>
      <w:pPr>
        <w:ind w:left="288" w:hanging="288"/>
        <w:spacing w:after="0"/>
        <w:tabs>
          <w:tab w:leader="none" w:pos="28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right="20" w:hanging="324"/>
        <w:spacing w:after="0" w:line="256" w:lineRule="auto"/>
        <w:tabs>
          <w:tab w:leader="none" w:pos="666"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w:t>
      </w:r>
    </w:p>
    <w:p>
      <w:pPr>
        <w:spacing w:after="0" w:line="200" w:lineRule="exact"/>
        <w:rPr>
          <w:sz w:val="20"/>
          <w:szCs w:val="20"/>
          <w:color w:val="auto"/>
        </w:rPr>
      </w:pPr>
    </w:p>
    <w:p>
      <w:pPr>
        <w:spacing w:after="0" w:line="230"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588"/>
          </w:cols>
          <w:pgMar w:left="652" w:top="1440" w:right="659" w:bottom="1440" w:gutter="0" w:footer="0" w:header="0"/>
        </w:sectPr>
      </w:pPr>
    </w:p>
    <w:bookmarkStart w:id="168" w:name="page169"/>
    <w:bookmarkEnd w:id="168"/>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right="20"/>
        <w:spacing w:after="0" w:line="275" w:lineRule="auto"/>
        <w:rPr>
          <w:sz w:val="20"/>
          <w:szCs w:val="20"/>
          <w:color w:val="auto"/>
        </w:rPr>
      </w:pPr>
      <w:r>
        <w:rPr>
          <w:rFonts w:ascii="Arial" w:cs="Arial" w:eastAsia="Arial" w:hAnsi="Arial"/>
          <w:sz w:val="16"/>
          <w:szCs w:val="16"/>
          <w:color w:val="auto"/>
        </w:rPr>
        <w:t>conditions and continuing service as an employee at the will of the Company or the Employer through the Vesting Date (not through the act of being hired or engaged or being granted the Performance RSUs hereunder).</w:t>
      </w:r>
    </w:p>
    <w:p>
      <w:pPr>
        <w:spacing w:after="0" w:line="118" w:lineRule="exact"/>
        <w:rPr>
          <w:sz w:val="20"/>
          <w:szCs w:val="20"/>
          <w:color w:val="auto"/>
        </w:rPr>
      </w:pPr>
    </w:p>
    <w:p>
      <w:pPr>
        <w:jc w:val="both"/>
        <w:ind w:left="324" w:hanging="324"/>
        <w:spacing w:after="0" w:line="290" w:lineRule="auto"/>
        <w:tabs>
          <w:tab w:leader="none" w:pos="351" w:val="left"/>
        </w:tabs>
        <w:numPr>
          <w:ilvl w:val="0"/>
          <w:numId w:val="163"/>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2" w:lineRule="exact"/>
        <w:rPr>
          <w:rFonts w:ascii="Arial" w:cs="Arial" w:eastAsia="Arial" w:hAnsi="Arial"/>
          <w:sz w:val="14"/>
          <w:szCs w:val="14"/>
          <w:color w:val="auto"/>
        </w:rPr>
      </w:pPr>
    </w:p>
    <w:p>
      <w:pPr>
        <w:jc w:val="both"/>
        <w:ind w:left="324" w:hanging="324"/>
        <w:spacing w:after="0" w:line="253" w:lineRule="auto"/>
        <w:tabs>
          <w:tab w:leader="none" w:pos="38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37" w:lineRule="exact"/>
        <w:rPr>
          <w:rFonts w:ascii="Arial" w:cs="Arial" w:eastAsia="Arial" w:hAnsi="Arial"/>
          <w:sz w:val="16"/>
          <w:szCs w:val="16"/>
          <w:color w:val="auto"/>
        </w:rPr>
      </w:pPr>
    </w:p>
    <w:p>
      <w:pPr>
        <w:jc w:val="both"/>
        <w:ind w:left="324" w:hanging="324"/>
        <w:spacing w:after="0" w:line="252" w:lineRule="auto"/>
        <w:tabs>
          <w:tab w:leader="none" w:pos="378"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6" w:lineRule="exact"/>
        <w:rPr>
          <w:rFonts w:ascii="Arial" w:cs="Arial" w:eastAsia="Arial" w:hAnsi="Arial"/>
          <w:sz w:val="16"/>
          <w:szCs w:val="16"/>
          <w:color w:val="auto"/>
        </w:rPr>
      </w:pPr>
    </w:p>
    <w:p>
      <w:pPr>
        <w:jc w:val="both"/>
        <w:ind w:left="324" w:right="20" w:hanging="324"/>
        <w:spacing w:after="0" w:line="286" w:lineRule="auto"/>
        <w:tabs>
          <w:tab w:leader="none" w:pos="396"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Exchange Rates</w:t>
      </w:r>
      <w:r>
        <w:rPr>
          <w:rFonts w:ascii="Arial" w:cs="Arial" w:eastAsia="Arial" w:hAnsi="Arial"/>
          <w:sz w:val="15"/>
          <w:szCs w:val="15"/>
          <w:color w:val="auto"/>
        </w:rPr>
        <w:t>.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2" w:lineRule="exact"/>
        <w:rPr>
          <w:rFonts w:ascii="Arial" w:cs="Arial" w:eastAsia="Arial" w:hAnsi="Arial"/>
          <w:sz w:val="15"/>
          <w:szCs w:val="15"/>
          <w:color w:val="auto"/>
        </w:rPr>
      </w:pPr>
    </w:p>
    <w:p>
      <w:pPr>
        <w:ind w:left="324" w:hanging="324"/>
        <w:spacing w:after="0"/>
        <w:tabs>
          <w:tab w:leader="none" w:pos="324"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67" w:lineRule="exact"/>
        <w:rPr>
          <w:rFonts w:ascii="Arial" w:cs="Arial" w:eastAsia="Arial" w:hAnsi="Arial"/>
          <w:sz w:val="16"/>
          <w:szCs w:val="16"/>
          <w:color w:val="auto"/>
        </w:rPr>
      </w:pPr>
    </w:p>
    <w:p>
      <w:pPr>
        <w:ind w:left="324" w:hanging="324"/>
        <w:spacing w:after="0" w:line="275" w:lineRule="auto"/>
        <w:tabs>
          <w:tab w:leader="none" w:pos="351"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8" w:lineRule="exact"/>
        <w:rPr>
          <w:rFonts w:ascii="Arial" w:cs="Arial" w:eastAsia="Arial" w:hAnsi="Arial"/>
          <w:sz w:val="16"/>
          <w:szCs w:val="16"/>
          <w:color w:val="auto"/>
        </w:rPr>
      </w:pPr>
    </w:p>
    <w:p>
      <w:pPr>
        <w:ind w:left="324" w:right="20" w:hanging="324"/>
        <w:spacing w:after="0" w:line="349" w:lineRule="auto"/>
        <w:tabs>
          <w:tab w:leader="none" w:pos="418" w:val="left"/>
        </w:tabs>
        <w:numPr>
          <w:ilvl w:val="0"/>
          <w:numId w:val="163"/>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1" w:lineRule="exact"/>
        <w:rPr>
          <w:rFonts w:ascii="Arial" w:cs="Arial" w:eastAsia="Arial" w:hAnsi="Arial"/>
          <w:sz w:val="14"/>
          <w:szCs w:val="14"/>
          <w:color w:val="auto"/>
        </w:rPr>
      </w:pPr>
    </w:p>
    <w:p>
      <w:pPr>
        <w:jc w:val="both"/>
        <w:ind w:left="324" w:hanging="324"/>
        <w:spacing w:after="0" w:line="253" w:lineRule="auto"/>
        <w:tabs>
          <w:tab w:leader="none" w:pos="315"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37" w:lineRule="exact"/>
        <w:rPr>
          <w:rFonts w:ascii="Arial" w:cs="Arial" w:eastAsia="Arial" w:hAnsi="Arial"/>
          <w:sz w:val="16"/>
          <w:szCs w:val="16"/>
          <w:color w:val="auto"/>
        </w:rPr>
      </w:pPr>
    </w:p>
    <w:p>
      <w:pPr>
        <w:ind w:left="324" w:right="20" w:hanging="324"/>
        <w:spacing w:after="0" w:line="275" w:lineRule="auto"/>
        <w:tabs>
          <w:tab w:leader="none" w:pos="315"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324" w:hanging="324"/>
        <w:spacing w:after="0" w:line="275" w:lineRule="auto"/>
        <w:tabs>
          <w:tab w:leader="none" w:pos="445"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324" w:hanging="324"/>
        <w:spacing w:after="0" w:line="275" w:lineRule="auto"/>
        <w:tabs>
          <w:tab w:leader="none" w:pos="46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24" w:right="20" w:hanging="324"/>
        <w:spacing w:after="0" w:line="261" w:lineRule="auto"/>
        <w:tabs>
          <w:tab w:leader="none" w:pos="51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Compliance with Laws</w:t>
      </w:r>
      <w:r>
        <w:rPr>
          <w:rFonts w:ascii="Arial" w:cs="Arial" w:eastAsia="Arial" w:hAnsi="Arial"/>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w:t>
      </w:r>
    </w:p>
    <w:p>
      <w:pPr>
        <w:spacing w:after="0" w:line="200" w:lineRule="exact"/>
        <w:rPr>
          <w:sz w:val="20"/>
          <w:szCs w:val="20"/>
          <w:color w:val="auto"/>
        </w:rPr>
      </w:pPr>
    </w:p>
    <w:p>
      <w:pPr>
        <w:spacing w:after="0" w:line="226"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64"/>
          </w:cols>
          <w:pgMar w:left="976" w:top="1440" w:right="659" w:bottom="1440" w:gutter="0" w:footer="0" w:header="0"/>
        </w:sectPr>
      </w:pPr>
    </w:p>
    <w:bookmarkStart w:id="169" w:name="page170"/>
    <w:bookmarkEnd w:id="169"/>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68" w:lineRule="auto"/>
        <w:rPr>
          <w:sz w:val="20"/>
          <w:szCs w:val="20"/>
          <w:color w:val="auto"/>
        </w:rPr>
      </w:pPr>
      <w:r>
        <w:rPr>
          <w:rFonts w:ascii="Arial" w:cs="Arial" w:eastAsia="Arial" w:hAnsi="Arial"/>
          <w:sz w:val="15"/>
          <w:szCs w:val="15"/>
          <w:color w:val="auto"/>
        </w:rPr>
        <w:t>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6" w:lineRule="exact"/>
        <w:rPr>
          <w:sz w:val="20"/>
          <w:szCs w:val="20"/>
          <w:color w:val="auto"/>
        </w:rPr>
      </w:pPr>
    </w:p>
    <w:p>
      <w:pPr>
        <w:ind w:left="324" w:right="20" w:hanging="324"/>
        <w:spacing w:after="0" w:line="275" w:lineRule="auto"/>
        <w:tabs>
          <w:tab w:leader="none" w:pos="364"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8" w:lineRule="exact"/>
        <w:rPr>
          <w:rFonts w:ascii="Arial" w:cs="Arial" w:eastAsia="Arial" w:hAnsi="Arial"/>
          <w:sz w:val="16"/>
          <w:szCs w:val="16"/>
          <w:color w:val="auto"/>
        </w:rPr>
      </w:pPr>
    </w:p>
    <w:p>
      <w:pPr>
        <w:jc w:val="both"/>
        <w:ind w:left="324" w:hanging="324"/>
        <w:spacing w:after="0" w:line="286" w:lineRule="auto"/>
        <w:tabs>
          <w:tab w:leader="none" w:pos="364"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2" w:lineRule="exact"/>
        <w:rPr>
          <w:rFonts w:ascii="Arial" w:cs="Arial" w:eastAsia="Arial" w:hAnsi="Arial"/>
          <w:sz w:val="15"/>
          <w:szCs w:val="15"/>
          <w:color w:val="auto"/>
        </w:rPr>
      </w:pPr>
    </w:p>
    <w:p>
      <w:pPr>
        <w:jc w:val="both"/>
        <w:ind w:left="324" w:hanging="324"/>
        <w:spacing w:after="0" w:line="315" w:lineRule="auto"/>
        <w:tabs>
          <w:tab w:leader="none" w:pos="351" w:val="left"/>
        </w:tabs>
        <w:numPr>
          <w:ilvl w:val="0"/>
          <w:numId w:val="164"/>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5" w:lineRule="exact"/>
        <w:rPr>
          <w:rFonts w:ascii="Arial" w:cs="Arial" w:eastAsia="Arial" w:hAnsi="Arial"/>
          <w:sz w:val="14"/>
          <w:szCs w:val="14"/>
          <w:color w:val="auto"/>
        </w:rPr>
      </w:pPr>
    </w:p>
    <w:p>
      <w:pPr>
        <w:jc w:val="both"/>
        <w:ind w:left="324" w:hanging="324"/>
        <w:spacing w:after="0" w:line="256" w:lineRule="auto"/>
        <w:tabs>
          <w:tab w:leader="none" w:pos="44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9" w:lineRule="exact"/>
        <w:rPr>
          <w:rFonts w:ascii="Arial" w:cs="Arial" w:eastAsia="Arial" w:hAnsi="Arial"/>
          <w:sz w:val="16"/>
          <w:szCs w:val="16"/>
          <w:color w:val="auto"/>
        </w:rPr>
      </w:pPr>
    </w:p>
    <w:p>
      <w:pPr>
        <w:jc w:val="both"/>
        <w:ind w:left="324" w:hanging="324"/>
        <w:spacing w:after="0" w:line="274" w:lineRule="auto"/>
        <w:tabs>
          <w:tab w:leader="none" w:pos="405"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Appendix B</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22" w:lineRule="exact"/>
        <w:rPr>
          <w:rFonts w:ascii="Arial" w:cs="Arial" w:eastAsia="Arial" w:hAnsi="Arial"/>
          <w:sz w:val="15"/>
          <w:szCs w:val="15"/>
          <w:color w:val="auto"/>
        </w:rPr>
      </w:pPr>
    </w:p>
    <w:p>
      <w:pPr>
        <w:jc w:val="both"/>
        <w:ind w:left="324" w:hanging="324"/>
        <w:spacing w:after="0" w:line="256" w:lineRule="auto"/>
        <w:tabs>
          <w:tab w:leader="none" w:pos="346"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5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2" w:lineRule="exact"/>
        <w:rPr>
          <w:rFonts w:ascii="Arial" w:cs="Arial" w:eastAsia="Arial" w:hAnsi="Arial"/>
          <w:sz w:val="16"/>
          <w:szCs w:val="16"/>
          <w:color w:val="auto"/>
        </w:rPr>
      </w:pPr>
    </w:p>
    <w:p>
      <w:pPr>
        <w:jc w:val="both"/>
        <w:ind w:left="324" w:hanging="324"/>
        <w:spacing w:after="0" w:line="256" w:lineRule="auto"/>
        <w:tabs>
          <w:tab w:leader="none" w:pos="364"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32" w:lineRule="exact"/>
        <w:rPr>
          <w:rFonts w:ascii="Arial" w:cs="Arial" w:eastAsia="Arial" w:hAnsi="Arial"/>
          <w:sz w:val="16"/>
          <w:szCs w:val="16"/>
          <w:color w:val="auto"/>
        </w:rPr>
      </w:pPr>
    </w:p>
    <w:p>
      <w:pPr>
        <w:jc w:val="both"/>
        <w:ind w:left="324" w:hanging="324"/>
        <w:spacing w:after="0" w:line="286" w:lineRule="auto"/>
        <w:tabs>
          <w:tab w:leader="none" w:pos="432"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2" w:lineRule="exact"/>
        <w:rPr>
          <w:rFonts w:ascii="Arial" w:cs="Arial" w:eastAsia="Arial" w:hAnsi="Arial"/>
          <w:sz w:val="15"/>
          <w:szCs w:val="15"/>
          <w:color w:val="auto"/>
        </w:rPr>
      </w:pPr>
    </w:p>
    <w:p>
      <w:pPr>
        <w:jc w:val="both"/>
        <w:ind w:left="324" w:hanging="324"/>
        <w:spacing w:after="0" w:line="252" w:lineRule="auto"/>
        <w:tabs>
          <w:tab w:leader="none" w:pos="481"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Performance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under the Plan during such times as the Participant is considered to have “inside information” regarding the Company (as defined by the laws or regulations in the Participant’s country). Local insider trading</w:t>
      </w:r>
    </w:p>
    <w:p>
      <w:pPr>
        <w:spacing w:after="0" w:line="200" w:lineRule="exact"/>
        <w:rPr>
          <w:sz w:val="20"/>
          <w:szCs w:val="20"/>
          <w:color w:val="auto"/>
        </w:rPr>
      </w:pPr>
    </w:p>
    <w:p>
      <w:pPr>
        <w:spacing w:after="0" w:line="234"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64"/>
          </w:cols>
          <w:pgMar w:left="976" w:top="1440" w:right="659" w:bottom="1440" w:gutter="0" w:footer="0" w:header="0"/>
        </w:sectPr>
      </w:pPr>
    </w:p>
    <w:bookmarkStart w:id="170" w:name="page171"/>
    <w:bookmarkEnd w:id="170"/>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52" w:lineRule="auto"/>
        <w:rPr>
          <w:sz w:val="20"/>
          <w:szCs w:val="20"/>
          <w:color w:val="auto"/>
        </w:rPr>
      </w:pPr>
      <w:r>
        <w:rPr>
          <w:rFonts w:ascii="Arial" w:cs="Arial" w:eastAsia="Arial" w:hAnsi="Arial"/>
          <w:sz w:val="16"/>
          <w:szCs w:val="16"/>
          <w:color w:val="auto"/>
        </w:rPr>
        <w:t>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37" w:lineRule="exact"/>
        <w:rPr>
          <w:sz w:val="20"/>
          <w:szCs w:val="20"/>
          <w:color w:val="auto"/>
        </w:rPr>
      </w:pPr>
    </w:p>
    <w:p>
      <w:pPr>
        <w:jc w:val="both"/>
        <w:ind w:left="324" w:hanging="324"/>
        <w:spacing w:after="0" w:line="269" w:lineRule="auto"/>
        <w:tabs>
          <w:tab w:leader="none" w:pos="405"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27" w:lineRule="exact"/>
        <w:rPr>
          <w:rFonts w:ascii="Arial" w:cs="Arial" w:eastAsia="Arial" w:hAnsi="Arial"/>
          <w:sz w:val="15"/>
          <w:szCs w:val="15"/>
          <w:color w:val="auto"/>
        </w:rPr>
      </w:pPr>
    </w:p>
    <w:p>
      <w:pPr>
        <w:ind w:left="324" w:right="20" w:hanging="324"/>
        <w:spacing w:after="0" w:line="275" w:lineRule="auto"/>
        <w:tabs>
          <w:tab w:leader="none" w:pos="351"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72" w:lineRule="exact"/>
        <w:rPr>
          <w:sz w:val="20"/>
          <w:szCs w:val="20"/>
          <w:color w:val="auto"/>
        </w:rPr>
      </w:pPr>
    </w:p>
    <w:tbl>
      <w:tblPr>
        <w:tblLayout w:type="fixed"/>
        <w:tblInd w:w="804" w:type="dxa"/>
        <w:tblCellMar>
          <w:top w:w="0" w:type="dxa"/>
          <w:left w:w="0" w:type="dxa"/>
          <w:bottom w:w="0" w:type="dxa"/>
          <w:right w:w="0" w:type="dxa"/>
        </w:tblCellMar>
      </w:tblPr>
      <w:tr>
        <w:trPr>
          <w:trHeight w:val="219"/>
        </w:trPr>
        <w:tc>
          <w:tcPr>
            <w:tcW w:w="480" w:type="dxa"/>
            <w:vAlign w:val="bottom"/>
          </w:tcPr>
          <w:p>
            <w:pPr>
              <w:spacing w:after="0"/>
              <w:rPr>
                <w:sz w:val="20"/>
                <w:szCs w:val="20"/>
                <w:color w:val="auto"/>
              </w:rPr>
            </w:pPr>
            <w:r>
              <w:rPr>
                <w:rFonts w:ascii="Arial" w:cs="Arial" w:eastAsia="Arial" w:hAnsi="Arial"/>
                <w:sz w:val="16"/>
                <w:szCs w:val="16"/>
                <w:color w:val="auto"/>
              </w:rPr>
              <w:t>By:</w:t>
            </w:r>
          </w:p>
        </w:tc>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Ray Stata</w:t>
            </w:r>
          </w:p>
        </w:tc>
        <w:tc>
          <w:tcPr>
            <w:tcW w:w="1760" w:type="dxa"/>
            <w:vAlign w:val="bottom"/>
          </w:tcPr>
          <w:p>
            <w:pPr>
              <w:ind w:left="1280"/>
              <w:spacing w:after="0"/>
              <w:rPr>
                <w:sz w:val="20"/>
                <w:szCs w:val="20"/>
                <w:color w:val="auto"/>
              </w:rPr>
            </w:pPr>
            <w:r>
              <w:rPr>
                <w:rFonts w:ascii="Arial" w:cs="Arial" w:eastAsia="Arial" w:hAnsi="Arial"/>
                <w:sz w:val="16"/>
                <w:szCs w:val="16"/>
                <w:color w:val="auto"/>
              </w:rPr>
              <w:t>By:</w:t>
            </w:r>
          </w:p>
        </w:tc>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Vincent Roche</w:t>
            </w:r>
          </w:p>
        </w:tc>
      </w:tr>
      <w:tr>
        <w:trPr>
          <w:trHeight w:val="223"/>
        </w:trPr>
        <w:tc>
          <w:tcPr>
            <w:tcW w:w="48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Ray Stata, Chairman of the Board of Directors</w:t>
            </w:r>
          </w:p>
        </w:tc>
        <w:tc>
          <w:tcPr>
            <w:tcW w:w="176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Arial" w:cs="Arial" w:eastAsia="Arial" w:hAnsi="Arial"/>
                <w:sz w:val="16"/>
                <w:szCs w:val="16"/>
                <w:color w:val="auto"/>
                <w:w w:val="98"/>
              </w:rPr>
              <w:t>Vincent Roche, President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6"/>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64"/>
          </w:cols>
          <w:pgMar w:left="976" w:top="1440" w:right="659" w:bottom="1440" w:gutter="0" w:footer="0" w:header="0"/>
        </w:sectPr>
      </w:pPr>
    </w:p>
    <w:bookmarkStart w:id="171" w:name="page172"/>
    <w:bookmarkEnd w:id="171"/>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91" w:lineRule="exact"/>
        <w:rPr>
          <w:sz w:val="20"/>
          <w:szCs w:val="20"/>
          <w:color w:val="auto"/>
        </w:rPr>
      </w:pPr>
    </w:p>
    <w:p>
      <w:pPr>
        <w:jc w:val="both"/>
        <w:ind w:left="328" w:hanging="328"/>
        <w:spacing w:after="0" w:line="295" w:lineRule="auto"/>
        <w:tabs>
          <w:tab w:leader="none" w:pos="301"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Performance Period</w:t>
      </w:r>
      <w:r>
        <w:rPr>
          <w:rFonts w:ascii="Arial" w:cs="Arial" w:eastAsia="Arial" w:hAnsi="Arial"/>
          <w:sz w:val="14"/>
          <w:szCs w:val="14"/>
          <w:color w:val="auto"/>
        </w:rPr>
        <w:t>. The three-year period beginning on the first day of the first quarter of the Company’s fiscal year 2021 and ending on the last day of the fourth quarter of the Company’s fiscal year 2023 (the “Performance Period”). The Performance Period shall consist of the following three performance measurement periods: (i) the one-year period commencing on the first day of the first quarter and ending on the last day of the fourth quarter of the Company’s fiscal year 2021 (“FY 2021 Period”); (ii) the one-year period commencing on the first day of the first quarter and ending on the last day of the fourth quarter of the Company’s fiscal year 2022 (“FY 2022 Period”) and (iii) and the one-year period commencing on the first day of the first quarter and ending on the last day of the fourth quarter of the Company’s fiscal year 2023 (“FY 2023 Period,” and collectively, the “Performance Measurement Periods”).</w:t>
      </w:r>
    </w:p>
    <w:p>
      <w:pPr>
        <w:spacing w:after="0" w:line="108" w:lineRule="exact"/>
        <w:rPr>
          <w:rFonts w:ascii="Arial" w:cs="Arial" w:eastAsia="Arial" w:hAnsi="Arial"/>
          <w:sz w:val="14"/>
          <w:szCs w:val="14"/>
          <w:color w:val="auto"/>
        </w:rPr>
      </w:pPr>
    </w:p>
    <w:p>
      <w:pPr>
        <w:ind w:left="288" w:hanging="288"/>
        <w:spacing w:after="0"/>
        <w:tabs>
          <w:tab w:leader="none" w:pos="28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The 60th day following the end of the Performance Period</w:t>
      </w:r>
    </w:p>
    <w:p>
      <w:pPr>
        <w:spacing w:after="0" w:line="167" w:lineRule="exact"/>
        <w:rPr>
          <w:rFonts w:ascii="Arial" w:cs="Arial" w:eastAsia="Arial" w:hAnsi="Arial"/>
          <w:sz w:val="16"/>
          <w:szCs w:val="16"/>
          <w:color w:val="auto"/>
        </w:rPr>
      </w:pPr>
    </w:p>
    <w:p>
      <w:pPr>
        <w:jc w:val="both"/>
        <w:ind w:left="328" w:right="20" w:hanging="328"/>
        <w:spacing w:after="0" w:line="261" w:lineRule="auto"/>
        <w:tabs>
          <w:tab w:leader="none" w:pos="36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Revenue Goal for each of the three corresponding Performance Measurement Periods, which date shall be as soon as practicable following the last day of the applicable Performance Measurement Period.</w:t>
      </w:r>
    </w:p>
    <w:p>
      <w:pPr>
        <w:spacing w:after="0" w:line="129" w:lineRule="exact"/>
        <w:rPr>
          <w:sz w:val="20"/>
          <w:szCs w:val="20"/>
          <w:color w:val="auto"/>
        </w:rPr>
      </w:pPr>
    </w:p>
    <w:p>
      <w:pPr>
        <w:jc w:val="both"/>
        <w:ind w:left="328" w:right="20"/>
        <w:spacing w:after="0" w:line="256" w:lineRule="auto"/>
        <w:rPr>
          <w:sz w:val="20"/>
          <w:szCs w:val="20"/>
          <w:color w:val="auto"/>
        </w:rPr>
      </w:pPr>
      <w:r>
        <w:rPr>
          <w:rFonts w:ascii="Arial" w:cs="Arial" w:eastAsia="Arial" w:hAnsi="Arial"/>
          <w:sz w:val="16"/>
          <w:szCs w:val="16"/>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Revenue Goals described in Section 4 below, provided the Participant continues to provide services to the Company or the Employer, or their respective successors, through the Vesting Date.</w:t>
      </w:r>
    </w:p>
    <w:p>
      <w:pPr>
        <w:spacing w:after="0" w:line="133" w:lineRule="exact"/>
        <w:rPr>
          <w:sz w:val="20"/>
          <w:szCs w:val="20"/>
          <w:color w:val="auto"/>
        </w:rPr>
      </w:pPr>
    </w:p>
    <w:p>
      <w:pPr>
        <w:jc w:val="both"/>
        <w:ind w:left="328" w:hanging="328"/>
        <w:spacing w:after="0" w:line="253" w:lineRule="auto"/>
        <w:tabs>
          <w:tab w:leader="none" w:pos="287"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attainment of the Revenue Goal established for each of the Performance Measurement Periods. The attainment level, ranging from 0% to 200%, of the Revenue Goal applicable to each Performance Measurement Period shall be measured separately on each corresponding Determination Date and weighted equally. The number of Performance RSUs that shall vest shall be equal to a number of Performance RSUs that is between 0% and 200% of the Initial Grant Number. Attainment among the Revenue Goal attainment levels is subject to interpolation on a linear basis.</w:t>
      </w:r>
    </w:p>
    <w:p>
      <w:pPr>
        <w:spacing w:after="0" w:line="137" w:lineRule="exact"/>
        <w:rPr>
          <w:rFonts w:ascii="Arial" w:cs="Arial" w:eastAsia="Arial" w:hAnsi="Arial"/>
          <w:sz w:val="16"/>
          <w:szCs w:val="16"/>
          <w:color w:val="auto"/>
        </w:rPr>
      </w:pPr>
    </w:p>
    <w:p>
      <w:pPr>
        <w:ind w:left="968" w:right="20" w:hanging="320"/>
        <w:spacing w:after="0" w:line="275" w:lineRule="auto"/>
        <w:tabs>
          <w:tab w:leader="none" w:pos="1091" w:val="left"/>
        </w:tabs>
        <w:numPr>
          <w:ilvl w:val="1"/>
          <w:numId w:val="167"/>
        </w:numPr>
        <w:rPr>
          <w:rFonts w:ascii="Arial" w:cs="Arial" w:eastAsia="Arial" w:hAnsi="Arial"/>
          <w:sz w:val="16"/>
          <w:szCs w:val="16"/>
          <w:color w:val="auto"/>
        </w:rPr>
      </w:pPr>
      <w:r>
        <w:rPr>
          <w:rFonts w:ascii="Arial" w:cs="Arial" w:eastAsia="Arial" w:hAnsi="Arial"/>
          <w:sz w:val="16"/>
          <w:szCs w:val="16"/>
          <w:color w:val="auto"/>
        </w:rPr>
        <w:t>“Revenue Goal” shall mean the goal related to Revenue for each of the Performance Measurement Periods approved by the Compensation Committee of the Board in connection with the grant of the Award.</w:t>
      </w:r>
    </w:p>
    <w:p>
      <w:pPr>
        <w:spacing w:after="0" w:line="118" w:lineRule="exact"/>
        <w:rPr>
          <w:rFonts w:ascii="Arial" w:cs="Arial" w:eastAsia="Arial" w:hAnsi="Arial"/>
          <w:sz w:val="16"/>
          <w:szCs w:val="16"/>
          <w:color w:val="auto"/>
        </w:rPr>
      </w:pPr>
    </w:p>
    <w:p>
      <w:pPr>
        <w:jc w:val="both"/>
        <w:ind w:left="968" w:hanging="320"/>
        <w:spacing w:after="0" w:line="252" w:lineRule="auto"/>
        <w:tabs>
          <w:tab w:leader="none" w:pos="100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“Revenue” means the revenue on a sell-through basis (POS) for the China Technology Group (CHNTG) as determined by the Company’s financial reporting system and verified by the Company’s Corporate Controller. Products that have been classified under CHNTG as of the first day of the first quarter of the Company’s fiscal year 2021 and any future products released by the CHNTG will be included in Revenue for the entire measurement period. If there are any reorganizations subsequent to the Date of Grant, the revenue from those products that move from other business units will be excluded from the calculation of Revenue. Revenue relating to any acquisitions that occur after the grant date shall be excluded from the calculation.</w:t>
      </w:r>
    </w:p>
    <w:p>
      <w:pPr>
        <w:spacing w:after="0" w:line="136" w:lineRule="exact"/>
        <w:rPr>
          <w:rFonts w:ascii="Arial" w:cs="Arial" w:eastAsia="Arial" w:hAnsi="Arial"/>
          <w:sz w:val="16"/>
          <w:szCs w:val="16"/>
          <w:color w:val="auto"/>
        </w:rPr>
      </w:pPr>
    </w:p>
    <w:p>
      <w:pPr>
        <w:jc w:val="both"/>
        <w:ind w:left="968" w:hanging="320"/>
        <w:spacing w:after="0" w:line="261" w:lineRule="auto"/>
        <w:tabs>
          <w:tab w:leader="none" w:pos="98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definition of or method of determining Revenue for purposes of ascertaining the attainment level of the Revenue Goal may, in the discretion of the Compensation Committee of the Board, be adjusted to eliminate the impact of any unanticipated events relating to unusual or extraordinary corporate transactions, events or developments.</w:t>
      </w:r>
    </w:p>
    <w:p>
      <w:pPr>
        <w:spacing w:after="0" w:line="264"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0588"/>
          </w:cols>
          <w:pgMar w:left="652" w:top="1030" w:right="65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Examples illustrating the application of the Performance Parameters are set forth below:</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980" w:type="dxa"/>
            <w:vAlign w:val="bottom"/>
            <w:tcBorders>
              <w:top w:val="single" w:sz="8" w:color="auto"/>
              <w:left w:val="single" w:sz="8" w:color="auto"/>
              <w:right w:val="single" w:sz="8" w:color="auto"/>
            </w:tcBorders>
            <w:shd w:val="clear" w:color="auto" w:fill="C6D9F0"/>
          </w:tcPr>
          <w:p>
            <w:pPr>
              <w:ind w:left="260"/>
              <w:spacing w:after="0"/>
              <w:rPr>
                <w:sz w:val="20"/>
                <w:szCs w:val="20"/>
                <w:color w:val="auto"/>
              </w:rPr>
            </w:pPr>
            <w:r>
              <w:rPr>
                <w:rFonts w:ascii="Arial" w:cs="Arial" w:eastAsia="Arial" w:hAnsi="Arial"/>
                <w:sz w:val="16"/>
                <w:szCs w:val="16"/>
                <w:color w:val="auto"/>
              </w:rPr>
              <w:t>Payout</w:t>
            </w:r>
          </w:p>
        </w:tc>
        <w:tc>
          <w:tcPr>
            <w:tcW w:w="2500" w:type="dxa"/>
            <w:vAlign w:val="bottom"/>
            <w:tcBorders>
              <w:top w:val="single" w:sz="8" w:color="auto"/>
              <w:right w:val="single" w:sz="8" w:color="auto"/>
            </w:tcBorders>
            <w:shd w:val="clear" w:color="auto" w:fill="C6D9F0"/>
          </w:tcPr>
          <w:p>
            <w:pPr>
              <w:spacing w:after="0"/>
              <w:rPr>
                <w:sz w:val="19"/>
                <w:szCs w:val="19"/>
                <w:color w:val="auto"/>
              </w:rPr>
            </w:pPr>
          </w:p>
        </w:tc>
        <w:tc>
          <w:tcPr>
            <w:tcW w:w="6100" w:type="dxa"/>
            <w:vAlign w:val="bottom"/>
            <w:tcBorders>
              <w:top w:val="single" w:sz="8" w:color="auto"/>
              <w:right w:val="single" w:sz="8" w:color="auto"/>
            </w:tcBorders>
            <w:shd w:val="clear" w:color="auto" w:fill="C6D9F0"/>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80" w:type="dxa"/>
            <w:vAlign w:val="bottom"/>
            <w:tcBorders>
              <w:left w:val="single" w:sz="8" w:color="auto"/>
              <w:bottom w:val="single" w:sz="8" w:color="auto"/>
              <w:right w:val="single" w:sz="8" w:color="auto"/>
            </w:tcBorders>
            <w:shd w:val="clear" w:color="auto" w:fill="C6D9F0"/>
          </w:tcPr>
          <w:p>
            <w:pPr>
              <w:ind w:left="240"/>
              <w:spacing w:after="0"/>
              <w:rPr>
                <w:sz w:val="20"/>
                <w:szCs w:val="20"/>
                <w:color w:val="auto"/>
              </w:rPr>
            </w:pPr>
            <w:r>
              <w:rPr>
                <w:rFonts w:ascii="Arial" w:cs="Arial" w:eastAsia="Arial" w:hAnsi="Arial"/>
                <w:sz w:val="16"/>
                <w:szCs w:val="16"/>
                <w:color w:val="auto"/>
              </w:rPr>
              <w:t>Percent</w:t>
            </w:r>
          </w:p>
        </w:tc>
        <w:tc>
          <w:tcPr>
            <w:tcW w:w="2500" w:type="dxa"/>
            <w:vAlign w:val="bottom"/>
            <w:tcBorders>
              <w:bottom w:val="single" w:sz="8" w:color="auto"/>
              <w:right w:val="single" w:sz="8" w:color="auto"/>
            </w:tcBorders>
            <w:shd w:val="clear" w:color="auto" w:fill="C6D9F0"/>
          </w:tcPr>
          <w:p>
            <w:pPr>
              <w:jc w:val="center"/>
              <w:spacing w:after="0"/>
              <w:rPr>
                <w:sz w:val="20"/>
                <w:szCs w:val="20"/>
                <w:color w:val="auto"/>
              </w:rPr>
            </w:pPr>
            <w:r>
              <w:rPr>
                <w:rFonts w:ascii="Arial" w:cs="Arial" w:eastAsia="Arial" w:hAnsi="Arial"/>
                <w:sz w:val="16"/>
                <w:szCs w:val="16"/>
                <w:color w:val="auto"/>
                <w:w w:val="92"/>
              </w:rPr>
              <w:t>Number of Potential Shares Attained</w:t>
            </w:r>
          </w:p>
        </w:tc>
        <w:tc>
          <w:tcPr>
            <w:tcW w:w="6100" w:type="dxa"/>
            <w:vAlign w:val="bottom"/>
            <w:tcBorders>
              <w:bottom w:val="single" w:sz="8" w:color="auto"/>
              <w:right w:val="single" w:sz="8" w:color="auto"/>
            </w:tcBorders>
            <w:shd w:val="clear" w:color="auto" w:fill="C6D9F0"/>
          </w:tcPr>
          <w:p>
            <w:pPr>
              <w:ind w:left="2240"/>
              <w:spacing w:after="0"/>
              <w:rPr>
                <w:sz w:val="20"/>
                <w:szCs w:val="20"/>
                <w:color w:val="auto"/>
              </w:rPr>
            </w:pPr>
            <w:r>
              <w:rPr>
                <w:rFonts w:ascii="Arial" w:cs="Arial" w:eastAsia="Arial" w:hAnsi="Arial"/>
                <w:sz w:val="16"/>
                <w:szCs w:val="16"/>
                <w:color w:val="auto"/>
              </w:rPr>
              <w:t>Performance Parameters</w:t>
            </w:r>
          </w:p>
        </w:tc>
        <w:tc>
          <w:tcPr>
            <w:tcW w:w="0" w:type="dxa"/>
            <w:vAlign w:val="bottom"/>
          </w:tcPr>
          <w:p>
            <w:pPr>
              <w:spacing w:after="0"/>
              <w:rPr>
                <w:sz w:val="1"/>
                <w:szCs w:val="1"/>
                <w:color w:val="auto"/>
              </w:rPr>
            </w:pPr>
          </w:p>
        </w:tc>
      </w:tr>
      <w:tr>
        <w:trPr>
          <w:trHeight w:val="2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0</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Revenue Goal does not meet minimum threshold approved by the Compensation Committee</w:t>
            </w:r>
          </w:p>
        </w:tc>
        <w:tc>
          <w:tcPr>
            <w:tcW w:w="0" w:type="dxa"/>
            <w:vAlign w:val="bottom"/>
          </w:tcPr>
          <w:p>
            <w:pPr>
              <w:spacing w:after="0"/>
              <w:rPr>
                <w:sz w:val="1"/>
                <w:szCs w:val="1"/>
                <w:color w:val="auto"/>
              </w:rPr>
            </w:pPr>
          </w:p>
        </w:tc>
      </w:tr>
      <w:tr>
        <w:trPr>
          <w:trHeight w:val="112"/>
        </w:trPr>
        <w:tc>
          <w:tcPr>
            <w:tcW w:w="98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6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of the Board</w:t>
            </w:r>
          </w:p>
        </w:tc>
        <w:tc>
          <w:tcPr>
            <w:tcW w:w="0" w:type="dxa"/>
            <w:vAlign w:val="bottom"/>
          </w:tcPr>
          <w:p>
            <w:pPr>
              <w:spacing w:after="0"/>
              <w:rPr>
                <w:sz w:val="1"/>
                <w:szCs w:val="1"/>
                <w:color w:val="auto"/>
              </w:rPr>
            </w:pPr>
          </w:p>
        </w:tc>
      </w:tr>
      <w:tr>
        <w:trPr>
          <w:trHeight w:val="107"/>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61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100%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Number of Awards Granted</w:t>
            </w:r>
          </w:p>
        </w:tc>
        <w:tc>
          <w:tcPr>
            <w:tcW w:w="61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Revenue Goal meets target approved by Compensation Committee of the Board</w:t>
            </w:r>
          </w:p>
        </w:tc>
        <w:tc>
          <w:tcPr>
            <w:tcW w:w="0" w:type="dxa"/>
            <w:vAlign w:val="bottom"/>
          </w:tcPr>
          <w:p>
            <w:pPr>
              <w:spacing w:after="0"/>
              <w:rPr>
                <w:sz w:val="1"/>
                <w:szCs w:val="1"/>
                <w:color w:val="auto"/>
              </w:rPr>
            </w:pPr>
          </w:p>
        </w:tc>
      </w:tr>
      <w:tr>
        <w:trPr>
          <w:trHeight w:val="206"/>
        </w:trPr>
        <w:tc>
          <w:tcPr>
            <w:tcW w:w="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200%</w:t>
            </w: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Grant Custom 2</w:t>
            </w:r>
          </w:p>
        </w:tc>
        <w:tc>
          <w:tcPr>
            <w:tcW w:w="61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Revenue Goal meets or exceeds the maximum target approved by the Compensation</w:t>
            </w:r>
          </w:p>
        </w:tc>
        <w:tc>
          <w:tcPr>
            <w:tcW w:w="0" w:type="dxa"/>
            <w:vAlign w:val="bottom"/>
          </w:tcPr>
          <w:p>
            <w:pPr>
              <w:spacing w:after="0"/>
              <w:rPr>
                <w:sz w:val="1"/>
                <w:szCs w:val="1"/>
                <w:color w:val="auto"/>
              </w:rPr>
            </w:pPr>
          </w:p>
        </w:tc>
      </w:tr>
      <w:tr>
        <w:trPr>
          <w:trHeight w:val="112"/>
        </w:trPr>
        <w:tc>
          <w:tcPr>
            <w:tcW w:w="980" w:type="dxa"/>
            <w:vAlign w:val="bottom"/>
            <w:tcBorders>
              <w:left w:val="single" w:sz="8" w:color="auto"/>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610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Committee of the Board</w:t>
            </w:r>
          </w:p>
        </w:tc>
        <w:tc>
          <w:tcPr>
            <w:tcW w:w="0" w:type="dxa"/>
            <w:vAlign w:val="bottom"/>
          </w:tcPr>
          <w:p>
            <w:pPr>
              <w:spacing w:after="0"/>
              <w:rPr>
                <w:sz w:val="1"/>
                <w:szCs w:val="1"/>
                <w:color w:val="auto"/>
              </w:rPr>
            </w:pPr>
          </w:p>
        </w:tc>
      </w:tr>
      <w:tr>
        <w:trPr>
          <w:trHeight w:val="108"/>
        </w:trPr>
        <w:tc>
          <w:tcPr>
            <w:tcW w:w="980" w:type="dxa"/>
            <w:vAlign w:val="bottom"/>
            <w:tcBorders>
              <w:left w:val="single" w:sz="8" w:color="auto"/>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61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100" w:type="dxa"/>
            <w:vAlign w:val="bottom"/>
          </w:tcPr>
          <w:p>
            <w:pPr>
              <w:ind w:left="1560"/>
              <w:spacing w:after="0"/>
              <w:rPr>
                <w:sz w:val="20"/>
                <w:szCs w:val="20"/>
                <w:color w:val="auto"/>
              </w:rPr>
            </w:pPr>
            <w:r>
              <w:rPr>
                <w:rFonts w:ascii="Arial" w:cs="Arial" w:eastAsia="Arial" w:hAnsi="Arial"/>
                <w:sz w:val="16"/>
                <w:szCs w:val="16"/>
                <w:color w:val="auto"/>
              </w:rPr>
              <w:t>APPENDIX A - 2</w:t>
            </w:r>
          </w:p>
        </w:tc>
        <w:tc>
          <w:tcPr>
            <w:tcW w:w="0" w:type="dxa"/>
            <w:vAlign w:val="bottom"/>
          </w:tcPr>
          <w:p>
            <w:pPr>
              <w:spacing w:after="0"/>
              <w:rPr>
                <w:sz w:val="1"/>
                <w:szCs w:val="1"/>
                <w:color w:val="auto"/>
              </w:rPr>
            </w:pPr>
          </w:p>
        </w:tc>
      </w:tr>
    </w:tbl>
    <w:p>
      <w:pPr>
        <w:sectPr>
          <w:pgSz w:w="11900" w:h="16838" w:orient="portrait"/>
          <w:cols w:equalWidth="0" w:num="1">
            <w:col w:w="10139"/>
          </w:cols>
          <w:pgMar w:left="320" w:top="1440" w:right="1440" w:bottom="1440" w:gutter="0" w:footer="0" w:header="0"/>
        </w:sectPr>
      </w:pPr>
    </w:p>
    <w:bookmarkStart w:id="173" w:name="page174"/>
    <w:bookmarkEnd w:id="173"/>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8" w:right="320"/>
        <w:spacing w:after="0" w:line="286" w:lineRule="auto"/>
        <w:rPr>
          <w:sz w:val="20"/>
          <w:szCs w:val="20"/>
          <w:color w:val="auto"/>
        </w:rPr>
      </w:pPr>
      <w:r>
        <w:rPr>
          <w:rFonts w:ascii="Arial" w:cs="Arial" w:eastAsia="Arial" w:hAnsi="Arial"/>
          <w:sz w:val="15"/>
          <w:szCs w:val="15"/>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07" w:lineRule="exact"/>
        <w:rPr>
          <w:sz w:val="20"/>
          <w:szCs w:val="20"/>
          <w:color w:val="auto"/>
        </w:rPr>
      </w:pPr>
    </w:p>
    <w:p>
      <w:pPr>
        <w:jc w:val="both"/>
        <w:ind w:left="8" w:right="320"/>
        <w:spacing w:after="0" w:line="253" w:lineRule="auto"/>
        <w:rPr>
          <w:sz w:val="20"/>
          <w:szCs w:val="20"/>
          <w:color w:val="auto"/>
        </w:rPr>
      </w:pPr>
      <w:r>
        <w:rPr>
          <w:rFonts w:ascii="Arial" w:cs="Arial" w:eastAsia="Arial" w:hAnsi="Arial"/>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December 2020.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8" w:lineRule="exact"/>
        <w:rPr>
          <w:sz w:val="20"/>
          <w:szCs w:val="20"/>
          <w:color w:val="auto"/>
        </w:rPr>
      </w:pPr>
    </w:p>
    <w:p>
      <w:pPr>
        <w:jc w:val="both"/>
        <w:ind w:left="8" w:right="320"/>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23" w:lineRule="exact"/>
        <w:rPr>
          <w:sz w:val="20"/>
          <w:szCs w:val="20"/>
          <w:color w:val="auto"/>
        </w:rPr>
      </w:pPr>
    </w:p>
    <w:p>
      <w:pPr>
        <w:jc w:val="both"/>
        <w:ind w:left="8" w:right="320"/>
        <w:spacing w:after="0" w:line="286"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52" w:lineRule="exact"/>
        <w:rPr>
          <w:sz w:val="20"/>
          <w:szCs w:val="20"/>
          <w:color w:val="auto"/>
        </w:rPr>
      </w:pPr>
    </w:p>
    <w:p>
      <w:pPr>
        <w:jc w:val="both"/>
        <w:ind w:left="8"/>
        <w:spacing w:after="0" w:line="286" w:lineRule="auto"/>
        <w:rPr>
          <w:sz w:val="20"/>
          <w:szCs w:val="20"/>
          <w:color w:val="auto"/>
        </w:rPr>
      </w:pPr>
      <w:r>
        <w:rPr>
          <w:rFonts w:ascii="Arial" w:cs="Arial" w:eastAsia="Arial" w:hAnsi="Arial"/>
          <w:sz w:val="15"/>
          <w:szCs w:val="15"/>
          <w:b w:val="1"/>
          <w:bCs w:val="1"/>
          <w:i w:val="1"/>
          <w:iCs w:val="1"/>
          <w:u w:val="single" w:color="auto"/>
          <w:color w:val="auto"/>
        </w:rPr>
        <w:t>Data Privacy Information and Consent</w:t>
      </w:r>
      <w:r>
        <w:rPr>
          <w:rFonts w:ascii="Arial" w:cs="Arial" w:eastAsia="Arial" w:hAnsi="Arial"/>
          <w:sz w:val="15"/>
          <w:szCs w:val="15"/>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2" w:lineRule="exact"/>
        <w:rPr>
          <w:sz w:val="20"/>
          <w:szCs w:val="20"/>
          <w:color w:val="auto"/>
        </w:rPr>
      </w:pPr>
    </w:p>
    <w:p>
      <w:pPr>
        <w:jc w:val="both"/>
        <w:ind w:left="328" w:hanging="328"/>
        <w:spacing w:after="0" w:line="272" w:lineRule="auto"/>
        <w:tabs>
          <w:tab w:leader="none" w:pos="373"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Collection and Usage</w:t>
      </w:r>
      <w:r>
        <w:rPr>
          <w:rFonts w:ascii="Arial" w:cs="Arial" w:eastAsia="Arial" w:hAnsi="Arial"/>
          <w:sz w:val="15"/>
          <w:szCs w:val="15"/>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23" w:lineRule="exact"/>
        <w:rPr>
          <w:rFonts w:ascii="Arial" w:cs="Arial" w:eastAsia="Arial" w:hAnsi="Arial"/>
          <w:sz w:val="15"/>
          <w:szCs w:val="15"/>
          <w:color w:val="auto"/>
        </w:rPr>
      </w:pPr>
    </w:p>
    <w:p>
      <w:pPr>
        <w:jc w:val="both"/>
        <w:ind w:left="328" w:hanging="328"/>
        <w:spacing w:after="0" w:line="298" w:lineRule="auto"/>
        <w:tabs>
          <w:tab w:leader="none" w:pos="382" w:val="left"/>
        </w:tabs>
        <w:numPr>
          <w:ilvl w:val="0"/>
          <w:numId w:val="168"/>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7" w:lineRule="exact"/>
        <w:rPr>
          <w:rFonts w:ascii="Arial" w:cs="Arial" w:eastAsia="Arial" w:hAnsi="Arial"/>
          <w:sz w:val="14"/>
          <w:szCs w:val="14"/>
          <w:color w:val="auto"/>
        </w:rPr>
      </w:pPr>
    </w:p>
    <w:p>
      <w:pPr>
        <w:jc w:val="both"/>
        <w:ind w:left="328" w:hanging="328"/>
        <w:spacing w:after="0" w:line="291" w:lineRule="auto"/>
        <w:tabs>
          <w:tab w:leader="none" w:pos="427" w:val="left"/>
        </w:tabs>
        <w:numPr>
          <w:ilvl w:val="0"/>
          <w:numId w:val="168"/>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2" w:lineRule="exact"/>
        <w:rPr>
          <w:rFonts w:ascii="Arial" w:cs="Arial" w:eastAsia="Arial" w:hAnsi="Arial"/>
          <w:sz w:val="14"/>
          <w:szCs w:val="14"/>
          <w:color w:val="auto"/>
        </w:rPr>
      </w:pPr>
    </w:p>
    <w:p>
      <w:pPr>
        <w:jc w:val="both"/>
        <w:ind w:left="328" w:hanging="328"/>
        <w:spacing w:after="0" w:line="256" w:lineRule="auto"/>
        <w:tabs>
          <w:tab w:leader="none" w:pos="395" w:val="left"/>
        </w:tabs>
        <w:numPr>
          <w:ilvl w:val="0"/>
          <w:numId w:val="168"/>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employment with the Employer. If the Company keeps data longer, it would be to satisfy legal or regulatory obligations and the Company’s legal basis would be relevant laws or regulations.</w:t>
      </w:r>
    </w:p>
    <w:p>
      <w:pPr>
        <w:spacing w:after="0" w:line="25"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APPENDIX B - 1</w:t>
      </w:r>
    </w:p>
    <w:p>
      <w:pPr>
        <w:sectPr>
          <w:pgSz w:w="11900" w:h="16838" w:orient="portrait"/>
          <w:cols w:equalWidth="0" w:num="1">
            <w:col w:w="10908"/>
          </w:cols>
          <w:pgMar w:left="652" w:top="1030" w:right="339" w:bottom="1440" w:gutter="0" w:footer="0" w:header="0"/>
        </w:sectPr>
      </w:pPr>
    </w:p>
    <w:bookmarkStart w:id="174" w:name="page175"/>
    <w:bookmarkEnd w:id="174"/>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67"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28" w:hanging="328"/>
        <w:spacing w:after="0" w:line="256" w:lineRule="auto"/>
        <w:tabs>
          <w:tab w:leader="none" w:pos="346" w:val="left"/>
        </w:tabs>
        <w:numPr>
          <w:ilvl w:val="0"/>
          <w:numId w:val="16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32" w:lineRule="exact"/>
        <w:rPr>
          <w:rFonts w:ascii="Arial" w:cs="Arial" w:eastAsia="Arial" w:hAnsi="Arial"/>
          <w:sz w:val="16"/>
          <w:szCs w:val="16"/>
          <w:color w:val="auto"/>
        </w:rPr>
      </w:pPr>
    </w:p>
    <w:p>
      <w:pPr>
        <w:jc w:val="both"/>
        <w:ind w:left="328" w:hanging="328"/>
        <w:spacing w:after="0" w:line="252" w:lineRule="auto"/>
        <w:tabs>
          <w:tab w:leader="none" w:pos="341" w:val="left"/>
        </w:tabs>
        <w:numPr>
          <w:ilvl w:val="0"/>
          <w:numId w:val="169"/>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37" w:lineRule="exact"/>
        <w:rPr>
          <w:sz w:val="20"/>
          <w:szCs w:val="20"/>
          <w:color w:val="auto"/>
        </w:rPr>
      </w:pPr>
    </w:p>
    <w:p>
      <w:pPr>
        <w:jc w:val="both"/>
        <w:ind w:left="8" w:right="340"/>
        <w:spacing w:after="0" w:line="275" w:lineRule="auto"/>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9"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CHINA</w:t>
      </w:r>
    </w:p>
    <w:p>
      <w:pPr>
        <w:spacing w:after="0" w:line="266" w:lineRule="exact"/>
        <w:rPr>
          <w:sz w:val="20"/>
          <w:szCs w:val="20"/>
          <w:color w:val="auto"/>
        </w:rPr>
      </w:pPr>
    </w:p>
    <w:p>
      <w:pPr>
        <w:jc w:val="both"/>
        <w:ind w:left="8" w:right="340"/>
        <w:spacing w:after="0" w:line="349"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66" w:lineRule="exact"/>
        <w:rPr>
          <w:sz w:val="20"/>
          <w:szCs w:val="20"/>
          <w:color w:val="auto"/>
        </w:rPr>
      </w:pPr>
    </w:p>
    <w:p>
      <w:pPr>
        <w:jc w:val="both"/>
        <w:ind w:left="8" w:right="320"/>
        <w:spacing w:after="0" w:line="251" w:lineRule="auto"/>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33" w:lineRule="exact"/>
        <w:rPr>
          <w:sz w:val="20"/>
          <w:szCs w:val="20"/>
          <w:color w:val="auto"/>
        </w:rPr>
      </w:pPr>
    </w:p>
    <w:p>
      <w:pPr>
        <w:jc w:val="both"/>
        <w:ind w:left="8" w:right="320"/>
        <w:spacing w:after="0" w:line="291"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193" w:lineRule="exact"/>
        <w:rPr>
          <w:sz w:val="20"/>
          <w:szCs w:val="20"/>
          <w:color w:val="auto"/>
        </w:rPr>
      </w:pPr>
    </w:p>
    <w:p>
      <w:pPr>
        <w:jc w:val="both"/>
        <w:ind w:left="8" w:right="340"/>
        <w:spacing w:after="0" w:line="315" w:lineRule="auto"/>
        <w:rPr>
          <w:sz w:val="20"/>
          <w:szCs w:val="20"/>
          <w:color w:val="auto"/>
        </w:rPr>
      </w:pPr>
      <w:r>
        <w:rPr>
          <w:rFonts w:ascii="Arial" w:cs="Arial" w:eastAsia="Arial" w:hAnsi="Arial"/>
          <w:sz w:val="14"/>
          <w:szCs w:val="14"/>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90" w:lineRule="exact"/>
        <w:rPr>
          <w:sz w:val="20"/>
          <w:szCs w:val="20"/>
          <w:color w:val="auto"/>
        </w:rPr>
      </w:pPr>
    </w:p>
    <w:p>
      <w:pPr>
        <w:jc w:val="both"/>
        <w:ind w:left="8" w:right="320"/>
        <w:spacing w:after="0" w:line="256"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27" w:lineRule="exact"/>
        <w:rPr>
          <w:sz w:val="20"/>
          <w:szCs w:val="20"/>
          <w:color w:val="auto"/>
        </w:rPr>
      </w:pPr>
    </w:p>
    <w:p>
      <w:pPr>
        <w:jc w:val="both"/>
        <w:ind w:left="8" w:right="320"/>
        <w:spacing w:after="0" w:line="275" w:lineRule="auto"/>
        <w:rPr>
          <w:sz w:val="20"/>
          <w:szCs w:val="20"/>
          <w:color w:val="auto"/>
        </w:rPr>
      </w:pPr>
      <w:r>
        <w:rPr>
          <w:rFonts w:ascii="Arial" w:cs="Arial" w:eastAsia="Arial" w:hAnsi="Arial"/>
          <w:sz w:val="16"/>
          <w:szCs w:val="16"/>
          <w:u w:val="single" w:color="auto"/>
          <w:color w:val="auto"/>
        </w:rPr>
        <w:t>Tax Liability</w:t>
      </w:r>
      <w:r>
        <w:rPr>
          <w:rFonts w:ascii="Arial" w:cs="Arial" w:eastAsia="Arial" w:hAnsi="Arial"/>
          <w:sz w:val="16"/>
          <w:szCs w:val="16"/>
          <w:color w:val="auto"/>
        </w:rPr>
        <w:t>. Taxes are due at the time of vesting of the Performance RSUs. The Participant understands and agrees that Tax-Related Items may be taken by the Employer from the Participant’s salary or other cash compensation.</w:t>
      </w:r>
    </w:p>
    <w:p>
      <w:pPr>
        <w:spacing w:after="0" w:line="105"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0908"/>
          </w:cols>
          <w:pgMar w:left="652" w:top="1030"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268730" cy="3689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4">
                      <a:extLst>
                        <a:ext uri="{28A0092B-C50C-407E-A947-70E740481C1C}"/>
                      </a:extLst>
                    </a:blip>
                    <a:srcRect/>
                    <a:stretch>
                      <a:fillRect/>
                    </a:stretch>
                  </pic:blipFill>
                  <pic:spPr bwMode="auto">
                    <a:xfrm>
                      <a:off x="0" y="0"/>
                      <a:ext cx="12687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Mr. Steven Pietkiewicz</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VIA EMAIL</w:t>
      </w:r>
    </w:p>
    <w:p>
      <w:pPr>
        <w:spacing w:after="0" w:line="253" w:lineRule="exact"/>
        <w:rPr>
          <w:sz w:val="20"/>
          <w:szCs w:val="20"/>
          <w:color w:val="auto"/>
        </w:rPr>
      </w:pPr>
    </w:p>
    <w:p>
      <w:pPr>
        <w:spacing w:after="0"/>
        <w:tabs>
          <w:tab w:leader="none" w:pos="5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Severance Agreement and Release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Dear Steve</w:t>
      </w:r>
      <w:r>
        <w:rPr>
          <w:rFonts w:ascii="Arial" w:cs="Arial" w:eastAsia="Arial" w:hAnsi="Arial"/>
          <w:sz w:val="22"/>
          <w:szCs w:val="22"/>
          <w:b w:val="1"/>
          <w:bCs w:val="1"/>
          <w:color w:val="auto"/>
        </w:rPr>
        <w:t>:</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This letter summarizes the terms of your retirement from employment with Analog Devices, Inc. (the “Company”). The purpose of this letter (also referred to as the “Agreement”), and the supplemental release attached as </w:t>
      </w:r>
      <w:r>
        <w:rPr>
          <w:rFonts w:ascii="Arial" w:cs="Arial" w:eastAsia="Arial" w:hAnsi="Arial"/>
          <w:sz w:val="21"/>
          <w:szCs w:val="21"/>
          <w:u w:val="single" w:color="auto"/>
          <w:color w:val="auto"/>
        </w:rPr>
        <w:t>Schedule A</w:t>
      </w:r>
      <w:r>
        <w:rPr>
          <w:rFonts w:ascii="Arial" w:cs="Arial" w:eastAsia="Arial" w:hAnsi="Arial"/>
          <w:sz w:val="21"/>
          <w:szCs w:val="21"/>
          <w:color w:val="auto"/>
        </w:rPr>
        <w:t>, is to outline your retirement arrangement and to release the Company from all legally waivable claims. The retirement terms set out in Sections 1 and 2 of this Agreement are contingent on the Company receiving approval of those terms from the Compensation Committee of the Board of Directors at its February 16, 2021 meeting.</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color w:val="auto"/>
        </w:rPr>
        <w:t>By signing this Agreement, you will be giving up valuable legal rights. For this reason, it is very important that you carefully review and understand the Agreement before signing it. The deadline for accepting this Agreement is twenty-one</w:t>
      </w:r>
    </w:p>
    <w:p>
      <w:pPr>
        <w:spacing w:after="0" w:line="2" w:lineRule="exact"/>
        <w:rPr>
          <w:sz w:val="20"/>
          <w:szCs w:val="20"/>
          <w:color w:val="auto"/>
        </w:rPr>
      </w:pPr>
    </w:p>
    <w:p>
      <w:pPr>
        <w:ind w:right="20" w:firstLine="8"/>
        <w:spacing w:after="0" w:line="246" w:lineRule="auto"/>
        <w:tabs>
          <w:tab w:leader="none" w:pos="418"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days from the date of receipt. The Company encourages you to consult with a lawyer or other trusted advisor, before signing the document.</w:t>
      </w:r>
    </w:p>
    <w:p>
      <w:pPr>
        <w:spacing w:after="0" w:line="21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Subject to approval of the Compensation Committee of the Board of Directors at the meeting scheduled to take place on February 16, 2021 meeting, the terms of your retirement are as follows:</w:t>
      </w:r>
    </w:p>
    <w:p>
      <w:pPr>
        <w:spacing w:after="0" w:line="196" w:lineRule="exact"/>
        <w:rPr>
          <w:sz w:val="20"/>
          <w:szCs w:val="20"/>
          <w:color w:val="auto"/>
        </w:rPr>
      </w:pPr>
    </w:p>
    <w:p>
      <w:pPr>
        <w:ind w:left="380" w:hanging="372"/>
        <w:spacing w:after="0"/>
        <w:tabs>
          <w:tab w:leader="none" w:pos="380" w:val="left"/>
        </w:tabs>
        <w:numPr>
          <w:ilvl w:val="0"/>
          <w:numId w:val="17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Employment Status and Final Payments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jc w:val="both"/>
        <w:ind w:firstLine="656"/>
        <w:spacing w:after="0" w:line="248" w:lineRule="auto"/>
        <w:tabs>
          <w:tab w:leader="none" w:pos="1201" w:val="left"/>
        </w:tabs>
        <w:numPr>
          <w:ilvl w:val="1"/>
          <w:numId w:val="171"/>
        </w:numPr>
        <w:rPr>
          <w:rFonts w:ascii="Arial" w:cs="Arial" w:eastAsia="Arial" w:hAnsi="Arial"/>
          <w:sz w:val="22"/>
          <w:szCs w:val="22"/>
          <w:color w:val="auto"/>
        </w:rPr>
      </w:pPr>
      <w:r>
        <w:rPr>
          <w:rFonts w:ascii="Arial" w:cs="Arial" w:eastAsia="Arial" w:hAnsi="Arial"/>
          <w:sz w:val="22"/>
          <w:szCs w:val="22"/>
          <w:color w:val="auto"/>
        </w:rPr>
        <w:t>Your retirement from employment with the Company will be effective as of October 17, 2021 (the “Retirement Date”). Starting on January 31, 2021, and ending on the Retirement Date, you will serve as an advisor to Senior Vice President Martin Cotter. During the period between January 31, 2021 and the Retirement Date you will continue to receive your base pay, and participate in benefit plans, in the same manner and, as to the benefit plans, subject to the same terms and conditions, as prior to January 31, 2021.</w:t>
      </w:r>
    </w:p>
    <w:p>
      <w:pPr>
        <w:spacing w:after="0" w:line="191" w:lineRule="exact"/>
        <w:rPr>
          <w:rFonts w:ascii="Arial" w:cs="Arial" w:eastAsia="Arial" w:hAnsi="Arial"/>
          <w:sz w:val="22"/>
          <w:szCs w:val="22"/>
          <w:color w:val="auto"/>
        </w:rPr>
      </w:pPr>
    </w:p>
    <w:p>
      <w:pPr>
        <w:jc w:val="both"/>
        <w:ind w:firstLine="656"/>
        <w:spacing w:after="0" w:line="253" w:lineRule="auto"/>
        <w:tabs>
          <w:tab w:leader="none" w:pos="1144" w:val="left"/>
        </w:tabs>
        <w:numPr>
          <w:ilvl w:val="1"/>
          <w:numId w:val="171"/>
        </w:numPr>
        <w:rPr>
          <w:rFonts w:ascii="Arial" w:cs="Arial" w:eastAsia="Arial" w:hAnsi="Arial"/>
          <w:sz w:val="22"/>
          <w:szCs w:val="22"/>
          <w:color w:val="auto"/>
        </w:rPr>
      </w:pPr>
      <w:r>
        <w:rPr>
          <w:rFonts w:ascii="Arial" w:cs="Arial" w:eastAsia="Arial" w:hAnsi="Arial"/>
          <w:sz w:val="22"/>
          <w:szCs w:val="22"/>
          <w:color w:val="auto"/>
        </w:rPr>
        <w:t>Your resignation from your current role and membership on the Chief Executive Officer’s staff will be effective on January 31, 2021. The Compensation Committee will accept your resignation as a Section 16 Officer at its meeting scheduled for February 16, 2021.</w:t>
      </w:r>
    </w:p>
    <w:p>
      <w:pPr>
        <w:spacing w:after="0" w:line="185" w:lineRule="exact"/>
        <w:rPr>
          <w:rFonts w:ascii="Arial" w:cs="Arial" w:eastAsia="Arial" w:hAnsi="Arial"/>
          <w:sz w:val="22"/>
          <w:szCs w:val="22"/>
          <w:color w:val="auto"/>
        </w:rPr>
      </w:pPr>
    </w:p>
    <w:p>
      <w:pPr>
        <w:ind w:firstLine="656"/>
        <w:spacing w:after="0" w:line="263" w:lineRule="auto"/>
        <w:tabs>
          <w:tab w:leader="none" w:pos="1168" w:val="left"/>
        </w:tabs>
        <w:numPr>
          <w:ilvl w:val="1"/>
          <w:numId w:val="171"/>
        </w:numPr>
        <w:rPr>
          <w:rFonts w:ascii="Arial" w:cs="Arial" w:eastAsia="Arial" w:hAnsi="Arial"/>
          <w:sz w:val="22"/>
          <w:szCs w:val="22"/>
          <w:color w:val="auto"/>
        </w:rPr>
      </w:pPr>
      <w:r>
        <w:rPr>
          <w:rFonts w:ascii="Arial" w:cs="Arial" w:eastAsia="Arial" w:hAnsi="Arial"/>
          <w:sz w:val="22"/>
          <w:szCs w:val="22"/>
          <w:color w:val="auto"/>
        </w:rPr>
        <w:t>You will receive a payment on the Retirement Date for all earned salary or wages and for all accrued but unused vacation time and any full sabbatical that you were granted and have not used.</w:t>
      </w:r>
    </w:p>
    <w:p>
      <w:pPr>
        <w:sectPr>
          <w:pgSz w:w="11900" w:h="16838" w:orient="portrait"/>
          <w:cols w:equalWidth="0" w:num="1">
            <w:col w:w="11240"/>
          </w:cols>
          <w:pgMar w:left="320" w:top="126" w:right="339" w:bottom="1440" w:gutter="0" w:footer="0" w:header="0"/>
        </w:sectPr>
      </w:pPr>
    </w:p>
    <w:bookmarkStart w:id="176" w:name="page177"/>
    <w:bookmarkEnd w:id="176"/>
    <w:p>
      <w:pPr>
        <w:jc w:val="both"/>
        <w:ind w:firstLine="656"/>
        <w:spacing w:after="0" w:line="312" w:lineRule="auto"/>
        <w:tabs>
          <w:tab w:leader="none" w:pos="1243" w:val="left"/>
        </w:tabs>
        <w:numPr>
          <w:ilvl w:val="1"/>
          <w:numId w:val="172"/>
        </w:numPr>
        <w:rPr>
          <w:rFonts w:ascii="Arial" w:cs="Arial" w:eastAsia="Arial" w:hAnsi="Arial"/>
          <w:sz w:val="19"/>
          <w:szCs w:val="19"/>
          <w:color w:val="auto"/>
        </w:rPr>
      </w:pPr>
      <w:r>
        <w:rPr>
          <w:rFonts w:ascii="Arial" w:cs="Arial" w:eastAsia="Arial" w:hAnsi="Arial"/>
          <w:sz w:val="19"/>
          <w:szCs w:val="19"/>
          <w:color w:val="auto"/>
        </w:rPr>
        <w:t>If you are a participant in the Sales Compensation Plan, you will receive compensation plan payments (which include the Profit Component) up to the last fully completed quarter worked based on your eligible earnings as of the Retirement Date. The payments, if any, will be paid when due to you in compliance with the terms of the Sales Compensation Plan.</w:t>
      </w:r>
    </w:p>
    <w:p>
      <w:pPr>
        <w:spacing w:after="0" w:line="133" w:lineRule="exact"/>
        <w:rPr>
          <w:rFonts w:ascii="Arial" w:cs="Arial" w:eastAsia="Arial" w:hAnsi="Arial"/>
          <w:sz w:val="19"/>
          <w:szCs w:val="19"/>
          <w:color w:val="auto"/>
        </w:rPr>
      </w:pPr>
    </w:p>
    <w:p>
      <w:pPr>
        <w:ind w:firstLine="656"/>
        <w:spacing w:after="0" w:line="287" w:lineRule="auto"/>
        <w:tabs>
          <w:tab w:leader="none" w:pos="1143" w:val="left"/>
        </w:tabs>
        <w:numPr>
          <w:ilvl w:val="1"/>
          <w:numId w:val="172"/>
        </w:numPr>
        <w:rPr>
          <w:rFonts w:ascii="Arial" w:cs="Arial" w:eastAsia="Arial" w:hAnsi="Arial"/>
          <w:sz w:val="21"/>
          <w:szCs w:val="21"/>
          <w:color w:val="auto"/>
        </w:rPr>
      </w:pPr>
      <w:r>
        <w:rPr>
          <w:rFonts w:ascii="Arial" w:cs="Arial" w:eastAsia="Arial" w:hAnsi="Arial"/>
          <w:sz w:val="21"/>
          <w:szCs w:val="21"/>
          <w:color w:val="auto"/>
        </w:rPr>
        <w:t>Any outstanding stock options, RSUs, RSAs or other equity awards that you have been granted and currently hold will be governed by and subject to the terms of the applicable plan and your specific grant documents.</w:t>
      </w:r>
    </w:p>
    <w:p>
      <w:pPr>
        <w:spacing w:after="0" w:line="151" w:lineRule="exact"/>
        <w:rPr>
          <w:rFonts w:ascii="Arial" w:cs="Arial" w:eastAsia="Arial" w:hAnsi="Arial"/>
          <w:sz w:val="21"/>
          <w:szCs w:val="21"/>
          <w:color w:val="auto"/>
        </w:rPr>
      </w:pPr>
    </w:p>
    <w:p>
      <w:pPr>
        <w:jc w:val="both"/>
        <w:ind w:firstLine="656"/>
        <w:spacing w:after="0" w:line="250" w:lineRule="auto"/>
        <w:tabs>
          <w:tab w:leader="none" w:pos="1231" w:val="left"/>
        </w:tabs>
        <w:numPr>
          <w:ilvl w:val="1"/>
          <w:numId w:val="172"/>
        </w:numPr>
        <w:rPr>
          <w:rFonts w:ascii="Arial" w:cs="Arial" w:eastAsia="Arial" w:hAnsi="Arial"/>
          <w:sz w:val="22"/>
          <w:szCs w:val="22"/>
          <w:color w:val="auto"/>
        </w:rPr>
      </w:pPr>
      <w:r>
        <w:rPr>
          <w:rFonts w:ascii="Arial" w:cs="Arial" w:eastAsia="Arial" w:hAnsi="Arial"/>
          <w:sz w:val="22"/>
          <w:szCs w:val="22"/>
          <w:color w:val="auto"/>
        </w:rPr>
        <w:t>Deferred compensation will be distributed to you in accordance with the terms of the Amended and Restated Deferred Compensation Plan and consistent with the election you made at the time you became eligible to participate in the Plan. In compliance with the tax laws, your deferred compensation distributions will be delayed until six (6) months after your Retirement Date.</w:t>
      </w:r>
    </w:p>
    <w:p>
      <w:pPr>
        <w:spacing w:after="0" w:line="214" w:lineRule="exact"/>
        <w:rPr>
          <w:rFonts w:ascii="Arial" w:cs="Arial" w:eastAsia="Arial" w:hAnsi="Arial"/>
          <w:sz w:val="22"/>
          <w:szCs w:val="22"/>
          <w:color w:val="auto"/>
        </w:rPr>
      </w:pPr>
    </w:p>
    <w:p>
      <w:pPr>
        <w:jc w:val="both"/>
        <w:ind w:firstLine="656"/>
        <w:spacing w:after="0" w:line="245" w:lineRule="auto"/>
        <w:tabs>
          <w:tab w:leader="none" w:pos="115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You have (i) received all compensation due you as a result of services performed for the Company; (ii) reported to the Company any and all work-related injuries or occupational disease incurred by you during your employment; (iii) been properly provided by the Company any leave requested under the FMLA or similar state local laws and have not been subjected to any improper treatment, conduct or actions due to a request for or taking such leave; (iv) had the opportunity to provide the Company with written notice of any and all concerns regarding suspected ethical and compliance issues or violations on the part of the Company or any other released person or entity; and (v) reported any pending judicial or administrative complaints, claims, or actions against the Company or any other released person or entity. You further acknowledge that you do not have a pending claim of unlawful discrimination; harassment; sexual harassment, abuse, assault, or other criminal conduct; or retaliation.</w:t>
      </w:r>
    </w:p>
    <w:p>
      <w:pPr>
        <w:spacing w:after="0" w:line="194" w:lineRule="exact"/>
        <w:rPr>
          <w:rFonts w:ascii="Arial" w:cs="Arial" w:eastAsia="Arial" w:hAnsi="Arial"/>
          <w:sz w:val="22"/>
          <w:szCs w:val="22"/>
          <w:color w:val="auto"/>
        </w:rPr>
      </w:pPr>
    </w:p>
    <w:p>
      <w:pPr>
        <w:jc w:val="both"/>
        <w:ind w:firstLine="8"/>
        <w:spacing w:after="0" w:line="298" w:lineRule="auto"/>
        <w:tabs>
          <w:tab w:leader="none" w:pos="405"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Consideration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and acknowledge that you are receiving bargained for consideration in exchange for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this Agreement, including but not limited to the Release, Confidentiality and Continuing Post-Employment Obligations provisions set forth herein. In exchange for, and in consideration of, your full execution of this Agreement within 21 days and the Supplemental Release of Legal Claims attached as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on or after your Retirement Date, and after the seven (7)-day revocation period set forth in both Agreements has expired without being exercised, the Company agrees as follows:</w:t>
      </w:r>
    </w:p>
    <w:p>
      <w:pPr>
        <w:spacing w:after="0" w:line="148" w:lineRule="exact"/>
        <w:rPr>
          <w:rFonts w:ascii="Arial" w:cs="Arial" w:eastAsia="Arial" w:hAnsi="Arial"/>
          <w:sz w:val="19"/>
          <w:szCs w:val="19"/>
          <w:b w:val="1"/>
          <w:bCs w:val="1"/>
          <w:color w:val="auto"/>
        </w:rPr>
      </w:pPr>
    </w:p>
    <w:p>
      <w:pPr>
        <w:jc w:val="both"/>
        <w:ind w:firstLine="656"/>
        <w:spacing w:after="0" w:line="297" w:lineRule="auto"/>
        <w:tabs>
          <w:tab w:leader="none" w:pos="1239"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Severance Pay</w:t>
      </w:r>
      <w:r>
        <w:rPr>
          <w:rFonts w:ascii="Arial" w:cs="Arial" w:eastAsia="Arial" w:hAnsi="Arial"/>
          <w:sz w:val="19"/>
          <w:szCs w:val="19"/>
          <w:color w:val="auto"/>
        </w:rPr>
        <w:t>: The Company will provide you with severance pay equivalent to Forty-Nine (49) weeks (“the Severance Period”) of base salary, which is equal to Four Hundred Twenty-Four Thousand &amp; Thirty-Eight Dollars ($424,038.00) (“Severance Pay”). Severance Pay will be paid in a lump sum, less customary payroll deductions, taxes and withholdings. The lump sum will be paid to you within thirty (30) days of the effective date of the Supplemental Release of Legal Claims attached as Schedule A. The term “effective date” is as defined in Section 4 of the Supplemental Release of Legal Claims.</w:t>
      </w:r>
    </w:p>
    <w:p>
      <w:pPr>
        <w:spacing w:after="0" w:line="146" w:lineRule="exact"/>
        <w:rPr>
          <w:rFonts w:ascii="Arial" w:cs="Arial" w:eastAsia="Arial" w:hAnsi="Arial"/>
          <w:sz w:val="19"/>
          <w:szCs w:val="19"/>
          <w:color w:val="auto"/>
        </w:rPr>
      </w:pPr>
    </w:p>
    <w:p>
      <w:pPr>
        <w:jc w:val="both"/>
        <w:ind w:right="20" w:firstLine="1304"/>
        <w:spacing w:after="0" w:line="312" w:lineRule="auto"/>
        <w:tabs>
          <w:tab w:leader="none" w:pos="1622" w:val="left"/>
        </w:tabs>
        <w:numPr>
          <w:ilvl w:val="2"/>
          <w:numId w:val="173"/>
        </w:numPr>
        <w:rPr>
          <w:rFonts w:ascii="Arial" w:cs="Arial" w:eastAsia="Arial" w:hAnsi="Arial"/>
          <w:sz w:val="19"/>
          <w:szCs w:val="19"/>
          <w:color w:val="auto"/>
        </w:rPr>
      </w:pPr>
      <w:r>
        <w:rPr>
          <w:rFonts w:ascii="Arial" w:cs="Arial" w:eastAsia="Arial" w:hAnsi="Arial"/>
          <w:sz w:val="19"/>
          <w:szCs w:val="19"/>
          <w:color w:val="auto"/>
        </w:rPr>
        <w:t>The Severance Pay in Section 2(a) and medical insurance subsidies outlined in Section 2(c) below are intended as retirement benefits. If during the Severance Period you accept a job with another employer, begin an engagement as an independent contractor or otherwise become self-employed, such conduct is inconsistent with retirement,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93" w:right="339" w:bottom="1440" w:gutter="0" w:footer="0" w:header="0"/>
        </w:sectPr>
      </w:pPr>
    </w:p>
    <w:bookmarkStart w:id="177" w:name="page178"/>
    <w:bookmarkEnd w:id="177"/>
    <w:p>
      <w:pPr>
        <w:jc w:val="both"/>
        <w:spacing w:after="0" w:line="285" w:lineRule="auto"/>
        <w:rPr>
          <w:sz w:val="20"/>
          <w:szCs w:val="20"/>
          <w:color w:val="auto"/>
        </w:rPr>
      </w:pPr>
      <w:r>
        <w:rPr>
          <w:rFonts w:ascii="Arial" w:cs="Arial" w:eastAsia="Arial" w:hAnsi="Arial"/>
          <w:sz w:val="19"/>
          <w:szCs w:val="19"/>
          <w:color w:val="auto"/>
        </w:rPr>
        <w:t>as a result, the benefits outlined in Section 2(c) below will cease as of the date you commence new employment or you start your new engagement or other business venture. It is also agreed that such conduct constitutes a material breach of this Agreement for which the Company can pursue damages in a breach of contract action. For this reason, you are obligated to provide the Company with notice (using the contact information provided in Section 10 below) no less than one (1) week prior to the start of any of the foregoing. This notice must include the name and location of the new employer, the business retaining you as an independent contractor or your new business venture, as applicable, and the date the forgoing employment or engagement is scheduled to begin or, as applicable, the date on which the new business venture is scheduled to launch. Notwithstanding the foregoing, the Company agrees that pursuing baking and/or music businesses in some form of self-employment is consistent with retirement and the benefits outlined in Section 2(c) will not cease if you do so. Moreover, the Company agrees that continuing your current role as a member of the Board of Directors of United Silicon Carbide, Inc., and as a member of the Strategic Advisory Board at Actnano Corp., and joining the Board of Directors of non-competitive businesses, is not inconsistent with retirement and therefore will not result in the cessation of the benefits outlined in Section 2(c). Nevertheless, when engaging in the foregoing, you must provide the Company with notice as outlined in this Section 2(a)(i). Failure to provide the requisite notice in any of the circumstances set forth in this Section 2(a)(i) will constitute a material breach of this Agreement and will also result in the immediate cessation of the medical insurance benefits outlined in Section 2(c) below. If payment of the medical insurance benefits cease pursuant to the terms of this Section 2(a)(i), you will nonetheless remain bound by the release of legal claims and other obligations as set out in Sections 3, 5, 6 and 8 of this Agreement as well as the release of legal claims set out in the Supplemental Release of Legal Claims.</w:t>
      </w:r>
    </w:p>
    <w:p>
      <w:pPr>
        <w:spacing w:after="0" w:line="200" w:lineRule="exact"/>
        <w:rPr>
          <w:sz w:val="20"/>
          <w:szCs w:val="20"/>
          <w:color w:val="auto"/>
        </w:rPr>
      </w:pPr>
    </w:p>
    <w:p>
      <w:pPr>
        <w:spacing w:after="0" w:line="222" w:lineRule="exact"/>
        <w:rPr>
          <w:sz w:val="20"/>
          <w:szCs w:val="20"/>
          <w:color w:val="auto"/>
        </w:rPr>
      </w:pPr>
    </w:p>
    <w:p>
      <w:pPr>
        <w:ind w:firstLine="1304"/>
        <w:spacing w:after="0" w:line="343" w:lineRule="auto"/>
        <w:tabs>
          <w:tab w:leader="none" w:pos="1681" w:val="left"/>
        </w:tabs>
        <w:numPr>
          <w:ilvl w:val="1"/>
          <w:numId w:val="174"/>
        </w:numPr>
        <w:rPr>
          <w:rFonts w:ascii="Arial" w:cs="Arial" w:eastAsia="Arial" w:hAnsi="Arial"/>
          <w:sz w:val="19"/>
          <w:szCs w:val="19"/>
          <w:color w:val="auto"/>
        </w:rPr>
      </w:pPr>
      <w:r>
        <w:rPr>
          <w:rFonts w:ascii="Arial" w:cs="Arial" w:eastAsia="Arial" w:hAnsi="Arial"/>
          <w:sz w:val="19"/>
          <w:szCs w:val="19"/>
          <w:color w:val="auto"/>
        </w:rPr>
        <w:t>You may not apply for employment with the Company until six (6) months after the Severance Period expires. Likewise, you may not provide services as a contractor to the Company until six (6) months after the Severance Period expires.</w:t>
      </w:r>
    </w:p>
    <w:p>
      <w:pPr>
        <w:spacing w:after="0" w:line="104" w:lineRule="exact"/>
        <w:rPr>
          <w:rFonts w:ascii="Arial" w:cs="Arial" w:eastAsia="Arial" w:hAnsi="Arial"/>
          <w:sz w:val="19"/>
          <w:szCs w:val="19"/>
          <w:color w:val="auto"/>
        </w:rPr>
      </w:pPr>
    </w:p>
    <w:p>
      <w:pPr>
        <w:ind w:firstLine="1304"/>
        <w:spacing w:after="0" w:line="263" w:lineRule="auto"/>
        <w:tabs>
          <w:tab w:leader="none" w:pos="1786" w:val="left"/>
        </w:tabs>
        <w:numPr>
          <w:ilvl w:val="1"/>
          <w:numId w:val="174"/>
        </w:numPr>
        <w:rPr>
          <w:rFonts w:ascii="Arial" w:cs="Arial" w:eastAsia="Arial" w:hAnsi="Arial"/>
          <w:sz w:val="22"/>
          <w:szCs w:val="22"/>
          <w:color w:val="auto"/>
        </w:rPr>
      </w:pPr>
      <w:r>
        <w:rPr>
          <w:rFonts w:ascii="Arial" w:cs="Arial" w:eastAsia="Arial" w:hAnsi="Arial"/>
          <w:sz w:val="22"/>
          <w:szCs w:val="22"/>
          <w:color w:val="auto"/>
        </w:rPr>
        <w:t>Limited exceptions to the restrictions in Section 2(a)(ii) above may be permitted only with written approval from the Chief People Officer, the Chief Financial Officer and the applicable Senior Vice President.</w:t>
      </w:r>
    </w:p>
    <w:p>
      <w:pPr>
        <w:spacing w:after="0" w:line="174" w:lineRule="exact"/>
        <w:rPr>
          <w:rFonts w:ascii="Arial" w:cs="Arial" w:eastAsia="Arial" w:hAnsi="Arial"/>
          <w:sz w:val="22"/>
          <w:szCs w:val="22"/>
          <w:color w:val="auto"/>
        </w:rPr>
      </w:pPr>
    </w:p>
    <w:p>
      <w:pPr>
        <w:jc w:val="both"/>
        <w:ind w:firstLine="656"/>
        <w:spacing w:after="0" w:line="292" w:lineRule="auto"/>
        <w:tabs>
          <w:tab w:leader="none" w:pos="1170"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You will remain eligible for Q1 and Q2 quarterly bonus payments under the 2021 Executive Performance Incentive Plan (the “2021 Bonus Plan”) based on your eligible earnings. Despite not working on a full-time basis after January 31, 2021, and despite the fact that the 2021 Bonus Plan is tied to performance and does not guarantee payment, the Company is guaranteeing payment of your Q1 bonus and Q2 bonus based on your eligible earnings subject to the corporate bonus payout factor in the same manner as employees on the 2021 Executive Performance Incentive Plan. These bonuses will be paid when due to you in compliance with the terms of the 2021 Executive Performance Incentive Plan. For avoidance of doubt, you will not be eligible for, and you will not be paid, a bonus for Q3 and Q4 of 2021.</w:t>
      </w:r>
    </w:p>
    <w:p>
      <w:pPr>
        <w:spacing w:after="0" w:line="150" w:lineRule="exact"/>
        <w:rPr>
          <w:rFonts w:ascii="Arial" w:cs="Arial" w:eastAsia="Arial" w:hAnsi="Arial"/>
          <w:sz w:val="19"/>
          <w:szCs w:val="19"/>
          <w:color w:val="auto"/>
        </w:rPr>
      </w:pPr>
    </w:p>
    <w:p>
      <w:pPr>
        <w:jc w:val="both"/>
        <w:ind w:firstLine="656"/>
        <w:spacing w:after="0" w:line="253" w:lineRule="auto"/>
        <w:tabs>
          <w:tab w:leader="none" w:pos="1212" w:val="left"/>
        </w:tabs>
        <w:numPr>
          <w:ilvl w:val="0"/>
          <w:numId w:val="175"/>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If you elect COBRA following the Retirement Date, you and your dependents will remain eligible to participate in the following group benefit plans if enrolled in these plans prior to the Retirement Date: (i) medical, dental and/or vision plans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93" w:right="339" w:bottom="1440" w:gutter="0" w:footer="0" w:header="0"/>
        </w:sectPr>
      </w:pPr>
    </w:p>
    <w:bookmarkStart w:id="178" w:name="page179"/>
    <w:bookmarkEnd w:id="178"/>
    <w:p>
      <w:pPr>
        <w:jc w:val="both"/>
        <w:spacing w:after="0" w:line="297" w:lineRule="auto"/>
        <w:rPr>
          <w:sz w:val="20"/>
          <w:szCs w:val="20"/>
          <w:color w:val="auto"/>
        </w:rPr>
      </w:pPr>
      <w:r>
        <w:rPr>
          <w:rFonts w:ascii="Arial" w:cs="Arial" w:eastAsia="Arial" w:hAnsi="Arial"/>
          <w:sz w:val="19"/>
          <w:szCs w:val="19"/>
          <w:color w:val="auto"/>
        </w:rPr>
        <w:t>COBRA notice that you will receive by separate communication) and (ii) the Work/Life Program (only if enrolled in the medical plan or medical credit option as of the Retirement Date), for a maximum of eighteen (18) months. During the Severance Period, the Company will continue to pay the same percentage of the monthly premiums as it does for all active employees in the same plans. You will be billed directly from Alight Solutions for your portion of the premiums. Failure to pay your portion of the monthly premium in a timely fashion will result in the cancellation of insurance coverage.</w:t>
      </w:r>
    </w:p>
    <w:p>
      <w:pPr>
        <w:spacing w:after="0" w:line="147" w:lineRule="exact"/>
        <w:rPr>
          <w:sz w:val="20"/>
          <w:szCs w:val="20"/>
          <w:color w:val="auto"/>
        </w:rPr>
      </w:pPr>
    </w:p>
    <w:p>
      <w:pPr>
        <w:jc w:val="both"/>
        <w:ind w:firstLine="1304"/>
        <w:spacing w:after="0" w:line="294" w:lineRule="auto"/>
        <w:tabs>
          <w:tab w:leader="none" w:pos="1685" w:val="left"/>
        </w:tabs>
        <w:numPr>
          <w:ilvl w:val="2"/>
          <w:numId w:val="176"/>
        </w:numPr>
        <w:rPr>
          <w:rFonts w:ascii="Arial" w:cs="Arial" w:eastAsia="Arial" w:hAnsi="Arial"/>
          <w:sz w:val="19"/>
          <w:szCs w:val="19"/>
          <w:color w:val="auto"/>
        </w:rPr>
      </w:pPr>
      <w:r>
        <w:rPr>
          <w:rFonts w:ascii="Arial" w:cs="Arial" w:eastAsia="Arial" w:hAnsi="Arial"/>
          <w:sz w:val="19"/>
          <w:szCs w:val="19"/>
          <w:color w:val="auto"/>
        </w:rPr>
        <w:t>After the Severance Period expires, and through the remaining balance of the eighteen (18) month COBRA period, you will be responsible for paying the full cost of the insurance premiums at the COBRA rate of 102% of the active rate. After COBRA coverages end, you must purchase medical insurance on the open market if you want continued coverage until you become eligible for Medicare. The Company will contribute a cash contribution on your behalf, equivalent to the Company’s subsidy for active employees, to a Health Reimbursement Account (“HRA”) to help offset the costs of the foregoing medical insurance after the Severance Period expires until you turn 65 and are eligible for Medicare.</w:t>
      </w:r>
    </w:p>
    <w:p>
      <w:pPr>
        <w:spacing w:after="0" w:line="149" w:lineRule="exact"/>
        <w:rPr>
          <w:rFonts w:ascii="Arial" w:cs="Arial" w:eastAsia="Arial" w:hAnsi="Arial"/>
          <w:sz w:val="19"/>
          <w:szCs w:val="19"/>
          <w:color w:val="auto"/>
        </w:rPr>
      </w:pPr>
    </w:p>
    <w:p>
      <w:pPr>
        <w:ind w:right="20" w:firstLine="1304"/>
        <w:spacing w:after="0" w:line="287" w:lineRule="auto"/>
        <w:tabs>
          <w:tab w:leader="none" w:pos="1714" w:val="left"/>
        </w:tabs>
        <w:numPr>
          <w:ilvl w:val="2"/>
          <w:numId w:val="176"/>
        </w:numPr>
        <w:rPr>
          <w:rFonts w:ascii="Arial" w:cs="Arial" w:eastAsia="Arial" w:hAnsi="Arial"/>
          <w:sz w:val="21"/>
          <w:szCs w:val="21"/>
          <w:color w:val="auto"/>
        </w:rPr>
      </w:pPr>
      <w:r>
        <w:rPr>
          <w:rFonts w:ascii="Arial" w:cs="Arial" w:eastAsia="Arial" w:hAnsi="Arial"/>
          <w:sz w:val="21"/>
          <w:szCs w:val="21"/>
          <w:color w:val="auto"/>
        </w:rPr>
        <w:t xml:space="preserve">You will be provided with </w:t>
      </w:r>
      <w:r>
        <w:rPr>
          <w:rFonts w:ascii="Arial" w:cs="Arial" w:eastAsia="Arial" w:hAnsi="Arial"/>
          <w:sz w:val="21"/>
          <w:szCs w:val="21"/>
          <w:u w:val="single" w:color="auto"/>
          <w:color w:val="auto"/>
        </w:rPr>
        <w:t>Schedule B</w:t>
      </w:r>
      <w:r>
        <w:rPr>
          <w:rFonts w:ascii="Arial" w:cs="Arial" w:eastAsia="Arial" w:hAnsi="Arial"/>
          <w:sz w:val="21"/>
          <w:szCs w:val="21"/>
          <w:color w:val="auto"/>
        </w:rPr>
        <w:t>, which is a letter from the Company further detailing the benefits that you will be eligible to receive if you sign this Agreement and those that you will no longer be eligible to receive.</w:t>
      </w:r>
    </w:p>
    <w:p>
      <w:pPr>
        <w:spacing w:after="0" w:line="151" w:lineRule="exact"/>
        <w:rPr>
          <w:rFonts w:ascii="Arial" w:cs="Arial" w:eastAsia="Arial" w:hAnsi="Arial"/>
          <w:sz w:val="21"/>
          <w:szCs w:val="21"/>
          <w:color w:val="auto"/>
        </w:rPr>
      </w:pPr>
    </w:p>
    <w:p>
      <w:pPr>
        <w:ind w:right="20" w:firstLine="656"/>
        <w:spacing w:after="0" w:line="263" w:lineRule="auto"/>
        <w:tabs>
          <w:tab w:leader="none" w:pos="1210" w:val="left"/>
        </w:tabs>
        <w:numPr>
          <w:ilvl w:val="1"/>
          <w:numId w:val="177"/>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The payments and/or income set forth in this Section 2 will be subject to all applicable federal, state and/or local withholding and/or payroll taxes.</w:t>
      </w:r>
    </w:p>
    <w:p>
      <w:pPr>
        <w:spacing w:after="0" w:line="168" w:lineRule="exact"/>
        <w:rPr>
          <w:rFonts w:ascii="Arial" w:cs="Arial" w:eastAsia="Arial" w:hAnsi="Arial"/>
          <w:sz w:val="22"/>
          <w:szCs w:val="22"/>
          <w:color w:val="auto"/>
        </w:rPr>
      </w:pPr>
    </w:p>
    <w:p>
      <w:pPr>
        <w:ind w:firstLine="8"/>
        <w:spacing w:after="0" w:line="349" w:lineRule="auto"/>
        <w:tabs>
          <w:tab w:leader="none" w:pos="486" w:val="left"/>
        </w:tabs>
        <w:numPr>
          <w:ilvl w:val="0"/>
          <w:numId w:val="1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This section of the Agreement is a release of legal claims. Please carefully review this section with your attorney, or other trusted advisor, and do not sign this document unless you understand what this section says.</w:t>
      </w:r>
    </w:p>
    <w:p>
      <w:pPr>
        <w:spacing w:after="0" w:line="99" w:lineRule="exact"/>
        <w:rPr>
          <w:rFonts w:ascii="Arial" w:cs="Arial" w:eastAsia="Arial" w:hAnsi="Arial"/>
          <w:sz w:val="19"/>
          <w:szCs w:val="19"/>
          <w:b w:val="1"/>
          <w:bCs w:val="1"/>
          <w:color w:val="auto"/>
        </w:rPr>
      </w:pPr>
    </w:p>
    <w:p>
      <w:pPr>
        <w:jc w:val="both"/>
        <w:ind w:firstLine="656"/>
        <w:spacing w:after="0" w:line="290" w:lineRule="auto"/>
        <w:tabs>
          <w:tab w:leader="none" w:pos="1135"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In exchange for the amounts and benefits described in Sections 2(a), (b) &amp; (c), which are in addition to anything of value to which you are entitled to receive, you and your representatives, agents, estate, heirs, successors and assigns, absolutely and unconditionally release and discharge the Company Releasees from any and all legally waivable claims that you have against the Company Releasees. Other than as permitted in Section 3(e) below, this means that by signing this Agreement, you are agreeing not to bring a legal action against the Company Releasees for any type of waivable claim arising from conduct that occurred any time in the past and up to and through the date you sign this document. Company Releasees is defined to include the Company and/or any of its parents, subsidiaries or affiliates, predecessors, successors or assigns, and its and their respective current and/or former directors, shareholders/stockholders, officers, employees, attorneys and/or agents, all both individually and in their official capacities.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656"/>
        <w:spacing w:after="0" w:line="247" w:lineRule="auto"/>
        <w:tabs>
          <w:tab w:leader="none" w:pos="1141"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This release includes, but is not limited to, any waivable claims you have against the Company Releasees that arise from any federal, state or local law, statute, executive order, code, regulation, ordinance or constitution dealing with either employment, employment benefits, or employment discrimination. By way of example, this release includes claims against the Company Releasees under the laws or regulations concerning discrimination on the basis of race, color, creed, religion, age, sex, sex harassment, sexual orientation, gender identity, national origin, ancestry, genetic carrier status, handicap or disability, veteran status, any military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93" w:right="339" w:bottom="1440" w:gutter="0" w:footer="0" w:header="0"/>
        </w:sectPr>
      </w:pPr>
    </w:p>
    <w:bookmarkStart w:id="179" w:name="page180"/>
    <w:bookmarkEnd w:id="179"/>
    <w:p>
      <w:pPr>
        <w:jc w:val="both"/>
        <w:spacing w:after="0" w:line="302" w:lineRule="auto"/>
        <w:rPr>
          <w:sz w:val="20"/>
          <w:szCs w:val="20"/>
          <w:color w:val="auto"/>
        </w:rPr>
      </w:pPr>
      <w:r>
        <w:rPr>
          <w:rFonts w:ascii="Arial" w:cs="Arial" w:eastAsia="Arial" w:hAnsi="Arial"/>
          <w:sz w:val="19"/>
          <w:szCs w:val="19"/>
          <w:color w:val="auto"/>
        </w:rPr>
        <w:t>or application for military service, or any other category protected under federal, state or local law. This release also includes any claim you may have against the Company Releasees for breach of contract, whether oral or written, express or implied; any tort claims (such as wrongful discharge, tortious interference with advantageous relationships, emotional distress and defamation); any claims for equity or employee benefits of any other kind; or any other legally waivable statutory and/or common law claims.</w:t>
      </w:r>
    </w:p>
    <w:p>
      <w:pPr>
        <w:spacing w:after="0" w:line="142" w:lineRule="exact"/>
        <w:rPr>
          <w:sz w:val="20"/>
          <w:szCs w:val="20"/>
          <w:color w:val="auto"/>
        </w:rPr>
      </w:pPr>
    </w:p>
    <w:p>
      <w:pPr>
        <w:jc w:val="both"/>
        <w:ind w:firstLine="656"/>
        <w:spacing w:after="0" w:line="284" w:lineRule="auto"/>
        <w:tabs>
          <w:tab w:leader="none" w:pos="110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For avoidance of doubt, by signing this Agreement, you agree not to bring any waivable claims against the Company Releasees under the following nonexclusive list of discrimination and employment statutes: The Age Discrimination in Employment Act (ADEA), The Older Workers Benefit Protection Act (OWBPA), The Civil Rights Act of 1866, Title VII of the Civil Rights Act of 1964, The Civil Rights Act of 1991, The Rehabilitation Act of 1973, The Fair Credit Reporting Act (FCRA), The Fair Labor Standards Act (FLSA), The Americans With Disabilities Act, The ADA Amendments Act, The Equal Pay Act, The Lilly Ledbetter Fair Pay Act, the Family and Medical Leave Act, The Worker Adjustment and Retraining Notification Act (WARN), the Employee Retirement Income Security Act (ERISA), The Genetic Information Nondiscrimination Act, the National Labor Relations Act (NLRA), The Arizona Civil Rights Act, The Arizona Equal Pay Act, The Arizona Medical Marijuana Act, The Arizona Employment Protection Act, The California Labor Relations Act, The California Fair Employment and Housing Act, The California Family Rights Act, The California Retaliation Against Family Members Act, The California Equal Pay Act, The California Whistleblower Protection Act, The California Workplace Religious Freedoms Act, The California Sick Leave Act, The California Constitution, The California Labor Code, The California Civil Code, the Colorado Anti-Discrimination Act, The Colorado Civil Rights Act, The Colorado Family Care Act, The Florida Constitution, The Florida Civil Rights Act of 1992, The Florida Equal Pay Law, The Florida Private Whistleblower Act, The Florida Wage Discrimination Based On Sex Law, The Florida Workers’ Compensation Retaliation Statute, The Miami-Dade County Family Medical Leave Ordinance, The Illinois Human Rights Act, The Illinois Equal Pay Act, The Illinois Victims’ Economic Security and Safety Act, The Illinois Personnel Records Review Act, The Illinois Genetic Information Privacy Act, The Illinois Religious Freedom Restoration Act, The Illinois Employee Sick Leave Act, The Illinois Constitution, The City of Chicago Paid Sick Leave Ordinance, The Cook County Earned Sick Leave Ordinance, The Indiana Civil Rights Law, The Indiana Age Discrimination Act, The Indiana Employment Discrimination Against Disabled Persons Act, The Massachusetts Fair Employment Practices Law (Mass. Gen. Law Ch. 151B), The Massachusetts Equal Rights Act, The Massachusetts Equal Pay Act, The Massachusetts Payment of Wages Act, The Massachusetts Sick Leave Act, The Massachusetts Privacy Statute and/or the Massachusetts Civil Rights Act, The Maryland Fair Employment Practices Act, The Elliott-Larsen Civil Rights Act, The Michigan Persons With Disabilities Civil Rights Act, The Polygraph Protection Act of 1981, The Michigan Whistleblower's Protection Act, The Michigan Internet Privacy Protection Act, The Michigan Occupational Safety and Health Act, The Bullard-Plawecki Right to Know Act, The Minnesota Human Rights Act, The Minnesota Whistleblower Act, The New Hampshire Law Against Discrimination, The New Jersey Conscientious Employee Protection Act, The New Jersey Family Leave Act, The New Jersey Civil Rights Act, The New Jersey Law Against Discrimination, The New Mexico Human Rights Act, The North Carolina Equal Employment Practices Act, The North Carolina Persons with Disabilities Act, The North Carolina Retaliatory Employment Discrimination Act,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93" w:right="339" w:bottom="1440" w:gutter="0" w:footer="0" w:header="0"/>
        </w:sectPr>
      </w:pPr>
    </w:p>
    <w:bookmarkStart w:id="180" w:name="page181"/>
    <w:bookmarkEnd w:id="180"/>
    <w:p>
      <w:pPr>
        <w:jc w:val="both"/>
        <w:spacing w:after="0" w:line="286" w:lineRule="auto"/>
        <w:rPr>
          <w:sz w:val="20"/>
          <w:szCs w:val="20"/>
          <w:color w:val="auto"/>
        </w:rPr>
      </w:pPr>
      <w:r>
        <w:rPr>
          <w:rFonts w:ascii="Arial" w:cs="Arial" w:eastAsia="Arial" w:hAnsi="Arial"/>
          <w:sz w:val="19"/>
          <w:szCs w:val="19"/>
          <w:color w:val="auto"/>
        </w:rPr>
        <w:t>Oregon Revised Statutes chapter 659A, The Oregon Family Medical Leave Act, The Oregon Military Family Leave Act, The Pennsylvania Human Relations Act, The Pennsylvania Whistleblower Act, The Pittsburgh Fair Employment Practices Ordinance, The Pittsburgh Paid Sick Days Act, The Philadelphia Fair Employment Practices Ordinance, The Philadelphia Domestic Violence Leave Act, The Philadelphia Pregnancy Discrimination Act, The Philadelphia Paid Sick Leave Law, The Philadelphia Breast Milk Expression Ordinance, Chapters 21 and 451 of the Texas Labor Code, The Utah Anti-Discrimination Act of 1965, The Vermont Fair Employment Practices Act, The Vermont Parental and Family Leave Act, The Washington Law Against Discrimination (RCW 49.60), The Washington Prohibited Employment Practices Law (RCW 49.44), the anti-retaliation provisions of the Washington Industrial Insurance Act (RCW 51.48) and Washington Industrial Safety and Health Act (RCW 49.17), The Washington Whistleblower Act (RCW 42.40), The Washington Industrial Welfare Act (RCW 49.12), The Washington Agricultural Labor Law (RCW 49.30), The Washington Veterans Employment and Reemployment Act (RCW 73.16), The Washington Military Family Leave Act (RCW 49.77), The Washington Domestic Violence Leave Law (RCW 49.76), The Washington Family Care Act and Parental Leave Law (RCW 49.12), The Washington Little Norris-LaGuardia Act (RCW 49.32), The Washington Fair Credit Reporting Act (RCW 19.182), and The Washington Electronic Privacy Act (RCW 9.73), all as amended, as well as any other federal, state and local discrimination and employment statutes that apply to you.</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California Employees: </w:t>
      </w:r>
      <w:r>
        <w:rPr>
          <w:rFonts w:ascii="Arial" w:cs="Arial" w:eastAsia="Arial" w:hAnsi="Arial"/>
          <w:sz w:val="22"/>
          <w:szCs w:val="22"/>
          <w:color w:val="auto"/>
        </w:rPr>
        <w:t>You are releasing all rights under section 1542 of the California Civil Code, which provides:</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2" w:lineRule="exact"/>
        <w:rPr>
          <w:sz w:val="20"/>
          <w:szCs w:val="20"/>
          <w:color w:val="auto"/>
        </w:rPr>
      </w:pPr>
    </w:p>
    <w:p>
      <w:pPr>
        <w:jc w:val="both"/>
        <w:ind w:firstLine="656"/>
        <w:spacing w:after="0" w:line="286" w:lineRule="auto"/>
        <w:tabs>
          <w:tab w:leader="none" w:pos="1108" w:val="left"/>
        </w:tabs>
        <w:numPr>
          <w:ilvl w:val="0"/>
          <w:numId w:val="180"/>
        </w:numPr>
        <w:rPr>
          <w:rFonts w:ascii="Arial" w:cs="Arial" w:eastAsia="Arial" w:hAnsi="Arial"/>
          <w:sz w:val="19"/>
          <w:szCs w:val="19"/>
          <w:color w:val="auto"/>
        </w:rPr>
      </w:pPr>
      <w:r>
        <w:rPr>
          <w:rFonts w:ascii="Arial" w:cs="Arial" w:eastAsia="Arial" w:hAnsi="Arial"/>
          <w:sz w:val="19"/>
          <w:szCs w:val="19"/>
          <w:color w:val="auto"/>
        </w:rPr>
        <w:t>You release the Company Releasees from any and all wage and hour related claims to the maximum extent permitted by federal and state law. This release of legal claims includes but is not limited to claims under the Fair Labor Standards Act, The Arizona Minimum Wage Act, The Arizona Fair Wages and Healthy Families Act, The Florida Minimum Wage Act and any other Florida wage payment laws, The Indiana Wage Payment Act and The Indiana Wage Claims Act, The Massachusetts Payment of Wages Act, The Massachusetts Overtime regulations, The Massachusetts meal break regulations, The Maryland Wage and Hour Law, The Maryland Wage Payment and Collection Law, The Michigan Wage Payment Act (MCL Section 408.471), The Minnesota laws governing wages, including, without implication of limitation, Minn. Stat. Ch. 181, The New Hampshire laws governing wages, including, without implication of limitation, N.H. R.S.A. § 275:1 et seq. and N.H. R.S.A. § 279:1 et seq., The New Jersey State Wage and Hour Law and The New Jersey State Wage Payment Law, The New Mexico laws governing wages, including, without implication of limitation, NMSA 1978, Sections 50-4-1 through 50-4-34, The Oregon Wage and Hour Laws (ORS Chapters 652 and 653), The Texas Payday Law, Utah Code Ann. §§34-28-2 et seq., The Vermont wage and hour laws, including without limitation, 21 V.S.A. §§ 341, et seq. and §§ 381, et seq., The Washington Minimum Wage Act (RCW 49.46), The Washington Hours of Labor Law (RCW 49.28), and Washington’s statutes related to wages (including RCW 49.48 and RCW 49.52), and any other claims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293" w:right="339" w:bottom="1440" w:gutter="0" w:footer="0" w:header="0"/>
        </w:sectPr>
      </w:pPr>
    </w:p>
    <w:bookmarkStart w:id="181" w:name="page182"/>
    <w:bookmarkEnd w:id="181"/>
    <w:p>
      <w:pPr>
        <w:jc w:val="both"/>
        <w:spacing w:after="0" w:line="250" w:lineRule="auto"/>
        <w:rPr>
          <w:sz w:val="20"/>
          <w:szCs w:val="20"/>
          <w:color w:val="auto"/>
        </w:rPr>
      </w:pPr>
      <w:r>
        <w:rPr>
          <w:rFonts w:ascii="Arial" w:cs="Arial" w:eastAsia="Arial" w:hAnsi="Arial"/>
          <w:sz w:val="22"/>
          <w:szCs w:val="22"/>
          <w:color w:val="auto"/>
        </w:rPr>
        <w:t>any other federal or state law for unpaid or delayed payment of wages, overtime, vacation pay, bonuses, commissions, incentive payments or severance, missed or interrupted meal periods, as well as interest, attorneys’ fees, costs, expenses, liquidated damages, treble damages or damages of any kind related to a wage and hour related claim, to the maximum extent permitted by law.</w:t>
      </w:r>
    </w:p>
    <w:p>
      <w:pPr>
        <w:spacing w:after="0" w:line="188" w:lineRule="exact"/>
        <w:rPr>
          <w:sz w:val="20"/>
          <w:szCs w:val="20"/>
          <w:color w:val="auto"/>
        </w:rPr>
      </w:pPr>
    </w:p>
    <w:p>
      <w:pPr>
        <w:jc w:val="both"/>
        <w:ind w:firstLine="656"/>
        <w:spacing w:after="0" w:line="285" w:lineRule="auto"/>
        <w:tabs>
          <w:tab w:leader="none" w:pos="1177" w:val="left"/>
        </w:tabs>
        <w:numPr>
          <w:ilvl w:val="1"/>
          <w:numId w:val="181"/>
        </w:numPr>
        <w:rPr>
          <w:rFonts w:ascii="Arial" w:cs="Arial" w:eastAsia="Arial" w:hAnsi="Arial"/>
          <w:sz w:val="19"/>
          <w:szCs w:val="19"/>
          <w:color w:val="auto"/>
        </w:rPr>
      </w:pPr>
      <w:r>
        <w:rPr>
          <w:rFonts w:ascii="Arial" w:cs="Arial" w:eastAsia="Arial" w:hAnsi="Arial"/>
          <w:sz w:val="19"/>
          <w:szCs w:val="19"/>
          <w:color w:val="auto"/>
        </w:rPr>
        <w:t>Nothing in this Section 3 or elsewhere in this Agreement (including but not limited to, the accord &amp; satisfaction, confidentiality, non-disparagement, and return of property provisions) (i) prevents you from filing a claim under the workers compensation or unemployment compensation statutes; (ii) limits or affects your right to challenge the validity of this Agreement under the ADEA or the Older Worker Benefits Protection Act; or (iii) prevents you from filing a charge or complaint or from reporting any allegations of unlawful employment practices or criminal conduct with or from participating in an investigation or proceeding conducted by the Equal Employment Opportunity Commission, the National Labor Relations Board, the Occupational Safety &amp; Health Commission, the Securities and Exchange Commission, any other federal, state or local agency (in Illinois, this includes the IDHR) charged with the enforcement of any laws, including providing documents or other information to such agencies; (iv) prevents you from exercising your rights under Section 7 of the National Labor Relations Act to engage in protected, concerted activity with other employees; or (v) prevents you from testifying in an administrative, legislative, or judicial proceeding concerning alleged criminal conduct or alleged unlawful employment practice regarding the Company, its agents, or employees, when you have been required or requested to do so pursuant to a court order, subpoena, or written request from an administrative agency or state legislature; although, by signing this Agreement you are waiving your right to recover any individual relief (including any back pay, front pay, reinstatement or other legal or equitable relief) in any charge, complaint, or lawsuit or other proceeding brought by you or on your behalf by any third party, except for any right you may have to receive an award from a government agency (and not the Company) for information provided to the government agency.</w:t>
      </w:r>
    </w:p>
    <w:p>
      <w:pPr>
        <w:spacing w:after="0" w:line="162" w:lineRule="exact"/>
        <w:rPr>
          <w:rFonts w:ascii="Arial" w:cs="Arial" w:eastAsia="Arial" w:hAnsi="Arial"/>
          <w:sz w:val="19"/>
          <w:szCs w:val="19"/>
          <w:color w:val="auto"/>
        </w:rPr>
      </w:pPr>
    </w:p>
    <w:p>
      <w:pPr>
        <w:jc w:val="both"/>
        <w:ind w:firstLine="8"/>
        <w:spacing w:after="0" w:line="304" w:lineRule="auto"/>
        <w:tabs>
          <w:tab w:leader="none" w:pos="445" w:val="left"/>
        </w:tabs>
        <w:numPr>
          <w:ilvl w:val="0"/>
          <w:numId w:val="1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Accord and Satisfaction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amounts set forth above in Sections 1 and 2 will be complete and unconditional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accord and/or satisfaction with respect to all obligations and liabilities of the Company Releasees to you, including, without limitation, all claims for back wages, salary, vacation pay, draws, incentive pay, bonuses, commissions, equity, severance pay, reimbursement of expenses, any and all other forms of compensation or benefits, attorneys’ fees, or other costs or sums.</w:t>
      </w:r>
    </w:p>
    <w:p>
      <w:pPr>
        <w:spacing w:after="0" w:line="134" w:lineRule="exact"/>
        <w:rPr>
          <w:rFonts w:ascii="Arial" w:cs="Arial" w:eastAsia="Arial" w:hAnsi="Arial"/>
          <w:sz w:val="19"/>
          <w:szCs w:val="19"/>
          <w:b w:val="1"/>
          <w:bCs w:val="1"/>
          <w:color w:val="auto"/>
        </w:rPr>
      </w:pPr>
    </w:p>
    <w:p>
      <w:pPr>
        <w:jc w:val="both"/>
        <w:ind w:firstLine="8"/>
        <w:spacing w:after="0" w:line="252" w:lineRule="auto"/>
        <w:tabs>
          <w:tab w:leader="none" w:pos="391"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 of Rights and Claims Under the Age Discrimination in Employment Act of 1967</w:t>
      </w:r>
      <w:r>
        <w:rPr>
          <w:rFonts w:ascii="Arial" w:cs="Arial" w:eastAsia="Arial" w:hAnsi="Arial"/>
          <w:sz w:val="22"/>
          <w:szCs w:val="22"/>
          <w:b w:val="1"/>
          <w:bCs w:val="1"/>
          <w:color w:val="auto"/>
        </w:rPr>
        <w:t xml:space="preserve">: </w:t>
      </w:r>
      <w:r>
        <w:rPr>
          <w:rFonts w:ascii="Arial" w:cs="Arial" w:eastAsia="Arial" w:hAnsi="Arial"/>
          <w:sz w:val="22"/>
          <w:szCs w:val="22"/>
          <w:color w:val="auto"/>
        </w:rPr>
        <w:t>Since you are 40 years of age</w:t>
      </w:r>
      <w:r>
        <w:rPr>
          <w:rFonts w:ascii="Arial" w:cs="Arial" w:eastAsia="Arial" w:hAnsi="Arial"/>
          <w:sz w:val="22"/>
          <w:szCs w:val="22"/>
          <w:b w:val="1"/>
          <w:bCs w:val="1"/>
          <w:color w:val="auto"/>
        </w:rPr>
        <w:t xml:space="preserve"> </w:t>
      </w:r>
      <w:r>
        <w:rPr>
          <w:rFonts w:ascii="Arial" w:cs="Arial" w:eastAsia="Arial" w:hAnsi="Arial"/>
          <w:sz w:val="22"/>
          <w:szCs w:val="22"/>
          <w:color w:val="auto"/>
        </w:rPr>
        <w:t>or older, you are being informed that you have or may have specific rights and/or claims under the Age Discrimination in Employment Act of 1967 (“ADEA”) and, if you are employed in Illinois, the Illinois Human Rights Act (“IHRA”), and you agree that:</w:t>
      </w:r>
    </w:p>
    <w:p>
      <w:pPr>
        <w:spacing w:after="0" w:line="185" w:lineRule="exact"/>
        <w:rPr>
          <w:rFonts w:ascii="Arial" w:cs="Arial" w:eastAsia="Arial" w:hAnsi="Arial"/>
          <w:sz w:val="22"/>
          <w:szCs w:val="22"/>
          <w:b w:val="1"/>
          <w:bCs w:val="1"/>
          <w:color w:val="auto"/>
        </w:rPr>
      </w:pPr>
    </w:p>
    <w:p>
      <w:pPr>
        <w:jc w:val="both"/>
        <w:ind w:firstLine="656"/>
        <w:spacing w:after="0" w:line="250" w:lineRule="auto"/>
        <w:tabs>
          <w:tab w:leader="none" w:pos="1118" w:val="left"/>
        </w:tabs>
        <w:numPr>
          <w:ilvl w:val="1"/>
          <w:numId w:val="182"/>
        </w:numPr>
        <w:rPr>
          <w:rFonts w:ascii="Arial" w:cs="Arial" w:eastAsia="Arial" w:hAnsi="Arial"/>
          <w:sz w:val="22"/>
          <w:szCs w:val="22"/>
          <w:color w:val="auto"/>
        </w:rPr>
      </w:pPr>
      <w:r>
        <w:rPr>
          <w:rFonts w:ascii="Arial" w:cs="Arial" w:eastAsia="Arial" w:hAnsi="Arial"/>
          <w:sz w:val="22"/>
          <w:szCs w:val="22"/>
          <w:color w:val="auto"/>
        </w:rPr>
        <w:t>in consideration for the amounts and benefits described in Section 2 of this Agreement, which you are not otherwise entitled to receive, you specifically and voluntarily waive such rights and/or claims under the ADEA, and for Illinois employees, under the IHRA, you might have against the Company Releasees to the extent such rights and/or claims arose on or prior to the date this Agreement was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93" w:right="339" w:bottom="1440" w:gutter="0" w:footer="0" w:header="0"/>
        </w:sectPr>
      </w:pPr>
    </w:p>
    <w:bookmarkStart w:id="182" w:name="page183"/>
    <w:bookmarkEnd w:id="182"/>
    <w:p>
      <w:pPr>
        <w:ind w:firstLine="656"/>
        <w:spacing w:after="0" w:line="263" w:lineRule="auto"/>
        <w:tabs>
          <w:tab w:leader="none" w:pos="1145" w:val="left"/>
        </w:tabs>
        <w:numPr>
          <w:ilvl w:val="1"/>
          <w:numId w:val="183"/>
        </w:numPr>
        <w:rPr>
          <w:rFonts w:ascii="Arial" w:cs="Arial" w:eastAsia="Arial" w:hAnsi="Arial"/>
          <w:sz w:val="22"/>
          <w:szCs w:val="22"/>
          <w:color w:val="auto"/>
        </w:rPr>
      </w:pPr>
      <w:r>
        <w:rPr>
          <w:rFonts w:ascii="Arial" w:cs="Arial" w:eastAsia="Arial" w:hAnsi="Arial"/>
          <w:sz w:val="22"/>
          <w:szCs w:val="22"/>
          <w:color w:val="auto"/>
        </w:rPr>
        <w:t>you understand that rights or claims under the ADEA (and for Illinois employees, the IHRA) which may arise after the date this Agreement is executed are not waived by you;</w:t>
      </w:r>
    </w:p>
    <w:p>
      <w:pPr>
        <w:spacing w:after="0" w:line="174" w:lineRule="exact"/>
        <w:rPr>
          <w:rFonts w:ascii="Arial" w:cs="Arial" w:eastAsia="Arial" w:hAnsi="Arial"/>
          <w:sz w:val="22"/>
          <w:szCs w:val="22"/>
          <w:color w:val="auto"/>
        </w:rPr>
      </w:pPr>
    </w:p>
    <w:p>
      <w:pPr>
        <w:ind w:right="20" w:firstLine="656"/>
        <w:spacing w:after="0" w:line="263" w:lineRule="auto"/>
        <w:tabs>
          <w:tab w:leader="none" w:pos="1139" w:val="left"/>
        </w:tabs>
        <w:numPr>
          <w:ilvl w:val="1"/>
          <w:numId w:val="183"/>
        </w:numPr>
        <w:rPr>
          <w:rFonts w:ascii="Arial" w:cs="Arial" w:eastAsia="Arial" w:hAnsi="Arial"/>
          <w:sz w:val="22"/>
          <w:szCs w:val="22"/>
          <w:color w:val="auto"/>
        </w:rPr>
      </w:pPr>
      <w:r>
        <w:rPr>
          <w:rFonts w:ascii="Arial" w:cs="Arial" w:eastAsia="Arial" w:hAnsi="Arial"/>
          <w:sz w:val="22"/>
          <w:szCs w:val="22"/>
          <w:color w:val="auto"/>
        </w:rPr>
        <w:t>you are advised to consider the terms of this Agreement carefully and consult with or seek advice from an attorney of your choice or any other person of your choosing prior to executing this Agreement; and</w:t>
      </w:r>
    </w:p>
    <w:p>
      <w:pPr>
        <w:spacing w:after="0" w:line="174" w:lineRule="exact"/>
        <w:rPr>
          <w:rFonts w:ascii="Arial" w:cs="Arial" w:eastAsia="Arial" w:hAnsi="Arial"/>
          <w:sz w:val="22"/>
          <w:szCs w:val="22"/>
          <w:color w:val="auto"/>
        </w:rPr>
      </w:pPr>
    </w:p>
    <w:p>
      <w:pPr>
        <w:ind w:firstLine="656"/>
        <w:spacing w:after="0" w:line="263" w:lineRule="auto"/>
        <w:tabs>
          <w:tab w:leader="none" w:pos="1252" w:val="left"/>
        </w:tabs>
        <w:numPr>
          <w:ilvl w:val="1"/>
          <w:numId w:val="183"/>
        </w:numPr>
        <w:rPr>
          <w:rFonts w:ascii="Arial" w:cs="Arial" w:eastAsia="Arial" w:hAnsi="Arial"/>
          <w:sz w:val="22"/>
          <w:szCs w:val="22"/>
          <w:color w:val="auto"/>
        </w:rPr>
      </w:pPr>
      <w:r>
        <w:rPr>
          <w:rFonts w:ascii="Arial" w:cs="Arial" w:eastAsia="Arial" w:hAnsi="Arial"/>
          <w:sz w:val="22"/>
          <w:szCs w:val="22"/>
          <w:color w:val="auto"/>
        </w:rPr>
        <w:t>you have carefully read and fully understand all of the provisions of this Agreement, and you knowingly and voluntarily agree to all of the terms set forth in this Agreement.</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Period for Review and Consideration of Agreement</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ind w:firstLine="656"/>
        <w:spacing w:after="0" w:line="263" w:lineRule="auto"/>
        <w:tabs>
          <w:tab w:leader="none" w:pos="1258" w:val="left"/>
        </w:tabs>
        <w:numPr>
          <w:ilvl w:val="1"/>
          <w:numId w:val="184"/>
        </w:numPr>
        <w:rPr>
          <w:rFonts w:ascii="Arial" w:cs="Arial" w:eastAsia="Arial" w:hAnsi="Arial"/>
          <w:sz w:val="22"/>
          <w:szCs w:val="22"/>
          <w:color w:val="auto"/>
        </w:rPr>
      </w:pPr>
      <w:r>
        <w:rPr>
          <w:rFonts w:ascii="Arial" w:cs="Arial" w:eastAsia="Arial" w:hAnsi="Arial"/>
          <w:sz w:val="22"/>
          <w:szCs w:val="22"/>
          <w:color w:val="auto"/>
        </w:rPr>
        <w:t>You acknowledge that you were informed and understand that you have twenty-one (21) days to review this Agreement and consider its terms before signing it (the “Review Period”).</w:t>
      </w:r>
    </w:p>
    <w:p>
      <w:pPr>
        <w:spacing w:after="0" w:line="174" w:lineRule="exact"/>
        <w:rPr>
          <w:rFonts w:ascii="Arial" w:cs="Arial" w:eastAsia="Arial" w:hAnsi="Arial"/>
          <w:sz w:val="22"/>
          <w:szCs w:val="22"/>
          <w:color w:val="auto"/>
        </w:rPr>
      </w:pPr>
    </w:p>
    <w:p>
      <w:pPr>
        <w:ind w:firstLine="656"/>
        <w:spacing w:after="0" w:line="263" w:lineRule="auto"/>
        <w:tabs>
          <w:tab w:leader="none" w:pos="1139"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Review Period will not be affected or extended by any revisions, whether material or immaterial, that might be made to this Agreement.</w:t>
      </w:r>
    </w:p>
    <w:p>
      <w:pPr>
        <w:spacing w:after="0" w:line="168" w:lineRule="exact"/>
        <w:rPr>
          <w:rFonts w:ascii="Arial" w:cs="Arial" w:eastAsia="Arial" w:hAnsi="Arial"/>
          <w:sz w:val="22"/>
          <w:szCs w:val="22"/>
          <w:color w:val="auto"/>
        </w:rPr>
      </w:pPr>
    </w:p>
    <w:p>
      <w:pPr>
        <w:jc w:val="both"/>
        <w:ind w:firstLine="8"/>
        <w:spacing w:after="0" w:line="289" w:lineRule="auto"/>
        <w:tabs>
          <w:tab w:leader="none" w:pos="553" w:val="left"/>
        </w:tabs>
        <w:numPr>
          <w:ilvl w:val="0"/>
          <w:numId w:val="18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Company Property; Reaffirmation of Post-Employment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that on or before the</w:t>
      </w:r>
      <w:r>
        <w:rPr>
          <w:rFonts w:ascii="Arial" w:cs="Arial" w:eastAsia="Arial" w:hAnsi="Arial"/>
          <w:sz w:val="19"/>
          <w:szCs w:val="19"/>
          <w:b w:val="1"/>
          <w:bCs w:val="1"/>
          <w:color w:val="auto"/>
        </w:rPr>
        <w:t xml:space="preserve"> </w:t>
      </w:r>
      <w:r>
        <w:rPr>
          <w:rFonts w:ascii="Arial" w:cs="Arial" w:eastAsia="Arial" w:hAnsi="Arial"/>
          <w:sz w:val="19"/>
          <w:szCs w:val="19"/>
          <w:color w:val="auto"/>
        </w:rPr>
        <w:t>Retirement Date you will return all Company owned equipment, materials, confidential information, and any other property. You signed an agreement as a condition of your initial hire by the Company containing confidentiality and assignment of invention obligations that may be labeled either as the “Employment Agreement”, “Employee Confidentiality and Developments Agreement”, or “Proprietary Information Agreement”. You agree to abide by the agreement that you signed and further agree that you will not use or disclose the Company’s confidential or proprietary information after the Termination Date. For avoidance of doubt, and as set forth in Section 3(e) above, nothing in this Agreement, your “Employment Agreement”, “Employee Confidentiality and Developments Agreement”, or “Proprietary Information Agreement” prohibits you from reporting possible violations of state or federal law or regulation to any government agency or entity, or making other disclosures that are protected under the whistleblower provisions of state or federal law or regulation. You are not required to notify the Company that you have made any such reports or disclosures.</w:t>
      </w:r>
    </w:p>
    <w:p>
      <w:pPr>
        <w:spacing w:after="0" w:line="200" w:lineRule="exact"/>
        <w:rPr>
          <w:sz w:val="20"/>
          <w:szCs w:val="20"/>
          <w:color w:val="auto"/>
        </w:rPr>
      </w:pPr>
    </w:p>
    <w:p>
      <w:pPr>
        <w:spacing w:after="0" w:line="21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Other than as permitted in Section 3(e), you agree that if the Company determines that you have misappropriated confidential or proprietary information, it is a material breach of this Agreement and the Company has the right to demand you return all or a portion of the Severance Pay amount and cease paying you any and all severance-related benefits, but that, nonetheless, you will remain bound by the release provisions set out in Sections 3, 4, 5, and 8 of this Agreement.</w:t>
      </w:r>
    </w:p>
    <w:p>
      <w:pPr>
        <w:spacing w:after="0" w:line="136" w:lineRule="exact"/>
        <w:rPr>
          <w:sz w:val="20"/>
          <w:szCs w:val="20"/>
          <w:color w:val="auto"/>
        </w:rPr>
      </w:pPr>
    </w:p>
    <w:p>
      <w:pPr>
        <w:ind w:left="380" w:hanging="372"/>
        <w:spacing w:after="0"/>
        <w:tabs>
          <w:tab w:leader="none" w:pos="38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Future Conduct</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jc w:val="both"/>
        <w:ind w:firstLine="656"/>
        <w:spacing w:after="0" w:line="312" w:lineRule="auto"/>
        <w:tabs>
          <w:tab w:leader="none" w:pos="1279" w:val="left"/>
        </w:tabs>
        <w:numPr>
          <w:ilvl w:val="1"/>
          <w:numId w:val="185"/>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Other than as permitted in Section 3(e), you agree not to make disparaging, critical, or otherwise detrimental comments to any person or entity concerning the products, services, or programs provided by the Company or under development by the Company at the time of your departure. Notwithstanding the foregoing, nothing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93" w:right="339" w:bottom="1440" w:gutter="0" w:footer="0" w:header="0"/>
        </w:sectPr>
      </w:pPr>
    </w:p>
    <w:bookmarkStart w:id="183" w:name="page184"/>
    <w:bookmarkEnd w:id="183"/>
    <w:p>
      <w:pPr>
        <w:jc w:val="both"/>
        <w:spacing w:after="0" w:line="259" w:lineRule="auto"/>
        <w:rPr>
          <w:sz w:val="20"/>
          <w:szCs w:val="20"/>
          <w:color w:val="auto"/>
        </w:rPr>
      </w:pPr>
      <w:r>
        <w:rPr>
          <w:rFonts w:ascii="Arial" w:cs="Arial" w:eastAsia="Arial" w:hAnsi="Arial"/>
          <w:sz w:val="21"/>
          <w:szCs w:val="21"/>
          <w:color w:val="auto"/>
        </w:rPr>
        <w:t>shall in any way restrict or impede you from exercising protected rights to the extent that such rights cannot be waived by agreement or from complying with any applicable law or regulation or a valid order of a court of competent jurisdiction or authorized government agency, provided that such compliance does not exceed that required by the law, regulation or order. Further, nothing in this Agreement, shall have the purpose or effect of requiring you to conceal the details relating to any unlawful employment practice, including a claim of discrimination, harassment, or retaliation, provided that you shall not reveal proprietary information consisting of non-public trade secrets, business plans, and customer information. You agree that the requirements and obligations in this Section serve the mutual interests of both you and the Company in ensuring an amicable separation between the Parties.</w:t>
      </w:r>
    </w:p>
    <w:p>
      <w:pPr>
        <w:spacing w:after="0" w:line="183" w:lineRule="exact"/>
        <w:rPr>
          <w:sz w:val="20"/>
          <w:szCs w:val="20"/>
          <w:color w:val="auto"/>
        </w:rPr>
      </w:pPr>
    </w:p>
    <w:p>
      <w:pPr>
        <w:jc w:val="both"/>
        <w:ind w:firstLine="656"/>
        <w:spacing w:after="0" w:line="288" w:lineRule="auto"/>
        <w:tabs>
          <w:tab w:leader="none" w:pos="1197"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Confidentiality of this Agreement</w:t>
      </w:r>
      <w:r>
        <w:rPr>
          <w:rFonts w:ascii="Arial" w:cs="Arial" w:eastAsia="Arial" w:hAnsi="Arial"/>
          <w:sz w:val="19"/>
          <w:szCs w:val="19"/>
          <w:color w:val="auto"/>
        </w:rPr>
        <w:t>: In exchange for the valuable consideration described above in Section 2, you agree as follows: other than as permitted in Section 3(e), you will not disclose, divulge or publish, directly or indirectly, any information regarding the financial terms of this Agreement to any person or organization other than (i) your immediate family,</w:t>
      </w:r>
    </w:p>
    <w:p>
      <w:pPr>
        <w:jc w:val="both"/>
        <w:ind w:firstLine="8"/>
        <w:spacing w:after="0" w:line="244" w:lineRule="auto"/>
        <w:tabs>
          <w:tab w:leader="none" w:pos="356" w:val="left"/>
        </w:tabs>
        <w:numPr>
          <w:ilvl w:val="0"/>
          <w:numId w:val="187"/>
        </w:numPr>
        <w:rPr>
          <w:rFonts w:ascii="Arial" w:cs="Arial" w:eastAsia="Arial" w:hAnsi="Arial"/>
          <w:sz w:val="22"/>
          <w:szCs w:val="22"/>
          <w:color w:val="auto"/>
        </w:rPr>
      </w:pPr>
      <w:r>
        <w:rPr>
          <w:rFonts w:ascii="Arial" w:cs="Arial" w:eastAsia="Arial" w:hAnsi="Arial"/>
          <w:sz w:val="22"/>
          <w:szCs w:val="22"/>
          <w:color w:val="auto"/>
        </w:rPr>
        <w:t>your accountants or attorneys when such disclosure is necessary for the accountants or attorneys to render professional services, (iii) the taxing authorities, (iv) the state unemployment compensation agency; or (v) when otherwise compelled by law. Your entering into this confidentiality provision is a material inducement to the Company to enter into this Agreement. You agree that it is your preference and is in the mutual interest of both you and the Company that the amount of severance pay and benefits agreed to in this Agreement remain confidential.</w:t>
      </w:r>
    </w:p>
    <w:p>
      <w:pPr>
        <w:spacing w:after="0" w:line="189" w:lineRule="exact"/>
        <w:rPr>
          <w:sz w:val="20"/>
          <w:szCs w:val="20"/>
          <w:color w:val="auto"/>
        </w:rPr>
      </w:pPr>
    </w:p>
    <w:p>
      <w:pPr>
        <w:ind w:left="380" w:hanging="372"/>
        <w:spacing w:after="0"/>
        <w:tabs>
          <w:tab w:leader="none" w:pos="38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jc w:val="both"/>
        <w:ind w:firstLine="656"/>
        <w:spacing w:after="0" w:line="260" w:lineRule="auto"/>
        <w:tabs>
          <w:tab w:leader="none" w:pos="1116" w:val="left"/>
        </w:tabs>
        <w:numPr>
          <w:ilvl w:val="1"/>
          <w:numId w:val="188"/>
        </w:numPr>
        <w:rPr>
          <w:rFonts w:ascii="Arial" w:cs="Arial" w:eastAsia="Arial" w:hAnsi="Arial"/>
          <w:sz w:val="21"/>
          <w:szCs w:val="21"/>
          <w:color w:val="auto"/>
        </w:rPr>
      </w:pPr>
      <w:r>
        <w:rPr>
          <w:rFonts w:ascii="Arial" w:cs="Arial" w:eastAsia="Arial" w:hAnsi="Arial"/>
          <w:sz w:val="21"/>
          <w:szCs w:val="21"/>
          <w:color w:val="auto"/>
        </w:rPr>
        <w:t>This Agreement and the attached Schedules set forth the complete and sole agreement between the parties regarding the subject matter addressed in this document and supersede any and all other agreements or understandings whether oral or written, regarding the subject matter addressed in this document, except the “Employment Agreement,” “Employee Confidentiality and Developments Agreement”, “Proprietary Information Agreement”, and any stock award agreements between you and the Company, each of which will remain in full force and effect in accordance with their respective terms. This Agreement may not be changed, amended, modified, altered or rescinded except upon the express written consent of either the Company’s Chief People Officer or the Company’s General Counsel and you.</w:t>
      </w:r>
    </w:p>
    <w:p>
      <w:pPr>
        <w:spacing w:after="0" w:line="180" w:lineRule="exact"/>
        <w:rPr>
          <w:rFonts w:ascii="Arial" w:cs="Arial" w:eastAsia="Arial" w:hAnsi="Arial"/>
          <w:sz w:val="21"/>
          <w:szCs w:val="21"/>
          <w:color w:val="auto"/>
        </w:rPr>
      </w:pPr>
    </w:p>
    <w:p>
      <w:pPr>
        <w:jc w:val="both"/>
        <w:ind w:firstLine="656"/>
        <w:spacing w:after="0" w:line="250" w:lineRule="auto"/>
        <w:tabs>
          <w:tab w:leader="none" w:pos="1248" w:val="left"/>
        </w:tabs>
        <w:numPr>
          <w:ilvl w:val="1"/>
          <w:numId w:val="188"/>
        </w:numPr>
        <w:rPr>
          <w:rFonts w:ascii="Arial" w:cs="Arial" w:eastAsia="Arial" w:hAnsi="Arial"/>
          <w:sz w:val="22"/>
          <w:szCs w:val="22"/>
          <w:color w:val="auto"/>
        </w:rPr>
      </w:pPr>
      <w:r>
        <w:rPr>
          <w:rFonts w:ascii="Arial" w:cs="Arial" w:eastAsia="Arial" w:hAnsi="Arial"/>
          <w:sz w:val="22"/>
          <w:szCs w:val="22"/>
          <w:color w:val="auto"/>
        </w:rPr>
        <w:t>If any provision of this Agreement is held invalid, void or voidable as against public policy or otherwise, the invalidity will not affect other provisions which may be given effect without the invalid provision. To this extent, the provisions of this Agreement are declared to be severable. The language of all parts of this Agreement will in all cases be construed according to its fair meaning and not strictly for or against either of the parties.</w:t>
      </w:r>
    </w:p>
    <w:p>
      <w:pPr>
        <w:spacing w:after="0" w:line="187" w:lineRule="exact"/>
        <w:rPr>
          <w:rFonts w:ascii="Arial" w:cs="Arial" w:eastAsia="Arial" w:hAnsi="Arial"/>
          <w:sz w:val="22"/>
          <w:szCs w:val="22"/>
          <w:color w:val="auto"/>
        </w:rPr>
      </w:pPr>
    </w:p>
    <w:p>
      <w:pPr>
        <w:jc w:val="both"/>
        <w:ind w:firstLine="656"/>
        <w:spacing w:after="0" w:line="302" w:lineRule="auto"/>
        <w:tabs>
          <w:tab w:leader="none" w:pos="110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This Agreement and any claims arising out of this Agreement shall be governed by and construed in accordance with the laws of the Commonwealth of Massachusetts and shall in all respects be interpreted, enforced and governed under the internal and domestic laws of Massachusetts, without giving effect to the principles of conflicts of laws of such state. Any claims or legal actions by one party against the other shall be commenced and maintained in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93" w:right="3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or federal court located in California, and you hereby submit to the jurisdiction and venue of any such court.</w:t>
      </w:r>
    </w:p>
    <w:p>
      <w:pPr>
        <w:spacing w:after="0" w:line="220" w:lineRule="exact"/>
        <w:rPr>
          <w:sz w:val="20"/>
          <w:szCs w:val="20"/>
          <w:color w:val="auto"/>
        </w:rPr>
      </w:pPr>
    </w:p>
    <w:p>
      <w:pPr>
        <w:ind w:firstLine="656"/>
        <w:spacing w:after="0" w:line="263" w:lineRule="auto"/>
        <w:tabs>
          <w:tab w:leader="none" w:pos="1267" w:val="left"/>
        </w:tabs>
        <w:numPr>
          <w:ilvl w:val="1"/>
          <w:numId w:val="189"/>
        </w:numPr>
        <w:rPr>
          <w:rFonts w:ascii="Arial" w:cs="Arial" w:eastAsia="Arial" w:hAnsi="Arial"/>
          <w:sz w:val="22"/>
          <w:szCs w:val="22"/>
          <w:color w:val="auto"/>
        </w:rPr>
      </w:pPr>
      <w:r>
        <w:rPr>
          <w:rFonts w:ascii="Arial" w:cs="Arial" w:eastAsia="Arial" w:hAnsi="Arial"/>
          <w:sz w:val="22"/>
          <w:szCs w:val="22"/>
          <w:color w:val="auto"/>
        </w:rPr>
        <w:t>You may not assign any of your rights or delegate any of your duties under this Agreement. The rights and obligations of the Company will inure to the benefit of the Company’s successors and assigns.</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1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Effective Date</w:t>
      </w:r>
      <w:r>
        <w:rPr>
          <w:rFonts w:ascii="Arial" w:cs="Arial" w:eastAsia="Arial" w:hAnsi="Arial"/>
          <w:sz w:val="22"/>
          <w:szCs w:val="22"/>
          <w:b w:val="1"/>
          <w:bCs w:val="1"/>
          <w:color w:val="auto"/>
        </w:rPr>
        <w:t>:</w:t>
      </w:r>
    </w:p>
    <w:p>
      <w:pPr>
        <w:spacing w:after="0" w:line="22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You may revoke this Agreement for a period of seven (7) days after signing it. </w:t>
      </w:r>
      <w:r>
        <w:rPr>
          <w:rFonts w:ascii="Arial" w:cs="Arial" w:eastAsia="Arial" w:hAnsi="Arial"/>
          <w:sz w:val="20"/>
          <w:szCs w:val="20"/>
          <w:b w:val="1"/>
          <w:bCs w:val="1"/>
          <w:color w:val="auto"/>
        </w:rPr>
        <w:t>The Agreement will become effective after the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7-day revocation period expires without being exercised. </w:t>
      </w:r>
      <w:r>
        <w:rPr>
          <w:rFonts w:ascii="Arial" w:cs="Arial" w:eastAsia="Arial" w:hAnsi="Arial"/>
          <w:sz w:val="20"/>
          <w:szCs w:val="20"/>
          <w:color w:val="auto"/>
        </w:rPr>
        <w:t>In order to revoke the Agreement, you must submit a written notice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revocation to </w:t>
      </w:r>
      <w:r>
        <w:rPr>
          <w:rFonts w:ascii="Arial" w:cs="Arial" w:eastAsia="Arial" w:hAnsi="Arial"/>
          <w:sz w:val="20"/>
          <w:szCs w:val="20"/>
          <w:b w:val="1"/>
          <w:bCs w:val="1"/>
          <w:color w:val="auto"/>
        </w:rPr>
        <w:t>Margaret Seif</w:t>
      </w:r>
      <w:r>
        <w:rPr>
          <w:rFonts w:ascii="Arial" w:cs="Arial" w:eastAsia="Arial" w:hAnsi="Arial"/>
          <w:sz w:val="20"/>
          <w:szCs w:val="20"/>
          <w:color w:val="auto"/>
        </w:rPr>
        <w:t xml:space="preserve"> (Margaret.Seif@analog.com). This written notice may be sent by mail, email, overnight mail or hand-delivery but must be received by </w:t>
      </w:r>
      <w:r>
        <w:rPr>
          <w:rFonts w:ascii="Arial" w:cs="Arial" w:eastAsia="Arial" w:hAnsi="Arial"/>
          <w:sz w:val="20"/>
          <w:szCs w:val="20"/>
          <w:b w:val="1"/>
          <w:bCs w:val="1"/>
          <w:color w:val="auto"/>
        </w:rPr>
        <w:t>Ms. Seif</w:t>
      </w:r>
      <w:r>
        <w:rPr>
          <w:rFonts w:ascii="Arial" w:cs="Arial" w:eastAsia="Arial" w:hAnsi="Arial"/>
          <w:sz w:val="20"/>
          <w:szCs w:val="20"/>
          <w:color w:val="auto"/>
        </w:rPr>
        <w:t xml:space="preserve"> no later than the close of business on the seventh (7</w:t>
      </w:r>
      <w:r>
        <w:rPr>
          <w:rFonts w:ascii="Arial" w:cs="Arial" w:eastAsia="Arial" w:hAnsi="Arial"/>
          <w:sz w:val="26"/>
          <w:szCs w:val="26"/>
          <w:color w:val="auto"/>
          <w:vertAlign w:val="superscript"/>
        </w:rPr>
        <w:t>th</w:t>
      </w:r>
      <w:r>
        <w:rPr>
          <w:rFonts w:ascii="Arial" w:cs="Arial" w:eastAsia="Arial" w:hAnsi="Arial"/>
          <w:sz w:val="20"/>
          <w:szCs w:val="20"/>
          <w:color w:val="auto"/>
        </w:rPr>
        <w:t>) day.</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this letter correctly states the agreement and understanding we have reached, please indicate your acceptance of this Agreement by signing and returning to me before the expiration of the twenty-one (21) day deadline. This Agreement will be dated as of the date of your execution of this Agreement and will become effective upon the later of the following: (i) the 7-day revocation period following your execution of this Agreement or (ii) the 7-day revocation period following the approval by the Compensation Committee of the Board of Directors at its February 16, 2021 meeting.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58" w:lineRule="exact"/>
        <w:rPr>
          <w:sz w:val="20"/>
          <w:szCs w:val="20"/>
          <w:color w:val="auto"/>
        </w:rPr>
      </w:pPr>
    </w:p>
    <w:p>
      <w:pPr>
        <w:ind w:left="20"/>
        <w:spacing w:after="0"/>
        <w:tabs>
          <w:tab w:leader="none" w:pos="780" w:val="left"/>
          <w:tab w:leader="none" w:pos="4600" w:val="left"/>
          <w:tab w:leader="none" w:pos="54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Margaret Seif</w:t>
      </w:r>
      <w:r>
        <w:rPr>
          <w:sz w:val="20"/>
          <w:szCs w:val="20"/>
          <w:color w:val="auto"/>
        </w:rPr>
        <w:tab/>
      </w: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People Officer &amp;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24130</wp:posOffset>
            </wp:positionV>
            <wp:extent cx="663511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5">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45" w:lineRule="exact"/>
        <w:rPr>
          <w:sz w:val="20"/>
          <w:szCs w:val="20"/>
          <w:color w:val="auto"/>
        </w:rPr>
      </w:pPr>
    </w:p>
    <w:p>
      <w:pPr>
        <w:ind w:left="800"/>
        <w:spacing w:after="0"/>
        <w:rPr>
          <w:sz w:val="20"/>
          <w:szCs w:val="20"/>
          <w:color w:val="auto"/>
        </w:rPr>
      </w:pPr>
      <w:r>
        <w:rPr>
          <w:rFonts w:ascii="Arial" w:cs="Arial" w:eastAsia="Arial" w:hAnsi="Arial"/>
          <w:sz w:val="22"/>
          <w:szCs w:val="22"/>
          <w:b w:val="1"/>
          <w:bCs w:val="1"/>
          <w:color w:val="auto"/>
        </w:rPr>
        <w:t>Margaret Seif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I REPRESENT THAT I HAVE READ THIS AGREEMENT, THAT I FULLY UNDERSTAND THE TERMS AND CONDITIONS OF THE AGREEMENT AND THAT I AM KNOWINGLY AND VOLUNTARILY EXECUTING THE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Steven Pietkiewicz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0317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Steven Pietkiewicz</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250317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Date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93" w:right="339" w:bottom="1440" w:gutter="0" w:footer="0" w:header="0"/>
        </w:sectPr>
      </w:pPr>
    </w:p>
    <w:bookmarkStart w:id="185" w:name="page186"/>
    <w:bookmarkEnd w:id="185"/>
    <w:p>
      <w:pPr>
        <w:jc w:val="center"/>
        <w:ind w:right="-11"/>
        <w:spacing w:after="0"/>
        <w:rPr>
          <w:sz w:val="20"/>
          <w:szCs w:val="20"/>
          <w:color w:val="auto"/>
        </w:rPr>
      </w:pPr>
      <w:r>
        <w:rPr>
          <w:rFonts w:ascii="Arial" w:cs="Arial" w:eastAsia="Arial" w:hAnsi="Arial"/>
          <w:sz w:val="22"/>
          <w:szCs w:val="22"/>
          <w:b w:val="1"/>
          <w:bCs w:val="1"/>
          <w:u w:val="single" w:color="auto"/>
          <w:color w:val="auto"/>
        </w:rPr>
        <w:t>SCHEDULE A</w:t>
      </w:r>
    </w:p>
    <w:p>
      <w:pPr>
        <w:spacing w:after="0" w:line="247" w:lineRule="exact"/>
        <w:rPr>
          <w:sz w:val="20"/>
          <w:szCs w:val="20"/>
          <w:color w:val="auto"/>
        </w:rPr>
      </w:pPr>
    </w:p>
    <w:p>
      <w:pPr>
        <w:ind w:left="1952"/>
        <w:spacing w:after="0"/>
        <w:rPr>
          <w:sz w:val="20"/>
          <w:szCs w:val="20"/>
          <w:color w:val="auto"/>
        </w:rPr>
      </w:pPr>
      <w:r>
        <w:rPr>
          <w:rFonts w:ascii="Arial" w:cs="Arial" w:eastAsia="Arial" w:hAnsi="Arial"/>
          <w:sz w:val="22"/>
          <w:szCs w:val="22"/>
          <w:b w:val="1"/>
          <w:bCs w:val="1"/>
          <w:color w:val="auto"/>
        </w:rPr>
        <w:t>SUPPLEMENTAL RELEASE OF LEGAL CLAIMS</w:t>
      </w:r>
    </w:p>
    <w:p>
      <w:pPr>
        <w:spacing w:after="0" w:line="27" w:lineRule="exact"/>
        <w:rPr>
          <w:sz w:val="20"/>
          <w:szCs w:val="20"/>
          <w:color w:val="auto"/>
        </w:rPr>
      </w:pPr>
    </w:p>
    <w:p>
      <w:pPr>
        <w:ind w:left="1472"/>
        <w:spacing w:after="0"/>
        <w:rPr>
          <w:sz w:val="20"/>
          <w:szCs w:val="20"/>
          <w:color w:val="auto"/>
        </w:rPr>
      </w:pPr>
      <w:r>
        <w:rPr>
          <w:rFonts w:ascii="Arial" w:cs="Arial" w:eastAsia="Arial" w:hAnsi="Arial"/>
          <w:sz w:val="22"/>
          <w:szCs w:val="22"/>
          <w:b w:val="1"/>
          <w:bCs w:val="1"/>
          <w:i w:val="1"/>
          <w:iCs w:val="1"/>
          <w:color w:val="C00000"/>
        </w:rPr>
        <w:t>DO NOT SIGN THIS DOCUMENT PRIOR TO YOUR RETIREMENT DATE</w:t>
      </w:r>
    </w:p>
    <w:p>
      <w:pPr>
        <w:spacing w:after="0" w:line="223" w:lineRule="exact"/>
        <w:rPr>
          <w:sz w:val="20"/>
          <w:szCs w:val="20"/>
          <w:color w:val="auto"/>
        </w:rPr>
      </w:pPr>
    </w:p>
    <w:p>
      <w:pPr>
        <w:ind w:left="372" w:hanging="372"/>
        <w:spacing w:after="0"/>
        <w:tabs>
          <w:tab w:leader="none" w:pos="372" w:val="left"/>
        </w:tabs>
        <w:numPr>
          <w:ilvl w:val="0"/>
          <w:numId w:val="191"/>
        </w:numPr>
        <w:rPr>
          <w:rFonts w:ascii="Arial" w:cs="Arial" w:eastAsia="Arial" w:hAnsi="Arial"/>
          <w:sz w:val="22"/>
          <w:szCs w:val="22"/>
          <w:color w:val="auto"/>
        </w:rPr>
      </w:pPr>
      <w:r>
        <w:rPr>
          <w:rFonts w:ascii="Arial" w:cs="Arial" w:eastAsia="Arial" w:hAnsi="Arial"/>
          <w:sz w:val="22"/>
          <w:szCs w:val="22"/>
          <w:b w:val="1"/>
          <w:bCs w:val="1"/>
          <w:color w:val="auto"/>
        </w:rPr>
        <w:t>Release and Waiver:</w:t>
      </w:r>
    </w:p>
    <w:p>
      <w:pPr>
        <w:spacing w:after="0" w:line="27" w:lineRule="exact"/>
        <w:rPr>
          <w:rFonts w:ascii="Arial" w:cs="Arial" w:eastAsia="Arial" w:hAnsi="Arial"/>
          <w:sz w:val="22"/>
          <w:szCs w:val="22"/>
          <w:color w:val="auto"/>
        </w:rPr>
      </w:pPr>
    </w:p>
    <w:p>
      <w:pPr>
        <w:ind w:left="-8" w:firstLine="656"/>
        <w:spacing w:after="0" w:line="283" w:lineRule="auto"/>
        <w:tabs>
          <w:tab w:leader="none" w:pos="1096" w:val="left"/>
        </w:tabs>
        <w:numPr>
          <w:ilvl w:val="1"/>
          <w:numId w:val="191"/>
        </w:numPr>
        <w:rPr>
          <w:rFonts w:ascii="Arial" w:cs="Arial" w:eastAsia="Arial" w:hAnsi="Arial"/>
          <w:sz w:val="19"/>
          <w:szCs w:val="19"/>
          <w:color w:val="auto"/>
        </w:rPr>
      </w:pPr>
      <w:r>
        <w:rPr>
          <w:rFonts w:ascii="Arial" w:cs="Arial" w:eastAsia="Arial" w:hAnsi="Arial"/>
          <w:sz w:val="19"/>
          <w:szCs w:val="19"/>
          <w:color w:val="auto"/>
        </w:rPr>
        <w:t>Notwithstanding the provisions of Section 1542 of the Civil Code of California, and in exchange for the Severance Pay and benefits as described in Sections 2(a) – 2(c) of the Severance Agreement and Release (“Agreement”), you and any person acting by, through, under or on your behalf, release, waive, and forever discharge Analog Devices, Inc. (the “Company”), and/or any of its and their parents, subsidiaries or affiliates, predecessors, successors or assigns, and its and their respective current and/or former directors, shareholders/stockholders, officers, employees, attorneys and/or agents, all both individually and in their official capacities, from any federal, state or local law, regulation, ordinance or constitution dealing with either employment, employment benefits or employment discrimination. By way of example, this release includes claims under the following nonexclusive list of discrimination and employment statutes: The Age Discrimination in Employment Act (ADEA), The Older Workers Benefit Protection Act (OWBPA), The Civil Rights Act of 1866, Title VII of the Civil Rights Act of 1964, The Civil Rights Act of 1991, The Rehabilitation Act of 1973, The Fair Credit Reporting Act (FCRA), The Fair Labor Standards Act (FLSA), The Americans With Disabilities Act, The ADA Amendments Act, The Equal Pay Act, The Lilly Ledbetter Fair Pay Act, the Family and Medical Leave Act, The Worker Adjustment and Retraining Notification Act (WARN), the Employee Retirement Income Security Act (ERISA), The Genetic Information Nondiscrimination Act, the National Labor Relations Act (NLRA), The Arizona Civil Rights Act, The Arizona Equal Pay Act, The Arizona Medical Marijuana Act, The Arizona Employment Protection Act, The California Labor Relations Act, The California Fair Employment and Housing Act, The California Family Rights Act, The California Retaliation Against Family Members Act, The California Equal Pay Act, The California Whistleblower Protection Act, The California Workplace Religious Freedoms Act, The California Sick Leave Act, The California Constitution, The California Labor Code, The California Civil Code, the Colorado Anti-Discrimination Act, The Colorado Civil Rights Act, The Colorado Family Care Act, The Florida Constitution, The Florida Civil Rights Act of 1992, The Florida Equal Pay Law, The Florida Private Whistleblower Act, The Florida Wage Discrimination Based On Sex Law, The Florida Workers’ Compensation Retaliation Statute, The Miami-Dade County Family Medical Leave Ordinance, The Illinois Human Rights Act, The Illinois Equal Pay Act, The Illinois Victims’ Economic Security and Safety Act, The Illinois Personnel Records Review Act, The Illinois Genetic Information Privacy Act, The Illinois Religious Freedom Restoration Act, The Illinois Employee Sick Leave Act, The Illinois Constitution, The City of Chicago Paid Sick Leave Ordinance, The Cook County Earned Sick Leave Ordinance, The Indiana Civil Rights Law, The Indiana Age Discrimination Act, The Indiana Employment Discrimination Against Disabled Persons Act, The Massachusetts Fair Employment Practices Law (Mass. Gen. Law Ch. 151B), The Massachusetts Equal Rights Act, The Massachusetts Equal Pay Act, The Massachusetts Payment of Wages Act, The Massachusetts Sick Leave Act, The Massachusetts Privacy Statute and/or the Massachusetts Civil Rights Act, The Maryland Fair Employment Practices Act, The Elliott-Larsen Civil Rights Act, The Michigan Persons With Disabilities Civil Rights Act, The Polygraph Protection Act of 1981, The Michigan Whistleblower's Protection Act, The Michigan Internet Privacy Protection Act, The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32"/>
          </w:cols>
          <w:pgMar w:left="328" w:top="1287" w:right="339" w:bottom="1440" w:gutter="0" w:footer="0" w:header="0"/>
        </w:sectPr>
      </w:pPr>
    </w:p>
    <w:bookmarkStart w:id="186" w:name="page187"/>
    <w:bookmarkEnd w:id="186"/>
    <w:p>
      <w:pPr>
        <w:ind w:right="20"/>
        <w:spacing w:after="0" w:line="285" w:lineRule="auto"/>
        <w:rPr>
          <w:sz w:val="20"/>
          <w:szCs w:val="20"/>
          <w:color w:val="auto"/>
        </w:rPr>
      </w:pPr>
      <w:r>
        <w:rPr>
          <w:rFonts w:ascii="Arial" w:cs="Arial" w:eastAsia="Arial" w:hAnsi="Arial"/>
          <w:sz w:val="19"/>
          <w:szCs w:val="19"/>
          <w:color w:val="auto"/>
        </w:rPr>
        <w:t>Occupational Safety and Health Act, The Bullard-Plawecki Right to Know Act, The Minnesota Human Rights Act, The Minnesota Whistleblower Act, The New Hampshire Law Against Discrimination, The New Jersey Conscientious Employee Protection Act, The New Jersey Family Leave Act, The New Jersey Civil Rights Act, The New Jersey Law Against Discrimination, The New Mexico Human Rights Act, The North Carolina Equal Employment Practices Act, The North Carolina Persons with Disabilities Act, The North Carolina Retaliatory Employment Discrimination Act, The Oregon Revised Statutes chapter 659A, The Oregon Family Medical Leave Act, The Oregon Military Family Leave Act, The Pennsylvania Human Relations Act, The Pennsylvania Whistleblower Act, The Pittsburgh Fair Employment Practices Ordinance, The Pittsburgh Paid Sick Days Act, The Philadelphia Fair Employment Practices Ordinance, The Philadelphia Domestic Violence Leave Act, The Philadelphia Pregnancy Discrimination Act, The Philadelphia Paid Sick Leave Law, The Philadelphia Breast Milk Expression Ordinance, Chapters 21 and 451 of the Texas Labor Code, The Utah Anti-Discrimination Act of 1965, The Vermont Fair Employment Practices Act, The Vermont Parental and Family Leave Act, The Washington Law Against Discrimination (RCW 49.60), The Washington Prohibited Employment Practices Law (RCW 49.44), the anti-retaliation provisions of the Washington Industrial Insurance Act (RCW 51.48) and Washington Industrial Safety and Health Act (RCW 49.17), The Washington Whistleblower Act (RCW 42.40), The Washington Industrial Welfare Act (RCW 49.12), The Washington Agricultural Labor Law (RCW 49.30), The Washington Veterans Employment and Reemployment Act (RCW 73.16), The Washington Military Family Leave Act (RCW 49.77), The Washington Domestic Violence Leave Law (RCW 49.76), The Washington Family Care Act and Parental Leave Law (RCW 49.12), The Washington Little Norris-LaGuardia Act (RCW 49.32), The Washington Fair Credit Reporting Act (RCW 19.182), and The Washington Electronic Privacy Act (RCW 9.73), all as amended, as well as any other federal, state and local discrimination and employment statutes that apply to you.</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California Employees: </w:t>
      </w:r>
      <w:r>
        <w:rPr>
          <w:rFonts w:ascii="Arial" w:cs="Arial" w:eastAsia="Arial" w:hAnsi="Arial"/>
          <w:sz w:val="21"/>
          <w:szCs w:val="21"/>
          <w:color w:val="auto"/>
        </w:rPr>
        <w:t>You are releasing all rights under section 1542 of the California Civil Code, which provides:</w:t>
      </w:r>
    </w:p>
    <w:p>
      <w:pPr>
        <w:spacing w:after="0" w:line="234" w:lineRule="exact"/>
        <w:rPr>
          <w:sz w:val="20"/>
          <w:szCs w:val="20"/>
          <w:color w:val="auto"/>
        </w:rPr>
      </w:pPr>
    </w:p>
    <w:p>
      <w:pPr>
        <w:jc w:val="both"/>
        <w:ind w:right="60"/>
        <w:spacing w:after="0" w:line="256" w:lineRule="auto"/>
        <w:rPr>
          <w:sz w:val="20"/>
          <w:szCs w:val="20"/>
          <w:color w:val="auto"/>
        </w:rPr>
      </w:pPr>
      <w:r>
        <w:rPr>
          <w:rFonts w:ascii="Arial" w:cs="Arial" w:eastAsia="Arial" w:hAnsi="Arial"/>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3" w:lineRule="exact"/>
        <w:rPr>
          <w:sz w:val="20"/>
          <w:szCs w:val="20"/>
          <w:color w:val="auto"/>
        </w:rPr>
      </w:pPr>
    </w:p>
    <w:p>
      <w:pPr>
        <w:spacing w:after="0" w:line="298" w:lineRule="auto"/>
        <w:rPr>
          <w:sz w:val="20"/>
          <w:szCs w:val="20"/>
          <w:color w:val="auto"/>
        </w:rPr>
      </w:pPr>
      <w:r>
        <w:rPr>
          <w:rFonts w:ascii="Arial" w:cs="Arial" w:eastAsia="Arial" w:hAnsi="Arial"/>
          <w:sz w:val="19"/>
          <w:szCs w:val="19"/>
          <w:b w:val="1"/>
          <w:bCs w:val="1"/>
          <w:color w:val="auto"/>
        </w:rPr>
        <w:t xml:space="preserve">Illinois Employees: </w:t>
      </w:r>
      <w:r>
        <w:rPr>
          <w:rFonts w:ascii="Arial" w:cs="Arial" w:eastAsia="Arial" w:hAnsi="Arial"/>
          <w:sz w:val="19"/>
          <w:szCs w:val="19"/>
          <w:color w:val="auto"/>
        </w:rPr>
        <w:t>By signing this Supplemental Release, you agree that you have read and fully understand this Supplemental</w:t>
      </w:r>
      <w:r>
        <w:rPr>
          <w:rFonts w:ascii="Arial" w:cs="Arial" w:eastAsia="Arial" w:hAnsi="Arial"/>
          <w:sz w:val="19"/>
          <w:szCs w:val="19"/>
          <w:b w:val="1"/>
          <w:bCs w:val="1"/>
          <w:color w:val="auto"/>
        </w:rPr>
        <w:t xml:space="preserve"> </w:t>
      </w:r>
      <w:r>
        <w:rPr>
          <w:rFonts w:ascii="Arial" w:cs="Arial" w:eastAsia="Arial" w:hAnsi="Arial"/>
          <w:sz w:val="19"/>
          <w:szCs w:val="19"/>
          <w:color w:val="auto"/>
        </w:rPr>
        <w:t>Release and have voluntarily entered into this Supplemental Release with full knowledge and understanding that you are expressly waiving valuable rights, including releasing any claims that you have or might have against the Company under the Illinois Human Rights Act (“IHRA”), Title VII of the Civil Rights Act, the Americans With Disabilities Act, the Family and Medical Leave Act and any claims enforced by the IDHR, EEOC, or any other government agency.</w:t>
      </w:r>
    </w:p>
    <w:p>
      <w:pPr>
        <w:spacing w:after="0" w:line="169"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b w:val="1"/>
          <w:bCs w:val="1"/>
          <w:color w:val="auto"/>
        </w:rPr>
        <w:t>Minnesota Employees</w:t>
      </w:r>
      <w:r>
        <w:rPr>
          <w:rFonts w:ascii="Arial" w:cs="Arial" w:eastAsia="Arial" w:hAnsi="Arial"/>
          <w:sz w:val="22"/>
          <w:szCs w:val="22"/>
          <w:color w:val="auto"/>
        </w:rPr>
        <w:t>: You understand and acknowledge that the Supplemental Release of claims under the Minnesota Human</w:t>
      </w:r>
      <w:r>
        <w:rPr>
          <w:rFonts w:ascii="Arial" w:cs="Arial" w:eastAsia="Arial" w:hAnsi="Arial"/>
          <w:sz w:val="22"/>
          <w:szCs w:val="22"/>
          <w:b w:val="1"/>
          <w:bCs w:val="1"/>
          <w:color w:val="auto"/>
        </w:rPr>
        <w:t xml:space="preserve"> </w:t>
      </w:r>
      <w:r>
        <w:rPr>
          <w:rFonts w:ascii="Arial" w:cs="Arial" w:eastAsia="Arial" w:hAnsi="Arial"/>
          <w:sz w:val="22"/>
          <w:szCs w:val="22"/>
          <w:color w:val="auto"/>
        </w:rPr>
        <w:t>Rights Act (MHRA) in this Section does not include a waiver of any claims under the MHRA that may arise after the date you sign this Supplemental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140"/>
          </w:cols>
          <w:pgMar w:left="320" w:top="1293" w:right="439" w:bottom="1440" w:gutter="0" w:footer="0" w:header="0"/>
        </w:sectPr>
      </w:pPr>
    </w:p>
    <w:bookmarkStart w:id="187" w:name="page188"/>
    <w:bookmarkEnd w:id="187"/>
    <w:p>
      <w:pPr>
        <w:ind w:left="-8" w:right="80" w:firstLine="656"/>
        <w:spacing w:after="0" w:line="248" w:lineRule="auto"/>
        <w:tabs>
          <w:tab w:leader="none" w:pos="110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You acknowledge that your intention in executing this Supplemental Release is that this Supplemental Release shall be effective as a bar to each and every claim specified in Section 1 of this Supplemental Release. You represent that you understand and acknowledge the significance and consequence of the release of legal claims in Section 1 of this Supplemental Release as well as the specific waivers of claims under Section 1542 of the California Civil Code and the Illinois Human Rights Act.</w:t>
      </w:r>
    </w:p>
    <w:p>
      <w:pPr>
        <w:spacing w:after="0" w:line="212" w:lineRule="exact"/>
        <w:rPr>
          <w:rFonts w:ascii="Arial" w:cs="Arial" w:eastAsia="Arial" w:hAnsi="Arial"/>
          <w:sz w:val="22"/>
          <w:szCs w:val="22"/>
          <w:color w:val="auto"/>
        </w:rPr>
      </w:pPr>
    </w:p>
    <w:p>
      <w:pPr>
        <w:ind w:left="-8" w:right="100" w:firstLine="8"/>
        <w:spacing w:after="0" w:line="252" w:lineRule="auto"/>
        <w:tabs>
          <w:tab w:leader="none" w:pos="370" w:val="left"/>
        </w:tabs>
        <w:numPr>
          <w:ilvl w:val="0"/>
          <w:numId w:val="193"/>
        </w:numPr>
        <w:rPr>
          <w:rFonts w:ascii="Arial" w:cs="Arial" w:eastAsia="Arial" w:hAnsi="Arial"/>
          <w:sz w:val="22"/>
          <w:szCs w:val="22"/>
          <w:color w:val="auto"/>
        </w:rPr>
      </w:pPr>
      <w:r>
        <w:rPr>
          <w:rFonts w:ascii="Arial" w:cs="Arial" w:eastAsia="Arial" w:hAnsi="Arial"/>
          <w:sz w:val="22"/>
          <w:szCs w:val="22"/>
          <w:b w:val="1"/>
          <w:bCs w:val="1"/>
          <w:color w:val="auto"/>
        </w:rPr>
        <w:t xml:space="preserve">Waiver of Rights and Claims Under the Age Discrimination in Employment Act of 1967: </w:t>
      </w:r>
      <w:r>
        <w:rPr>
          <w:rFonts w:ascii="Arial" w:cs="Arial" w:eastAsia="Arial" w:hAnsi="Arial"/>
          <w:sz w:val="22"/>
          <w:szCs w:val="22"/>
          <w:color w:val="auto"/>
        </w:rPr>
        <w:t>Since you are 40 years of age</w:t>
      </w:r>
      <w:r>
        <w:rPr>
          <w:rFonts w:ascii="Arial" w:cs="Arial" w:eastAsia="Arial" w:hAnsi="Arial"/>
          <w:sz w:val="22"/>
          <w:szCs w:val="22"/>
          <w:b w:val="1"/>
          <w:bCs w:val="1"/>
          <w:color w:val="auto"/>
        </w:rPr>
        <w:t xml:space="preserve"> </w:t>
      </w:r>
      <w:r>
        <w:rPr>
          <w:rFonts w:ascii="Arial" w:cs="Arial" w:eastAsia="Arial" w:hAnsi="Arial"/>
          <w:sz w:val="22"/>
          <w:szCs w:val="22"/>
          <w:color w:val="auto"/>
        </w:rPr>
        <w:t>or older, you are being informed that you have or may have specific rights and/or claims under the Age Discrimination in Employment Act of 1967 (“ADEA”) and, if you are employed in Illinois, the Illinois Human Rights Act (“IHRA”), and you agree that:</w:t>
      </w:r>
    </w:p>
    <w:p>
      <w:pPr>
        <w:spacing w:after="0" w:line="212" w:lineRule="exact"/>
        <w:rPr>
          <w:rFonts w:ascii="Arial" w:cs="Arial" w:eastAsia="Arial" w:hAnsi="Arial"/>
          <w:sz w:val="22"/>
          <w:szCs w:val="22"/>
          <w:color w:val="auto"/>
        </w:rPr>
      </w:pPr>
    </w:p>
    <w:p>
      <w:pPr>
        <w:ind w:left="-8" w:firstLine="656"/>
        <w:spacing w:after="0" w:line="265" w:lineRule="auto"/>
        <w:tabs>
          <w:tab w:leader="none" w:pos="1096" w:val="left"/>
        </w:tabs>
        <w:numPr>
          <w:ilvl w:val="1"/>
          <w:numId w:val="193"/>
        </w:numPr>
        <w:rPr>
          <w:rFonts w:ascii="Arial" w:cs="Arial" w:eastAsia="Arial" w:hAnsi="Arial"/>
          <w:sz w:val="21"/>
          <w:szCs w:val="21"/>
          <w:color w:val="auto"/>
        </w:rPr>
      </w:pPr>
      <w:r>
        <w:rPr>
          <w:rFonts w:ascii="Arial" w:cs="Arial" w:eastAsia="Arial" w:hAnsi="Arial"/>
          <w:sz w:val="21"/>
          <w:szCs w:val="21"/>
          <w:color w:val="auto"/>
        </w:rPr>
        <w:t>in consideration for the Severance Pay and benefits as described in Sections 2(a) – 2(c) of the Agreement, which you are not otherwise entitled to receive, you specifically and voluntarily waive such rights and/or claims under the ADEA, and for Illinois employees, under the IHRA, you might have against the Company Releasees to the extent such rights and/or claims arose on or prior to the date this Supplemental Release was executed;</w:t>
      </w:r>
    </w:p>
    <w:p>
      <w:pPr>
        <w:spacing w:after="0" w:line="202" w:lineRule="exact"/>
        <w:rPr>
          <w:rFonts w:ascii="Arial" w:cs="Arial" w:eastAsia="Arial" w:hAnsi="Arial"/>
          <w:sz w:val="21"/>
          <w:szCs w:val="21"/>
          <w:color w:val="auto"/>
        </w:rPr>
      </w:pPr>
    </w:p>
    <w:p>
      <w:pPr>
        <w:ind w:left="-8" w:right="140" w:firstLine="656"/>
        <w:spacing w:after="0" w:line="263" w:lineRule="auto"/>
        <w:tabs>
          <w:tab w:leader="none" w:pos="1108" w:val="left"/>
        </w:tabs>
        <w:numPr>
          <w:ilvl w:val="1"/>
          <w:numId w:val="193"/>
        </w:numPr>
        <w:rPr>
          <w:rFonts w:ascii="Arial" w:cs="Arial" w:eastAsia="Arial" w:hAnsi="Arial"/>
          <w:sz w:val="22"/>
          <w:szCs w:val="22"/>
          <w:color w:val="auto"/>
        </w:rPr>
      </w:pPr>
      <w:r>
        <w:rPr>
          <w:rFonts w:ascii="Arial" w:cs="Arial" w:eastAsia="Arial" w:hAnsi="Arial"/>
          <w:sz w:val="22"/>
          <w:szCs w:val="22"/>
          <w:color w:val="auto"/>
        </w:rPr>
        <w:t>you understand that rights or claims under the ADEA (and for Illinois employees, the IHRA) which may arise after the date this Supplemental Release is executed are not waived by you;</w:t>
      </w:r>
    </w:p>
    <w:p>
      <w:pPr>
        <w:spacing w:after="0" w:line="201" w:lineRule="exact"/>
        <w:rPr>
          <w:rFonts w:ascii="Arial" w:cs="Arial" w:eastAsia="Arial" w:hAnsi="Arial"/>
          <w:sz w:val="22"/>
          <w:szCs w:val="22"/>
          <w:color w:val="auto"/>
        </w:rPr>
      </w:pPr>
    </w:p>
    <w:p>
      <w:pPr>
        <w:ind w:left="-8" w:firstLine="656"/>
        <w:spacing w:after="0" w:line="287" w:lineRule="auto"/>
        <w:tabs>
          <w:tab w:leader="none" w:pos="1096" w:val="left"/>
        </w:tabs>
        <w:numPr>
          <w:ilvl w:val="1"/>
          <w:numId w:val="193"/>
        </w:numPr>
        <w:rPr>
          <w:rFonts w:ascii="Arial" w:cs="Arial" w:eastAsia="Arial" w:hAnsi="Arial"/>
          <w:sz w:val="21"/>
          <w:szCs w:val="21"/>
          <w:color w:val="auto"/>
        </w:rPr>
      </w:pPr>
      <w:r>
        <w:rPr>
          <w:rFonts w:ascii="Arial" w:cs="Arial" w:eastAsia="Arial" w:hAnsi="Arial"/>
          <w:sz w:val="21"/>
          <w:szCs w:val="21"/>
          <w:color w:val="auto"/>
        </w:rPr>
        <w:t>you are advised to consider the terms of this Supplemental Release carefully and consult with or seek advice from an attorney of your choice or any other person of your choosing prior to executing this Supplemental Release; and</w:t>
      </w:r>
    </w:p>
    <w:p>
      <w:pPr>
        <w:spacing w:after="0" w:line="178" w:lineRule="exact"/>
        <w:rPr>
          <w:rFonts w:ascii="Arial" w:cs="Arial" w:eastAsia="Arial" w:hAnsi="Arial"/>
          <w:sz w:val="21"/>
          <w:szCs w:val="21"/>
          <w:color w:val="auto"/>
        </w:rPr>
      </w:pPr>
    </w:p>
    <w:p>
      <w:pPr>
        <w:ind w:left="-8" w:right="120" w:firstLine="656"/>
        <w:spacing w:after="0" w:line="263" w:lineRule="auto"/>
        <w:tabs>
          <w:tab w:leader="none" w:pos="1108" w:val="left"/>
        </w:tabs>
        <w:numPr>
          <w:ilvl w:val="1"/>
          <w:numId w:val="193"/>
        </w:numPr>
        <w:rPr>
          <w:rFonts w:ascii="Arial" w:cs="Arial" w:eastAsia="Arial" w:hAnsi="Arial"/>
          <w:sz w:val="22"/>
          <w:szCs w:val="22"/>
          <w:color w:val="auto"/>
        </w:rPr>
      </w:pPr>
      <w:r>
        <w:rPr>
          <w:rFonts w:ascii="Arial" w:cs="Arial" w:eastAsia="Arial" w:hAnsi="Arial"/>
          <w:sz w:val="22"/>
          <w:szCs w:val="22"/>
          <w:color w:val="auto"/>
        </w:rPr>
        <w:t>you have carefully read and fully understand all of the provisions of this Supplemental Release, and you knowingly and voluntarily agree to all of the terms set forth in this Supplemental Release.</w:t>
      </w:r>
    </w:p>
    <w:p>
      <w:pPr>
        <w:spacing w:after="0" w:line="201" w:lineRule="exact"/>
        <w:rPr>
          <w:rFonts w:ascii="Arial" w:cs="Arial" w:eastAsia="Arial" w:hAnsi="Arial"/>
          <w:sz w:val="22"/>
          <w:szCs w:val="22"/>
          <w:color w:val="auto"/>
        </w:rPr>
      </w:pPr>
    </w:p>
    <w:p>
      <w:pPr>
        <w:ind w:left="-8" w:right="20" w:firstLine="8"/>
        <w:spacing w:after="0" w:line="290" w:lineRule="auto"/>
        <w:tabs>
          <w:tab w:leader="none" w:pos="41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You have (i) received all compensation due you as a result of services performed for the Company; (ii) reported to the Company any and all work-related injuries or occupational disease incurred by you during your employment; (iii) been properly provided by the Company any leave requested under the FMLA or similar state or local laws and have not been subjected to any improper treatment, conduct or actions due to a request for or taking such leave; (iv) had the opportunity to provide the Company with written notice of any and all concerns regarding suspected ethical and compliance issues or violations on the part of the Company or any other released person or entity; and (v) reported any pending judicial or administrative complaints, claims, or actions against the Company or any other released person or entity. You further acknowledge that you do not have a pending claim of unlawful discrimination; harassment; sexual harassment, abuse, assault, or other criminal conduct; or retaliation.</w:t>
      </w:r>
    </w:p>
    <w:p>
      <w:pPr>
        <w:spacing w:after="0" w:line="176" w:lineRule="exact"/>
        <w:rPr>
          <w:rFonts w:ascii="Arial" w:cs="Arial" w:eastAsia="Arial" w:hAnsi="Arial"/>
          <w:sz w:val="19"/>
          <w:szCs w:val="19"/>
          <w:color w:val="auto"/>
        </w:rPr>
      </w:pPr>
    </w:p>
    <w:p>
      <w:pPr>
        <w:ind w:left="-8" w:right="340" w:firstLine="8"/>
        <w:spacing w:after="0" w:line="250" w:lineRule="auto"/>
        <w:tabs>
          <w:tab w:leader="none" w:pos="370" w:val="left"/>
        </w:tabs>
        <w:numPr>
          <w:ilvl w:val="0"/>
          <w:numId w:val="193"/>
        </w:numPr>
        <w:rPr>
          <w:rFonts w:ascii="Arial" w:cs="Arial" w:eastAsia="Arial" w:hAnsi="Arial"/>
          <w:sz w:val="22"/>
          <w:szCs w:val="22"/>
          <w:color w:val="auto"/>
        </w:rPr>
      </w:pPr>
      <w:r>
        <w:rPr>
          <w:rFonts w:ascii="Arial" w:cs="Arial" w:eastAsia="Arial" w:hAnsi="Arial"/>
          <w:sz w:val="22"/>
          <w:szCs w:val="22"/>
          <w:b w:val="1"/>
          <w:bCs w:val="1"/>
          <w:color w:val="auto"/>
        </w:rPr>
        <w:t xml:space="preserve">Revocation: </w:t>
      </w:r>
      <w:r>
        <w:rPr>
          <w:rFonts w:ascii="Arial" w:cs="Arial" w:eastAsia="Arial" w:hAnsi="Arial"/>
          <w:sz w:val="22"/>
          <w:szCs w:val="22"/>
          <w:color w:val="auto"/>
        </w:rPr>
        <w:t>You understand that if you sign this Supplemental Release, you can change your mind and revoke it within</w:t>
      </w:r>
      <w:r>
        <w:rPr>
          <w:rFonts w:ascii="Arial" w:cs="Arial" w:eastAsia="Arial" w:hAnsi="Arial"/>
          <w:sz w:val="22"/>
          <w:szCs w:val="22"/>
          <w:b w:val="1"/>
          <w:bCs w:val="1"/>
          <w:color w:val="auto"/>
        </w:rPr>
        <w:t xml:space="preserve"> </w:t>
      </w:r>
      <w:r>
        <w:rPr>
          <w:rFonts w:ascii="Arial" w:cs="Arial" w:eastAsia="Arial" w:hAnsi="Arial"/>
          <w:sz w:val="22"/>
          <w:szCs w:val="22"/>
          <w:color w:val="auto"/>
        </w:rPr>
        <w:t>seven days, or if you are employed in Minnesota, fifteen days, after signing by following the revocation procedure set forth in Section 10 of the Agreement.</w:t>
      </w:r>
    </w:p>
    <w:p>
      <w:pPr>
        <w:spacing w:after="0" w:line="2" w:lineRule="exact"/>
        <w:rPr>
          <w:rFonts w:ascii="Arial" w:cs="Arial" w:eastAsia="Arial" w:hAnsi="Arial"/>
          <w:sz w:val="22"/>
          <w:szCs w:val="22"/>
          <w:color w:val="auto"/>
        </w:rPr>
      </w:pPr>
    </w:p>
    <w:p>
      <w:pPr>
        <w:ind w:left="-8" w:right="500" w:firstLine="8"/>
        <w:spacing w:after="0" w:line="246" w:lineRule="auto"/>
        <w:tabs>
          <w:tab w:leader="none" w:pos="370" w:val="left"/>
        </w:tabs>
        <w:numPr>
          <w:ilvl w:val="0"/>
          <w:numId w:val="193"/>
        </w:numPr>
        <w:rPr>
          <w:rFonts w:ascii="Arial" w:cs="Arial" w:eastAsia="Arial" w:hAnsi="Arial"/>
          <w:sz w:val="22"/>
          <w:szCs w:val="22"/>
          <w:color w:val="auto"/>
        </w:rPr>
      </w:pPr>
      <w:r>
        <w:rPr>
          <w:rFonts w:ascii="Arial" w:cs="Arial" w:eastAsia="Arial" w:hAnsi="Arial"/>
          <w:sz w:val="22"/>
          <w:szCs w:val="22"/>
          <w:b w:val="1"/>
          <w:bCs w:val="1"/>
          <w:color w:val="auto"/>
        </w:rPr>
        <w:t>General Provisions</w:t>
      </w:r>
      <w:r>
        <w:rPr>
          <w:rFonts w:ascii="Arial" w:cs="Arial" w:eastAsia="Arial" w:hAnsi="Arial"/>
          <w:sz w:val="22"/>
          <w:szCs w:val="22"/>
          <w:color w:val="auto"/>
        </w:rPr>
        <w:t>: This Supplemental Release along with the Agreement constitute the complete and total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Company and you with respect to issues addressed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12"/>
          </w:cols>
          <w:pgMar w:left="328" w:top="1293" w:right="359" w:bottom="1440" w:gutter="0" w:footer="0" w:header="0"/>
        </w:sectPr>
      </w:pPr>
    </w:p>
    <w:bookmarkStart w:id="188" w:name="page189"/>
    <w:bookmarkEnd w:id="188"/>
    <w:p>
      <w:pPr>
        <w:ind w:right="40"/>
        <w:spacing w:after="0" w:line="285" w:lineRule="auto"/>
        <w:rPr>
          <w:sz w:val="20"/>
          <w:szCs w:val="20"/>
          <w:color w:val="auto"/>
        </w:rPr>
      </w:pPr>
      <w:r>
        <w:rPr>
          <w:rFonts w:ascii="Arial" w:cs="Arial" w:eastAsia="Arial" w:hAnsi="Arial"/>
          <w:sz w:val="19"/>
          <w:szCs w:val="19"/>
          <w:color w:val="auto"/>
        </w:rPr>
        <w:t>those two documents, except this Supplemental Release shall not in any way affect, modify, or nullify any prior agreement you have entered into with the Company regarding confidentiality, trade secrets, inventions, or unfair competition. You agree that this Supplemental Release shall not be modified, altered, or discharged except by written instrument signed by the General Counsel of the Company. This Agreement and any claims arising out of this Agreement will be governed by and construed in accordance with the laws of the state of Massachusetts without giving effect to the principles of conflicts of laws.</w:t>
      </w:r>
    </w:p>
    <w:p>
      <w:pPr>
        <w:spacing w:after="0" w:line="3" w:lineRule="exact"/>
        <w:rPr>
          <w:sz w:val="20"/>
          <w:szCs w:val="20"/>
          <w:color w:val="auto"/>
        </w:rPr>
      </w:pPr>
    </w:p>
    <w:p>
      <w:pPr>
        <w:ind w:left="380" w:hanging="372"/>
        <w:spacing w:after="0"/>
        <w:tabs>
          <w:tab w:leader="none" w:pos="380" w:val="left"/>
        </w:tabs>
        <w:numPr>
          <w:ilvl w:val="0"/>
          <w:numId w:val="194"/>
        </w:numPr>
        <w:rPr>
          <w:rFonts w:ascii="Arial" w:cs="Arial" w:eastAsia="Arial" w:hAnsi="Arial"/>
          <w:sz w:val="19"/>
          <w:szCs w:val="19"/>
          <w:color w:val="auto"/>
        </w:rPr>
      </w:pPr>
      <w:r>
        <w:rPr>
          <w:rFonts w:ascii="Arial" w:cs="Arial" w:eastAsia="Arial" w:hAnsi="Arial"/>
          <w:sz w:val="19"/>
          <w:szCs w:val="19"/>
          <w:b w:val="1"/>
          <w:bCs w:val="1"/>
          <w:color w:val="auto"/>
        </w:rPr>
        <w:t xml:space="preserve">Exceptions and No Interference with Rights: </w:t>
      </w:r>
      <w:r>
        <w:rPr>
          <w:rFonts w:ascii="Arial" w:cs="Arial" w:eastAsia="Arial" w:hAnsi="Arial"/>
          <w:sz w:val="19"/>
          <w:szCs w:val="19"/>
          <w:color w:val="auto"/>
        </w:rPr>
        <w:t>You understand this Supplemental Release does not (i) prevent you from</w:t>
      </w:r>
    </w:p>
    <w:p>
      <w:pPr>
        <w:spacing w:after="0" w:line="38" w:lineRule="exact"/>
        <w:rPr>
          <w:rFonts w:ascii="Arial" w:cs="Arial" w:eastAsia="Arial" w:hAnsi="Arial"/>
          <w:sz w:val="19"/>
          <w:szCs w:val="19"/>
          <w:color w:val="auto"/>
        </w:rPr>
      </w:pPr>
    </w:p>
    <w:p>
      <w:pPr>
        <w:spacing w:after="0" w:line="284" w:lineRule="auto"/>
        <w:rPr>
          <w:rFonts w:ascii="Arial" w:cs="Arial" w:eastAsia="Arial" w:hAnsi="Arial"/>
          <w:sz w:val="19"/>
          <w:szCs w:val="19"/>
          <w:color w:val="auto"/>
        </w:rPr>
      </w:pPr>
      <w:r>
        <w:rPr>
          <w:rFonts w:ascii="Arial" w:cs="Arial" w:eastAsia="Arial" w:hAnsi="Arial"/>
          <w:sz w:val="19"/>
          <w:szCs w:val="19"/>
          <w:color w:val="auto"/>
        </w:rPr>
        <w:t>filing a claim under the workers compensation or unemployment compensation statutes; (ii) limit or affect your right to challenge the validity of this Agreement under the ADEA or the Older Worker Benefits Protection Act; (iii) prevent you from filing a charge or complaint or from reporting any allegations of unlawful employment practices or criminal conduct with or from participating in an investigation or proceeding conducted by the EEOC, the National Labor Relations Board, the Securities and Exchange Commission, or any other federal, state or local agency (in Illinois, this includes the Illinois Department of Human Rights (IDHR ), charged with the enforcement of any laws, including providing documents or other information to such agencies; or (iv) prevent you from exercising your rights under Section 7 of the NLRA to engage in protected, concerted activity with other employees, (v) prevent you from testifying in an administrative, legislative, or judicial proceeding concerning alleged criminal conduct or alleged unlawful employment practices regarding the Company, its agents, or employees, when you have been required or requested to do so pursuant to a court order, subpoena, or written request from an administrative agency or state legislature; although, by signing this Supplemental Release you are waiving your right to recover any individual relief (including any back pay, front pay, reinstatement or other legal or equitable relief) in any charge, complaint, or lawsuit or other proceeding brought by you or on your behalf by any third party, except for any right you may have to receive an award from a government agency (and not the Company) for information provided to the government agency.</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C00000"/>
        </w:rPr>
        <w:t>DO NOT SIGN THIS DOCUMENT PRIOR TO YOUR RETIREMENT DATE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&amp;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250317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Steven Pietkiewicz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50317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Date Signed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AGREED &amp;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250317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Margaret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50317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Date 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20"/>
          </w:cols>
          <w:pgMar w:left="320" w:top="1293" w:right="35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February 17, 2021</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2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1"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1"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February 17, 2021</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Finance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22"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30, 2021 as filed with the Securities and Exchange Commission on the date hereof (the “Report”), the undersigned, Vincent Roche, Chief Executive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February 17, 2021</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2"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30, 2021 as filed with the Securities and Exchange Commission on the date hereof (the “Report”), the undersigned, Prashanth Mahendra-Rajah, Chief Financial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February 17, 2021</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decimal"/>
      <w:start w:val="1"/>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1)"/>
      <w:numFmt w:val="decimal"/>
      <w:start w:val="1"/>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1)"/>
      <w:numFmt w:val="lowerLetter"/>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1)"/>
      <w:numFmt w:val="lowerLetter"/>
      <w:start w:val="1"/>
    </w:lvl>
  </w:abstractNum>
  <w:abstractNum w:abstractNumId="20">
    <w:nsid w:val="97E1B4E"/>
    <w:multiLevelType w:val="hybridMultilevel"/>
    <w:lvl w:ilvl="0">
      <w:lvlJc w:val="left"/>
      <w:lvlText w:val="%1"/>
      <w:numFmt w:val="decimal"/>
      <w:start w:val="104"/>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1)"/>
      <w:numFmt w:val="lowerRoman"/>
      <w:start w:val="5"/>
    </w:lvl>
  </w:abstractNum>
  <w:abstractNum w:abstractNumId="26">
    <w:nsid w:val="23D86AAC"/>
    <w:multiLevelType w:val="hybridMultilevel"/>
    <w:lvl w:ilvl="0">
      <w:lvlJc w:val="left"/>
      <w:lvlText w:val="%1."/>
      <w:numFmt w:val="decimal"/>
      <w:start w:val="1"/>
    </w:lvl>
  </w:abstractNum>
  <w:abstractNum w:abstractNumId="27">
    <w:nsid w:val="45E6D486"/>
    <w:multiLevelType w:val="hybridMultilevel"/>
    <w:lvl w:ilvl="0">
      <w:lvlJc w:val="left"/>
      <w:lvlText w:val="%1."/>
      <w:numFmt w:val="decimal"/>
      <w:start w:val="2"/>
    </w:lvl>
    <w:lvl w:ilvl="1">
      <w:lvlJc w:val="left"/>
      <w:lvlText w:val="(%2)"/>
      <w:numFmt w:val="lowerLetter"/>
      <w:start w:val="1"/>
    </w:lvl>
  </w:abstractNum>
  <w:abstractNum w:abstractNumId="28">
    <w:nsid w:val="5C10FE21"/>
    <w:multiLevelType w:val="hybridMultilevel"/>
    <w:lvl w:ilvl="0">
      <w:lvlJc w:val="left"/>
      <w:lvlText w:val="%1"/>
      <w:numFmt w:val="decimal"/>
      <w:start w:val="1"/>
    </w:lvl>
    <w:lvl w:ilvl="1">
      <w:lvlJc w:val="left"/>
      <w:lvlText w:val="(%2)"/>
      <w:numFmt w:val="lowerLetter"/>
      <w:start w:val="2"/>
    </w:lvl>
  </w:abstractNum>
  <w:abstractNum w:abstractNumId="29">
    <w:nsid w:val="E7FFA2B"/>
    <w:multiLevelType w:val="hybridMultilevel"/>
    <w:lvl w:ilvl="0">
      <w:lvlJc w:val="left"/>
      <w:lvlText w:val="%1."/>
      <w:numFmt w:val="decimal"/>
      <w:start w:val="3"/>
    </w:lvl>
    <w:lvl w:ilvl="1">
      <w:lvlJc w:val="left"/>
      <w:lvlText w:val="(%2)"/>
      <w:numFmt w:val="lowerLetter"/>
      <w:start w:val="1"/>
    </w:lvl>
  </w:abstractNum>
  <w:abstractNum w:abstractNumId="30">
    <w:nsid w:val="3C5991AA"/>
    <w:multiLevelType w:val="hybridMultilevel"/>
    <w:lvl w:ilvl="0">
      <w:lvlJc w:val="left"/>
      <w:lvlText w:val="(%1)"/>
      <w:numFmt w:val="lowerLetter"/>
      <w:start w:val="1"/>
    </w:lvl>
    <w:lvl w:ilvl="1">
      <w:lvlJc w:val="left"/>
      <w:lvlText w:val="%2."/>
      <w:numFmt w:val="lowerRoman"/>
      <w:start w:val="1"/>
    </w:lvl>
  </w:abstractNum>
  <w:abstractNum w:abstractNumId="31">
    <w:nsid w:val="4BD8591A"/>
    <w:multiLevelType w:val="hybridMultilevel"/>
    <w:lvl w:ilvl="0">
      <w:lvlJc w:val="left"/>
      <w:lvlText w:val="%1."/>
      <w:numFmt w:val="decimal"/>
      <w:start w:val="8"/>
    </w:lvl>
    <w:lvl w:ilvl="1">
      <w:lvlJc w:val="left"/>
      <w:lvlText w:val="%2)"/>
      <w:numFmt w:val="lowerLetter"/>
      <w:start w:val="1"/>
    </w:lvl>
  </w:abstractNum>
  <w:abstractNum w:abstractNumId="32">
    <w:nsid w:val="78DF6A55"/>
    <w:multiLevelType w:val="hybridMultilevel"/>
    <w:lvl w:ilvl="0">
      <w:lvlJc w:val="left"/>
      <w:lvlText w:val="%1"/>
      <w:numFmt w:val="decimal"/>
      <w:start w:val="1"/>
    </w:lvl>
    <w:lvl w:ilvl="1">
      <w:lvlJc w:val="left"/>
      <w:lvlText w:val="%2)"/>
      <w:numFmt w:val="lowerLetter"/>
      <w:start w:val="4"/>
    </w:lvl>
  </w:abstractNum>
  <w:abstractNum w:abstractNumId="33">
    <w:nsid w:val="39B7AAA2"/>
    <w:multiLevelType w:val="hybridMultilevel"/>
    <w:lvl w:ilvl="0">
      <w:lvlJc w:val="left"/>
      <w:lvlText w:val="%1."/>
      <w:numFmt w:val="decimal"/>
      <w:start w:val="11"/>
    </w:lvl>
    <w:lvl w:ilvl="1">
      <w:lvlJc w:val="left"/>
      <w:lvlText w:val="%2"/>
      <w:numFmt w:val="lowerLetter"/>
      <w:start w:val="1"/>
    </w:lvl>
  </w:abstractNum>
  <w:abstractNum w:abstractNumId="34">
    <w:nsid w:val="2B0D8DBE"/>
    <w:multiLevelType w:val="hybridMultilevel"/>
    <w:lvl w:ilvl="0">
      <w:lvlJc w:val="left"/>
      <w:lvlText w:val="(%1)"/>
      <w:numFmt w:val="lowerLetter"/>
      <w:start w:val="3"/>
    </w:lvl>
  </w:abstractNum>
  <w:abstractNum w:abstractNumId="35">
    <w:nsid w:val="6C80EC70"/>
    <w:multiLevelType w:val="hybridMultilevel"/>
    <w:lvl w:ilvl="0">
      <w:lvlJc w:val="left"/>
      <w:lvlText w:val="(%1)"/>
      <w:numFmt w:val="lowerLetter"/>
      <w:start w:val="12"/>
    </w:lvl>
  </w:abstractNum>
  <w:abstractNum w:abstractNumId="36">
    <w:nsid w:val="379E21B5"/>
    <w:multiLevelType w:val="hybridMultilevel"/>
    <w:lvl w:ilvl="0">
      <w:lvlJc w:val="left"/>
      <w:lvlText w:val="%1."/>
      <w:numFmt w:val="decimal"/>
      <w:start w:val="1"/>
    </w:lvl>
  </w:abstractNum>
  <w:abstractNum w:abstractNumId="37">
    <w:nsid w:val="69E373"/>
    <w:multiLevelType w:val="hybridMultilevel"/>
    <w:lvl w:ilvl="0">
      <w:lvlJc w:val="left"/>
      <w:lvlText w:val="%1."/>
      <w:numFmt w:val="decimal"/>
      <w:start w:val="2"/>
    </w:lvl>
  </w:abstractNum>
  <w:abstractNum w:abstractNumId="38">
    <w:nsid w:val="2C27173B"/>
    <w:multiLevelType w:val="hybridMultilevel"/>
    <w:lvl w:ilvl="0">
      <w:lvlJc w:val="left"/>
      <w:lvlText w:val="%1."/>
      <w:numFmt w:val="decimal"/>
      <w:start w:val="3"/>
    </w:lvl>
    <w:lvl w:ilvl="1">
      <w:lvlJc w:val="left"/>
      <w:lvlText w:val="(%2)"/>
      <w:numFmt w:val="lowerLetter"/>
      <w:start w:val="1"/>
    </w:lvl>
  </w:abstractNum>
  <w:abstractNum w:abstractNumId="39">
    <w:nsid w:val="4C9B0904"/>
    <w:multiLevelType w:val="hybridMultilevel"/>
    <w:lvl w:ilvl="0">
      <w:lvlJc w:val="left"/>
      <w:lvlText w:val="%1"/>
      <w:numFmt w:val="decimal"/>
      <w:start w:val="1"/>
    </w:lvl>
    <w:lvl w:ilvl="1">
      <w:lvlJc w:val="left"/>
      <w:lvlText w:val="(%2)"/>
      <w:numFmt w:val="lowerLetter"/>
      <w:start w:val="7"/>
    </w:lvl>
  </w:abstractNum>
  <w:abstractNum w:abstractNumId="40">
    <w:nsid w:val="6AA7B75C"/>
    <w:multiLevelType w:val="hybridMultilevel"/>
    <w:lvl w:ilvl="0">
      <w:lvlJc w:val="left"/>
      <w:lvlText w:val="%1."/>
      <w:numFmt w:val="decimal"/>
      <w:start w:val="4"/>
    </w:lvl>
    <w:lvl w:ilvl="1">
      <w:lvlJc w:val="left"/>
      <w:lvlText w:val="(%2)"/>
      <w:numFmt w:val="lowerLetter"/>
      <w:start w:val="1"/>
    </w:lvl>
  </w:abstractNum>
  <w:abstractNum w:abstractNumId="41">
    <w:nsid w:val="1DF029D3"/>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2">
    <w:nsid w:val="5675FF36"/>
    <w:multiLevelType w:val="hybridMultilevel"/>
    <w:lvl w:ilvl="0">
      <w:lvlJc w:val="left"/>
      <w:lvlText w:val="%1."/>
      <w:numFmt w:val="decimal"/>
      <w:start w:val="10"/>
    </w:lvl>
  </w:abstractNum>
  <w:abstractNum w:abstractNumId="43">
    <w:nsid w:val="3DD15094"/>
    <w:multiLevelType w:val="hybridMultilevel"/>
    <w:lvl w:ilvl="0">
      <w:lvlJc w:val="left"/>
      <w:lvlText w:val="%1."/>
      <w:numFmt w:val="decimal"/>
      <w:start w:val="22"/>
    </w:lvl>
  </w:abstractNum>
  <w:abstractNum w:abstractNumId="44">
    <w:nsid w:val="3DB012B3"/>
    <w:multiLevelType w:val="hybridMultilevel"/>
    <w:lvl w:ilvl="0">
      <w:lvlJc w:val="left"/>
      <w:lvlText w:val="(%1)"/>
      <w:numFmt w:val="lowerLetter"/>
      <w:start w:val="1"/>
    </w:lvl>
  </w:abstractNum>
  <w:abstractNum w:abstractNumId="45">
    <w:nsid w:val="2708C9AF"/>
    <w:multiLevelType w:val="hybridMultilevel"/>
    <w:lvl w:ilvl="0">
      <w:lvlJc w:val="left"/>
      <w:lvlText w:val="(%1)"/>
      <w:numFmt w:val="lowerLetter"/>
      <w:start w:val="5"/>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1."/>
      <w:numFmt w:val="upperLetter"/>
      <w:start w:val="1"/>
    </w:lvl>
  </w:abstractNum>
  <w:abstractNum w:abstractNumId="48">
    <w:nsid w:val="4F97E3E4"/>
    <w:multiLevelType w:val="hybridMultilevel"/>
    <w:lvl w:ilvl="0">
      <w:lvlJc w:val="left"/>
      <w:lvlText w:val="%1."/>
      <w:numFmt w:val="decimal"/>
      <w:start w:val="1"/>
    </w:lvl>
  </w:abstractNum>
  <w:abstractNum w:abstractNumId="49">
    <w:nsid w:val="53B0A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
    <w:nsid w:val="34FD6B4F"/>
    <w:multiLevelType w:val="hybridMultilevel"/>
    <w:lvl w:ilvl="0">
      <w:lvlJc w:val="left"/>
      <w:lvlText w:val="%1."/>
      <w:numFmt w:val="decimal"/>
      <w:start w:val="2"/>
    </w:lvl>
  </w:abstractNum>
  <w:abstractNum w:abstractNumId="51">
    <w:nsid w:val="5915FF32"/>
    <w:multiLevelType w:val="hybridMultilevel"/>
    <w:lvl w:ilvl="0">
      <w:lvlJc w:val="left"/>
      <w:lvlText w:val="%1."/>
      <w:numFmt w:val="decimal"/>
      <w:start w:val="3"/>
    </w:lvl>
  </w:abstractNum>
  <w:abstractNum w:abstractNumId="52">
    <w:nsid w:val="56438D15"/>
    <w:multiLevelType w:val="hybridMultilevel"/>
    <w:lvl w:ilvl="0">
      <w:lvlJc w:val="left"/>
      <w:lvlText w:val="(%1)"/>
      <w:numFmt w:val="lowerRoman"/>
      <w:start w:val="1"/>
    </w:lvl>
  </w:abstractNum>
  <w:abstractNum w:abstractNumId="53">
    <w:nsid w:val="519E3149"/>
    <w:multiLevelType w:val="hybridMultilevel"/>
    <w:lvl w:ilvl="0">
      <w:lvlJc w:val="left"/>
      <w:lvlText w:val="%1."/>
      <w:numFmt w:val="decimal"/>
      <w:start w:val="4"/>
    </w:lvl>
  </w:abstractNum>
  <w:abstractNum w:abstractNumId="54">
    <w:nsid w:val="2C6E4AFD"/>
    <w:multiLevelType w:val="hybridMultilevel"/>
    <w:lvl w:ilvl="0">
      <w:lvlJc w:val="left"/>
      <w:lvlText w:val="(%1)"/>
      <w:numFmt w:val="lowerRoman"/>
      <w:start w:val="1"/>
    </w:lvl>
  </w:abstractNum>
  <w:abstractNum w:abstractNumId="55">
    <w:nsid w:val="17A1B582"/>
    <w:multiLevelType w:val="hybridMultilevel"/>
    <w:lvl w:ilvl="0">
      <w:lvlJc w:val="left"/>
      <w:lvlText w:val="%1."/>
      <w:numFmt w:val="decimal"/>
      <w:start w:val="1"/>
    </w:lvl>
    <w:lvl w:ilvl="1">
      <w:lvlJc w:val="left"/>
      <w:lvlText w:val="(%2)"/>
      <w:numFmt w:val="lowerLetter"/>
      <w:start w:val="1"/>
    </w:lvl>
  </w:abstractNum>
  <w:abstractNum w:abstractNumId="56">
    <w:nsid w:val="4DF72E4E"/>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7">
    <w:nsid w:val="5046B5A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8">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9">
    <w:nsid w:val="2A082C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0">
    <w:nsid w:val="5EC6AFD4"/>
    <w:multiLevelType w:val="hybridMultilevel"/>
    <w:lvl w:ilvl="0">
      <w:lvlJc w:val="left"/>
      <w:lvlText w:val="(%1)"/>
      <w:numFmt w:val="lowerLetter"/>
      <w:start w:val="3"/>
    </w:lvl>
  </w:abstractNum>
  <w:abstractNum w:abstractNumId="61">
    <w:nsid w:val="19E21BB2"/>
    <w:multiLevelType w:val="hybridMultilevel"/>
    <w:lvl w:ilvl="0">
      <w:lvlJc w:val="left"/>
      <w:lvlText w:val="(%1)"/>
      <w:numFmt w:val="lowerLetter"/>
      <w:start w:val="14"/>
    </w:lvl>
  </w:abstractNum>
  <w:abstractNum w:abstractNumId="62">
    <w:nsid w:val="75E0858A"/>
    <w:multiLevelType w:val="hybridMultilevel"/>
    <w:lvl w:ilvl="0">
      <w:lvlJc w:val="left"/>
      <w:lvlText w:val="(%1)"/>
      <w:numFmt w:val="lowerLetter"/>
      <w:start w:val="24"/>
    </w:lvl>
  </w:abstractNum>
  <w:abstractNum w:abstractNumId="63">
    <w:nsid w:val="57A61A29"/>
    <w:multiLevelType w:val="hybridMultilevel"/>
    <w:lvl w:ilvl="0">
      <w:lvlJc w:val="left"/>
      <w:lvlText w:val="(%1)"/>
      <w:numFmt w:val="lowerLetter"/>
      <w:start w:val="1"/>
    </w:lvl>
  </w:abstractNum>
  <w:abstractNum w:abstractNumId="64">
    <w:nsid w:val="5399C654"/>
    <w:multiLevelType w:val="hybridMultilevel"/>
    <w:lvl w:ilvl="0">
      <w:lvlJc w:val="left"/>
      <w:lvlText w:val="(%1)"/>
      <w:numFmt w:val="lowerLetter"/>
      <w:start w:val="5"/>
    </w:lvl>
  </w:abstractNum>
  <w:abstractNum w:abstractNumId="65">
    <w:nsid w:val="20EE1348"/>
    <w:multiLevelType w:val="hybridMultilevel"/>
    <w:lvl w:ilvl="0">
      <w:lvlJc w:val="left"/>
      <w:lvlText w:val="%1."/>
      <w:numFmt w:val="decimal"/>
      <w:start w:val="1"/>
    </w:lvl>
  </w:abstractNum>
  <w:abstractNum w:abstractNumId="66">
    <w:nsid w:val="4427069A"/>
    <w:multiLevelType w:val="hybridMultilevel"/>
    <w:lvl w:ilvl="0">
      <w:lvlJc w:val="left"/>
      <w:lvlText w:val="(%1)"/>
      <w:numFmt w:val="lowerLetter"/>
      <w:start w:val="1"/>
    </w:lvl>
  </w:abstractNum>
  <w:abstractNum w:abstractNumId="67">
    <w:nsid w:val="B37E80A"/>
    <w:multiLevelType w:val="hybridMultilevel"/>
    <w:lvl w:ilvl="0">
      <w:lvlJc w:val="left"/>
      <w:lvlText w:val="%1."/>
      <w:numFmt w:val="decimal"/>
      <w:start w:val="4"/>
    </w:lvl>
  </w:abstractNum>
  <w:abstractNum w:abstractNumId="68">
    <w:nsid w:val="2157F6BC"/>
    <w:multiLevelType w:val="hybridMultilevel"/>
    <w:lvl w:ilvl="0">
      <w:lvlJc w:val="left"/>
      <w:lvlText w:val="%1."/>
      <w:numFmt w:val="decimal"/>
      <w:start w:val="6"/>
    </w:lvl>
  </w:abstractNum>
  <w:abstractNum w:abstractNumId="69">
    <w:nsid w:val="704E1DD5"/>
    <w:multiLevelType w:val="hybridMultilevel"/>
    <w:lvl w:ilvl="0">
      <w:lvlJc w:val="left"/>
      <w:lvlText w:val="%1."/>
      <w:numFmt w:val="decimal"/>
      <w:start w:val="7"/>
    </w:lvl>
  </w:abstractNum>
  <w:abstractNum w:abstractNumId="70">
    <w:nsid w:val="57D2F10E"/>
    <w:multiLevelType w:val="hybridMultilevel"/>
    <w:lvl w:ilvl="0">
      <w:lvlJc w:val="left"/>
      <w:lvlText w:val="(%1)"/>
      <w:numFmt w:val="lowerLetter"/>
      <w:start w:val="2"/>
    </w:lvl>
  </w:abstractNum>
  <w:abstractNum w:abstractNumId="71">
    <w:nsid w:val="BFFAE18"/>
    <w:multiLevelType w:val="hybridMultilevel"/>
    <w:lvl w:ilvl="0">
      <w:lvlJc w:val="left"/>
      <w:lvlText w:val="(%1)"/>
      <w:numFmt w:val="lowerLetter"/>
      <w:start w:val="3"/>
    </w:lvl>
  </w:abstractNum>
  <w:abstractNum w:abstractNumId="72">
    <w:nsid w:val="E3E47A8"/>
    <w:multiLevelType w:val="hybridMultilevel"/>
    <w:lvl w:ilvl="0">
      <w:lvlJc w:val="left"/>
      <w:lvlText w:val="(%1)"/>
      <w:numFmt w:val="lowerLetter"/>
      <w:start w:val="5"/>
    </w:lvl>
  </w:abstractNum>
  <w:abstractNum w:abstractNumId="73">
    <w:nsid w:val="2E48F044"/>
    <w:multiLevelType w:val="hybridMultilevel"/>
    <w:lvl w:ilvl="0">
      <w:lvlJc w:val="left"/>
      <w:lvlText w:val="%1."/>
      <w:numFmt w:val="decimal"/>
      <w:start w:val="8"/>
    </w:lvl>
  </w:abstractNum>
  <w:abstractNum w:abstractNumId="74">
    <w:nsid w:val="49D0FEAC"/>
    <w:multiLevelType w:val="hybridMultilevel"/>
    <w:lvl w:ilvl="0">
      <w:lvlJc w:val="left"/>
      <w:lvlText w:val="%1."/>
      <w:numFmt w:val="decimal"/>
      <w:start w:val="9"/>
    </w:lvl>
  </w:abstractNum>
  <w:abstractNum w:abstractNumId="75">
    <w:nsid w:val="4BEE5A5B"/>
    <w:multiLevelType w:val="hybridMultilevel"/>
    <w:lvl w:ilvl="0">
      <w:lvlJc w:val="left"/>
      <w:lvlText w:val="(%1)"/>
      <w:numFmt w:val="lowerRoman"/>
      <w:start w:val="1"/>
    </w:lvl>
  </w:abstractNum>
  <w:abstractNum w:abstractNumId="76">
    <w:nsid w:val="5551B9F3"/>
    <w:multiLevelType w:val="hybridMultilevel"/>
    <w:lvl w:ilvl="0">
      <w:lvlJc w:val="left"/>
      <w:lvlText w:val="(%1)"/>
      <w:numFmt w:val="lowerRoman"/>
      <w:start w:val="1"/>
    </w:lvl>
  </w:abstractNum>
  <w:abstractNum w:abstractNumId="77">
    <w:nsid w:val="24F6AB8E"/>
    <w:multiLevelType w:val="hybridMultilevel"/>
    <w:lvl w:ilvl="0">
      <w:lvlJc w:val="left"/>
      <w:lvlText w:val="(%1)"/>
      <w:numFmt w:val="lowerLetter"/>
      <w:start w:val="4"/>
    </w:lvl>
  </w:abstractNum>
  <w:abstractNum w:abstractNumId="78">
    <w:nsid w:val="634C574C"/>
    <w:multiLevelType w:val="hybridMultilevel"/>
    <w:lvl w:ilvl="0">
      <w:lvlJc w:val="left"/>
      <w:lvlText w:val="(%1)"/>
      <w:numFmt w:val="lowerLetter"/>
      <w:start w:val="5"/>
    </w:lvl>
  </w:abstractNum>
  <w:abstractNum w:abstractNumId="79">
    <w:nsid w:val="24E99DD7"/>
    <w:multiLevelType w:val="hybridMultilevel"/>
    <w:lvl w:ilvl="0">
      <w:lvlJc w:val="left"/>
      <w:lvlText w:val="(%1)"/>
      <w:numFmt w:val="lowerLetter"/>
      <w:start w:val="6"/>
    </w:lvl>
  </w:abstractNum>
  <w:abstractNum w:abstractNumId="80">
    <w:nsid w:val="2A31B62D"/>
    <w:multiLevelType w:val="hybridMultilevel"/>
    <w:lvl w:ilvl="0">
      <w:lvlJc w:val="left"/>
      <w:lvlText w:val="%1."/>
      <w:numFmt w:val="decimal"/>
      <w:start w:val="1"/>
    </w:lvl>
  </w:abstractNum>
  <w:abstractNum w:abstractNumId="81">
    <w:nsid w:val="1849C29B"/>
    <w:multiLevelType w:val="hybridMultilevel"/>
    <w:lvl w:ilvl="0">
      <w:lvlJc w:val="left"/>
      <w:lvlText w:val="%1."/>
      <w:numFmt w:val="decimal"/>
      <w:start w:val="4"/>
    </w:lvl>
  </w:abstractNum>
  <w:abstractNum w:abstractNumId="82">
    <w:nsid w:val="7DFF9D09"/>
    <w:multiLevelType w:val="hybridMultilevel"/>
    <w:lvl w:ilvl="0">
      <w:lvlJc w:val="left"/>
      <w:lvlText w:val="%1."/>
      <w:numFmt w:val="decimal"/>
      <w:start w:val="6"/>
    </w:lvl>
  </w:abstractNum>
  <w:abstractNum w:abstractNumId="83">
    <w:nsid w:val="754342"/>
    <w:multiLevelType w:val="hybridMultilevel"/>
    <w:lvl w:ilvl="0">
      <w:lvlJc w:val="left"/>
      <w:lvlText w:val="%1."/>
      <w:numFmt w:val="decimal"/>
      <w:start w:val="7"/>
    </w:lvl>
  </w:abstractNum>
  <w:abstractNum w:abstractNumId="84">
    <w:nsid w:val="69E7F3E5"/>
    <w:multiLevelType w:val="hybridMultilevel"/>
    <w:lvl w:ilvl="0">
      <w:lvlJc w:val="left"/>
      <w:lvlText w:val="%1."/>
      <w:numFmt w:val="decimal"/>
      <w:start w:val="3"/>
    </w:lvl>
  </w:abstractNum>
  <w:abstractNum w:abstractNumId="85">
    <w:nsid w:val="2A6DE806"/>
    <w:multiLevelType w:val="hybridMultilevel"/>
    <w:lvl w:ilvl="0">
      <w:lvlJc w:val="left"/>
      <w:lvlText w:val="%1."/>
      <w:numFmt w:val="decimal"/>
      <w:start w:val="4"/>
    </w:lvl>
  </w:abstractNum>
  <w:abstractNum w:abstractNumId="86">
    <w:nsid w:val="1816F8C4"/>
    <w:multiLevelType w:val="hybridMultilevel"/>
    <w:lvl w:ilvl="0">
      <w:lvlJc w:val="left"/>
      <w:lvlText w:val="%1."/>
      <w:numFmt w:val="decimal"/>
      <w:start w:val="5"/>
    </w:lvl>
  </w:abstractNum>
  <w:abstractNum w:abstractNumId="87">
    <w:nsid w:val="37DF2233"/>
    <w:multiLevelType w:val="hybridMultilevel"/>
    <w:lvl w:ilvl="0">
      <w:lvlJc w:val="left"/>
      <w:lvlText w:val="%1."/>
      <w:numFmt w:val="decimal"/>
      <w:start w:val="6"/>
    </w:lvl>
  </w:abstractNum>
  <w:abstractNum w:abstractNumId="88">
    <w:nsid w:val="7AB49DAF"/>
    <w:multiLevelType w:val="hybridMultilevel"/>
    <w:lvl w:ilvl="0">
      <w:lvlJc w:val="left"/>
      <w:lvlText w:val="%1."/>
      <w:numFmt w:val="decimal"/>
      <w:start w:val="7"/>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1."/>
      <w:numFmt w:val="upperLetter"/>
      <w:start w:val="1"/>
    </w:lvl>
  </w:abstractNum>
  <w:abstractNum w:abstractNumId="91">
    <w:nsid w:val="597B4D84"/>
    <w:multiLevelType w:val="hybridMultilevel"/>
    <w:lvl w:ilvl="0">
      <w:lvlJc w:val="left"/>
      <w:lvlText w:val="%1."/>
      <w:numFmt w:val="decimal"/>
      <w:start w:val="1"/>
    </w:lvl>
  </w:abstractNum>
  <w:abstractNum w:abstractNumId="92">
    <w:nsid w:val="F819E7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93">
    <w:nsid w:val="57C7D42D"/>
    <w:multiLevelType w:val="hybridMultilevel"/>
    <w:lvl w:ilvl="0">
      <w:lvlJc w:val="left"/>
      <w:lvlText w:val="%1."/>
      <w:numFmt w:val="decimal"/>
      <w:start w:val="2"/>
    </w:lvl>
  </w:abstractNum>
  <w:abstractNum w:abstractNumId="94">
    <w:nsid w:val="312167AD"/>
    <w:multiLevelType w:val="hybridMultilevel"/>
    <w:lvl w:ilvl="0">
      <w:lvlJc w:val="left"/>
      <w:lvlText w:val="%1."/>
      <w:numFmt w:val="lowerLetter"/>
      <w:start w:val="1"/>
    </w:lvl>
    <w:lvl w:ilvl="1">
      <w:lvlJc w:val="left"/>
      <w:lvlText w:val="(%2)"/>
      <w:numFmt w:val="lowerRoman"/>
      <w:start w:val="1"/>
    </w:lvl>
  </w:abstractNum>
  <w:abstractNum w:abstractNumId="95">
    <w:nsid w:val="631B64D4"/>
    <w:multiLevelType w:val="hybridMultilevel"/>
    <w:lvl w:ilvl="0">
      <w:lvlJc w:val="left"/>
      <w:lvlText w:val="%1."/>
      <w:numFmt w:val="decimal"/>
      <w:start w:val="4"/>
    </w:lvl>
  </w:abstractNum>
  <w:abstractNum w:abstractNumId="96">
    <w:nsid w:val="78B5E776"/>
    <w:multiLevelType w:val="hybridMultilevel"/>
    <w:lvl w:ilvl="0">
      <w:lvlJc w:val="left"/>
      <w:lvlText w:val="%1."/>
      <w:numFmt w:val="lowerLetter"/>
      <w:start w:val="1"/>
    </w:lvl>
    <w:lvl w:ilvl="1">
      <w:lvlJc w:val="left"/>
      <w:lvlText w:val="(%2)"/>
      <w:numFmt w:val="lowerRoman"/>
      <w:start w:val="1"/>
    </w:lvl>
  </w:abstractNum>
  <w:abstractNum w:abstractNumId="97">
    <w:nsid w:val="75486E47"/>
    <w:multiLevelType w:val="hybridMultilevel"/>
    <w:lvl w:ilvl="0">
      <w:lvlJc w:val="left"/>
      <w:lvlText w:val="%1."/>
      <w:numFmt w:val="decimal"/>
      <w:start w:val="1"/>
    </w:lvl>
  </w:abstractNum>
  <w:abstractNum w:abstractNumId="98">
    <w:nsid w:val="6E534CDE"/>
    <w:multiLevelType w:val="hybridMultilevel"/>
    <w:lvl w:ilvl="0">
      <w:lvlJc w:val="left"/>
      <w:lvlText w:val="%1."/>
      <w:numFmt w:val="decimal"/>
      <w:start w:val="2"/>
    </w:lvl>
    <w:lvl w:ilvl="1">
      <w:lvlJc w:val="left"/>
      <w:lvlText w:val="(%2)"/>
      <w:numFmt w:val="lowerLetter"/>
      <w:start w:val="1"/>
    </w:lvl>
  </w:abstractNum>
  <w:abstractNum w:abstractNumId="99">
    <w:nsid w:val="1A0DDE32"/>
    <w:multiLevelType w:val="hybridMultilevel"/>
    <w:lvl w:ilvl="0">
      <w:lvlJc w:val="left"/>
      <w:lvlText w:val="%1"/>
      <w:numFmt w:val="decimal"/>
      <w:start w:val="1"/>
    </w:lvl>
    <w:lvl w:ilvl="1">
      <w:lvlJc w:val="left"/>
      <w:lvlText w:val="(%2)"/>
      <w:numFmt w:val="lowerLetter"/>
      <w:start w:val="3"/>
    </w:lvl>
  </w:abstractNum>
  <w:abstractNum w:abstractNumId="100">
    <w:nsid w:val="65968C1C"/>
    <w:multiLevelType w:val="hybridMultilevel"/>
    <w:lvl w:ilvl="0">
      <w:lvlJc w:val="left"/>
      <w:lvlText w:val="%1."/>
      <w:numFmt w:val="decimal"/>
      <w:start w:val="3"/>
    </w:lvl>
    <w:lvl w:ilvl="1">
      <w:lvlJc w:val="left"/>
      <w:lvlText w:val="(%2)"/>
      <w:numFmt w:val="lowerLetter"/>
      <w:start w:val="1"/>
    </w:lvl>
  </w:abstractNum>
  <w:abstractNum w:abstractNumId="101">
    <w:nsid w:val="46263DEC"/>
    <w:multiLevelType w:val="hybridMultilevel"/>
    <w:lvl w:ilvl="0">
      <w:lvlJc w:val="left"/>
      <w:lvlText w:val="(%1)"/>
      <w:numFmt w:val="lowerRoman"/>
      <w:start w:val="1"/>
    </w:lvl>
  </w:abstractNum>
  <w:abstractNum w:abstractNumId="102">
    <w:nsid w:val="260D8C4A"/>
    <w:multiLevelType w:val="hybridMultilevel"/>
    <w:lvl w:ilvl="0">
      <w:lvlJc w:val="left"/>
      <w:lvlText w:val="%1."/>
      <w:numFmt w:val="decimal"/>
      <w:start w:val="7"/>
    </w:lvl>
  </w:abstractNum>
  <w:abstractNum w:abstractNumId="103">
    <w:nsid w:val="73D4D3C4"/>
    <w:multiLevelType w:val="hybridMultilevel"/>
    <w:lvl w:ilvl="0">
      <w:lvlJc w:val="left"/>
      <w:lvlText w:val="(%1)"/>
      <w:numFmt w:val="lowerLetter"/>
      <w:start w:val="1"/>
    </w:lvl>
  </w:abstractNum>
  <w:abstractNum w:abstractNumId="104">
    <w:nsid w:val="746F2E30"/>
    <w:multiLevelType w:val="hybridMultilevel"/>
    <w:lvl w:ilvl="0">
      <w:lvlJc w:val="left"/>
      <w:lvlText w:val="(%1)"/>
      <w:numFmt w:val="lowerLetter"/>
      <w:start w:val="2"/>
    </w:lvl>
  </w:abstractNum>
  <w:abstractNum w:abstractNumId="105">
    <w:nsid w:val="6FDE8AF6"/>
    <w:multiLevelType w:val="hybridMultilevel"/>
    <w:lvl w:ilvl="0">
      <w:lvlJc w:val="left"/>
      <w:lvlText w:val="(%1)"/>
      <w:numFmt w:val="lowerLetter"/>
      <w:start w:val="14"/>
    </w:lvl>
  </w:abstractNum>
  <w:abstractNum w:abstractNumId="106">
    <w:nsid w:val="3FC32E20"/>
    <w:multiLevelType w:val="hybridMultilevel"/>
    <w:lvl w:ilvl="0">
      <w:lvlJc w:val="left"/>
      <w:lvlText w:val="(%1)"/>
      <w:numFmt w:val="lowerLetter"/>
      <w:start w:val="24"/>
    </w:lvl>
  </w:abstractNum>
  <w:abstractNum w:abstractNumId="107">
    <w:nsid w:val="49C0E823"/>
    <w:multiLevelType w:val="hybridMultilevel"/>
    <w:lvl w:ilvl="0">
      <w:lvlJc w:val="left"/>
      <w:lvlText w:val="%1."/>
      <w:numFmt w:val="decimal"/>
      <w:start w:val="1"/>
    </w:lvl>
  </w:abstractNum>
  <w:abstractNum w:abstractNumId="108">
    <w:nsid w:val="14D53685"/>
    <w:multiLevelType w:val="hybridMultilevel"/>
    <w:lvl w:ilvl="0">
      <w:lvlJc w:val="left"/>
      <w:lvlText w:val="(%1)"/>
      <w:numFmt w:val="lowerLetter"/>
      <w:start w:val="1"/>
    </w:lvl>
  </w:abstractNum>
  <w:abstractNum w:abstractNumId="109">
    <w:nsid w:val="230F856C"/>
    <w:multiLevelType w:val="hybridMultilevel"/>
    <w:lvl w:ilvl="0">
      <w:lvlJc w:val="left"/>
      <w:lvlText w:val="(%1)"/>
      <w:numFmt w:val="lowerLetter"/>
      <w:start w:val="4"/>
    </w:lvl>
  </w:abstractNum>
  <w:abstractNum w:abstractNumId="110">
    <w:nsid w:val="6EAA85FB"/>
    <w:multiLevelType w:val="hybridMultilevel"/>
    <w:lvl w:ilvl="0">
      <w:lvlJc w:val="left"/>
      <w:lvlText w:val="%1."/>
      <w:numFmt w:val="decimal"/>
      <w:start w:val="1"/>
    </w:lvl>
  </w:abstractNum>
  <w:abstractNum w:abstractNumId="111">
    <w:nsid w:val="3F06ECB2"/>
    <w:multiLevelType w:val="hybridMultilevel"/>
    <w:lvl w:ilvl="0">
      <w:lvlJc w:val="left"/>
      <w:lvlText w:val="%1."/>
      <w:numFmt w:val="decimal"/>
      <w:start w:val="2"/>
    </w:lvl>
  </w:abstractNum>
  <w:abstractNum w:abstractNumId="112">
    <w:nsid w:val="3B594807"/>
    <w:multiLevelType w:val="hybridMultilevel"/>
    <w:lvl w:ilvl="0">
      <w:lvlJc w:val="left"/>
      <w:lvlText w:val="(%1)"/>
      <w:numFmt w:val="lowerLetter"/>
      <w:start w:val="1"/>
    </w:lvl>
  </w:abstractNum>
  <w:abstractNum w:abstractNumId="113">
    <w:nsid w:val="6CAA2304"/>
    <w:multiLevelType w:val="hybridMultilevel"/>
    <w:lvl w:ilvl="0">
      <w:lvlJc w:val="left"/>
      <w:lvlText w:val="%1"/>
      <w:numFmt w:val="decimal"/>
      <w:start w:val="1"/>
    </w:lvl>
    <w:lvl w:ilvl="1">
      <w:lvlJc w:val="left"/>
      <w:lvlText w:val="(%2)"/>
      <w:numFmt w:val="lowerLetter"/>
      <w:start w:val="3"/>
    </w:lvl>
  </w:abstractNum>
  <w:abstractNum w:abstractNumId="114">
    <w:nsid w:val="3F7C2FF4"/>
    <w:multiLevelType w:val="hybridMultilevel"/>
    <w:lvl w:ilvl="0">
      <w:lvlJc w:val="left"/>
      <w:lvlText w:val="%1."/>
      <w:numFmt w:val="decimal"/>
      <w:start w:val="3"/>
    </w:lvl>
    <w:lvl w:ilvl="1">
      <w:lvlJc w:val="left"/>
      <w:lvlText w:val="(%2)"/>
      <w:numFmt w:val="lowerLetter"/>
      <w:start w:val="1"/>
    </w:lvl>
  </w:abstractNum>
  <w:abstractNum w:abstractNumId="115">
    <w:nsid w:val="25413BEC"/>
    <w:multiLevelType w:val="hybridMultilevel"/>
    <w:lvl w:ilvl="0">
      <w:lvlJc w:val="left"/>
      <w:lvlText w:val="(%1)"/>
      <w:numFmt w:val="lowerLetter"/>
      <w:start w:val="2"/>
    </w:lvl>
    <w:lvl w:ilvl="1">
      <w:lvlJc w:val="left"/>
      <w:lvlText w:val="(%2)"/>
      <w:numFmt w:val="lowerRoman"/>
      <w:start w:val="1"/>
    </w:lvl>
  </w:abstractNum>
  <w:abstractNum w:abstractNumId="116">
    <w:nsid w:val="17180B0B"/>
    <w:multiLevelType w:val="hybridMultilevel"/>
    <w:lvl w:ilvl="0">
      <w:lvlJc w:val="left"/>
      <w:lvlText w:val="%1."/>
      <w:numFmt w:val="decimal"/>
      <w:start w:val="7"/>
    </w:lvl>
  </w:abstractNum>
  <w:abstractNum w:abstractNumId="117">
    <w:nsid w:val="579328B9"/>
    <w:multiLevelType w:val="hybridMultilevel"/>
    <w:lvl w:ilvl="0">
      <w:lvlJc w:val="left"/>
      <w:lvlText w:val="%1."/>
      <w:numFmt w:val="decimal"/>
      <w:start w:val="9"/>
    </w:lvl>
    <w:lvl w:ilvl="1">
      <w:lvlJc w:val="left"/>
      <w:lvlText w:val="(%2)"/>
      <w:numFmt w:val="lowerLetter"/>
      <w:start w:val="1"/>
    </w:lvl>
  </w:abstractNum>
  <w:abstractNum w:abstractNumId="118">
    <w:nsid w:val="5D205E20"/>
    <w:multiLevelType w:val="hybridMultilevel"/>
    <w:lvl w:ilvl="0">
      <w:lvlJc w:val="left"/>
      <w:lvlText w:val="(%1)"/>
      <w:numFmt w:val="lowerLetter"/>
      <w:start w:val="12"/>
    </w:lvl>
  </w:abstractNum>
  <w:abstractNum w:abstractNumId="119">
    <w:nsid w:val="11CCA8BA"/>
    <w:multiLevelType w:val="hybridMultilevel"/>
    <w:lvl w:ilvl="0">
      <w:lvlJc w:val="left"/>
      <w:lvlText w:val="(%1)"/>
      <w:numFmt w:val="lowerLetter"/>
      <w:start w:val="23"/>
    </w:lvl>
    <w:lvl w:ilvl="1">
      <w:lvlJc w:val="left"/>
      <w:lvlText w:val="(%2)"/>
      <w:numFmt w:val="lowerLetter"/>
      <w:start w:val="35"/>
    </w:lvl>
  </w:abstractNum>
  <w:abstractNum w:abstractNumId="120">
    <w:nsid w:val="4D32AB86"/>
    <w:multiLevelType w:val="hybridMultilevel"/>
    <w:lvl w:ilvl="0">
      <w:lvlJc w:val="left"/>
      <w:lvlText w:val="%1."/>
      <w:numFmt w:val="decimal"/>
      <w:start w:val="1"/>
    </w:lvl>
  </w:abstractNum>
  <w:abstractNum w:abstractNumId="121">
    <w:nsid w:val="3F07ACC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2">
    <w:nsid w:val="6B47F63E"/>
    <w:multiLevelType w:val="hybridMultilevel"/>
    <w:lvl w:ilvl="0">
      <w:lvlJc w:val="left"/>
      <w:lvlText w:val="(%1)"/>
      <w:numFmt w:val="lowerLetter"/>
      <w:start w:val="1"/>
    </w:lvl>
  </w:abstractNum>
  <w:abstractNum w:abstractNumId="123">
    <w:nsid w:val="5CB44A05"/>
    <w:multiLevelType w:val="hybridMultilevel"/>
    <w:lvl w:ilvl="0">
      <w:lvlJc w:val="left"/>
      <w:lvlText w:val="(%1)"/>
      <w:numFmt w:val="lowerLetter"/>
      <w:start w:val="5"/>
    </w:lvl>
  </w:abstractNum>
  <w:abstractNum w:abstractNumId="124">
    <w:nsid w:val="16CF80F1"/>
    <w:multiLevelType w:val="hybridMultilevel"/>
    <w:lvl w:ilvl="0">
      <w:lvlJc w:val="left"/>
      <w:lvlText w:val="(%1)"/>
      <w:numFmt w:val="decimal"/>
      <w:start w:val="3"/>
    </w:lvl>
  </w:abstractNum>
  <w:abstractNum w:abstractNumId="125">
    <w:nsid w:val="1C695DEC"/>
    <w:multiLevelType w:val="hybridMultilevel"/>
    <w:lvl w:ilvl="0">
      <w:lvlJc w:val="left"/>
      <w:lvlText w:val="%1."/>
      <w:numFmt w:val="decimal"/>
      <w:start w:val="1"/>
    </w:lvl>
  </w:abstractNum>
  <w:abstractNum w:abstractNumId="126">
    <w:nsid w:val="3FCFAED9"/>
    <w:multiLevelType w:val="hybridMultilevel"/>
    <w:lvl w:ilvl="0">
      <w:lvlJc w:val="left"/>
      <w:lvlText w:val="(%1)"/>
      <w:numFmt w:val="lowerLetter"/>
      <w:start w:val="1"/>
    </w:lvl>
  </w:abstractNum>
  <w:abstractNum w:abstractNumId="127">
    <w:nsid w:val="F856867"/>
    <w:multiLevelType w:val="hybridMultilevel"/>
    <w:lvl w:ilvl="0">
      <w:lvlJc w:val="left"/>
      <w:lvlText w:val="%1."/>
      <w:numFmt w:val="decimal"/>
      <w:start w:val="4"/>
    </w:lvl>
  </w:abstractNum>
  <w:abstractNum w:abstractNumId="128">
    <w:nsid w:val="11B1CC33"/>
    <w:multiLevelType w:val="hybridMultilevel"/>
    <w:lvl w:ilvl="0">
      <w:lvlJc w:val="left"/>
      <w:lvlText w:val="%1."/>
      <w:numFmt w:val="decimal"/>
      <w:start w:val="6"/>
    </w:lvl>
  </w:abstractNum>
  <w:abstractNum w:abstractNumId="129">
    <w:nsid w:val="2E22FBB7"/>
    <w:multiLevelType w:val="hybridMultilevel"/>
    <w:lvl w:ilvl="0">
      <w:lvlJc w:val="left"/>
      <w:lvlText w:val="%1."/>
      <w:numFmt w:val="decimal"/>
      <w:start w:val="7"/>
    </w:lvl>
  </w:abstractNum>
  <w:abstractNum w:abstractNumId="130">
    <w:nsid w:val="29934699"/>
    <w:multiLevelType w:val="hybridMultilevel"/>
    <w:lvl w:ilvl="0">
      <w:lvlJc w:val="left"/>
      <w:lvlText w:val="(%1)"/>
      <w:numFmt w:val="lowerLetter"/>
      <w:start w:val="2"/>
    </w:lvl>
  </w:abstractNum>
  <w:abstractNum w:abstractNumId="131">
    <w:nsid w:val="77485850"/>
    <w:multiLevelType w:val="hybridMultilevel"/>
    <w:lvl w:ilvl="0">
      <w:lvlJc w:val="left"/>
      <w:lvlText w:val="(%1)"/>
      <w:numFmt w:val="lowerLetter"/>
      <w:start w:val="3"/>
    </w:lvl>
  </w:abstractNum>
  <w:abstractNum w:abstractNumId="132">
    <w:nsid w:val="744939A3"/>
    <w:multiLevelType w:val="hybridMultilevel"/>
    <w:lvl w:ilvl="0">
      <w:lvlJc w:val="left"/>
      <w:lvlText w:val="(%1)"/>
      <w:numFmt w:val="lowerLetter"/>
      <w:start w:val="5"/>
    </w:lvl>
  </w:abstractNum>
  <w:abstractNum w:abstractNumId="133">
    <w:nsid w:val="4FA0D2E3"/>
    <w:multiLevelType w:val="hybridMultilevel"/>
    <w:lvl w:ilvl="0">
      <w:lvlJc w:val="left"/>
      <w:lvlText w:val="%1."/>
      <w:numFmt w:val="decimal"/>
      <w:start w:val="8"/>
    </w:lvl>
  </w:abstractNum>
  <w:abstractNum w:abstractNumId="134">
    <w:nsid w:val="6B1D2C14"/>
    <w:multiLevelType w:val="hybridMultilevel"/>
    <w:lvl w:ilvl="0">
      <w:lvlJc w:val="left"/>
      <w:lvlText w:val="%1."/>
      <w:numFmt w:val="decimal"/>
      <w:start w:val="9"/>
    </w:lvl>
  </w:abstractNum>
  <w:abstractNum w:abstractNumId="135">
    <w:nsid w:val="68B867D3"/>
    <w:multiLevelType w:val="hybridMultilevel"/>
    <w:lvl w:ilvl="0">
      <w:lvlJc w:val="left"/>
      <w:lvlText w:val="(%1)"/>
      <w:numFmt w:val="lowerRoman"/>
      <w:start w:val="1"/>
    </w:lvl>
  </w:abstractNum>
  <w:abstractNum w:abstractNumId="136">
    <w:nsid w:val="3F7F5DD9"/>
    <w:multiLevelType w:val="hybridMultilevel"/>
    <w:lvl w:ilvl="0">
      <w:lvlJc w:val="left"/>
      <w:lvlText w:val="(%1)"/>
      <w:numFmt w:val="lowerRoman"/>
      <w:start w:val="1"/>
    </w:lvl>
  </w:abstractNum>
  <w:abstractNum w:abstractNumId="137">
    <w:nsid w:val="2AE05A34"/>
    <w:multiLevelType w:val="hybridMultilevel"/>
    <w:lvl w:ilvl="0">
      <w:lvlJc w:val="left"/>
      <w:lvlText w:val="(%1)"/>
      <w:numFmt w:val="lowerLetter"/>
      <w:start w:val="4"/>
    </w:lvl>
  </w:abstractNum>
  <w:abstractNum w:abstractNumId="138">
    <w:nsid w:val="32794FF7"/>
    <w:multiLevelType w:val="hybridMultilevel"/>
    <w:lvl w:ilvl="0">
      <w:lvlJc w:val="left"/>
      <w:lvlText w:val="(%1)"/>
      <w:numFmt w:val="lowerLetter"/>
      <w:start w:val="5"/>
    </w:lvl>
  </w:abstractNum>
  <w:abstractNum w:abstractNumId="139">
    <w:nsid w:val="5454945E"/>
    <w:multiLevelType w:val="hybridMultilevel"/>
    <w:lvl w:ilvl="0">
      <w:lvlJc w:val="left"/>
      <w:lvlText w:val="(%1)"/>
      <w:numFmt w:val="lowerLetter"/>
      <w:start w:val="6"/>
    </w:lvl>
  </w:abstractNum>
  <w:abstractNum w:abstractNumId="140">
    <w:nsid w:val="4DEFDFA0"/>
    <w:multiLevelType w:val="hybridMultilevel"/>
    <w:lvl w:ilvl="0">
      <w:lvlJc w:val="left"/>
      <w:lvlText w:val="%1."/>
      <w:numFmt w:val="decimal"/>
      <w:start w:val="1"/>
    </w:lvl>
  </w:abstractNum>
  <w:abstractNum w:abstractNumId="141">
    <w:nsid w:val="2123D5F2"/>
    <w:multiLevelType w:val="hybridMultilevel"/>
    <w:lvl w:ilvl="0">
      <w:lvlJc w:val="left"/>
      <w:lvlText w:val="%1."/>
      <w:numFmt w:val="decimal"/>
      <w:start w:val="4"/>
    </w:lvl>
  </w:abstractNum>
  <w:abstractNum w:abstractNumId="142">
    <w:nsid w:val="135B8110"/>
    <w:multiLevelType w:val="hybridMultilevel"/>
    <w:lvl w:ilvl="0">
      <w:lvlJc w:val="left"/>
      <w:lvlText w:val="%1."/>
      <w:numFmt w:val="decimal"/>
      <w:start w:val="6"/>
    </w:lvl>
  </w:abstractNum>
  <w:abstractNum w:abstractNumId="143">
    <w:nsid w:val="94927A8"/>
    <w:multiLevelType w:val="hybridMultilevel"/>
    <w:lvl w:ilvl="0">
      <w:lvlJc w:val="left"/>
      <w:lvlText w:val="%1."/>
      <w:numFmt w:val="decimal"/>
      <w:start w:val="7"/>
    </w:lvl>
  </w:abstractNum>
  <w:abstractNum w:abstractNumId="144">
    <w:nsid w:val="DCDF8F6"/>
    <w:multiLevelType w:val="hybridMultilevel"/>
    <w:lvl w:ilvl="0">
      <w:lvlJc w:val="left"/>
      <w:lvlText w:val="%1."/>
      <w:numFmt w:val="decimal"/>
      <w:start w:val="3"/>
    </w:lvl>
  </w:abstractNum>
  <w:abstractNum w:abstractNumId="145">
    <w:nsid w:val="52D7B105"/>
    <w:multiLevelType w:val="hybridMultilevel"/>
    <w:lvl w:ilvl="0">
      <w:lvlJc w:val="left"/>
      <w:lvlText w:val="%1."/>
      <w:numFmt w:val="decimal"/>
      <w:start w:val="4"/>
    </w:lvl>
  </w:abstractNum>
  <w:abstractNum w:abstractNumId="146">
    <w:nsid w:val="2E8A6394"/>
    <w:multiLevelType w:val="hybridMultilevel"/>
    <w:lvl w:ilvl="0">
      <w:lvlJc w:val="left"/>
      <w:lvlText w:val="%1."/>
      <w:numFmt w:val="decimal"/>
      <w:start w:val="5"/>
    </w:lvl>
  </w:abstractNum>
  <w:abstractNum w:abstractNumId="147">
    <w:nsid w:val="24E60401"/>
    <w:multiLevelType w:val="hybridMultilevel"/>
    <w:lvl w:ilvl="0">
      <w:lvlJc w:val="left"/>
      <w:lvlText w:val="%1."/>
      <w:numFmt w:val="decimal"/>
      <w:start w:val="6"/>
    </w:lvl>
  </w:abstractNum>
  <w:abstractNum w:abstractNumId="148">
    <w:nsid w:val="2A6AD9BE"/>
    <w:multiLevelType w:val="hybridMultilevel"/>
    <w:lvl w:ilvl="0">
      <w:lvlJc w:val="left"/>
      <w:lvlText w:val="%1."/>
      <w:numFmt w:val="decimal"/>
      <w:start w:val="7"/>
    </w:lvl>
  </w:abstractNum>
  <w:abstractNum w:abstractNumId="149">
    <w:nsid w:val="BAAC1B4"/>
    <w:multiLevelType w:val="hybridMultilevel"/>
    <w:lvl w:ilvl="0">
      <w:lvlJc w:val="left"/>
      <w:lvlText w:val="%1."/>
      <w:numFmt w:val="upperLetter"/>
      <w:start w:val="1"/>
    </w:lvl>
  </w:abstractNum>
  <w:abstractNum w:abstractNumId="150">
    <w:nsid w:val="36B2ACBC"/>
    <w:multiLevelType w:val="hybridMultilevel"/>
    <w:lvl w:ilvl="0">
      <w:lvlJc w:val="left"/>
      <w:lvlText w:val="%1."/>
      <w:numFmt w:val="decimal"/>
      <w:start w:val="1"/>
    </w:lvl>
  </w:abstractNum>
  <w:abstractNum w:abstractNumId="151">
    <w:nsid w:val="779D854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2">
    <w:nsid w:val="4AB26E78"/>
    <w:multiLevelType w:val="hybridMultilevel"/>
    <w:lvl w:ilvl="0">
      <w:lvlJc w:val="left"/>
      <w:lvlText w:val="%1."/>
      <w:numFmt w:val="decimal"/>
      <w:start w:val="3"/>
    </w:lvl>
  </w:abstractNum>
  <w:abstractNum w:abstractNumId="153">
    <w:nsid w:val="21FAA2FA"/>
    <w:multiLevelType w:val="hybridMultilevel"/>
    <w:lvl w:ilvl="0">
      <w:lvlJc w:val="left"/>
      <w:lvlText w:val="(%1)"/>
      <w:numFmt w:val="lowerRoman"/>
      <w:start w:val="1"/>
    </w:lvl>
  </w:abstractNum>
  <w:abstractNum w:abstractNumId="154">
    <w:nsid w:val="5451CF49"/>
    <w:multiLevelType w:val="hybridMultilevel"/>
    <w:lvl w:ilvl="0">
      <w:lvlJc w:val="left"/>
      <w:lvlText w:val="%1."/>
      <w:numFmt w:val="decimal"/>
      <w:start w:val="4"/>
    </w:lvl>
  </w:abstractNum>
  <w:abstractNum w:abstractNumId="155">
    <w:nsid w:val="6181EF69"/>
    <w:multiLevelType w:val="hybridMultilevel"/>
    <w:lvl w:ilvl="0">
      <w:lvlJc w:val="left"/>
      <w:lvlText w:val="(%1)"/>
      <w:numFmt w:val="lowerRoman"/>
      <w:start w:val="1"/>
    </w:lvl>
  </w:abstractNum>
  <w:abstractNum w:abstractNumId="156">
    <w:nsid w:val="3E6400E6"/>
    <w:multiLevelType w:val="hybridMultilevel"/>
    <w:lvl w:ilvl="0">
      <w:lvlJc w:val="left"/>
      <w:lvlText w:val="%1."/>
      <w:numFmt w:val="decimal"/>
      <w:start w:val="1"/>
    </w:lvl>
  </w:abstractNum>
  <w:abstractNum w:abstractNumId="157">
    <w:nsid w:val="14217E23"/>
    <w:multiLevelType w:val="hybridMultilevel"/>
    <w:lvl w:ilvl="0">
      <w:lvlJc w:val="left"/>
      <w:lvlText w:val="%1."/>
      <w:numFmt w:val="decimal"/>
      <w:start w:val="2"/>
    </w:lvl>
    <w:lvl w:ilvl="1">
      <w:lvlJc w:val="left"/>
      <w:lvlText w:val="(%2)"/>
      <w:numFmt w:val="lowerLetter"/>
      <w:start w:val="1"/>
    </w:lvl>
  </w:abstractNum>
  <w:abstractNum w:abstractNumId="158">
    <w:nsid w:val="710757D0"/>
    <w:multiLevelType w:val="hybridMultilevel"/>
    <w:lvl w:ilvl="0">
      <w:lvlJc w:val="left"/>
      <w:lvlText w:val="%1"/>
      <w:numFmt w:val="decimal"/>
      <w:start w:val="1"/>
    </w:lvl>
    <w:lvl w:ilvl="1">
      <w:lvlJc w:val="left"/>
      <w:lvlText w:val="(%2)"/>
      <w:numFmt w:val="lowerLetter"/>
      <w:start w:val="4"/>
    </w:lvl>
  </w:abstractNum>
  <w:abstractNum w:abstractNumId="159">
    <w:nsid w:val="5015CD1A"/>
    <w:multiLevelType w:val="hybridMultilevel"/>
    <w:lvl w:ilvl="0">
      <w:lvlJc w:val="left"/>
      <w:lvlText w:val="%1."/>
      <w:numFmt w:val="decimal"/>
      <w:start w:val="3"/>
    </w:lvl>
    <w:lvl w:ilvl="1">
      <w:lvlJc w:val="left"/>
      <w:lvlText w:val="(%2)"/>
      <w:numFmt w:val="lowerLetter"/>
      <w:start w:val="1"/>
    </w:lvl>
  </w:abstractNum>
  <w:abstractNum w:abstractNumId="160">
    <w:nsid w:val="424479DA"/>
    <w:multiLevelType w:val="hybridMultilevel"/>
    <w:lvl w:ilvl="0">
      <w:lvlJc w:val="left"/>
      <w:lvlText w:val="(%1)"/>
      <w:numFmt w:val="lowerLetter"/>
      <w:start w:val="2"/>
    </w:lvl>
    <w:lvl w:ilvl="1">
      <w:lvlJc w:val="left"/>
      <w:lvlText w:val="(%2)"/>
      <w:numFmt w:val="lowerRoman"/>
      <w:start w:val="1"/>
    </w:lvl>
  </w:abstractNum>
  <w:abstractNum w:abstractNumId="161">
    <w:nsid w:val="1A9A9E69"/>
    <w:multiLevelType w:val="hybridMultilevel"/>
    <w:lvl w:ilvl="0">
      <w:lvlJc w:val="left"/>
      <w:lvlText w:val="%1."/>
      <w:numFmt w:val="decimal"/>
      <w:start w:val="7"/>
    </w:lvl>
    <w:lvl w:ilvl="1">
      <w:lvlJc w:val="left"/>
      <w:lvlText w:val="(%2)"/>
      <w:numFmt w:val="lowerLetter"/>
      <w:start w:val="1"/>
    </w:lvl>
  </w:abstractNum>
  <w:abstractNum w:abstractNumId="162">
    <w:nsid w:val="475E256A"/>
    <w:multiLevelType w:val="hybridMultilevel"/>
    <w:lvl w:ilvl="0">
      <w:lvlJc w:val="left"/>
      <w:lvlText w:val="(%1)"/>
      <w:numFmt w:val="lowerLetter"/>
      <w:start w:val="2"/>
    </w:lvl>
  </w:abstractNum>
  <w:abstractNum w:abstractNumId="163">
    <w:nsid w:val="368DB37E"/>
    <w:multiLevelType w:val="hybridMultilevel"/>
    <w:lvl w:ilvl="0">
      <w:lvlJc w:val="left"/>
      <w:lvlText w:val="(%1)"/>
      <w:numFmt w:val="lowerLetter"/>
      <w:start w:val="14"/>
    </w:lvl>
  </w:abstractNum>
  <w:abstractNum w:abstractNumId="164">
    <w:nsid w:val="6A3B714C"/>
    <w:multiLevelType w:val="hybridMultilevel"/>
    <w:lvl w:ilvl="0">
      <w:lvlJc w:val="left"/>
      <w:lvlText w:val="(%1)"/>
      <w:numFmt w:val="lowerLetter"/>
      <w:start w:val="24"/>
    </w:lvl>
  </w:abstractNum>
  <w:abstractNum w:abstractNumId="165">
    <w:nsid w:val="327B517E"/>
    <w:multiLevelType w:val="hybridMultilevel"/>
    <w:lvl w:ilvl="0">
      <w:lvlJc w:val="left"/>
      <w:lvlText w:val="%1."/>
      <w:numFmt w:val="decimal"/>
      <w:start w:val="1"/>
    </w:lvl>
  </w:abstractNum>
  <w:abstractNum w:abstractNumId="166">
    <w:nsid w:val="1F461B51"/>
    <w:multiLevelType w:val="hybridMultilevel"/>
    <w:lvl w:ilvl="0">
      <w:lvlJc w:val="left"/>
      <w:lvlText w:val="%1."/>
      <w:numFmt w:val="decimal"/>
      <w:start w:val="4"/>
    </w:lvl>
    <w:lvl w:ilvl="1">
      <w:lvlJc w:val="left"/>
      <w:lvlText w:val="(%2)"/>
      <w:numFmt w:val="lowerLetter"/>
      <w:start w:val="1"/>
    </w:lvl>
  </w:abstractNum>
  <w:abstractNum w:abstractNumId="167">
    <w:nsid w:val="29BACF25"/>
    <w:multiLevelType w:val="hybridMultilevel"/>
    <w:lvl w:ilvl="0">
      <w:lvlJc w:val="left"/>
      <w:lvlText w:val="(%1)"/>
      <w:numFmt w:val="lowerLetter"/>
      <w:start w:val="1"/>
    </w:lvl>
  </w:abstractNum>
  <w:abstractNum w:abstractNumId="168">
    <w:nsid w:val="5D5BABB3"/>
    <w:multiLevelType w:val="hybridMultilevel"/>
    <w:lvl w:ilvl="0">
      <w:lvlJc w:val="left"/>
      <w:lvlText w:val="(%1)"/>
      <w:numFmt w:val="lowerLetter"/>
      <w:start w:val="5"/>
    </w:lvl>
  </w:abstractNum>
  <w:abstractNum w:abstractNumId="169">
    <w:nsid w:val="51BF6B48"/>
    <w:multiLevelType w:val="hybridMultilevel"/>
    <w:lvl w:ilvl="0">
      <w:lvlJc w:val="left"/>
      <w:lvlText w:val="(%1)"/>
      <w:numFmt w:val="decimal"/>
      <w:start w:val="21"/>
    </w:lvl>
  </w:abstractNum>
  <w:abstractNum w:abstractNumId="170">
    <w:nsid w:val="7E0F6384"/>
    <w:multiLevelType w:val="hybridMultilevel"/>
    <w:lvl w:ilvl="0">
      <w:lvlJc w:val="left"/>
      <w:lvlText w:val="%1."/>
      <w:numFmt w:val="decimal"/>
      <w:start w:val="1"/>
    </w:lvl>
    <w:lvl w:ilvl="1">
      <w:lvlJc w:val="left"/>
      <w:lvlText w:val="(%2)"/>
      <w:numFmt w:val="lowerLetter"/>
      <w:start w:val="1"/>
    </w:lvl>
  </w:abstractNum>
  <w:abstractNum w:abstractNumId="171">
    <w:nsid w:val="2B4B8B5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2">
    <w:nsid w:val="72E3413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3">
    <w:nsid w:val="116AE494"/>
    <w:multiLevelType w:val="hybridMultilevel"/>
    <w:lvl w:ilvl="0">
      <w:lvlJc w:val="left"/>
      <w:lvlText w:val="%1"/>
      <w:numFmt w:val="lowerLetter"/>
      <w:start w:val="1"/>
    </w:lvl>
    <w:lvl w:ilvl="1">
      <w:lvlJc w:val="left"/>
      <w:lvlText w:val="%2."/>
      <w:numFmt w:val="lowerRoman"/>
      <w:start w:val="2"/>
    </w:lvl>
  </w:abstractNum>
  <w:abstractNum w:abstractNumId="174">
    <w:nsid w:val="3494B2FB"/>
    <w:multiLevelType w:val="hybridMultilevel"/>
    <w:lvl w:ilvl="0">
      <w:lvlJc w:val="left"/>
      <w:lvlText w:val="(%1)"/>
      <w:numFmt w:val="lowerLetter"/>
      <w:start w:val="2"/>
    </w:lvl>
    <w:lvl w:ilvl="1">
      <w:lvlJc w:val="left"/>
      <w:lvlText w:val="%2"/>
      <w:numFmt w:val="lowerRoman"/>
      <w:start w:val="1"/>
    </w:lvl>
  </w:abstractNum>
  <w:abstractNum w:abstractNumId="175">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6">
    <w:nsid w:val="6442959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7">
    <w:nsid w:val="631F169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25973E32"/>
    <w:multiLevelType w:val="hybridMultilevel"/>
    <w:lvl w:ilvl="0">
      <w:lvlJc w:val="left"/>
      <w:lvlText w:val="(%1)"/>
      <w:numFmt w:val="lowerLetter"/>
      <w:start w:val="3"/>
    </w:lvl>
  </w:abstractNum>
  <w:abstractNum w:abstractNumId="179">
    <w:nsid w:val="EAD6F57"/>
    <w:multiLevelType w:val="hybridMultilevel"/>
    <w:lvl w:ilvl="0">
      <w:lvlJc w:val="left"/>
      <w:lvlText w:val="(%1)"/>
      <w:numFmt w:val="lowerLetter"/>
      <w:start w:val="4"/>
    </w:lvl>
  </w:abstractNum>
  <w:abstractNum w:abstractNumId="180">
    <w:nsid w:val="6EC9D844"/>
    <w:multiLevelType w:val="hybridMultilevel"/>
    <w:lvl w:ilvl="0">
      <w:lvlJc w:val="left"/>
      <w:lvlText w:val="%1"/>
      <w:numFmt w:val="decimal"/>
      <w:start w:val="1"/>
    </w:lvl>
    <w:lvl w:ilvl="1">
      <w:lvlJc w:val="left"/>
      <w:lvlText w:val="(%2)"/>
      <w:numFmt w:val="lowerLetter"/>
      <w:start w:val="5"/>
    </w:lvl>
  </w:abstractNum>
  <w:abstractNum w:abstractNumId="181">
    <w:nsid w:val="5C49EAEE"/>
    <w:multiLevelType w:val="hybridMultilevel"/>
    <w:lvl w:ilvl="0">
      <w:lvlJc w:val="left"/>
      <w:lvlText w:val="%1."/>
      <w:numFmt w:val="decimal"/>
      <w:start w:val="4"/>
    </w:lvl>
    <w:lvl w:ilvl="1">
      <w:lvlJc w:val="left"/>
      <w:lvlText w:val="(%2)"/>
      <w:numFmt w:val="lowerLetter"/>
      <w:start w:val="1"/>
    </w:lvl>
  </w:abstractNum>
  <w:abstractNum w:abstractNumId="182">
    <w:nsid w:val="64AF49B"/>
    <w:multiLevelType w:val="hybridMultilevel"/>
    <w:lvl w:ilvl="0">
      <w:lvlJc w:val="left"/>
      <w:lvlText w:val="%1"/>
      <w:numFmt w:val="decimal"/>
      <w:start w:val="1"/>
    </w:lvl>
    <w:lvl w:ilvl="1">
      <w:lvlJc w:val="left"/>
      <w:lvlText w:val="(%2)"/>
      <w:numFmt w:val="lowerLetter"/>
      <w:start w:val="2"/>
    </w:lvl>
  </w:abstractNum>
  <w:abstractNum w:abstractNumId="183">
    <w:nsid w:val="397C46BC"/>
    <w:multiLevelType w:val="hybridMultilevel"/>
    <w:lvl w:ilvl="0">
      <w:lvlJc w:val="left"/>
      <w:lvlText w:val="%1."/>
      <w:numFmt w:val="decimal"/>
      <w:start w:val="6"/>
    </w:lvl>
    <w:lvl w:ilvl="1">
      <w:lvlJc w:val="left"/>
      <w:lvlText w:val="(%2)"/>
      <w:numFmt w:val="lowerLetter"/>
      <w:start w:val="1"/>
    </w:lvl>
  </w:abstractNum>
  <w:abstractNum w:abstractNumId="184">
    <w:nsid w:val="7E448DE9"/>
    <w:multiLevelType w:val="hybridMultilevel"/>
    <w:lvl w:ilvl="0">
      <w:lvlJc w:val="left"/>
      <w:lvlText w:val="%1."/>
      <w:numFmt w:val="decimal"/>
      <w:start w:val="8"/>
    </w:lvl>
    <w:lvl w:ilvl="1">
      <w:lvlJc w:val="left"/>
      <w:lvlText w:val="(%2)"/>
      <w:numFmt w:val="lowerLetter"/>
      <w:start w:val="1"/>
    </w:lvl>
  </w:abstractNum>
  <w:abstractNum w:abstractNumId="185">
    <w:nsid w:val="5A9CC3E5"/>
    <w:multiLevelType w:val="hybridMultilevel"/>
    <w:lvl w:ilvl="0">
      <w:lvlJc w:val="left"/>
      <w:lvlText w:val="%1"/>
      <w:numFmt w:val="lowerLetter"/>
      <w:start w:val="1"/>
    </w:lvl>
    <w:lvl w:ilvl="1">
      <w:lvlJc w:val="left"/>
      <w:lvlText w:val="(%2)"/>
      <w:numFmt w:val="lowerLetter"/>
      <w:start w:val="2"/>
    </w:lvl>
  </w:abstractNum>
  <w:abstractNum w:abstractNumId="186">
    <w:nsid w:val="1AFE3625"/>
    <w:multiLevelType w:val="hybridMultilevel"/>
    <w:lvl w:ilvl="0">
      <w:lvlJc w:val="left"/>
      <w:lvlText w:val="(%1)"/>
      <w:numFmt w:val="lowerLetter"/>
      <w:start w:val="35"/>
    </w:lvl>
    <w:lvl w:ilvl="1">
      <w:lvlJc w:val="left"/>
      <w:lvlText w:val="%2"/>
      <w:numFmt w:val="lowerLetter"/>
      <w:start w:val="1"/>
    </w:lvl>
  </w:abstractNum>
  <w:abstractNum w:abstractNumId="187">
    <w:nsid w:val="3CA88ECF"/>
    <w:multiLevelType w:val="hybridMultilevel"/>
    <w:lvl w:ilvl="0">
      <w:lvlJc w:val="left"/>
      <w:lvlText w:val="%1."/>
      <w:numFmt w:val="decimal"/>
      <w:start w:val="9"/>
    </w:lvl>
    <w:lvl w:ilvl="1">
      <w:lvlJc w:val="left"/>
      <w:lvlText w:val="(%2)"/>
      <w:numFmt w:val="lowerLetter"/>
      <w:start w:val="1"/>
    </w:lvl>
  </w:abstractNum>
  <w:abstractNum w:abstractNumId="188">
    <w:nsid w:val="6EBE4208"/>
    <w:multiLevelType w:val="hybridMultilevel"/>
    <w:lvl w:ilvl="0">
      <w:lvlJc w:val="left"/>
      <w:lvlText w:val="%1"/>
      <w:numFmt w:val="decimal"/>
      <w:start w:val="1"/>
    </w:lvl>
    <w:lvl w:ilvl="1">
      <w:lvlJc w:val="left"/>
      <w:lvlText w:val="(%2)"/>
      <w:numFmt w:val="lowerLetter"/>
      <w:start w:val="4"/>
    </w:lvl>
  </w:abstractNum>
  <w:abstractNum w:abstractNumId="189">
    <w:nsid w:val="C058DF5"/>
    <w:multiLevelType w:val="hybridMultilevel"/>
    <w:lvl w:ilvl="0">
      <w:lvlJc w:val="left"/>
      <w:lvlText w:val="%1."/>
      <w:numFmt w:val="decimal"/>
      <w:start w:val="10"/>
    </w:lvl>
    <w:lvl w:ilvl="1">
      <w:lvlJc w:val="left"/>
      <w:lvlText w:val="%2"/>
      <w:numFmt w:val="lowerLetter"/>
      <w:start w:val="1"/>
    </w:lvl>
  </w:abstractNum>
  <w:abstractNum w:abstractNumId="190">
    <w:nsid w:val="CBE5BE9"/>
    <w:multiLevelType w:val="hybridMultilevel"/>
    <w:lvl w:ilvl="0">
      <w:lvlJc w:val="left"/>
      <w:lvlText w:val="%1."/>
      <w:numFmt w:val="decimal"/>
      <w:start w:val="1"/>
    </w:lvl>
    <w:lvl w:ilvl="1">
      <w:lvlJc w:val="left"/>
      <w:lvlText w:val="(%2)"/>
      <w:numFmt w:val="lowerLetter"/>
      <w:start w:val="1"/>
    </w:lvl>
  </w:abstractNum>
  <w:abstractNum w:abstractNumId="191">
    <w:nsid w:val="3102BBE2"/>
    <w:multiLevelType w:val="hybridMultilevel"/>
    <w:lvl w:ilvl="0">
      <w:lvlJc w:val="left"/>
      <w:lvlText w:val="%1"/>
      <w:numFmt w:val="decimal"/>
      <w:start w:val="1"/>
    </w:lvl>
    <w:lvl w:ilvl="1">
      <w:lvlJc w:val="left"/>
      <w:lvlText w:val="(%2)"/>
      <w:numFmt w:val="lowerLetter"/>
      <w:start w:val="2"/>
    </w:lvl>
  </w:abstractNum>
  <w:abstractNum w:abstractNumId="192">
    <w:nsid w:val="26A02C5E"/>
    <w:multiLevelType w:val="hybridMultilevel"/>
    <w:lvl w:ilvl="0">
      <w:lvlJc w:val="left"/>
      <w:lvlText w:val="%1."/>
      <w:numFmt w:val="decimal"/>
      <w:start w:val="2"/>
    </w:lvl>
    <w:lvl w:ilvl="1">
      <w:lvlJc w:val="left"/>
      <w:lvlText w:val="(%2)"/>
      <w:numFmt w:val="lowerLetter"/>
      <w:start w:val="1"/>
    </w:lvl>
  </w:abstractNum>
  <w:abstractNum w:abstractNumId="193">
    <w:nsid w:val="541C8153"/>
    <w:multiLevelType w:val="hybridMultilevel"/>
    <w:lvl w:ilvl="0">
      <w:lvlJc w:val="left"/>
      <w:lvlText w:val="%1."/>
      <w:numFmt w:val="decimal"/>
      <w:start w:val="6"/>
    </w:lvl>
  </w:abstractNum>
  <w:abstractNum w:abstractNumId="194">
    <w:nsid w:val="67906F60"/>
    <w:multiLevelType w:val="hybridMultilevel"/>
    <w:lvl w:ilvl="0">
      <w:lvlJc w:val="left"/>
      <w:lvlText w:val="%1."/>
      <w:numFmt w:val="decimal"/>
      <w:start w:val="1"/>
    </w:lvl>
    <w:lvl w:ilvl="1">
      <w:lvlJc w:val="left"/>
      <w:lvlText w:val="%2)"/>
      <w:numFmt w:val="lowerLetter"/>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png"/><Relationship Id="rId84" Type="http://schemas.openxmlformats.org/officeDocument/2006/relationships/image" Target="media/image75.jpeg"/><Relationship Id="rId85" Type="http://schemas.openxmlformats.org/officeDocument/2006/relationships/image" Target="media/image76.pn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jpeg"/><Relationship Id="rId89" Type="http://schemas.openxmlformats.org/officeDocument/2006/relationships/image" Target="media/image80.jpe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image" Target="media/image83.jpeg"/><Relationship Id="rId93" Type="http://schemas.openxmlformats.org/officeDocument/2006/relationships/image" Target="media/image84.jpeg"/><Relationship Id="rId94" Type="http://schemas.openxmlformats.org/officeDocument/2006/relationships/image" Target="media/image85.png"/><Relationship Id="rId95" Type="http://schemas.openxmlformats.org/officeDocument/2006/relationships/image" Target="media/image86.jpeg"/><Relationship Id="rId96" Type="http://schemas.openxmlformats.org/officeDocument/2006/relationships/image" Target="media/image87.jpeg"/><Relationship Id="rId97" Type="http://schemas.openxmlformats.org/officeDocument/2006/relationships/image" Target="media/image88.jpeg"/><Relationship Id="rId98" Type="http://schemas.openxmlformats.org/officeDocument/2006/relationships/image" Target="media/image89.jpeg"/><Relationship Id="rId99" Type="http://schemas.openxmlformats.org/officeDocument/2006/relationships/image" Target="media/image90.jpeg"/><Relationship Id="rId100" Type="http://schemas.openxmlformats.org/officeDocument/2006/relationships/image" Target="media/image91.jpeg"/><Relationship Id="rId101" Type="http://schemas.openxmlformats.org/officeDocument/2006/relationships/image" Target="media/image92.jpeg"/><Relationship Id="rId102" Type="http://schemas.openxmlformats.org/officeDocument/2006/relationships/image" Target="media/image93.jpeg"/><Relationship Id="rId103" Type="http://schemas.openxmlformats.org/officeDocument/2006/relationships/image" Target="media/image94.jpeg"/><Relationship Id="rId104" Type="http://schemas.openxmlformats.org/officeDocument/2006/relationships/image" Target="media/image95.jpeg"/><Relationship Id="rId105" Type="http://schemas.openxmlformats.org/officeDocument/2006/relationships/image" Target="media/image96.jpeg"/><Relationship Id="rId106" Type="http://schemas.openxmlformats.org/officeDocument/2006/relationships/image" Target="media/image97.jpeg"/><Relationship Id="rId107" Type="http://schemas.openxmlformats.org/officeDocument/2006/relationships/image" Target="media/image98.jpeg"/><Relationship Id="rId108" Type="http://schemas.openxmlformats.org/officeDocument/2006/relationships/image" Target="media/image99.jpeg"/><Relationship Id="rId109" Type="http://schemas.openxmlformats.org/officeDocument/2006/relationships/image" Target="media/image100.jpeg"/><Relationship Id="rId110" Type="http://schemas.openxmlformats.org/officeDocument/2006/relationships/image" Target="media/image101.jpeg"/><Relationship Id="rId111" Type="http://schemas.openxmlformats.org/officeDocument/2006/relationships/image" Target="media/image102.jpeg"/><Relationship Id="rId112" Type="http://schemas.openxmlformats.org/officeDocument/2006/relationships/image" Target="media/image103.jpeg"/><Relationship Id="rId113" Type="http://schemas.openxmlformats.org/officeDocument/2006/relationships/image" Target="media/image104.jpeg"/><Relationship Id="rId114" Type="http://schemas.openxmlformats.org/officeDocument/2006/relationships/image" Target="media/image105.jpe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jpeg"/><Relationship Id="rId757" Type="http://schemas.openxmlformats.org/officeDocument/2006/relationships/image" Target="media/image748.png"/><Relationship Id="rId758" Type="http://schemas.openxmlformats.org/officeDocument/2006/relationships/image" Target="media/image749.jpeg"/><Relationship Id="rId759" Type="http://schemas.openxmlformats.org/officeDocument/2006/relationships/image" Target="media/image750.jpeg"/><Relationship Id="rId760" Type="http://schemas.openxmlformats.org/officeDocument/2006/relationships/image" Target="media/image751.jpeg"/><Relationship Id="rId761" Type="http://schemas.openxmlformats.org/officeDocument/2006/relationships/image" Target="media/image752.jpeg"/><Relationship Id="rId762" Type="http://schemas.openxmlformats.org/officeDocument/2006/relationships/image" Target="media/image753.jpeg"/><Relationship Id="rId763" Type="http://schemas.openxmlformats.org/officeDocument/2006/relationships/image" Target="media/image754.jpeg"/><Relationship Id="rId764" Type="http://schemas.openxmlformats.org/officeDocument/2006/relationships/image" Target="media/image755.jpeg"/><Relationship Id="rId765" Type="http://schemas.openxmlformats.org/officeDocument/2006/relationships/image" Target="media/image756.jpeg"/><Relationship Id="rId766" Type="http://schemas.openxmlformats.org/officeDocument/2006/relationships/image" Target="media/image757.jpeg"/><Relationship Id="rId767" Type="http://schemas.openxmlformats.org/officeDocument/2006/relationships/image" Target="media/image758.jpeg"/><Relationship Id="rId768" Type="http://schemas.openxmlformats.org/officeDocument/2006/relationships/image" Target="media/image759.jpeg"/><Relationship Id="rId769" Type="http://schemas.openxmlformats.org/officeDocument/2006/relationships/image" Target="media/image760.jpeg"/><Relationship Id="rId770" Type="http://schemas.openxmlformats.org/officeDocument/2006/relationships/image" Target="media/image761.jpeg"/><Relationship Id="rId771" Type="http://schemas.openxmlformats.org/officeDocument/2006/relationships/image" Target="media/image762.jpeg"/><Relationship Id="rId772" Type="http://schemas.openxmlformats.org/officeDocument/2006/relationships/image" Target="media/image763.jpeg"/><Relationship Id="rId773" Type="http://schemas.openxmlformats.org/officeDocument/2006/relationships/image" Target="media/image764.jpeg"/><Relationship Id="rId774" Type="http://schemas.openxmlformats.org/officeDocument/2006/relationships/image" Target="media/image765.jpeg"/><Relationship Id="rId775" Type="http://schemas.openxmlformats.org/officeDocument/2006/relationships/image" Target="media/image766.jpeg"/><Relationship Id="rId776" Type="http://schemas.openxmlformats.org/officeDocument/2006/relationships/image" Target="media/image767.jpeg"/><Relationship Id="rId777" Type="http://schemas.openxmlformats.org/officeDocument/2006/relationships/image" Target="media/image768.jpeg"/><Relationship Id="rId778" Type="http://schemas.openxmlformats.org/officeDocument/2006/relationships/image" Target="media/image769.png"/><Relationship Id="rId779" Type="http://schemas.openxmlformats.org/officeDocument/2006/relationships/image" Target="media/image770.jpeg"/><Relationship Id="rId780" Type="http://schemas.openxmlformats.org/officeDocument/2006/relationships/image" Target="media/image771.jpeg"/><Relationship Id="rId781" Type="http://schemas.openxmlformats.org/officeDocument/2006/relationships/image" Target="media/image772.jpeg"/><Relationship Id="rId782" Type="http://schemas.openxmlformats.org/officeDocument/2006/relationships/image" Target="media/image773.jpeg"/><Relationship Id="rId783" Type="http://schemas.openxmlformats.org/officeDocument/2006/relationships/image" Target="media/image774.jpeg"/><Relationship Id="rId784" Type="http://schemas.openxmlformats.org/officeDocument/2006/relationships/image" Target="media/image775.jpeg"/><Relationship Id="rId785" Type="http://schemas.openxmlformats.org/officeDocument/2006/relationships/image" Target="media/image776.jpeg"/><Relationship Id="rId786" Type="http://schemas.openxmlformats.org/officeDocument/2006/relationships/image" Target="media/image777.jpeg"/><Relationship Id="rId787" Type="http://schemas.openxmlformats.org/officeDocument/2006/relationships/image" Target="media/image778.jpeg"/><Relationship Id="rId788" Type="http://schemas.openxmlformats.org/officeDocument/2006/relationships/image" Target="media/image779.jpeg"/><Relationship Id="rId789" Type="http://schemas.openxmlformats.org/officeDocument/2006/relationships/image" Target="media/image780.jpeg"/><Relationship Id="rId790" Type="http://schemas.openxmlformats.org/officeDocument/2006/relationships/image" Target="media/image781.jpeg"/><Relationship Id="rId791" Type="http://schemas.openxmlformats.org/officeDocument/2006/relationships/image" Target="media/image782.jpeg"/><Relationship Id="rId792" Type="http://schemas.openxmlformats.org/officeDocument/2006/relationships/image" Target="media/image783.jpeg"/><Relationship Id="rId793" Type="http://schemas.openxmlformats.org/officeDocument/2006/relationships/image" Target="media/image784.jpeg"/><Relationship Id="rId794" Type="http://schemas.openxmlformats.org/officeDocument/2006/relationships/image" Target="media/image785.jpeg"/><Relationship Id="rId795" Type="http://schemas.openxmlformats.org/officeDocument/2006/relationships/image" Target="media/image786.jpeg"/><Relationship Id="rId796" Type="http://schemas.openxmlformats.org/officeDocument/2006/relationships/image" Target="media/image787.jpeg"/><Relationship Id="rId797" Type="http://schemas.openxmlformats.org/officeDocument/2006/relationships/image" Target="media/image788.jpeg"/><Relationship Id="rId798" Type="http://schemas.openxmlformats.org/officeDocument/2006/relationships/image" Target="media/image789.jpeg"/><Relationship Id="rId799" Type="http://schemas.openxmlformats.org/officeDocument/2006/relationships/image" Target="media/image790.jpeg"/><Relationship Id="rId800" Type="http://schemas.openxmlformats.org/officeDocument/2006/relationships/image" Target="media/image791.jpeg"/><Relationship Id="rId801" Type="http://schemas.openxmlformats.org/officeDocument/2006/relationships/image" Target="media/image792.jpeg"/><Relationship Id="rId802" Type="http://schemas.openxmlformats.org/officeDocument/2006/relationships/image" Target="media/image793.jpeg"/><Relationship Id="rId803" Type="http://schemas.openxmlformats.org/officeDocument/2006/relationships/image" Target="media/image794.jpeg"/><Relationship Id="rId804" Type="http://schemas.openxmlformats.org/officeDocument/2006/relationships/image" Target="media/image795.jpeg"/><Relationship Id="rId805" Type="http://schemas.openxmlformats.org/officeDocument/2006/relationships/image" Target="media/image796.jpeg"/><Relationship Id="rId806" Type="http://schemas.openxmlformats.org/officeDocument/2006/relationships/image" Target="media/image797.jpeg"/><Relationship Id="rId807" Type="http://schemas.openxmlformats.org/officeDocument/2006/relationships/image" Target="media/image798.png"/><Relationship Id="rId808" Type="http://schemas.openxmlformats.org/officeDocument/2006/relationships/image" Target="media/image799.png"/><Relationship Id="rId809" Type="http://schemas.openxmlformats.org/officeDocument/2006/relationships/image" Target="media/image800.png"/><Relationship Id="rId810" Type="http://schemas.openxmlformats.org/officeDocument/2006/relationships/image" Target="media/image801.png"/><Relationship Id="rId811" Type="http://schemas.openxmlformats.org/officeDocument/2006/relationships/image" Target="media/image802.png"/><Relationship Id="rId812" Type="http://schemas.openxmlformats.org/officeDocument/2006/relationships/image" Target="media/image803.png"/><Relationship Id="rId813" Type="http://schemas.openxmlformats.org/officeDocument/2006/relationships/image" Target="media/image804.png"/><Relationship Id="rId814" Type="http://schemas.openxmlformats.org/officeDocument/2006/relationships/image" Target="media/image805.png"/><Relationship Id="rId815" Type="http://schemas.openxmlformats.org/officeDocument/2006/relationships/image" Target="media/image806.png"/><Relationship Id="rId816" Type="http://schemas.openxmlformats.org/officeDocument/2006/relationships/image" Target="media/image807.png"/><Relationship Id="rId817" Type="http://schemas.openxmlformats.org/officeDocument/2006/relationships/image" Target="media/image808.png"/><Relationship Id="rId818" Type="http://schemas.openxmlformats.org/officeDocument/2006/relationships/image" Target="media/image809.png"/><Relationship Id="rId819" Type="http://schemas.openxmlformats.org/officeDocument/2006/relationships/image" Target="media/image810.png"/><Relationship Id="rId820" Type="http://schemas.openxmlformats.org/officeDocument/2006/relationships/image" Target="media/image811.png"/><Relationship Id="rId821" Type="http://schemas.openxmlformats.org/officeDocument/2006/relationships/image" Target="media/image812.png"/><Relationship Id="rId822" Type="http://schemas.openxmlformats.org/officeDocument/2006/relationships/image" Target="media/image813.png"/><Relationship Id="rId823" Type="http://schemas.openxmlformats.org/officeDocument/2006/relationships/image" Target="media/image814.png"/><Relationship Id="rId824" Type="http://schemas.openxmlformats.org/officeDocument/2006/relationships/image" Target="media/image815.png"/><Relationship Id="rId825" Type="http://schemas.openxmlformats.org/officeDocument/2006/relationships/image" Target="media/image816.png"/><Relationship Id="rId826" Type="http://schemas.openxmlformats.org/officeDocument/2006/relationships/image" Target="media/image817.png"/><Relationship Id="rId827" Type="http://schemas.openxmlformats.org/officeDocument/2006/relationships/image" Target="media/image818.png"/><Relationship Id="rId828" Type="http://schemas.openxmlformats.org/officeDocument/2006/relationships/image" Target="media/image819.png"/><Relationship Id="rId829" Type="http://schemas.openxmlformats.org/officeDocument/2006/relationships/image" Target="media/image820.png"/><Relationship Id="rId830" Type="http://schemas.openxmlformats.org/officeDocument/2006/relationships/image" Target="media/image821.png"/><Relationship Id="rId831" Type="http://schemas.openxmlformats.org/officeDocument/2006/relationships/image" Target="media/image822.png"/><Relationship Id="rId832" Type="http://schemas.openxmlformats.org/officeDocument/2006/relationships/image" Target="media/image823.png"/><Relationship Id="rId833" Type="http://schemas.openxmlformats.org/officeDocument/2006/relationships/image" Target="media/image824.png"/><Relationship Id="rId834" Type="http://schemas.openxmlformats.org/officeDocument/2006/relationships/image" Target="media/image825.png"/><Relationship Id="rId835" Type="http://schemas.openxmlformats.org/officeDocument/2006/relationships/image" Target="media/image826.png"/><Relationship Id="rId836" Type="http://schemas.openxmlformats.org/officeDocument/2006/relationships/image" Target="media/image827.png"/><Relationship Id="rId837" Type="http://schemas.openxmlformats.org/officeDocument/2006/relationships/image" Target="media/image828.png"/><Relationship Id="rId838" Type="http://schemas.openxmlformats.org/officeDocument/2006/relationships/image" Target="media/image829.png"/><Relationship Id="rId839" Type="http://schemas.openxmlformats.org/officeDocument/2006/relationships/image" Target="media/image830.png"/><Relationship Id="rId840" Type="http://schemas.openxmlformats.org/officeDocument/2006/relationships/image" Target="media/image831.png"/><Relationship Id="rId841" Type="http://schemas.openxmlformats.org/officeDocument/2006/relationships/image" Target="media/image832.png"/><Relationship Id="rId842" Type="http://schemas.openxmlformats.org/officeDocument/2006/relationships/image" Target="media/image833.png"/><Relationship Id="rId843" Type="http://schemas.openxmlformats.org/officeDocument/2006/relationships/image" Target="media/image834.png"/><Relationship Id="rId844" Type="http://schemas.openxmlformats.org/officeDocument/2006/relationships/image" Target="media/image835.png"/><Relationship Id="rId845" Type="http://schemas.openxmlformats.org/officeDocument/2006/relationships/image" Target="media/image836.png"/><Relationship Id="rId846" Type="http://schemas.openxmlformats.org/officeDocument/2006/relationships/image" Target="media/image837.png"/><Relationship Id="rId847" Type="http://schemas.openxmlformats.org/officeDocument/2006/relationships/image" Target="media/image838.png"/><Relationship Id="rId848" Type="http://schemas.openxmlformats.org/officeDocument/2006/relationships/image" Target="media/image839.png"/><Relationship Id="rId849" Type="http://schemas.openxmlformats.org/officeDocument/2006/relationships/image" Target="media/image840.png"/><Relationship Id="rId850" Type="http://schemas.openxmlformats.org/officeDocument/2006/relationships/image" Target="media/image841.png"/><Relationship Id="rId851" Type="http://schemas.openxmlformats.org/officeDocument/2006/relationships/image" Target="media/image842.png"/><Relationship Id="rId852" Type="http://schemas.openxmlformats.org/officeDocument/2006/relationships/image" Target="media/image843.png"/><Relationship Id="rId853" Type="http://schemas.openxmlformats.org/officeDocument/2006/relationships/image" Target="media/image844.png"/><Relationship Id="rId854" Type="http://schemas.openxmlformats.org/officeDocument/2006/relationships/image" Target="media/image845.png"/><Relationship Id="rId855" Type="http://schemas.openxmlformats.org/officeDocument/2006/relationships/image" Target="media/image846.png"/><Relationship Id="rId856" Type="http://schemas.openxmlformats.org/officeDocument/2006/relationships/image" Target="media/image847.png"/><Relationship Id="rId857" Type="http://schemas.openxmlformats.org/officeDocument/2006/relationships/image" Target="media/image848.png"/><Relationship Id="rId858" Type="http://schemas.openxmlformats.org/officeDocument/2006/relationships/image" Target="media/image849.png"/><Relationship Id="rId859" Type="http://schemas.openxmlformats.org/officeDocument/2006/relationships/image" Target="media/image850.png"/><Relationship Id="rId860" Type="http://schemas.openxmlformats.org/officeDocument/2006/relationships/image" Target="media/image851.png"/><Relationship Id="rId861" Type="http://schemas.openxmlformats.org/officeDocument/2006/relationships/image" Target="media/image852.png"/><Relationship Id="rId862" Type="http://schemas.openxmlformats.org/officeDocument/2006/relationships/image" Target="media/image853.png"/><Relationship Id="rId863" Type="http://schemas.openxmlformats.org/officeDocument/2006/relationships/image" Target="media/image854.png"/><Relationship Id="rId864" Type="http://schemas.openxmlformats.org/officeDocument/2006/relationships/image" Target="media/image855.png"/><Relationship Id="rId865" Type="http://schemas.openxmlformats.org/officeDocument/2006/relationships/image" Target="media/image856.png"/><Relationship Id="rId866" Type="http://schemas.openxmlformats.org/officeDocument/2006/relationships/image" Target="media/image857.png"/><Relationship Id="rId867" Type="http://schemas.openxmlformats.org/officeDocument/2006/relationships/image" Target="media/image858.png"/><Relationship Id="rId868" Type="http://schemas.openxmlformats.org/officeDocument/2006/relationships/image" Target="media/image859.png"/><Relationship Id="rId869" Type="http://schemas.openxmlformats.org/officeDocument/2006/relationships/image" Target="media/image860.png"/><Relationship Id="rId870" Type="http://schemas.openxmlformats.org/officeDocument/2006/relationships/image" Target="media/image861.png"/><Relationship Id="rId871" Type="http://schemas.openxmlformats.org/officeDocument/2006/relationships/image" Target="media/image862.png"/><Relationship Id="rId872" Type="http://schemas.openxmlformats.org/officeDocument/2006/relationships/image" Target="media/image863.png"/><Relationship Id="rId873" Type="http://schemas.openxmlformats.org/officeDocument/2006/relationships/image" Target="media/image864.png"/><Relationship Id="rId874" Type="http://schemas.openxmlformats.org/officeDocument/2006/relationships/image" Target="media/image865.png"/><Relationship Id="rId875" Type="http://schemas.openxmlformats.org/officeDocument/2006/relationships/image" Target="media/image866.png"/><Relationship Id="rId876" Type="http://schemas.openxmlformats.org/officeDocument/2006/relationships/image" Target="media/image867.png"/><Relationship Id="rId877" Type="http://schemas.openxmlformats.org/officeDocument/2006/relationships/image" Target="media/image868.png"/><Relationship Id="rId878" Type="http://schemas.openxmlformats.org/officeDocument/2006/relationships/image" Target="media/image869.png"/><Relationship Id="rId879" Type="http://schemas.openxmlformats.org/officeDocument/2006/relationships/image" Target="media/image870.png"/><Relationship Id="rId880" Type="http://schemas.openxmlformats.org/officeDocument/2006/relationships/image" Target="media/image871.png"/><Relationship Id="rId881" Type="http://schemas.openxmlformats.org/officeDocument/2006/relationships/image" Target="media/image872.png"/><Relationship Id="rId882" Type="http://schemas.openxmlformats.org/officeDocument/2006/relationships/image" Target="media/image873.png"/><Relationship Id="rId883" Type="http://schemas.openxmlformats.org/officeDocument/2006/relationships/image" Target="media/image874.png"/><Relationship Id="rId884" Type="http://schemas.openxmlformats.org/officeDocument/2006/relationships/image" Target="media/image875.png"/><Relationship Id="rId885" Type="http://schemas.openxmlformats.org/officeDocument/2006/relationships/image" Target="media/image876.png"/><Relationship Id="rId886" Type="http://schemas.openxmlformats.org/officeDocument/2006/relationships/image" Target="media/image877.png"/><Relationship Id="rId887" Type="http://schemas.openxmlformats.org/officeDocument/2006/relationships/image" Target="media/image878.png"/><Relationship Id="rId888" Type="http://schemas.openxmlformats.org/officeDocument/2006/relationships/image" Target="media/image879.png"/><Relationship Id="rId889" Type="http://schemas.openxmlformats.org/officeDocument/2006/relationships/image" Target="media/image880.png"/><Relationship Id="rId890" Type="http://schemas.openxmlformats.org/officeDocument/2006/relationships/image" Target="media/image881.png"/><Relationship Id="rId891" Type="http://schemas.openxmlformats.org/officeDocument/2006/relationships/image" Target="media/image882.png"/><Relationship Id="rId892" Type="http://schemas.openxmlformats.org/officeDocument/2006/relationships/image" Target="media/image883.png"/><Relationship Id="rId893" Type="http://schemas.openxmlformats.org/officeDocument/2006/relationships/image" Target="media/image884.png"/><Relationship Id="rId894" Type="http://schemas.openxmlformats.org/officeDocument/2006/relationships/image" Target="media/image885.png"/><Relationship Id="rId895" Type="http://schemas.openxmlformats.org/officeDocument/2006/relationships/image" Target="media/image886.png"/><Relationship Id="rId896" Type="http://schemas.openxmlformats.org/officeDocument/2006/relationships/image" Target="media/image887.png"/><Relationship Id="rId897" Type="http://schemas.openxmlformats.org/officeDocument/2006/relationships/image" Target="media/image888.png"/><Relationship Id="rId898" Type="http://schemas.openxmlformats.org/officeDocument/2006/relationships/image" Target="media/image889.png"/><Relationship Id="rId899" Type="http://schemas.openxmlformats.org/officeDocument/2006/relationships/image" Target="media/image890.png"/><Relationship Id="rId900" Type="http://schemas.openxmlformats.org/officeDocument/2006/relationships/image" Target="media/image891.png"/><Relationship Id="rId901" Type="http://schemas.openxmlformats.org/officeDocument/2006/relationships/image" Target="media/image892.png"/><Relationship Id="rId902" Type="http://schemas.openxmlformats.org/officeDocument/2006/relationships/image" Target="media/image893.png"/><Relationship Id="rId903" Type="http://schemas.openxmlformats.org/officeDocument/2006/relationships/image" Target="media/image894.png"/><Relationship Id="rId904" Type="http://schemas.openxmlformats.org/officeDocument/2006/relationships/image" Target="media/image895.png"/><Relationship Id="rId905" Type="http://schemas.openxmlformats.org/officeDocument/2006/relationships/image" Target="media/image896.png"/><Relationship Id="rId906" Type="http://schemas.openxmlformats.org/officeDocument/2006/relationships/image" Target="media/image897.png"/><Relationship Id="rId907" Type="http://schemas.openxmlformats.org/officeDocument/2006/relationships/image" Target="media/image898.png"/><Relationship Id="rId908" Type="http://schemas.openxmlformats.org/officeDocument/2006/relationships/image" Target="media/image899.png"/><Relationship Id="rId909" Type="http://schemas.openxmlformats.org/officeDocument/2006/relationships/image" Target="media/image900.png"/><Relationship Id="rId910" Type="http://schemas.openxmlformats.org/officeDocument/2006/relationships/image" Target="media/image901.png"/><Relationship Id="rId911" Type="http://schemas.openxmlformats.org/officeDocument/2006/relationships/image" Target="media/image902.png"/><Relationship Id="rId912" Type="http://schemas.openxmlformats.org/officeDocument/2006/relationships/image" Target="media/image903.png"/><Relationship Id="rId913" Type="http://schemas.openxmlformats.org/officeDocument/2006/relationships/image" Target="media/image904.png"/><Relationship Id="rId914" Type="http://schemas.openxmlformats.org/officeDocument/2006/relationships/image" Target="media/image905.png"/><Relationship Id="rId915" Type="http://schemas.openxmlformats.org/officeDocument/2006/relationships/image" Target="media/image906.png"/><Relationship Id="rId916" Type="http://schemas.openxmlformats.org/officeDocument/2006/relationships/image" Target="media/image907.png"/><Relationship Id="rId917" Type="http://schemas.openxmlformats.org/officeDocument/2006/relationships/image" Target="media/image908.png"/><Relationship Id="rId918" Type="http://schemas.openxmlformats.org/officeDocument/2006/relationships/image" Target="media/image909.png"/><Relationship Id="rId919" Type="http://schemas.openxmlformats.org/officeDocument/2006/relationships/image" Target="media/image910.png"/><Relationship Id="rId920" Type="http://schemas.openxmlformats.org/officeDocument/2006/relationships/image" Target="media/image911.png"/><Relationship Id="rId921" Type="http://schemas.openxmlformats.org/officeDocument/2006/relationships/image" Target="media/image912.png"/><Relationship Id="rId922" Type="http://schemas.openxmlformats.org/officeDocument/2006/relationships/image" Target="media/image913.png"/><Relationship Id="rId923" Type="http://schemas.openxmlformats.org/officeDocument/2006/relationships/image" Target="media/image914.png"/><Relationship Id="rId924" Type="http://schemas.openxmlformats.org/officeDocument/2006/relationships/image" Target="media/image915.png"/><Relationship Id="rId925" Type="http://schemas.openxmlformats.org/officeDocument/2006/relationships/image" Target="media/image916.png"/><Relationship Id="rId926" Type="http://schemas.openxmlformats.org/officeDocument/2006/relationships/image" Target="media/image917.png"/><Relationship Id="rId927" Type="http://schemas.openxmlformats.org/officeDocument/2006/relationships/image" Target="media/image918.png"/><Relationship Id="rId928" Type="http://schemas.openxmlformats.org/officeDocument/2006/relationships/image" Target="media/image919.png"/><Relationship Id="rId929" Type="http://schemas.openxmlformats.org/officeDocument/2006/relationships/image" Target="media/image920.png"/><Relationship Id="rId930" Type="http://schemas.openxmlformats.org/officeDocument/2006/relationships/image" Target="media/image921.png"/><Relationship Id="rId931" Type="http://schemas.openxmlformats.org/officeDocument/2006/relationships/image" Target="media/image922.png"/><Relationship Id="rId932" Type="http://schemas.openxmlformats.org/officeDocument/2006/relationships/image" Target="media/image923.png"/><Relationship Id="rId933" Type="http://schemas.openxmlformats.org/officeDocument/2006/relationships/image" Target="media/image924.png"/><Relationship Id="rId934" Type="http://schemas.openxmlformats.org/officeDocument/2006/relationships/image" Target="media/image925.png"/><Relationship Id="rId935" Type="http://schemas.openxmlformats.org/officeDocument/2006/relationships/image" Target="media/image926.png"/><Relationship Id="rId936" Type="http://schemas.openxmlformats.org/officeDocument/2006/relationships/image" Target="media/image927.png"/><Relationship Id="rId937" Type="http://schemas.openxmlformats.org/officeDocument/2006/relationships/image" Target="media/image928.png"/><Relationship Id="rId938" Type="http://schemas.openxmlformats.org/officeDocument/2006/relationships/image" Target="media/image929.png"/><Relationship Id="rId939" Type="http://schemas.openxmlformats.org/officeDocument/2006/relationships/image" Target="media/image930.png"/><Relationship Id="rId940" Type="http://schemas.openxmlformats.org/officeDocument/2006/relationships/image" Target="media/image931.png"/><Relationship Id="rId941" Type="http://schemas.openxmlformats.org/officeDocument/2006/relationships/image" Target="media/image932.png"/><Relationship Id="rId942" Type="http://schemas.openxmlformats.org/officeDocument/2006/relationships/image" Target="media/image933.png"/><Relationship Id="rId943" Type="http://schemas.openxmlformats.org/officeDocument/2006/relationships/image" Target="media/image934.png"/><Relationship Id="rId944" Type="http://schemas.openxmlformats.org/officeDocument/2006/relationships/image" Target="media/image935.png"/><Relationship Id="rId945" Type="http://schemas.openxmlformats.org/officeDocument/2006/relationships/image" Target="media/image936.png"/><Relationship Id="rId946" Type="http://schemas.openxmlformats.org/officeDocument/2006/relationships/image" Target="media/image937.png"/><Relationship Id="rId947" Type="http://schemas.openxmlformats.org/officeDocument/2006/relationships/image" Target="media/image938.png"/><Relationship Id="rId948" Type="http://schemas.openxmlformats.org/officeDocument/2006/relationships/image" Target="media/image939.png"/><Relationship Id="rId949" Type="http://schemas.openxmlformats.org/officeDocument/2006/relationships/image" Target="media/image940.png"/><Relationship Id="rId950" Type="http://schemas.openxmlformats.org/officeDocument/2006/relationships/image" Target="media/image941.png"/><Relationship Id="rId951" Type="http://schemas.openxmlformats.org/officeDocument/2006/relationships/image" Target="media/image942.png"/><Relationship Id="rId952" Type="http://schemas.openxmlformats.org/officeDocument/2006/relationships/image" Target="media/image943.png"/><Relationship Id="rId953" Type="http://schemas.openxmlformats.org/officeDocument/2006/relationships/image" Target="media/image944.png"/><Relationship Id="rId954" Type="http://schemas.openxmlformats.org/officeDocument/2006/relationships/image" Target="media/image945.png"/><Relationship Id="rId955" Type="http://schemas.openxmlformats.org/officeDocument/2006/relationships/image" Target="media/image946.png"/><Relationship Id="rId956" Type="http://schemas.openxmlformats.org/officeDocument/2006/relationships/image" Target="media/image947.png"/><Relationship Id="rId957" Type="http://schemas.openxmlformats.org/officeDocument/2006/relationships/image" Target="media/image948.png"/><Relationship Id="rId958" Type="http://schemas.openxmlformats.org/officeDocument/2006/relationships/image" Target="media/image949.png"/><Relationship Id="rId959" Type="http://schemas.openxmlformats.org/officeDocument/2006/relationships/image" Target="media/image950.png"/><Relationship Id="rId960" Type="http://schemas.openxmlformats.org/officeDocument/2006/relationships/image" Target="media/image951.png"/><Relationship Id="rId961" Type="http://schemas.openxmlformats.org/officeDocument/2006/relationships/image" Target="media/image952.png"/><Relationship Id="rId962" Type="http://schemas.openxmlformats.org/officeDocument/2006/relationships/image" Target="media/image953.png"/><Relationship Id="rId963" Type="http://schemas.openxmlformats.org/officeDocument/2006/relationships/image" Target="media/image954.png"/><Relationship Id="rId964" Type="http://schemas.openxmlformats.org/officeDocument/2006/relationships/image" Target="media/image955.png"/><Relationship Id="rId965" Type="http://schemas.openxmlformats.org/officeDocument/2006/relationships/image" Target="media/image956.png"/><Relationship Id="rId966" Type="http://schemas.openxmlformats.org/officeDocument/2006/relationships/image" Target="media/image957.png"/><Relationship Id="rId967" Type="http://schemas.openxmlformats.org/officeDocument/2006/relationships/image" Target="media/image958.png"/><Relationship Id="rId968" Type="http://schemas.openxmlformats.org/officeDocument/2006/relationships/image" Target="media/image959.png"/><Relationship Id="rId969" Type="http://schemas.openxmlformats.org/officeDocument/2006/relationships/image" Target="media/image960.png"/><Relationship Id="rId970" Type="http://schemas.openxmlformats.org/officeDocument/2006/relationships/image" Target="media/image961.png"/><Relationship Id="rId971" Type="http://schemas.openxmlformats.org/officeDocument/2006/relationships/image" Target="media/image962.png"/><Relationship Id="rId972" Type="http://schemas.openxmlformats.org/officeDocument/2006/relationships/image" Target="media/image963.png"/><Relationship Id="rId973" Type="http://schemas.openxmlformats.org/officeDocument/2006/relationships/image" Target="media/image964.png"/><Relationship Id="rId974" Type="http://schemas.openxmlformats.org/officeDocument/2006/relationships/image" Target="media/image965.png"/><Relationship Id="rId975" Type="http://schemas.openxmlformats.org/officeDocument/2006/relationships/image" Target="media/image966.png"/><Relationship Id="rId976" Type="http://schemas.openxmlformats.org/officeDocument/2006/relationships/image" Target="media/image967.png"/><Relationship Id="rId977" Type="http://schemas.openxmlformats.org/officeDocument/2006/relationships/image" Target="media/image968.png"/><Relationship Id="rId978" Type="http://schemas.openxmlformats.org/officeDocument/2006/relationships/image" Target="media/image969.png"/><Relationship Id="rId979" Type="http://schemas.openxmlformats.org/officeDocument/2006/relationships/image" Target="media/image970.png"/><Relationship Id="rId980" Type="http://schemas.openxmlformats.org/officeDocument/2006/relationships/image" Target="media/image971.jpeg"/><Relationship Id="rId981" Type="http://schemas.openxmlformats.org/officeDocument/2006/relationships/image" Target="media/image972.png"/><Relationship Id="rId982" Type="http://schemas.openxmlformats.org/officeDocument/2006/relationships/image" Target="media/image973.jpeg"/><Relationship Id="rId983" Type="http://schemas.openxmlformats.org/officeDocument/2006/relationships/image" Target="media/image974.jpeg"/><Relationship Id="rId984" Type="http://schemas.openxmlformats.org/officeDocument/2006/relationships/image" Target="media/image975.jpeg"/><Relationship Id="rId985" Type="http://schemas.openxmlformats.org/officeDocument/2006/relationships/image" Target="media/image976.jpeg"/><Relationship Id="rId986" Type="http://schemas.openxmlformats.org/officeDocument/2006/relationships/image" Target="media/image977.jpeg"/><Relationship Id="rId987" Type="http://schemas.openxmlformats.org/officeDocument/2006/relationships/image" Target="media/image978.jpeg"/><Relationship Id="rId988" Type="http://schemas.openxmlformats.org/officeDocument/2006/relationships/image" Target="media/image979.jpeg"/><Relationship Id="rId989" Type="http://schemas.openxmlformats.org/officeDocument/2006/relationships/image" Target="media/image980.jpeg"/><Relationship Id="rId990" Type="http://schemas.openxmlformats.org/officeDocument/2006/relationships/image" Target="media/image981.jpeg"/><Relationship Id="rId991" Type="http://schemas.openxmlformats.org/officeDocument/2006/relationships/image" Target="media/image982.jpeg"/><Relationship Id="rId992" Type="http://schemas.openxmlformats.org/officeDocument/2006/relationships/image" Target="media/image983.jpeg"/><Relationship Id="rId993" Type="http://schemas.openxmlformats.org/officeDocument/2006/relationships/image" Target="media/image984.jpeg"/><Relationship Id="rId994" Type="http://schemas.openxmlformats.org/officeDocument/2006/relationships/image" Target="media/image985.jpeg"/><Relationship Id="rId995" Type="http://schemas.openxmlformats.org/officeDocument/2006/relationships/image" Target="media/image986.jpeg"/><Relationship Id="rId996" Type="http://schemas.openxmlformats.org/officeDocument/2006/relationships/image" Target="media/image987.jpeg"/><Relationship Id="rId997" Type="http://schemas.openxmlformats.org/officeDocument/2006/relationships/image" Target="media/image988.jpeg"/><Relationship Id="rId998" Type="http://schemas.openxmlformats.org/officeDocument/2006/relationships/image" Target="media/image989.jpeg"/><Relationship Id="rId999" Type="http://schemas.openxmlformats.org/officeDocument/2006/relationships/image" Target="media/image990.jpeg"/><Relationship Id="rId1000" Type="http://schemas.openxmlformats.org/officeDocument/2006/relationships/image" Target="media/image991.jpeg"/><Relationship Id="rId1001" Type="http://schemas.openxmlformats.org/officeDocument/2006/relationships/image" Target="media/image992.jpeg"/><Relationship Id="rId1002" Type="http://schemas.openxmlformats.org/officeDocument/2006/relationships/image" Target="media/image993.png"/><Relationship Id="rId1003" Type="http://schemas.openxmlformats.org/officeDocument/2006/relationships/image" Target="media/image994.jpeg"/><Relationship Id="rId1004" Type="http://schemas.openxmlformats.org/officeDocument/2006/relationships/image" Target="media/image995.jpeg"/><Relationship Id="rId1005" Type="http://schemas.openxmlformats.org/officeDocument/2006/relationships/image" Target="media/image996.jpeg"/><Relationship Id="rId1006" Type="http://schemas.openxmlformats.org/officeDocument/2006/relationships/image" Target="media/image997.jpeg"/><Relationship Id="rId1007" Type="http://schemas.openxmlformats.org/officeDocument/2006/relationships/image" Target="media/image998.jpeg"/><Relationship Id="rId1008" Type="http://schemas.openxmlformats.org/officeDocument/2006/relationships/image" Target="media/image999.jpeg"/><Relationship Id="rId1009" Type="http://schemas.openxmlformats.org/officeDocument/2006/relationships/image" Target="media/image1000.jpeg"/><Relationship Id="rId1010" Type="http://schemas.openxmlformats.org/officeDocument/2006/relationships/image" Target="media/image1001.jpeg"/><Relationship Id="rId1011" Type="http://schemas.openxmlformats.org/officeDocument/2006/relationships/image" Target="media/image1002.jpeg"/><Relationship Id="rId1012" Type="http://schemas.openxmlformats.org/officeDocument/2006/relationships/image" Target="media/image1003.jpeg"/><Relationship Id="rId1013" Type="http://schemas.openxmlformats.org/officeDocument/2006/relationships/image" Target="media/image1004.jpeg"/><Relationship Id="rId1014" Type="http://schemas.openxmlformats.org/officeDocument/2006/relationships/image" Target="media/image1005.jpeg"/><Relationship Id="rId1015" Type="http://schemas.openxmlformats.org/officeDocument/2006/relationships/image" Target="media/image1006.png"/><Relationship Id="rId1016" Type="http://schemas.openxmlformats.org/officeDocument/2006/relationships/image" Target="media/image1007.png"/><Relationship Id="rId1017" Type="http://schemas.openxmlformats.org/officeDocument/2006/relationships/image" Target="media/image1008.png"/><Relationship Id="rId1018" Type="http://schemas.openxmlformats.org/officeDocument/2006/relationships/image" Target="media/image1009.png"/><Relationship Id="rId1019" Type="http://schemas.openxmlformats.org/officeDocument/2006/relationships/image" Target="media/image1010.png"/><Relationship Id="rId1020" Type="http://schemas.openxmlformats.org/officeDocument/2006/relationships/image" Target="media/image1011.png"/><Relationship Id="rId1021" Type="http://schemas.openxmlformats.org/officeDocument/2006/relationships/image" Target="media/image1012.png"/><Relationship Id="rId1022" Type="http://schemas.openxmlformats.org/officeDocument/2006/relationships/image" Target="media/image1013.png"/><Relationship Id="rId1023" Type="http://schemas.openxmlformats.org/officeDocument/2006/relationships/image" Target="media/image1014.png"/><Relationship Id="rId1024" Type="http://schemas.openxmlformats.org/officeDocument/2006/relationships/image" Target="media/image1015.png"/><Relationship Id="rId1025" Type="http://schemas.openxmlformats.org/officeDocument/2006/relationships/image" Target="media/image1016.png"/><Relationship Id="rId57" Type="http://schemas.openxmlformats.org/officeDocument/2006/relationships/hyperlink" Target="http://www.sec.gov/Archives/edgar/data/6281/000119312520320093/d71361dex101.htm" TargetMode="External"/><Relationship Id="rId58" Type="http://schemas.openxmlformats.org/officeDocument/2006/relationships/hyperlink" Target="http://www.sec.gov/Archives/edgar/data/6281/000119312520320093/d7136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2021-02-17T07:08:57Z</dcterms:created>
  <dcterms:modified xsi:type="dcterms:W3CDTF">2021-02-17T07:08:57Z</dcterms:modified>
</cp:coreProperties>
</file>