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6410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10325"/>
                    </a:xfrm>
                    <a:prstGeom prst="rect">
                      <a:avLst/>
                    </a:prstGeom>
                    <a:noFill/>
                  </pic:spPr>
                </pic:pic>
              </a:graphicData>
            </a:graphic>
          </wp:anchor>
        </w:drawing>
      </w:r>
    </w:p>
    <w:p>
      <w:pPr>
        <w:spacing w:after="0" w:line="42" w:lineRule="exact"/>
        <w:rPr>
          <w:sz w:val="24"/>
          <w:szCs w:val="24"/>
          <w:color w:val="auto"/>
        </w:rPr>
      </w:pPr>
    </w:p>
    <w:p>
      <w:pPr>
        <w:sectPr>
          <w:pgSz w:w="11900" w:h="16838" w:orient="portrait"/>
          <w:cols w:equalWidth="0" w:num="2">
            <w:col w:w="2360" w:space="300"/>
            <w:col w:w="8860"/>
          </w:cols>
          <w:pgMar w:left="240" w:top="226" w:right="139" w:bottom="109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40" w:type="dxa"/>
            <w:vAlign w:val="bottom"/>
            <w:gridSpan w:val="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CHAMPY JAMES</w:t>
              </w:r>
            </w:hyperlink>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5"/>
          </w:tcPr>
          <w:p>
            <w:pPr>
              <w:ind w:left="60"/>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3"/>
            <w:vMerge w:val="continue"/>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14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860" w:type="dxa"/>
            <w:vAlign w:val="bottom"/>
            <w:gridSpan w:val="3"/>
            <w:vMerge w:val="restart"/>
          </w:tcPr>
          <w:p>
            <w:pPr>
              <w:ind w:left="66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8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60" w:type="dxa"/>
            <w:vAlign w:val="bottom"/>
            <w:vMerge w:val="restart"/>
          </w:tcPr>
          <w:p>
            <w:pPr>
              <w:ind w:left="300"/>
              <w:spacing w:after="0"/>
              <w:rPr>
                <w:sz w:val="20"/>
                <w:szCs w:val="20"/>
                <w:color w:val="auto"/>
              </w:rPr>
            </w:pPr>
            <w:r>
              <w:rPr>
                <w:rFonts w:ascii="Arial" w:cs="Arial" w:eastAsia="Arial" w:hAnsi="Arial"/>
                <w:sz w:val="13"/>
                <w:szCs w:val="13"/>
                <w:color w:val="auto"/>
              </w:rPr>
              <w:t>Officer (give title</w:t>
            </w:r>
          </w:p>
        </w:tc>
        <w:tc>
          <w:tcPr>
            <w:tcW w:w="1860" w:type="dxa"/>
            <w:vAlign w:val="bottom"/>
            <w:gridSpan w:val="3"/>
            <w:vMerge w:val="restart"/>
          </w:tcPr>
          <w:p>
            <w:pPr>
              <w:ind w:left="66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18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00" w:type="dxa"/>
            <w:vAlign w:val="bottom"/>
            <w:gridSpan w:val="5"/>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8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580" w:type="dxa"/>
            <w:vAlign w:val="bottom"/>
          </w:tcPr>
          <w:p>
            <w:pPr>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gridSpan w:val="5"/>
            <w:vMerge w:val="continue"/>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Arial" w:cs="Arial" w:eastAsia="Arial" w:hAnsi="Arial"/>
                <w:sz w:val="13"/>
                <w:szCs w:val="13"/>
                <w:color w:val="auto"/>
              </w:rPr>
              <w:t>below)</w:t>
            </w:r>
          </w:p>
        </w:tc>
        <w:tc>
          <w:tcPr>
            <w:tcW w:w="1860" w:type="dxa"/>
            <w:vAlign w:val="bottom"/>
            <w:gridSpan w:val="3"/>
          </w:tcPr>
          <w:p>
            <w:pPr>
              <w:ind w:left="66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vMerge w:val="restart"/>
          </w:tcPr>
          <w:p>
            <w:pPr>
              <w:spacing w:after="0"/>
              <w:rPr>
                <w:sz w:val="20"/>
                <w:szCs w:val="20"/>
                <w:color w:val="auto"/>
              </w:rPr>
            </w:pPr>
            <w:r>
              <w:rPr>
                <w:rFonts w:ascii="Arial" w:cs="Arial" w:eastAsia="Arial" w:hAnsi="Arial"/>
                <w:sz w:val="17"/>
                <w:szCs w:val="17"/>
                <w:color w:val="0000FF"/>
                <w:w w:val="98"/>
              </w:rPr>
              <w:t>P.O. BOX 9106</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300" w:type="dxa"/>
            <w:vAlign w:val="bottom"/>
            <w:gridSpan w:val="5"/>
          </w:tcPr>
          <w:p>
            <w:pPr>
              <w:ind w:left="820"/>
              <w:spacing w:after="0"/>
              <w:rPr>
                <w:sz w:val="20"/>
                <w:szCs w:val="20"/>
                <w:color w:val="auto"/>
              </w:rPr>
            </w:pPr>
            <w:r>
              <w:rPr>
                <w:rFonts w:ascii="Arial" w:cs="Arial" w:eastAsia="Arial" w:hAnsi="Arial"/>
                <w:sz w:val="17"/>
                <w:szCs w:val="17"/>
                <w:color w:val="0000FF"/>
              </w:rPr>
              <w:t>03/08/2017</w:t>
            </w: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3"/>
            <w:vMerge w:val="restart"/>
          </w:tcPr>
          <w:p>
            <w:pPr>
              <w:spacing w:after="0"/>
              <w:rPr>
                <w:sz w:val="20"/>
                <w:szCs w:val="20"/>
                <w:color w:val="auto"/>
              </w:rPr>
            </w:pPr>
            <w:r>
              <w:rPr>
                <w:rFonts w:ascii="Arial" w:cs="Arial" w:eastAsia="Arial" w:hAnsi="Arial"/>
                <w:sz w:val="17"/>
                <w:szCs w:val="17"/>
                <w:color w:val="0000FF"/>
              </w:rPr>
              <w:t>ONE TECHNOLOGY WAY</w:t>
            </w: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60" w:type="dxa"/>
            <w:vAlign w:val="bottom"/>
            <w:gridSpan w:val="6"/>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9"/>
                <w:szCs w:val="9"/>
                <w:color w:val="auto"/>
              </w:rPr>
            </w:pPr>
          </w:p>
        </w:tc>
        <w:tc>
          <w:tcPr>
            <w:tcW w:w="3440" w:type="dxa"/>
            <w:vAlign w:val="bottom"/>
            <w:gridSpan w:val="6"/>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6"/>
            <w:vMerge w:val="continue"/>
          </w:tcPr>
          <w:p>
            <w:pPr>
              <w:spacing w:after="0"/>
              <w:rPr>
                <w:sz w:val="8"/>
                <w:szCs w:val="8"/>
                <w:color w:val="auto"/>
              </w:rPr>
            </w:pPr>
          </w:p>
        </w:tc>
        <w:tc>
          <w:tcPr>
            <w:tcW w:w="320" w:type="dxa"/>
            <w:vAlign w:val="bottom"/>
          </w:tcPr>
          <w:p>
            <w:pPr>
              <w:spacing w:after="0"/>
              <w:rPr>
                <w:sz w:val="8"/>
                <w:szCs w:val="8"/>
                <w:color w:val="auto"/>
              </w:rPr>
            </w:pPr>
          </w:p>
        </w:tc>
        <w:tc>
          <w:tcPr>
            <w:tcW w:w="344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58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5"/>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NORWOOD</w:t>
            </w:r>
          </w:p>
        </w:tc>
        <w:tc>
          <w:tcPr>
            <w:tcW w:w="1360" w:type="dxa"/>
            <w:vAlign w:val="bottom"/>
            <w:gridSpan w:val="2"/>
          </w:tcPr>
          <w:p>
            <w:pPr>
              <w:ind w:left="100"/>
              <w:spacing w:after="0"/>
              <w:rPr>
                <w:sz w:val="20"/>
                <w:szCs w:val="20"/>
                <w:color w:val="auto"/>
              </w:rPr>
            </w:pPr>
            <w:r>
              <w:rPr>
                <w:rFonts w:ascii="Arial" w:cs="Arial" w:eastAsia="Arial" w:hAnsi="Arial"/>
                <w:sz w:val="17"/>
                <w:szCs w:val="17"/>
                <w:color w:val="0000FF"/>
              </w:rPr>
              <w:t>MA</w:t>
            </w:r>
          </w:p>
        </w:tc>
        <w:tc>
          <w:tcPr>
            <w:tcW w:w="1240" w:type="dxa"/>
            <w:vAlign w:val="bottom"/>
            <w:gridSpan w:val="2"/>
          </w:tcPr>
          <w:p>
            <w:pPr>
              <w:spacing w:after="0"/>
              <w:rPr>
                <w:sz w:val="20"/>
                <w:szCs w:val="20"/>
                <w:color w:val="auto"/>
              </w:rPr>
            </w:pPr>
            <w:r>
              <w:rPr>
                <w:rFonts w:ascii="Arial" w:cs="Arial" w:eastAsia="Arial" w:hAnsi="Arial"/>
                <w:sz w:val="17"/>
                <w:szCs w:val="17"/>
                <w:color w:val="0000FF"/>
              </w:rPr>
              <w:t>02062-9106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4"/>
          </w:tcPr>
          <w:p>
            <w:pPr>
              <w:ind w:left="30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ind w:left="300"/>
              <w:spacing w:after="0" w:line="135" w:lineRule="exact"/>
              <w:rPr>
                <w:sz w:val="20"/>
                <w:szCs w:val="20"/>
                <w:color w:val="auto"/>
              </w:rPr>
            </w:pPr>
            <w:r>
              <w:rPr>
                <w:rFonts w:ascii="Arial" w:cs="Arial" w:eastAsia="Arial" w:hAnsi="Arial"/>
                <w:sz w:val="13"/>
                <w:szCs w:val="13"/>
                <w:color w:val="auto"/>
              </w:rPr>
              <w:t>Person</w:t>
            </w: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580" w:type="dxa"/>
            <w:vAlign w:val="bottom"/>
          </w:tcPr>
          <w:p>
            <w:pPr>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920" w:type="dxa"/>
            <w:vAlign w:val="bottom"/>
            <w:tcBorders>
              <w:bottom w:val="single" w:sz="8" w:color="2C2C2C"/>
            </w:tcBorders>
            <w:gridSpan w:val="6"/>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jc w:val="right"/>
              <w:ind w:right="457"/>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8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160" w:type="dxa"/>
            <w:vAlign w:val="bottom"/>
            <w:gridSpan w:val="4"/>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6"/>
                <w:szCs w:val="6"/>
                <w:color w:val="auto"/>
              </w:rPr>
            </w:pPr>
          </w:p>
        </w:tc>
        <w:tc>
          <w:tcPr>
            <w:tcW w:w="980" w:type="dxa"/>
            <w:vAlign w:val="bottom"/>
            <w:gridSpan w:val="2"/>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93"/>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40" w:type="dxa"/>
            <w:vAlign w:val="bottom"/>
            <w:gridSpan w:val="4"/>
          </w:tcPr>
          <w:p>
            <w:pPr>
              <w:ind w:left="60"/>
              <w:spacing w:after="0"/>
              <w:rPr>
                <w:sz w:val="20"/>
                <w:szCs w:val="20"/>
                <w:color w:val="auto"/>
              </w:rPr>
            </w:pPr>
            <w:r>
              <w:rPr>
                <w:rFonts w:ascii="Arial" w:cs="Arial" w:eastAsia="Arial" w:hAnsi="Arial"/>
                <w:sz w:val="17"/>
                <w:szCs w:val="17"/>
                <w:color w:val="0000FF"/>
              </w:rPr>
              <w:t>Comm Stock - $.16-2/3 value</w:t>
            </w:r>
          </w:p>
        </w:tc>
        <w:tc>
          <w:tcPr>
            <w:tcW w:w="580" w:type="dxa"/>
            <w:vAlign w:val="bottom"/>
          </w:tcPr>
          <w:p>
            <w:pPr>
              <w:spacing w:after="0"/>
              <w:rPr>
                <w:sz w:val="23"/>
                <w:szCs w:val="23"/>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7"/>
                <w:szCs w:val="17"/>
                <w:color w:val="0000FF"/>
              </w:rPr>
              <w:t>03/08/2017</w:t>
            </w:r>
          </w:p>
        </w:tc>
        <w:tc>
          <w:tcPr>
            <w:tcW w:w="114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ind w:left="200"/>
              <w:spacing w:after="0"/>
              <w:rPr>
                <w:sz w:val="20"/>
                <w:szCs w:val="20"/>
                <w:color w:val="auto"/>
              </w:rPr>
            </w:pPr>
            <w:r>
              <w:rPr>
                <w:rFonts w:ascii="Arial" w:cs="Arial" w:eastAsia="Arial" w:hAnsi="Arial"/>
                <w:sz w:val="17"/>
                <w:szCs w:val="17"/>
                <w:color w:val="0000FF"/>
              </w:rPr>
              <w:t>1,850</w:t>
            </w:r>
          </w:p>
        </w:tc>
        <w:tc>
          <w:tcPr>
            <w:tcW w:w="560" w:type="dxa"/>
            <w:vAlign w:val="bottom"/>
          </w:tcPr>
          <w:p>
            <w:pPr>
              <w:ind w:left="260"/>
              <w:spacing w:after="0"/>
              <w:rPr>
                <w:sz w:val="20"/>
                <w:szCs w:val="20"/>
                <w:color w:val="auto"/>
              </w:rPr>
            </w:pPr>
            <w:r>
              <w:rPr>
                <w:rFonts w:ascii="Arial" w:cs="Arial" w:eastAsia="Arial" w:hAnsi="Arial"/>
                <w:sz w:val="17"/>
                <w:szCs w:val="17"/>
                <w:color w:val="0000FF"/>
              </w:rPr>
              <w:t>A</w:t>
            </w:r>
          </w:p>
        </w:tc>
        <w:tc>
          <w:tcPr>
            <w:tcW w:w="540" w:type="dxa"/>
            <w:vAlign w:val="bottom"/>
            <w:gridSpan w:val="2"/>
          </w:tcPr>
          <w:p>
            <w:pPr>
              <w:jc w:val="right"/>
              <w:ind w:right="5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gridSpan w:val="2"/>
          </w:tcPr>
          <w:p>
            <w:pPr>
              <w:jc w:val="right"/>
              <w:ind w:right="357"/>
              <w:spacing w:after="0"/>
              <w:rPr>
                <w:sz w:val="20"/>
                <w:szCs w:val="20"/>
                <w:color w:val="auto"/>
              </w:rPr>
            </w:pPr>
            <w:r>
              <w:rPr>
                <w:rFonts w:ascii="Arial" w:cs="Arial" w:eastAsia="Arial" w:hAnsi="Arial"/>
                <w:sz w:val="17"/>
                <w:szCs w:val="17"/>
                <w:color w:val="0000FF"/>
              </w:rPr>
              <w:t>17,035</w:t>
            </w:r>
          </w:p>
        </w:tc>
        <w:tc>
          <w:tcPr>
            <w:tcW w:w="880" w:type="dxa"/>
            <w:vAlign w:val="bottom"/>
          </w:tcPr>
          <w:p>
            <w:pPr>
              <w:ind w:left="360"/>
              <w:spacing w:after="0"/>
              <w:rPr>
                <w:sz w:val="20"/>
                <w:szCs w:val="20"/>
                <w:color w:val="auto"/>
              </w:rPr>
            </w:pPr>
            <w:r>
              <w:rPr>
                <w:rFonts w:ascii="Arial" w:cs="Arial" w:eastAsia="Arial" w:hAnsi="Arial"/>
                <w:sz w:val="17"/>
                <w:szCs w:val="17"/>
                <w:color w:val="0000FF"/>
              </w:rPr>
              <w:t>D</w:t>
            </w: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80" w:type="dxa"/>
            <w:vAlign w:val="bottom"/>
            <w:gridSpan w:val="2"/>
          </w:tcPr>
          <w:p>
            <w:pPr>
              <w:ind w:left="100"/>
              <w:spacing w:after="0"/>
              <w:rPr>
                <w:sz w:val="20"/>
                <w:szCs w:val="20"/>
                <w:color w:val="auto"/>
              </w:rPr>
            </w:pPr>
            <w:r>
              <w:rPr>
                <w:rFonts w:ascii="Arial" w:cs="Arial" w:eastAsia="Arial" w:hAnsi="Arial"/>
                <w:sz w:val="17"/>
                <w:szCs w:val="17"/>
                <w:color w:val="0000FF"/>
              </w:rPr>
              <w:t>by James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Arial" w:cs="Arial" w:eastAsia="Arial" w:hAnsi="Arial"/>
                <w:sz w:val="17"/>
                <w:szCs w:val="17"/>
                <w:color w:val="0000FF"/>
              </w:rPr>
              <w:t>A. Champy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40" w:type="dxa"/>
            <w:vAlign w:val="bottom"/>
            <w:gridSpan w:val="4"/>
          </w:tcPr>
          <w:p>
            <w:pPr>
              <w:ind w:left="60"/>
              <w:spacing w:after="0"/>
              <w:rPr>
                <w:sz w:val="20"/>
                <w:szCs w:val="20"/>
                <w:color w:val="auto"/>
              </w:rPr>
            </w:pPr>
            <w:r>
              <w:rPr>
                <w:rFonts w:ascii="Arial" w:cs="Arial" w:eastAsia="Arial" w:hAnsi="Arial"/>
                <w:sz w:val="17"/>
                <w:szCs w:val="17"/>
                <w:color w:val="0000FF"/>
              </w:rPr>
              <w:t>Comm Stock - $.16-2/3 value</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57"/>
              <w:spacing w:after="0"/>
              <w:rPr>
                <w:sz w:val="20"/>
                <w:szCs w:val="20"/>
                <w:color w:val="auto"/>
              </w:rPr>
            </w:pPr>
            <w:r>
              <w:rPr>
                <w:rFonts w:ascii="Arial" w:cs="Arial" w:eastAsia="Arial" w:hAnsi="Arial"/>
                <w:sz w:val="17"/>
                <w:szCs w:val="17"/>
                <w:color w:val="0000FF"/>
              </w:rPr>
              <w:t>69,025</w:t>
            </w:r>
          </w:p>
        </w:tc>
        <w:tc>
          <w:tcPr>
            <w:tcW w:w="880" w:type="dxa"/>
            <w:vAlign w:val="bottom"/>
          </w:tcPr>
          <w:p>
            <w:pPr>
              <w:ind w:left="400"/>
              <w:spacing w:after="0"/>
              <w:rPr>
                <w:sz w:val="20"/>
                <w:szCs w:val="20"/>
                <w:color w:val="auto"/>
              </w:rPr>
            </w:pPr>
            <w:r>
              <w:rPr>
                <w:rFonts w:ascii="Arial" w:cs="Arial" w:eastAsia="Arial" w:hAnsi="Arial"/>
                <w:sz w:val="17"/>
                <w:szCs w:val="17"/>
                <w:color w:val="0000FF"/>
              </w:rPr>
              <w:t>I</w:t>
            </w:r>
          </w:p>
        </w:tc>
        <w:tc>
          <w:tcPr>
            <w:tcW w:w="960" w:type="dxa"/>
            <w:vAlign w:val="bottom"/>
          </w:tcPr>
          <w:p>
            <w:pPr>
              <w:ind w:left="100"/>
              <w:spacing w:after="0"/>
              <w:rPr>
                <w:sz w:val="20"/>
                <w:szCs w:val="20"/>
                <w:color w:val="auto"/>
              </w:rPr>
            </w:pPr>
            <w:r>
              <w:rPr>
                <w:rFonts w:ascii="Arial" w:cs="Arial" w:eastAsia="Arial" w:hAnsi="Arial"/>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Arial" w:cs="Arial" w:eastAsia="Arial" w:hAnsi="Arial"/>
                <w:sz w:val="17"/>
                <w:szCs w:val="17"/>
                <w:color w:val="0000FF"/>
              </w:rPr>
              <w:t>Irrevocable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gridSpan w:val="2"/>
          </w:tcPr>
          <w:p>
            <w:pPr>
              <w:ind w:left="100"/>
              <w:spacing w:after="0"/>
              <w:rPr>
                <w:sz w:val="20"/>
                <w:szCs w:val="20"/>
                <w:color w:val="auto"/>
              </w:rPr>
            </w:pPr>
            <w:r>
              <w:rPr>
                <w:rFonts w:ascii="Arial" w:cs="Arial" w:eastAsia="Arial" w:hAnsi="Arial"/>
                <w:sz w:val="17"/>
                <w:szCs w:val="17"/>
                <w:color w:val="0000FF"/>
              </w:rPr>
              <w:t>Trust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26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6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660" w:type="dxa"/>
            <w:vAlign w:val="bottom"/>
          </w:tcPr>
          <w:p>
            <w:pPr>
              <w:spacing w:after="0"/>
              <w:rPr>
                <w:sz w:val="11"/>
                <w:szCs w:val="11"/>
                <w:color w:val="auto"/>
              </w:rPr>
            </w:pP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6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 (A)</w:t>
            </w: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Disposed</w:t>
            </w: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3, 4 and 5)</w:t>
            </w: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jc w:val="center"/>
              <w:ind w:right="2"/>
              <w:spacing w:after="0" w:line="134"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Comm</w:t>
            </w: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vMerge w:val="restart"/>
          </w:tcPr>
          <w:p>
            <w:pPr>
              <w:jc w:val="center"/>
              <w:ind w:right="59"/>
              <w:spacing w:after="0"/>
              <w:rPr>
                <w:sz w:val="20"/>
                <w:szCs w:val="20"/>
                <w:color w:val="auto"/>
              </w:rPr>
            </w:pPr>
            <w:r>
              <w:rPr>
                <w:rFonts w:ascii="Arial" w:cs="Arial" w:eastAsia="Arial" w:hAnsi="Arial"/>
                <w:sz w:val="13"/>
                <w:szCs w:val="13"/>
                <w:color w:val="0000FF"/>
                <w:w w:val="96"/>
              </w:rPr>
              <w:t>03/09/2017</w:t>
            </w:r>
            <w:r>
              <w:rPr>
                <w:rFonts w:ascii="Arial" w:cs="Arial" w:eastAsia="Arial" w:hAnsi="Arial"/>
                <w:sz w:val="22"/>
                <w:szCs w:val="22"/>
                <w:color w:val="008000"/>
                <w:w w:val="96"/>
                <w:vertAlign w:val="superscript"/>
              </w:rPr>
              <w:t>(1)</w:t>
            </w:r>
          </w:p>
        </w:tc>
        <w:tc>
          <w:tcPr>
            <w:tcW w:w="660" w:type="dxa"/>
            <w:vAlign w:val="bottom"/>
            <w:vMerge w:val="restart"/>
          </w:tcPr>
          <w:p>
            <w:pPr>
              <w:jc w:val="center"/>
              <w:ind w:right="2"/>
              <w:spacing w:after="0"/>
              <w:rPr>
                <w:sz w:val="20"/>
                <w:szCs w:val="20"/>
                <w:color w:val="auto"/>
              </w:rPr>
            </w:pPr>
            <w:r>
              <w:rPr>
                <w:rFonts w:ascii="Arial" w:cs="Arial" w:eastAsia="Arial" w:hAnsi="Arial"/>
                <w:sz w:val="11"/>
                <w:szCs w:val="11"/>
                <w:color w:val="008000"/>
                <w:w w:val="88"/>
              </w:rPr>
              <w:t>(1)</w:t>
            </w:r>
          </w:p>
        </w:tc>
        <w:tc>
          <w:tcPr>
            <w:tcW w:w="520" w:type="dxa"/>
            <w:vAlign w:val="bottom"/>
          </w:tcPr>
          <w:p>
            <w:pPr>
              <w:ind w:left="120"/>
              <w:spacing w:after="0" w:line="148" w:lineRule="exact"/>
              <w:rPr>
                <w:sz w:val="20"/>
                <w:szCs w:val="20"/>
                <w:color w:val="auto"/>
              </w:rPr>
            </w:pPr>
            <w:r>
              <w:rPr>
                <w:rFonts w:ascii="Arial" w:cs="Arial" w:eastAsia="Arial" w:hAnsi="Arial"/>
                <w:sz w:val="13"/>
                <w:szCs w:val="13"/>
                <w:color w:val="0000FF"/>
              </w:rPr>
              <w:t>Stock</w:t>
            </w:r>
          </w:p>
        </w:tc>
        <w:tc>
          <w:tcPr>
            <w:tcW w:w="600" w:type="dxa"/>
            <w:vAlign w:val="bottom"/>
            <w:vMerge w:val="restart"/>
          </w:tcPr>
          <w:p>
            <w:pPr>
              <w:ind w:left="100"/>
              <w:spacing w:after="0"/>
              <w:rPr>
                <w:sz w:val="20"/>
                <w:szCs w:val="20"/>
                <w:color w:val="auto"/>
              </w:rPr>
            </w:pPr>
            <w:r>
              <w:rPr>
                <w:rFonts w:ascii="Arial" w:cs="Arial" w:eastAsia="Arial" w:hAnsi="Arial"/>
                <w:sz w:val="17"/>
                <w:szCs w:val="17"/>
                <w:color w:val="0000FF"/>
              </w:rPr>
              <w:t>1,850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 Unit</w:t>
            </w:r>
          </w:p>
        </w:tc>
        <w:tc>
          <w:tcPr>
            <w:tcW w:w="820" w:type="dxa"/>
            <w:vAlign w:val="bottom"/>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120" w:type="dxa"/>
            <w:vAlign w:val="bottom"/>
          </w:tcPr>
          <w:p>
            <w:pPr>
              <w:jc w:val="right"/>
              <w:ind w:right="197"/>
              <w:spacing w:after="0" w:line="148" w:lineRule="exact"/>
              <w:rPr>
                <w:sz w:val="20"/>
                <w:szCs w:val="20"/>
                <w:color w:val="auto"/>
              </w:rPr>
            </w:pPr>
            <w:r>
              <w:rPr>
                <w:rFonts w:ascii="Arial" w:cs="Arial" w:eastAsia="Arial" w:hAnsi="Arial"/>
                <w:sz w:val="13"/>
                <w:szCs w:val="13"/>
                <w:color w:val="0000FF"/>
              </w:rPr>
              <w:t>03/08/2017</w:t>
            </w:r>
          </w:p>
        </w:tc>
        <w:tc>
          <w:tcPr>
            <w:tcW w:w="1140" w:type="dxa"/>
            <w:vAlign w:val="bottom"/>
          </w:tcPr>
          <w:p>
            <w:pPr>
              <w:spacing w:after="0"/>
              <w:rPr>
                <w:sz w:val="12"/>
                <w:szCs w:val="12"/>
                <w:color w:val="auto"/>
              </w:rPr>
            </w:pPr>
          </w:p>
        </w:tc>
        <w:tc>
          <w:tcPr>
            <w:tcW w:w="820" w:type="dxa"/>
            <w:vAlign w:val="bottom"/>
          </w:tcPr>
          <w:p>
            <w:pPr>
              <w:ind w:left="160"/>
              <w:spacing w:after="0" w:line="148" w:lineRule="exact"/>
              <w:rPr>
                <w:sz w:val="20"/>
                <w:szCs w:val="20"/>
                <w:color w:val="auto"/>
              </w:rPr>
            </w:pPr>
            <w:r>
              <w:rPr>
                <w:rFonts w:ascii="Arial" w:cs="Arial" w:eastAsia="Arial" w:hAnsi="Arial"/>
                <w:sz w:val="13"/>
                <w:szCs w:val="13"/>
                <w:color w:val="0000FF"/>
              </w:rPr>
              <w:t>M</w:t>
            </w:r>
          </w:p>
        </w:tc>
        <w:tc>
          <w:tcPr>
            <w:tcW w:w="460" w:type="dxa"/>
            <w:vAlign w:val="bottom"/>
          </w:tcPr>
          <w:p>
            <w:pPr>
              <w:spacing w:after="0"/>
              <w:rPr>
                <w:sz w:val="12"/>
                <w:szCs w:val="12"/>
                <w:color w:val="auto"/>
              </w:rPr>
            </w:pPr>
          </w:p>
        </w:tc>
        <w:tc>
          <w:tcPr>
            <w:tcW w:w="440" w:type="dxa"/>
            <w:vAlign w:val="bottom"/>
          </w:tcPr>
          <w:p>
            <w:pPr>
              <w:ind w:left="80"/>
              <w:spacing w:after="0" w:line="148" w:lineRule="exact"/>
              <w:rPr>
                <w:sz w:val="20"/>
                <w:szCs w:val="20"/>
                <w:color w:val="auto"/>
              </w:rPr>
            </w:pPr>
            <w:r>
              <w:rPr>
                <w:rFonts w:ascii="Arial" w:cs="Arial" w:eastAsia="Arial" w:hAnsi="Arial"/>
                <w:sz w:val="13"/>
                <w:szCs w:val="13"/>
                <w:color w:val="0000FF"/>
              </w:rPr>
              <w:t>1,850</w:t>
            </w:r>
          </w:p>
        </w:tc>
        <w:tc>
          <w:tcPr>
            <w:tcW w:w="9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0000FF"/>
                <w:w w:val="95"/>
              </w:rPr>
              <w:t>- $.16-</w:t>
            </w:r>
          </w:p>
        </w:tc>
        <w:tc>
          <w:tcPr>
            <w:tcW w:w="600" w:type="dxa"/>
            <w:vAlign w:val="bottom"/>
            <w:vMerge w:val="continue"/>
          </w:tcPr>
          <w:p>
            <w:pPr>
              <w:spacing w:after="0"/>
              <w:rPr>
                <w:sz w:val="12"/>
                <w:szCs w:val="12"/>
                <w:color w:val="auto"/>
              </w:rPr>
            </w:pPr>
          </w:p>
        </w:tc>
        <w:tc>
          <w:tcPr>
            <w:tcW w:w="720" w:type="dxa"/>
            <w:vAlign w:val="bottom"/>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378"/>
              <w:spacing w:after="0" w:line="148"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(RSU)</w:t>
            </w: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0000FF"/>
                <w:w w:val="99"/>
              </w:rPr>
              <w:t>2/3</w:t>
            </w: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0000FF"/>
              </w:rPr>
              <w:t>value</w:t>
            </w: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Comm</w:t>
            </w: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vMerge w:val="restart"/>
          </w:tcPr>
          <w:p>
            <w:pPr>
              <w:jc w:val="right"/>
              <w:ind w:right="379"/>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jc w:val="center"/>
              <w:ind w:right="2"/>
              <w:spacing w:after="0"/>
              <w:rPr>
                <w:sz w:val="20"/>
                <w:szCs w:val="20"/>
                <w:color w:val="auto"/>
              </w:rPr>
            </w:pPr>
            <w:r>
              <w:rPr>
                <w:rFonts w:ascii="Arial" w:cs="Arial" w:eastAsia="Arial" w:hAnsi="Arial"/>
                <w:sz w:val="11"/>
                <w:szCs w:val="11"/>
                <w:color w:val="008000"/>
                <w:w w:val="88"/>
              </w:rPr>
              <w:t>(2)</w:t>
            </w:r>
          </w:p>
        </w:tc>
        <w:tc>
          <w:tcPr>
            <w:tcW w:w="520" w:type="dxa"/>
            <w:vAlign w:val="bottom"/>
          </w:tcPr>
          <w:p>
            <w:pPr>
              <w:ind w:left="120"/>
              <w:spacing w:after="0" w:line="148" w:lineRule="exact"/>
              <w:rPr>
                <w:sz w:val="20"/>
                <w:szCs w:val="20"/>
                <w:color w:val="auto"/>
              </w:rPr>
            </w:pPr>
            <w:r>
              <w:rPr>
                <w:rFonts w:ascii="Arial" w:cs="Arial" w:eastAsia="Arial" w:hAnsi="Arial"/>
                <w:sz w:val="13"/>
                <w:szCs w:val="13"/>
                <w:color w:val="0000FF"/>
              </w:rPr>
              <w:t>Stock</w:t>
            </w:r>
          </w:p>
        </w:tc>
        <w:tc>
          <w:tcPr>
            <w:tcW w:w="600" w:type="dxa"/>
            <w:vAlign w:val="bottom"/>
            <w:vMerge w:val="restart"/>
          </w:tcPr>
          <w:p>
            <w:pPr>
              <w:ind w:left="100"/>
              <w:spacing w:after="0"/>
              <w:rPr>
                <w:sz w:val="20"/>
                <w:szCs w:val="20"/>
                <w:color w:val="auto"/>
              </w:rPr>
            </w:pPr>
            <w:r>
              <w:rPr>
                <w:rFonts w:ascii="Arial" w:cs="Arial" w:eastAsia="Arial" w:hAnsi="Arial"/>
                <w:sz w:val="17"/>
                <w:szCs w:val="17"/>
                <w:color w:val="0000FF"/>
              </w:rPr>
              <w:t>2,455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 Unit</w:t>
            </w:r>
          </w:p>
        </w:tc>
        <w:tc>
          <w:tcPr>
            <w:tcW w:w="820" w:type="dxa"/>
            <w:vAlign w:val="bottom"/>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120" w:type="dxa"/>
            <w:vAlign w:val="bottom"/>
          </w:tcPr>
          <w:p>
            <w:pPr>
              <w:jc w:val="right"/>
              <w:ind w:right="197"/>
              <w:spacing w:after="0" w:line="148" w:lineRule="exact"/>
              <w:rPr>
                <w:sz w:val="20"/>
                <w:szCs w:val="20"/>
                <w:color w:val="auto"/>
              </w:rPr>
            </w:pPr>
            <w:r>
              <w:rPr>
                <w:rFonts w:ascii="Arial" w:cs="Arial" w:eastAsia="Arial" w:hAnsi="Arial"/>
                <w:sz w:val="13"/>
                <w:szCs w:val="13"/>
                <w:color w:val="0000FF"/>
              </w:rPr>
              <w:t>03/08/2017</w:t>
            </w:r>
          </w:p>
        </w:tc>
        <w:tc>
          <w:tcPr>
            <w:tcW w:w="1140" w:type="dxa"/>
            <w:vAlign w:val="bottom"/>
          </w:tcPr>
          <w:p>
            <w:pPr>
              <w:spacing w:after="0"/>
              <w:rPr>
                <w:sz w:val="12"/>
                <w:szCs w:val="12"/>
                <w:color w:val="auto"/>
              </w:rPr>
            </w:pPr>
          </w:p>
        </w:tc>
        <w:tc>
          <w:tcPr>
            <w:tcW w:w="820" w:type="dxa"/>
            <w:vAlign w:val="bottom"/>
          </w:tcPr>
          <w:p>
            <w:pPr>
              <w:ind w:left="160"/>
              <w:spacing w:after="0" w:line="148" w:lineRule="exact"/>
              <w:rPr>
                <w:sz w:val="20"/>
                <w:szCs w:val="20"/>
                <w:color w:val="auto"/>
              </w:rPr>
            </w:pPr>
            <w:r>
              <w:rPr>
                <w:rFonts w:ascii="Arial" w:cs="Arial" w:eastAsia="Arial" w:hAnsi="Arial"/>
                <w:sz w:val="13"/>
                <w:szCs w:val="13"/>
                <w:color w:val="0000FF"/>
              </w:rPr>
              <w:t>A</w:t>
            </w:r>
          </w:p>
        </w:tc>
        <w:tc>
          <w:tcPr>
            <w:tcW w:w="460" w:type="dxa"/>
            <w:vAlign w:val="bottom"/>
          </w:tcPr>
          <w:p>
            <w:pPr>
              <w:ind w:left="80"/>
              <w:spacing w:after="0" w:line="148" w:lineRule="exact"/>
              <w:rPr>
                <w:sz w:val="20"/>
                <w:szCs w:val="20"/>
                <w:color w:val="auto"/>
              </w:rPr>
            </w:pPr>
            <w:r>
              <w:rPr>
                <w:rFonts w:ascii="Arial" w:cs="Arial" w:eastAsia="Arial" w:hAnsi="Arial"/>
                <w:sz w:val="13"/>
                <w:szCs w:val="13"/>
                <w:color w:val="0000FF"/>
              </w:rPr>
              <w:t>2,455</w:t>
            </w:r>
          </w:p>
        </w:tc>
        <w:tc>
          <w:tcPr>
            <w:tcW w:w="4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0000FF"/>
                <w:w w:val="95"/>
              </w:rPr>
              <w:t>- $.16-</w:t>
            </w:r>
          </w:p>
        </w:tc>
        <w:tc>
          <w:tcPr>
            <w:tcW w:w="600" w:type="dxa"/>
            <w:vAlign w:val="bottom"/>
            <w:vMerge w:val="continue"/>
          </w:tcPr>
          <w:p>
            <w:pPr>
              <w:spacing w:after="0"/>
              <w:rPr>
                <w:sz w:val="12"/>
                <w:szCs w:val="12"/>
                <w:color w:val="auto"/>
              </w:rPr>
            </w:pPr>
          </w:p>
        </w:tc>
        <w:tc>
          <w:tcPr>
            <w:tcW w:w="720" w:type="dxa"/>
            <w:vAlign w:val="bottom"/>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278"/>
              <w:spacing w:after="0" w:line="148" w:lineRule="exact"/>
              <w:rPr>
                <w:sz w:val="20"/>
                <w:szCs w:val="20"/>
                <w:color w:val="auto"/>
              </w:rPr>
            </w:pPr>
            <w:r>
              <w:rPr>
                <w:rFonts w:ascii="Arial" w:cs="Arial" w:eastAsia="Arial" w:hAnsi="Arial"/>
                <w:sz w:val="13"/>
                <w:szCs w:val="13"/>
                <w:color w:val="0000FF"/>
              </w:rPr>
              <w:t>2,455</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(RSU)</w:t>
            </w: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0000FF"/>
                <w:w w:val="99"/>
              </w:rPr>
              <w:t>2/3</w:t>
            </w: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0000FF"/>
              </w:rPr>
              <w:t>value</w:t>
            </w: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40" w:firstLine="8"/>
        <w:spacing w:after="0" w:line="273"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accordance with the terms of the grant, this RSU vested 100.00% on March 8, 2017, the date of the Company's 2017 Annual Meeting of Shareholders. Upon the vesting date, each vested RSU automatically converted into one (1) share of common stock of the Company.</w:t>
      </w:r>
    </w:p>
    <w:p>
      <w:pPr>
        <w:spacing w:after="0" w:line="9" w:lineRule="exact"/>
        <w:rPr>
          <w:rFonts w:ascii="Arial" w:cs="Arial" w:eastAsia="Arial" w:hAnsi="Arial"/>
          <w:sz w:val="13"/>
          <w:szCs w:val="13"/>
          <w:color w:val="008000"/>
        </w:rPr>
      </w:pPr>
    </w:p>
    <w:p>
      <w:pPr>
        <w:ind w:left="40" w:right="220" w:firstLine="8"/>
        <w:spacing w:after="0" w:line="273"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RSU vests 100.00% on the earlier of the date of the Company's next Annual Meeting of Shareholders, or March 8, 2018. Upon the vesting date, each vested RSU shall automatically convert into one (1) share of common stock of the Company.</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Cynthia M. McMakin,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4358005</wp:posOffset>
            </wp:positionH>
            <wp:positionV relativeFrom="paragraph">
              <wp:posOffset>-6985</wp:posOffset>
            </wp:positionV>
            <wp:extent cx="1130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Associate General Counsel, by  03/09/2017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4358005</wp:posOffset>
            </wp:positionH>
            <wp:positionV relativeFrom="paragraph">
              <wp:posOffset>-11430</wp:posOffset>
            </wp:positionV>
            <wp:extent cx="1956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4358005</wp:posOffset>
            </wp:positionH>
            <wp:positionV relativeFrom="paragraph">
              <wp:posOffset>-11430</wp:posOffset>
            </wp:positionV>
            <wp:extent cx="826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20" w:firstLine="8"/>
        <w:spacing w:after="0" w:line="322"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0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9360"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2019-12-23T13:59:00Z</dcterms:created>
  <dcterms:modified xsi:type="dcterms:W3CDTF">2019-12-23T13:59:00Z</dcterms:modified>
</cp:coreProperties>
</file>