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-199390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November 3, 2018</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p>
      <w:pPr>
        <w:ind w:left="4340"/>
        <w:spacing w:after="0"/>
        <w:tabs>
          <w:tab w:leader="none" w:pos="68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Commission File No. 1-7819</w:t>
      </w:r>
    </w:p>
    <w:p>
      <w:pPr>
        <w:spacing w:after="0" w:line="25" w:lineRule="exact"/>
        <w:rPr>
          <w:sz w:val="24"/>
          <w:szCs w:val="24"/>
          <w:color w:val="auto"/>
        </w:rPr>
      </w:pPr>
    </w:p>
    <w:p>
      <w:pPr>
        <w:jc w:val="center"/>
        <w:ind w:left="340"/>
        <w:spacing w:after="0"/>
        <w:rPr>
          <w:sz w:val="20"/>
          <w:szCs w:val="20"/>
          <w:color w:val="auto"/>
        </w:rPr>
      </w:pPr>
      <w:r>
        <w:rPr>
          <w:rFonts w:ascii="Arial" w:cs="Arial" w:eastAsia="Arial" w:hAnsi="Arial"/>
          <w:sz w:val="40"/>
          <w:szCs w:val="40"/>
          <w:b w:val="1"/>
          <w:bCs w:val="1"/>
          <w:color w:val="auto"/>
        </w:rPr>
        <w:t>Analog Devices, Inc.</w:t>
      </w:r>
    </w:p>
    <w:p>
      <w:pPr>
        <w:jc w:val="center"/>
        <w:ind w:left="34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6" w:lineRule="exact"/>
        <w:rPr>
          <w:sz w:val="24"/>
          <w:szCs w:val="24"/>
          <w:color w:val="auto"/>
        </w:rPr>
      </w:pPr>
    </w:p>
    <w:p>
      <w:pPr>
        <w:ind w:left="2260"/>
        <w:spacing w:after="0"/>
        <w:tabs>
          <w:tab w:leader="none" w:pos="8220" w:val="left"/>
        </w:tabs>
        <w:rPr>
          <w:sz w:val="20"/>
          <w:szCs w:val="20"/>
          <w:color w:val="auto"/>
        </w:rPr>
      </w:pPr>
      <w:r>
        <w:rPr>
          <w:rFonts w:ascii="Arial" w:cs="Arial" w:eastAsia="Arial" w:hAnsi="Arial"/>
          <w:sz w:val="16"/>
          <w:szCs w:val="16"/>
          <w:b w:val="1"/>
          <w:bCs w:val="1"/>
          <w:color w:val="auto"/>
        </w:rPr>
        <w:t>Massachusetts</w:t>
      </w:r>
      <w:r>
        <w:rPr>
          <w:sz w:val="20"/>
          <w:szCs w:val="20"/>
          <w:color w:val="auto"/>
        </w:rPr>
        <w:tab/>
      </w:r>
      <w:r>
        <w:rPr>
          <w:rFonts w:ascii="Arial" w:cs="Arial" w:eastAsia="Arial" w:hAnsi="Arial"/>
          <w:sz w:val="16"/>
          <w:szCs w:val="16"/>
          <w:b w:val="1"/>
          <w:bCs w:val="1"/>
          <w:color w:val="auto"/>
        </w:rPr>
        <w:t>04-2348234</w:t>
      </w:r>
    </w:p>
    <w:p>
      <w:pPr>
        <w:spacing w:after="0" w:line="81" w:lineRule="exact"/>
        <w:rPr>
          <w:sz w:val="24"/>
          <w:szCs w:val="24"/>
          <w:color w:val="auto"/>
        </w:rPr>
      </w:pPr>
    </w:p>
    <w:p>
      <w:pPr>
        <w:ind w:left="1000"/>
        <w:spacing w:after="0"/>
        <w:tabs>
          <w:tab w:leader="none" w:pos="7580" w:val="left"/>
        </w:tabs>
        <w:rPr>
          <w:sz w:val="20"/>
          <w:szCs w:val="20"/>
          <w:color w:val="auto"/>
        </w:rPr>
      </w:pPr>
      <w:r>
        <w:rPr>
          <w:rFonts w:ascii="Arial" w:cs="Arial" w:eastAsia="Arial" w:hAnsi="Arial"/>
          <w:sz w:val="14"/>
          <w:szCs w:val="14"/>
          <w:i w:val="1"/>
          <w:iCs w:val="1"/>
          <w:color w:val="auto"/>
        </w:rPr>
        <w:t>(State or other jurisdiction of incorporation or organization)</w:t>
      </w:r>
      <w:r>
        <w:rPr>
          <w:sz w:val="20"/>
          <w:szCs w:val="20"/>
          <w:color w:val="auto"/>
        </w:rPr>
        <w:tab/>
      </w:r>
      <w:r>
        <w:rPr>
          <w:rFonts w:ascii="Arial" w:cs="Arial" w:eastAsia="Arial" w:hAnsi="Arial"/>
          <w:sz w:val="13"/>
          <w:szCs w:val="13"/>
          <w:i w:val="1"/>
          <w:iCs w:val="1"/>
          <w:color w:val="auto"/>
        </w:rPr>
        <w:t>(I.R.S. Employer Identification No.)</w:t>
      </w:r>
    </w:p>
    <w:p>
      <w:pPr>
        <w:spacing w:after="0" w:line="384" w:lineRule="exact"/>
        <w:rPr>
          <w:sz w:val="24"/>
          <w:szCs w:val="24"/>
          <w:color w:val="auto"/>
        </w:rPr>
      </w:pPr>
    </w:p>
    <w:p>
      <w:pPr>
        <w:ind w:left="1480"/>
        <w:spacing w:after="0"/>
        <w:tabs>
          <w:tab w:leader="none" w:pos="8220" w:val="left"/>
        </w:tabs>
        <w:rPr>
          <w:sz w:val="20"/>
          <w:szCs w:val="20"/>
          <w:color w:val="auto"/>
        </w:rPr>
      </w:pPr>
      <w:r>
        <w:rPr>
          <w:rFonts w:ascii="Arial" w:cs="Arial" w:eastAsia="Arial" w:hAnsi="Arial"/>
          <w:sz w:val="16"/>
          <w:szCs w:val="16"/>
          <w:b w:val="1"/>
          <w:bCs w:val="1"/>
          <w:color w:val="auto"/>
        </w:rPr>
        <w:t>One Technology Way, Norwood, MA</w:t>
      </w:r>
      <w:r>
        <w:rPr>
          <w:sz w:val="20"/>
          <w:szCs w:val="20"/>
          <w:color w:val="auto"/>
        </w:rPr>
        <w:tab/>
      </w:r>
      <w:r>
        <w:rPr>
          <w:rFonts w:ascii="Arial" w:cs="Arial" w:eastAsia="Arial" w:hAnsi="Arial"/>
          <w:sz w:val="14"/>
          <w:szCs w:val="14"/>
          <w:b w:val="1"/>
          <w:bCs w:val="1"/>
          <w:color w:val="auto"/>
        </w:rPr>
        <w:t>02062-9106</w:t>
      </w:r>
    </w:p>
    <w:p>
      <w:pPr>
        <w:spacing w:after="0" w:line="81" w:lineRule="exact"/>
        <w:rPr>
          <w:sz w:val="24"/>
          <w:szCs w:val="24"/>
          <w:color w:val="auto"/>
        </w:rPr>
      </w:pPr>
    </w:p>
    <w:p>
      <w:pPr>
        <w:ind w:left="1620"/>
        <w:spacing w:after="0"/>
        <w:tabs>
          <w:tab w:leader="none" w:pos="8300" w:val="left"/>
        </w:tabs>
        <w:rPr>
          <w:sz w:val="20"/>
          <w:szCs w:val="20"/>
          <w:color w:val="auto"/>
        </w:rPr>
      </w:pPr>
      <w:r>
        <w:rPr>
          <w:rFonts w:ascii="Arial" w:cs="Arial" w:eastAsia="Arial" w:hAnsi="Arial"/>
          <w:sz w:val="14"/>
          <w:szCs w:val="14"/>
          <w:i w:val="1"/>
          <w:iCs w:val="1"/>
          <w:color w:val="auto"/>
        </w:rPr>
        <w:t>(Address of principal executive offices)</w:t>
      </w:r>
      <w:r>
        <w:rPr>
          <w:sz w:val="20"/>
          <w:szCs w:val="20"/>
          <w:color w:val="auto"/>
        </w:rPr>
        <w:tab/>
      </w:r>
      <w:r>
        <w:rPr>
          <w:rFonts w:ascii="Arial" w:cs="Arial" w:eastAsia="Arial" w:hAnsi="Arial"/>
          <w:sz w:val="13"/>
          <w:szCs w:val="13"/>
          <w:i w:val="1"/>
          <w:iCs w:val="1"/>
          <w:color w:val="auto"/>
        </w:rPr>
        <w:t>(Zip Code)</w:t>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(781) 329-4700</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p>
      <w:pPr>
        <w:ind w:left="1520"/>
        <w:spacing w:after="0"/>
        <w:tabs>
          <w:tab w:leader="none" w:pos="7580" w:val="left"/>
        </w:tabs>
        <w:rPr>
          <w:sz w:val="20"/>
          <w:szCs w:val="20"/>
          <w:color w:val="auto"/>
        </w:rPr>
      </w:pPr>
      <w:r>
        <w:rPr>
          <w:rFonts w:ascii="Arial" w:cs="Arial" w:eastAsia="Arial" w:hAnsi="Arial"/>
          <w:sz w:val="16"/>
          <w:szCs w:val="16"/>
          <w:b w:val="1"/>
          <w:bCs w:val="1"/>
          <w:color w:val="auto"/>
        </w:rPr>
        <w:t>Common Stock $0.16 2/3 Par Value</w:t>
      </w:r>
      <w:r>
        <w:rPr>
          <w:sz w:val="20"/>
          <w:szCs w:val="20"/>
          <w:color w:val="auto"/>
        </w:rPr>
        <w:tab/>
      </w:r>
      <w:r>
        <w:rPr>
          <w:rFonts w:ascii="Arial" w:cs="Arial" w:eastAsia="Arial" w:hAnsi="Arial"/>
          <w:sz w:val="14"/>
          <w:szCs w:val="14"/>
          <w:b w:val="1"/>
          <w:bCs w:val="1"/>
          <w:color w:val="auto"/>
        </w:rPr>
        <w:t>Nasdaq Global Select Market</w:t>
      </w:r>
    </w:p>
    <w:p>
      <w:pPr>
        <w:spacing w:after="0" w:line="68" w:lineRule="exact"/>
        <w:rPr>
          <w:sz w:val="24"/>
          <w:szCs w:val="24"/>
          <w:color w:val="auto"/>
        </w:rPr>
      </w:pPr>
    </w:p>
    <w:p>
      <w:pPr>
        <w:ind w:left="2200"/>
        <w:spacing w:after="0"/>
        <w:tabs>
          <w:tab w:leader="none" w:pos="7280" w:val="left"/>
        </w:tabs>
        <w:rPr>
          <w:sz w:val="20"/>
          <w:szCs w:val="20"/>
          <w:color w:val="auto"/>
        </w:rPr>
      </w:pPr>
      <w:r>
        <w:rPr>
          <w:rFonts w:ascii="Arial" w:cs="Arial" w:eastAsia="Arial" w:hAnsi="Arial"/>
          <w:sz w:val="14"/>
          <w:szCs w:val="14"/>
          <w:i w:val="1"/>
          <w:iCs w:val="1"/>
          <w:color w:val="auto"/>
        </w:rPr>
        <w:t>Title of Each Class</w:t>
      </w:r>
      <w:r>
        <w:rPr>
          <w:sz w:val="20"/>
          <w:szCs w:val="20"/>
          <w:color w:val="auto"/>
        </w:rPr>
        <w:tab/>
      </w:r>
      <w:r>
        <w:rPr>
          <w:rFonts w:ascii="Arial" w:cs="Arial" w:eastAsia="Arial" w:hAnsi="Arial"/>
          <w:sz w:val="12"/>
          <w:szCs w:val="12"/>
          <w:i w:val="1"/>
          <w:iCs w:val="1"/>
          <w:color w:val="auto"/>
        </w:rPr>
        <w:t>Name of Each Exchange on Which Registered</w:t>
      </w:r>
    </w:p>
    <w:p>
      <w:pPr>
        <w:spacing w:after="0" w:line="15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None</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Title of Class</w:t>
      </w:r>
    </w:p>
    <w:p>
      <w:pPr>
        <w:spacing w:after="0" w:line="49" w:lineRule="exact"/>
        <w:rPr>
          <w:sz w:val="24"/>
          <w:szCs w:val="24"/>
          <w:color w:val="auto"/>
        </w:rPr>
      </w:pPr>
    </w:p>
    <w:p>
      <w:pPr>
        <w:ind w:left="340" w:right="226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 Indicate by check mark if the registrant is not required to file reports pursuant to Section 13 or Section 15(d) of the Act. YES o NO </w:t>
      </w:r>
      <w:r>
        <w:rPr>
          <w:rFonts w:ascii="MS PGothic" w:cs="MS PGothic" w:eastAsia="MS PGothic" w:hAnsi="MS PGothic"/>
          <w:sz w:val="15"/>
          <w:szCs w:val="15"/>
          <w:color w:val="auto"/>
        </w:rPr>
        <w:t>☑</w:t>
      </w:r>
    </w:p>
    <w:p>
      <w:pPr>
        <w:spacing w:after="0" w:line="47" w:lineRule="exact"/>
        <w:rPr>
          <w:sz w:val="24"/>
          <w:szCs w:val="24"/>
          <w:color w:val="auto"/>
        </w:rPr>
      </w:pPr>
    </w:p>
    <w:p>
      <w:pPr>
        <w:ind w:right="5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48" w:lineRule="exact"/>
        <w:rPr>
          <w:sz w:val="24"/>
          <w:szCs w:val="24"/>
          <w:color w:val="auto"/>
        </w:rPr>
      </w:pPr>
    </w:p>
    <w:p>
      <w:pPr>
        <w:ind w:right="240"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47" w:lineRule="exact"/>
        <w:rPr>
          <w:sz w:val="24"/>
          <w:szCs w:val="24"/>
          <w:color w:val="auto"/>
        </w:rPr>
      </w:pPr>
    </w:p>
    <w:p>
      <w:pPr>
        <w:ind w:right="60" w:firstLine="324"/>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(Sec.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48" w:lineRule="exact"/>
        <w:rPr>
          <w:sz w:val="24"/>
          <w:szCs w:val="24"/>
          <w:color w:val="auto"/>
        </w:rPr>
      </w:pPr>
    </w:p>
    <w:p>
      <w:pPr>
        <w:ind w:firstLine="324"/>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p>
      <w:pPr>
        <w:ind w:left="40"/>
        <w:spacing w:after="0"/>
        <w:tabs>
          <w:tab w:leader="none" w:pos="1700" w:val="left"/>
          <w:tab w:leader="none" w:pos="3620" w:val="left"/>
          <w:tab w:leader="none" w:pos="6220" w:val="left"/>
          <w:tab w:leader="none" w:pos="8160" w:val="left"/>
        </w:tabs>
        <w:rPr>
          <w:sz w:val="20"/>
          <w:szCs w:val="20"/>
          <w:color w:val="auto"/>
        </w:rPr>
      </w:pPr>
      <w:r>
        <w:rPr>
          <w:rFonts w:ascii="Arial" w:cs="Arial" w:eastAsia="Arial" w:hAnsi="Arial"/>
          <w:sz w:val="16"/>
          <w:szCs w:val="16"/>
          <w:color w:val="auto"/>
        </w:rPr>
        <w:t>Large accelerated filer</w:t>
        <w:tab/>
        <w:t>Accelerated filer</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6"/>
          <w:szCs w:val="16"/>
          <w:color w:val="auto"/>
        </w:rPr>
        <w:t>Smaller reporting</w:t>
      </w:r>
      <w:r>
        <w:rPr>
          <w:sz w:val="20"/>
          <w:szCs w:val="20"/>
          <w:color w:val="auto"/>
        </w:rPr>
        <w:tab/>
      </w:r>
      <w:r>
        <w:rPr>
          <w:rFonts w:ascii="Arial" w:cs="Arial" w:eastAsia="Arial" w:hAnsi="Arial"/>
          <w:sz w:val="14"/>
          <w:szCs w:val="14"/>
          <w:color w:val="auto"/>
        </w:rPr>
        <w:t>Emerging growth</w:t>
      </w:r>
    </w:p>
    <w:p>
      <w:pPr>
        <w:spacing w:after="0" w:line="22" w:lineRule="exact"/>
        <w:rPr>
          <w:sz w:val="24"/>
          <w:szCs w:val="24"/>
          <w:color w:val="auto"/>
        </w:rPr>
      </w:pPr>
    </w:p>
    <w:p>
      <w:pPr>
        <w:ind w:left="700"/>
        <w:spacing w:after="0" w:line="184" w:lineRule="exact"/>
        <w:tabs>
          <w:tab w:leader="none" w:pos="2200" w:val="left"/>
          <w:tab w:leader="none" w:pos="6440" w:val="left"/>
          <w:tab w:leader="none" w:pos="83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company o</w:t>
      </w:r>
      <w:r>
        <w:rPr>
          <w:sz w:val="20"/>
          <w:szCs w:val="20"/>
          <w:color w:val="auto"/>
        </w:rPr>
        <w:tab/>
      </w:r>
      <w:r>
        <w:rPr>
          <w:rFonts w:ascii="Arial" w:cs="Arial" w:eastAsia="Arial" w:hAnsi="Arial"/>
          <w:sz w:val="14"/>
          <w:szCs w:val="14"/>
          <w:color w:val="auto"/>
        </w:rPr>
        <w:t>company o</w:t>
      </w:r>
    </w:p>
    <w:p>
      <w:pPr>
        <w:spacing w:after="0" w:line="96" w:lineRule="exact"/>
        <w:rPr>
          <w:sz w:val="24"/>
          <w:szCs w:val="24"/>
          <w:color w:val="auto"/>
        </w:rPr>
      </w:pPr>
    </w:p>
    <w:p>
      <w:pPr>
        <w:ind w:right="420" w:firstLine="324"/>
        <w:spacing w:after="0" w:line="26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if the Exchange Act o</w:t>
      </w:r>
    </w:p>
    <w:p>
      <w:pPr>
        <w:ind w:left="340"/>
        <w:spacing w:after="0" w:line="184" w:lineRule="exact"/>
        <w:tabs>
          <w:tab w:leader="none" w:pos="7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16" w:lineRule="exact"/>
        <w:rPr>
          <w:sz w:val="24"/>
          <w:szCs w:val="24"/>
          <w:color w:val="auto"/>
        </w:rPr>
      </w:pPr>
    </w:p>
    <w:p>
      <w:pPr>
        <w:ind w:right="220" w:firstLine="324"/>
        <w:spacing w:after="0" w:line="256"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approximately $26,590,000,000 based on the last reported sale of the Common Stock on The Nasdaq Global Select Market on May 6, 2018. Shares of voting and non-voting stock beneficially owned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November 3, 2018, there were 370,159,553 shares of Common Stock, $0.16 2/3 par value per share, outstanding.</w:t>
      </w:r>
    </w:p>
    <w:p>
      <w:pPr>
        <w:spacing w:after="0" w:line="69"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6" w:lineRule="exact"/>
        <w:rPr>
          <w:sz w:val="24"/>
          <w:szCs w:val="24"/>
          <w:color w:val="auto"/>
        </w:rPr>
      </w:pPr>
    </w:p>
    <w:p>
      <w:pPr>
        <w:ind w:left="40"/>
        <w:spacing w:after="0"/>
        <w:tabs>
          <w:tab w:leader="none" w:pos="10220" w:val="left"/>
        </w:tabs>
        <w:rPr>
          <w:sz w:val="20"/>
          <w:szCs w:val="20"/>
          <w:color w:val="auto"/>
        </w:rPr>
      </w:pPr>
      <w:r>
        <w:rPr>
          <w:rFonts w:ascii="Arial" w:cs="Arial" w:eastAsia="Arial" w:hAnsi="Arial"/>
          <w:sz w:val="14"/>
          <w:szCs w:val="14"/>
          <w:b w:val="1"/>
          <w:bCs w:val="1"/>
          <w:color w:val="auto"/>
        </w:rPr>
        <w:t>Document Description</w:t>
      </w:r>
      <w:r>
        <w:rPr>
          <w:sz w:val="20"/>
          <w:szCs w:val="20"/>
          <w:color w:val="auto"/>
        </w:rPr>
        <w:tab/>
      </w:r>
      <w:r>
        <w:rPr>
          <w:rFonts w:ascii="Arial" w:cs="Arial" w:eastAsia="Arial" w:hAnsi="Arial"/>
          <w:sz w:val="13"/>
          <w:szCs w:val="13"/>
          <w:b w:val="1"/>
          <w:bCs w:val="1"/>
          <w:color w:val="auto"/>
        </w:rPr>
        <w:t>Form 10-K Part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72" w:right="259" w:bottom="1440" w:gutter="0" w:footer="0" w:header="0"/>
        </w:sectPr>
      </w:pPr>
    </w:p>
    <w:p>
      <w:pPr>
        <w:spacing w:after="0" w:line="68" w:lineRule="exact"/>
        <w:rPr>
          <w:sz w:val="24"/>
          <w:szCs w:val="24"/>
          <w:color w:val="auto"/>
        </w:rPr>
      </w:pPr>
    </w:p>
    <w:p>
      <w:pPr>
        <w:ind w:left="40"/>
        <w:spacing w:after="0"/>
        <w:tabs>
          <w:tab w:leader="none" w:pos="10640" w:val="left"/>
        </w:tabs>
        <w:rPr>
          <w:sz w:val="20"/>
          <w:szCs w:val="20"/>
          <w:color w:val="auto"/>
        </w:rPr>
      </w:pPr>
      <w:r>
        <w:rPr>
          <w:rFonts w:ascii="Arial" w:cs="Arial" w:eastAsia="Arial" w:hAnsi="Arial"/>
          <w:sz w:val="16"/>
          <w:szCs w:val="16"/>
          <w:color w:val="auto"/>
        </w:rPr>
        <w:t>Portions of the Registrant’s Proxy Statement for the Annual Meeting of Shareholders to be held March 13, 2019</w:t>
      </w:r>
      <w:r>
        <w:rPr>
          <w:sz w:val="20"/>
          <w:szCs w:val="20"/>
          <w:color w:val="auto"/>
        </w:rPr>
        <w:tab/>
      </w:r>
      <w:r>
        <w:rPr>
          <w:rFonts w:ascii="Arial" w:cs="Arial" w:eastAsia="Arial" w:hAnsi="Arial"/>
          <w:sz w:val="16"/>
          <w:szCs w:val="16"/>
          <w:color w:val="auto"/>
        </w:rPr>
        <w:t>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72"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2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20"/>
                <w:szCs w:val="20"/>
                <w:color w:val="auto"/>
              </w:rPr>
            </w:pPr>
          </w:p>
        </w:tc>
      </w:tr>
      <w:tr>
        <w:trPr>
          <w:trHeight w:val="594"/>
        </w:trPr>
        <w:tc>
          <w:tcPr>
            <w:tcW w:w="10020" w:type="dxa"/>
            <w:vAlign w:val="bottom"/>
          </w:tcPr>
          <w:p>
            <w:pPr>
              <w:spacing w:after="0"/>
              <w:rPr>
                <w:sz w:val="20"/>
                <w:szCs w:val="20"/>
                <w:color w:val="auto"/>
              </w:rPr>
            </w:pPr>
            <w:r>
              <w:rPr>
                <w:rFonts w:ascii="Arial" w:cs="Arial" w:eastAsia="Arial" w:hAnsi="Arial"/>
                <w:sz w:val="18"/>
                <w:szCs w:val="18"/>
                <w:color w:val="auto"/>
              </w:rPr>
              <w:t>Note about Forward-Looking Statements</w:t>
            </w:r>
          </w:p>
        </w:tc>
        <w:tc>
          <w:tcPr>
            <w:tcW w:w="13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PART I</w:t>
            </w:r>
          </w:p>
        </w:tc>
        <w:tc>
          <w:tcPr>
            <w:tcW w:w="13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 Business</w:t>
            </w:r>
          </w:p>
        </w:tc>
        <w:tc>
          <w:tcPr>
            <w:tcW w:w="13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1A. Risk Factors</w:t>
            </w:r>
          </w:p>
        </w:tc>
        <w:tc>
          <w:tcPr>
            <w:tcW w:w="134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9</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1B. Unresolved Staff Comments</w:t>
            </w:r>
          </w:p>
        </w:tc>
        <w:tc>
          <w:tcPr>
            <w:tcW w:w="134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20</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2. Properties</w:t>
            </w:r>
          </w:p>
        </w:tc>
        <w:tc>
          <w:tcPr>
            <w:tcW w:w="134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20</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3. Legal Proceedings</w:t>
            </w:r>
          </w:p>
        </w:tc>
        <w:tc>
          <w:tcPr>
            <w:tcW w:w="134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21</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4. Mine Safety Disclosures</w:t>
            </w:r>
          </w:p>
        </w:tc>
        <w:tc>
          <w:tcPr>
            <w:tcW w:w="134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21</w:t>
              </w:r>
            </w:hyperlink>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Executive Officers of the Company</w:t>
            </w:r>
          </w:p>
        </w:tc>
        <w:tc>
          <w:tcPr>
            <w:tcW w:w="134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21</w:t>
              </w:r>
            </w:hyperlink>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PART II</w:t>
            </w:r>
          </w:p>
        </w:tc>
        <w:tc>
          <w:tcPr>
            <w:tcW w:w="134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23</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5. Market for Registrant's Common Equity, Related Stockholder Matters and Issuer Purchases of Equity Securities</w:t>
            </w:r>
          </w:p>
        </w:tc>
        <w:tc>
          <w:tcPr>
            <w:tcW w:w="134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23</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6. Selected Financial Data</w:t>
            </w:r>
          </w:p>
        </w:tc>
        <w:tc>
          <w:tcPr>
            <w:tcW w:w="13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24</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tc>
        <w:tc>
          <w:tcPr>
            <w:tcW w:w="13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7A. Quantitative and Qualitative Disclosures about Market Risk</w:t>
            </w:r>
          </w:p>
        </w:tc>
        <w:tc>
          <w:tcPr>
            <w:tcW w:w="13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Report of Independent Registered Public Accounting Firm</w:t>
            </w:r>
          </w:p>
        </w:tc>
        <w:tc>
          <w:tcPr>
            <w:tcW w:w="134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8. Financial Statements and Supplementary Data</w:t>
            </w:r>
          </w:p>
        </w:tc>
        <w:tc>
          <w:tcPr>
            <w:tcW w:w="13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Consolidated Statements of Income</w:t>
            </w:r>
          </w:p>
        </w:tc>
        <w:tc>
          <w:tcPr>
            <w:tcW w:w="13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Consolidated Statements of Comprehensive Income</w:t>
            </w:r>
          </w:p>
        </w:tc>
        <w:tc>
          <w:tcPr>
            <w:tcW w:w="134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Consolidated Balance Sheets</w:t>
            </w:r>
          </w:p>
        </w:tc>
        <w:tc>
          <w:tcPr>
            <w:tcW w:w="13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Consolidated Statements of Shareholders' Equity</w:t>
            </w:r>
          </w:p>
        </w:tc>
        <w:tc>
          <w:tcPr>
            <w:tcW w:w="13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Consolidated Statements of Cash Flows</w:t>
            </w:r>
          </w:p>
        </w:tc>
        <w:tc>
          <w:tcPr>
            <w:tcW w:w="134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Notes to Consolidated Financial Statements</w:t>
            </w:r>
          </w:p>
        </w:tc>
        <w:tc>
          <w:tcPr>
            <w:tcW w:w="13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50</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Supplementary Financial Information</w:t>
            </w:r>
          </w:p>
        </w:tc>
        <w:tc>
          <w:tcPr>
            <w:tcW w:w="134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88</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9. Changes in and Disagreements with Accountants on Accounting and Financial Disclosure</w:t>
            </w:r>
          </w:p>
        </w:tc>
        <w:tc>
          <w:tcPr>
            <w:tcW w:w="134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90</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9A. Controls and Procedures</w:t>
            </w:r>
          </w:p>
        </w:tc>
        <w:tc>
          <w:tcPr>
            <w:tcW w:w="134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90</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9B. Other Information</w:t>
            </w:r>
          </w:p>
        </w:tc>
        <w:tc>
          <w:tcPr>
            <w:tcW w:w="134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91</w:t>
              </w:r>
            </w:hyperlink>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PART III</w:t>
            </w:r>
          </w:p>
        </w:tc>
        <w:tc>
          <w:tcPr>
            <w:tcW w:w="134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92</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10. Directors, Executive Officers and Corporate Governance</w:t>
            </w:r>
          </w:p>
        </w:tc>
        <w:tc>
          <w:tcPr>
            <w:tcW w:w="134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92</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11. Executive Compensation</w:t>
            </w:r>
          </w:p>
        </w:tc>
        <w:tc>
          <w:tcPr>
            <w:tcW w:w="134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92</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tc>
        <w:tc>
          <w:tcPr>
            <w:tcW w:w="134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92</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13. Certain Relationships and Related Transactions, and Director Independence</w:t>
            </w:r>
          </w:p>
        </w:tc>
        <w:tc>
          <w:tcPr>
            <w:tcW w:w="134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92</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14. Principal Accounting Fees and Services</w:t>
            </w:r>
          </w:p>
        </w:tc>
        <w:tc>
          <w:tcPr>
            <w:tcW w:w="134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92</w:t>
              </w:r>
            </w:hyperlink>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PART IV</w:t>
            </w:r>
          </w:p>
        </w:tc>
        <w:tc>
          <w:tcPr>
            <w:tcW w:w="134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93</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15. Exhibits and Financial Statement Schedules</w:t>
            </w:r>
          </w:p>
        </w:tc>
        <w:tc>
          <w:tcPr>
            <w:tcW w:w="134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93</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SCHEDULE II - VALUATION AND QUALIFYING ACCOUNTS</w:t>
            </w:r>
          </w:p>
        </w:tc>
        <w:tc>
          <w:tcPr>
            <w:tcW w:w="134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98</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16. Form 10-K Summary</w:t>
            </w:r>
          </w:p>
        </w:tc>
        <w:tc>
          <w:tcPr>
            <w:tcW w:w="134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99</w:t>
              </w:r>
            </w:hyperlink>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Signatures</w:t>
            </w:r>
          </w:p>
        </w:tc>
        <w:tc>
          <w:tcPr>
            <w:tcW w:w="134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100</w:t>
              </w:r>
            </w:hyperlink>
          </w:p>
        </w:tc>
      </w:tr>
    </w:tbl>
    <w:p>
      <w:pPr>
        <w:sectPr>
          <w:pgSz w:w="11900" w:h="16838" w:orient="portrait"/>
          <w:cols w:equalWidth="0" w:num="1">
            <w:col w:w="11360"/>
          </w:cols>
          <w:pgMar w:left="280" w:top="5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3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Annual Report on Form 10-K, including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 debt; our expected tax rate; expected cost savings; the effect of new accounting pronouncements; our ability to successfully integrate acquired businesses and technologies, including the integration of the acquired business, operations and employees of Linear Technology Corporation;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35"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color w:val="auto"/>
        </w:rPr>
        <w:t>Analog Devices, Inc. (we, Analog Devices or the Company) is a leading global high-performance analog technology company. Since our inception in 1965, we have focused on solving our customers’ toughest signal processing engineering challenges and playing a fundamental role in efficiently converting, conditioning, and processing real-world phenomena such as temperature, pressure, sound, light, speed, and motion into electrical signals to be used in a wide array of electronic applications. We produce innovative products and technologies that accurately and securely sense, measure, connect, interpret and power, allowing our customers to intelligently bridge the physical and digital domains.</w:t>
      </w:r>
    </w:p>
    <w:p>
      <w:pPr>
        <w:spacing w:after="0" w:line="78" w:lineRule="exact"/>
        <w:rPr>
          <w:sz w:val="20"/>
          <w:szCs w:val="20"/>
          <w:color w:val="auto"/>
        </w:rPr>
      </w:pPr>
    </w:p>
    <w:p>
      <w:pPr>
        <w:ind w:right="220" w:firstLine="392"/>
        <w:spacing w:after="0" w:line="273" w:lineRule="auto"/>
        <w:rPr>
          <w:sz w:val="20"/>
          <w:szCs w:val="20"/>
          <w:color w:val="auto"/>
        </w:rPr>
      </w:pPr>
      <w:r>
        <w:rPr>
          <w:rFonts w:ascii="Arial" w:cs="Arial" w:eastAsia="Arial" w:hAnsi="Arial"/>
          <w:sz w:val="17"/>
          <w:szCs w:val="17"/>
          <w:color w:val="auto"/>
        </w:rPr>
        <w:t>We design, manufacture, and market a broad portfolio of solutions, including integrated circuits (ICs), algorithms, software, and subsystems that leverage high-performance analog, mixed-signal, and digital signal processing technologies. Our fusion of cutting-edge sensors, data converters, amplifiers and linear products, radio frequency (RF) ICs, power management products, and other signal processing products with deep industry expertise allows us to create robust technology platforms that meet a broad spectrum of customer and market needs. As new generations of applications evolve - such as autonomous vehicles, 5G networks, intelligent factories, and smart healthcare devices - the demand for Analog Devices’ high-performance analog signal processing and digital signal processing (DSP) products and technologies is increasing.</w:t>
      </w:r>
    </w:p>
    <w:p>
      <w:pPr>
        <w:spacing w:after="0" w:line="84"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We focus on key strategic markets such as industrial, automotive, consumer, and communications where our signal processing technology is often a critical differentiator in our customers’ products. Used by more than 125,000 customers worldwide, our products are embedded inside many different types of electronic equipment including:</w:t>
      </w:r>
    </w:p>
    <w:p>
      <w:pPr>
        <w:sectPr>
          <w:pgSz w:w="11900" w:h="16838" w:orient="portrait"/>
          <w:cols w:equalWidth="0" w:num="1">
            <w:col w:w="11400"/>
          </w:cols>
          <w:pgMar w:left="240" w:top="580" w:right="259" w:bottom="1440" w:gutter="0" w:footer="0" w:header="0"/>
        </w:sect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 Industrial process control systems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center"/>
        <w:ind w:right="3280"/>
        <w:spacing w:after="0"/>
        <w:rPr>
          <w:sz w:val="20"/>
          <w:szCs w:val="20"/>
          <w:color w:val="auto"/>
        </w:rPr>
      </w:pPr>
      <w:r>
        <w:rPr>
          <w:rFonts w:ascii="Arial" w:cs="Arial" w:eastAsia="Arial" w:hAnsi="Arial"/>
          <w:sz w:val="16"/>
          <w:szCs w:val="16"/>
          <w:color w:val="auto"/>
        </w:rPr>
        <w:t>• Medical imaging equipment</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Factory process automation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Patient vital signs monitoring devices</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Instrumentation and measurement systems</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color w:val="auto"/>
        </w:rPr>
        <w:t>• Wireless infrastructure equipment</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Energy management systems</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Arial" w:cs="Arial" w:eastAsia="Arial" w:hAnsi="Arial"/>
          <w:sz w:val="16"/>
          <w:szCs w:val="16"/>
          <w:color w:val="auto"/>
        </w:rPr>
        <w:t>• Networking equipment</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Aerospace and defense electronics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Optical systems</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Automobiles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Portable consumer devices</w:t>
      </w:r>
    </w:p>
    <w:p>
      <w:pPr>
        <w:spacing w:after="0" w:line="200"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spacing w:after="0" w:line="89" w:lineRule="exact"/>
        <w:rPr>
          <w:sz w:val="20"/>
          <w:szCs w:val="20"/>
          <w:color w:val="auto"/>
        </w:rPr>
      </w:pPr>
    </w:p>
    <w:p>
      <w:pPr>
        <w:jc w:val="both"/>
        <w:ind w:right="280" w:firstLine="392"/>
        <w:spacing w:after="0" w:line="264" w:lineRule="auto"/>
        <w:rPr>
          <w:sz w:val="20"/>
          <w:szCs w:val="20"/>
          <w:color w:val="auto"/>
        </w:rPr>
      </w:pPr>
      <w:r>
        <w:rPr>
          <w:rFonts w:ascii="Arial" w:cs="Arial" w:eastAsia="Arial" w:hAnsi="Arial"/>
          <w:sz w:val="18"/>
          <w:szCs w:val="18"/>
          <w:color w:val="auto"/>
        </w:rPr>
        <w:t>We were incorporated in Massachusetts in 1965. Our headquarters are near Boston, in Norwood, Massachusetts. In addition, we have manufacturing facilities in the United States, Ireland, and Southeast Asia. Our common stock is listed on The Nasdaq Global Select Market under the symbol ADI and is included in the Standard &amp; Poor’s 500 Index.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Linear Technology Corporation</w:t>
      </w:r>
    </w:p>
    <w:p>
      <w:pPr>
        <w:spacing w:after="0" w:line="13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March 10, 2017 (Acquisition Date), we completed the acquisition of Linear Technology Corporation (Linear), an independent manufacturer of high performance analog integrated circuits. The total consideration paid to acquire Linear was approximately $15.8 billion, consisting of $11.1 billion in cash financed through existing cash on hand, net proceeds from bridge and term loan facilities and proceeds received from the issuance of senior unsecured notes, $4.6 billion from the issuance of our common stock and $0.1 billion of consideration related to the replacement of outstanding equity awards held by Linear employees. The acquisition of Linear is referred to as the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(including exhibits), and amendments to these reports, as soon as reasonably practicable after we electronically file such material with, or furnish such material to, the Securities and Exchange Commission (SEC). We also make available on our website our by-laws, corporate governance guidelines, the charters for our audit committee, compensation committee, and nominating and corporate governance committee, our equity award granting policies, our code of business conduct and ethics which applies to our directors, officers and employees, and our related person transaction policy, and such information is available in print and free of charge to any shareholder of Analog Devices who requests it. In addition, we intend to disclose on our website any amendments to, or waivers from, our code of business conduct and ethics that are required to be publicly disclosed pursuant to rules of the SEC or Nasdaq.</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0"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Industry Background</w:t>
      </w:r>
    </w:p>
    <w:p>
      <w:pPr>
        <w:spacing w:after="0" w:line="13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Semiconductor components are the electronic building blocks used in electronic systems and equipment. These components are classified as either discrete devices, such as individual transistors or ICs, in which a number of transistors and other elements are combined to form a more complicated electronic circuit. ICs may be divided into two general categories, digital and analog. Digital circuits, such as memory devices and microprocessors, generally process on-off electrical signals, represented by binary digits, “1” and “0.” In contrast, analog ICs monitor, condition, amplify or transform continuous analog signals associated with physical properties, such as temperature, pressure, weight, light, sound or motion, and play an important role in bridging between real world phenomena and a variety of electronic systems. Analog ICs also provide voltage regulation and power control to electronic systems.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135"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We design, manufacture and market a broad line of high-performance ICs that incorporate analog, mixed-signal and digital signal processing technologies. Our ICs are designed to address a wide range of real-world signal processing applications. We sell our ICs to tens of thousands of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We also focus on working with leading customers to design application-specific solutions. We begin with our existing core technologies, which leverage our data conversion, amplification, RF and microwave, microelectromechanical systems (MEMS), power management and DSP capabilities, and devise a solution to more closely meet the needs of a specific customer or group of customers. Because we have already developed the core technology platform for our general-purpose products, we can create application-specific solutions quickly.</w:t>
      </w:r>
    </w:p>
    <w:p>
      <w:pPr>
        <w:spacing w:after="0" w:line="7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produce and market a broad range of ICs and operate in one reportable segment based on the aggregation of eight operating segments. The ICs sold by each of our operating segments are manufactured using similar semiconductor manufacturing processes and raw materials in either our own production facilities or by third-party wafer fabricators using proprietary processes. Our ICs are sold to customers globally through a direct sales force, third-party distributors, independent sales representatives and via our website. Our technology offerings are aligned with the predominant markets served in order to facilitate decision making throughout our organization. Our ten highest revenue products, in the aggregate, accounted for approximately 10% of our revenue for our fiscal year ended November 3, 2018 (fiscal 2018).</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Analog Products</w:t>
      </w:r>
    </w:p>
    <w:p>
      <w:pPr>
        <w:spacing w:after="0" w:line="131"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Our analog and mixed signal IC technology has been the foundation of our business for over five decades, and we are one of the world’s largest suppliers of high-performance analog ICs. Our analog signal processing ICs are primarily high-performance devices, offering higher dynamic range, greater bandwidth, and other enhanced features. We believe that the principal advantages these products have as compared to competitors’ products include higher accuracy, higher speed, lower cost per function, smaller size, lower power consumption and fewer components, resulting in improved performance and reliability. Our product portfolio includes several thousand analog ICs, any one of which can have as many as several hundred customers. Our analog ICs typically have long product life cycles. Our analog IC customers include original equipment manufacturers (OEMs) and customers who build electronic subsystems for integration into larger systems.</w:t>
      </w:r>
    </w:p>
    <w:p>
      <w:pPr>
        <w:spacing w:after="0" w:line="83"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i w:val="1"/>
          <w:iCs w:val="1"/>
          <w:color w:val="auto"/>
        </w:rPr>
        <w:t xml:space="preserve">Converters </w:t>
      </w:r>
      <w:r>
        <w:rPr>
          <w:rFonts w:ascii="Arial" w:cs="Arial" w:eastAsia="Arial" w:hAnsi="Arial"/>
          <w:sz w:val="17"/>
          <w:szCs w:val="17"/>
          <w:color w:val="auto"/>
        </w:rPr>
        <w:t>— We are a leading supplier of data converter products. Data converters translate real-world analog signals into digital data and also</w:t>
      </w:r>
      <w:r>
        <w:rPr>
          <w:rFonts w:ascii="Arial" w:cs="Arial" w:eastAsia="Arial" w:hAnsi="Arial"/>
          <w:sz w:val="17"/>
          <w:szCs w:val="17"/>
          <w:i w:val="1"/>
          <w:iCs w:val="1"/>
          <w:color w:val="auto"/>
        </w:rPr>
        <w:t xml:space="preserve"> </w:t>
      </w:r>
      <w:r>
        <w:rPr>
          <w:rFonts w:ascii="Arial" w:cs="Arial" w:eastAsia="Arial" w:hAnsi="Arial"/>
          <w:sz w:val="17"/>
          <w:szCs w:val="17"/>
          <w:color w:val="auto"/>
        </w:rPr>
        <w:t>translate digital data into analog signals. Data converters remain our largest and most diverse product family and an area where we are continuously innovating to enable our customers to redefine and differentiate their products. Our converter products combine sampling rates and accuracy with the low noise, power, price and small package size required by industrial, automotive, consumer, and communications electronics.</w:t>
      </w:r>
    </w:p>
    <w:p>
      <w:pPr>
        <w:spacing w:after="0" w:line="7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Amplifiers/Radio Frequency (RF) and Microwave</w:t>
      </w:r>
      <w:r>
        <w:rPr>
          <w:rFonts w:ascii="Arial" w:cs="Arial" w:eastAsia="Arial" w:hAnsi="Arial"/>
          <w:sz w:val="17"/>
          <w:szCs w:val="17"/>
          <w:color w:val="auto"/>
        </w:rPr>
        <w:t>— We are also a leading supplier of high-performance amplifiers. Amplifiers are used to condition</w:t>
      </w:r>
      <w:r>
        <w:rPr>
          <w:rFonts w:ascii="Arial" w:cs="Arial" w:eastAsia="Arial" w:hAnsi="Arial"/>
          <w:sz w:val="17"/>
          <w:szCs w:val="17"/>
          <w:i w:val="1"/>
          <w:iCs w:val="1"/>
          <w:color w:val="auto"/>
        </w:rPr>
        <w:t xml:space="preserve"> </w:t>
      </w:r>
      <w:r>
        <w:rPr>
          <w:rFonts w:ascii="Arial" w:cs="Arial" w:eastAsia="Arial" w:hAnsi="Arial"/>
          <w:sz w:val="17"/>
          <w:szCs w:val="17"/>
          <w:color w:val="auto"/>
        </w:rPr>
        <w:t>analog signals. High performance amplifiers emphasize the performance dimensions of speed and precision. Within this product portfolio we provide precision, instrumentation, high speed, intermediate frequency/RF/microwave, broadband, and other amplifiers. Our analog product line also includes a broad portfolio of high performance RF and microwave ICs covering the entire RF signal chain, from industry-leading stand-alone RF function blocks such as phase locked loops, frequency synthesizers, mixers, modulators, demodulators, and power detectors, to highly integrated broadband and short-range single chip transceiver solutions. Our high performance RF and microwave ICs support the high performance requirements of cellular infrastructure and a broad range of applications in our target markets, including instrumentation, aerospace and automotive.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10" w:right="239" w:bottom="1440" w:gutter="0" w:footer="0" w:header="0"/>
        </w:sectPr>
      </w:pPr>
    </w:p>
    <w:bookmarkStart w:id="5" w:name="page6"/>
    <w:bookmarkEnd w:id="5"/>
    <w:p>
      <w:pPr>
        <w:ind w:right="80" w:firstLine="432"/>
        <w:spacing w:after="0" w:line="276" w:lineRule="auto"/>
        <w:rPr>
          <w:sz w:val="20"/>
          <w:szCs w:val="20"/>
          <w:color w:val="auto"/>
        </w:rPr>
      </w:pPr>
      <w:r>
        <w:rPr>
          <w:rFonts w:ascii="Arial" w:cs="Arial" w:eastAsia="Arial" w:hAnsi="Arial"/>
          <w:sz w:val="17"/>
          <w:szCs w:val="17"/>
          <w:i w:val="1"/>
          <w:iCs w:val="1"/>
          <w:color w:val="auto"/>
        </w:rPr>
        <w:t xml:space="preserve">Power Management &amp; Reference </w:t>
      </w:r>
      <w:r>
        <w:rPr>
          <w:rFonts w:ascii="Arial" w:cs="Arial" w:eastAsia="Arial" w:hAnsi="Arial"/>
          <w:sz w:val="17"/>
          <w:szCs w:val="17"/>
          <w:color w:val="auto"/>
        </w:rPr>
        <w:t>— Power management and reference products, which include functions such as power conversion, driver monitoring,</w:t>
      </w:r>
      <w:r>
        <w:rPr>
          <w:rFonts w:ascii="Arial" w:cs="Arial" w:eastAsia="Arial" w:hAnsi="Arial"/>
          <w:sz w:val="17"/>
          <w:szCs w:val="17"/>
          <w:i w:val="1"/>
          <w:iCs w:val="1"/>
          <w:color w:val="auto"/>
        </w:rPr>
        <w:t xml:space="preserve"> </w:t>
      </w:r>
      <w:r>
        <w:rPr>
          <w:rFonts w:ascii="Arial" w:cs="Arial" w:eastAsia="Arial" w:hAnsi="Arial"/>
          <w:sz w:val="17"/>
          <w:szCs w:val="17"/>
          <w:color w:val="auto"/>
        </w:rPr>
        <w:t>sequencing and energy management, provide efficient solutions for power management and conversion applications in the automotive, communications, industrial and high-end consumer markets. From portable consumer devices to automobiles to high end data centers, the performance and efficiency of modern electronic products is increasingly limited by their power supply systems. Our high performance power ICs include powerful performance, integration and software design simulation tools to provide fast and accurate power supply designs.</w:t>
      </w:r>
    </w:p>
    <w:p>
      <w:pPr>
        <w:spacing w:after="0" w:line="78"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 xml:space="preserve">Other Analog </w:t>
      </w:r>
      <w:r>
        <w:rPr>
          <w:rFonts w:ascii="Arial" w:cs="Arial" w:eastAsia="Arial" w:hAnsi="Arial"/>
          <w:sz w:val="17"/>
          <w:szCs w:val="17"/>
          <w:color w:val="auto"/>
        </w:rPr>
        <w:t>— Our analog technology portfolio is comprised of sensor and actuator products, including products based on MEMS technology. MEMS</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enables us to build extremely small sensors that incorporate an electromechanical structure and the supporting analog circuitry for conditioning signals obtained from the sensing element. Our MEMS product portfolio includes accelerometers used to sense acceleration, gyroscopes used to sense rotation, inertial measurement units used to sense multiple degrees of freedom combining multiple sensing types along multiple axes, and broadband switches suitable for radio and instrument systems. We offer other high performance sensors, from temperature to magnetic fields that are deployed in a variety of systems. In addition to sensor products, our other analog product category includes isolators that enable designers to implement isolation in designs without the cost, size, power, performance, and reliability constraints found with optocouplers. Our isolators have been designed into hundreds of applications, such as universal serial bus isolation in patient monitors, where it allows hospitals and physicians to adopt the latest advances in computer technology to supervise patient health and wirelessly transmit medical records. In smart metering applications, our isolators provide reliable electrostatic discharge performance that helps reduce meter tampering. Likewise, in satellites, where any malfunction can be catastrophic, our isolators help protect the power system while enabling designers to achieve small form factors.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Digital Signal Processing and System Products</w:t>
      </w:r>
    </w:p>
    <w:p>
      <w:pPr>
        <w:spacing w:after="0" w:line="13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Digital Signal Processing products (DSPs) are optimized for high-speed numeric calculations, which are essential for instantaneous, or real-time, processing of digital data generated, in most cases, from analog to digital signal conversion. Our DSPs are designed to be fully programmable and to efficiently execute specialized software programs, or algorithms, associated with processing digitized real-time, real-world data. Programmable DSPs are designed to provide the flexibility to modify the device’s function quickly and inexpensively using software. Our general-purpose DSP IC customers typically write their own algorithms using software development tools provided by us and third-party suppliers. Our DSPs are designed in families of products that share common architectures and therefore can execute the same software across a range of products. We support these products with easy-to-use development tools, which are designed to reduce our customers’ product development costs and time-to-market. Our customers use our products to solve a wide range of signal processing challenges across our core market and segment focus areas within the industrial, automotive, consumer and communications end markets. In many cases, DSPs are embedded with mixed signal functionality to provide System on Chip (SOC) integrated solutions, combining that analog and digital signal processing circuitry to provide a complete signal chain for demanding applications.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Applications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breakdown of our fiscal 2018 revenue by end market is set out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270"/>
        </w:trPr>
        <w:tc>
          <w:tcPr>
            <w:tcW w:w="9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2018</w:t>
            </w:r>
          </w:p>
        </w:tc>
      </w:tr>
      <w:tr>
        <w:trPr>
          <w:trHeight w:val="276"/>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End Market</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Industrial</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70"/>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Automotive</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16%</w:t>
            </w:r>
          </w:p>
        </w:tc>
      </w:tr>
      <w:tr>
        <w:trPr>
          <w:trHeight w:val="270"/>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Consumer</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14%</w:t>
            </w:r>
          </w:p>
        </w:tc>
      </w:tr>
      <w:tr>
        <w:trPr>
          <w:trHeight w:val="270"/>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Communications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20%</w:t>
            </w:r>
          </w:p>
        </w:tc>
      </w:tr>
    </w:tbl>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describes some of the characteristics of, and customer products within, our major end markets: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Industrial </w:t>
      </w:r>
      <w:r>
        <w:rPr>
          <w:rFonts w:ascii="Arial" w:cs="Arial" w:eastAsia="Arial" w:hAnsi="Arial"/>
          <w:sz w:val="18"/>
          <w:szCs w:val="18"/>
          <w:color w:val="auto"/>
        </w:rPr>
        <w:t>— Our industrial market includes the following sectors:</w:t>
      </w:r>
    </w:p>
    <w:p>
      <w:pPr>
        <w:spacing w:after="0" w:line="13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Industrial and Instrumentation </w:t>
      </w:r>
      <w:r>
        <w:rPr>
          <w:rFonts w:ascii="Arial" w:cs="Arial" w:eastAsia="Arial" w:hAnsi="Arial"/>
          <w:sz w:val="18"/>
          <w:szCs w:val="18"/>
          <w:color w:val="auto"/>
        </w:rPr>
        <w:t>— Our industrial automation applications generally require ICs that offer performance greater than that available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commodity-level ICs but generally do not have production volumes that warrant custom ICs. There is a trend towards development of products focused on particular sub-applications, which incorporate combinations of analog, mixed-signal, and DSP ICs to achieve the necessary functionality. Our instrumentation customers differentiate themselves by using the highest performance analog and mixed-signal ICs available. Our industrial and instrumentation market includes applications such as: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06" w:right="239" w:bottom="1440" w:gutter="0" w:footer="0" w:header="0"/>
        </w:sectPr>
      </w:pPr>
    </w:p>
    <w:bookmarkStart w:id="6" w:name="page7"/>
    <w:bookmarkEnd w:id="6"/>
    <w:p>
      <w:pPr>
        <w:ind w:left="40"/>
        <w:spacing w:after="0"/>
        <w:rPr>
          <w:sz w:val="20"/>
          <w:szCs w:val="20"/>
          <w:color w:val="auto"/>
        </w:rPr>
      </w:pPr>
      <w:r>
        <w:rPr>
          <w:rFonts w:ascii="Arial" w:cs="Arial" w:eastAsia="Arial" w:hAnsi="Arial"/>
          <w:sz w:val="15"/>
          <w:szCs w:val="15"/>
          <w:color w:val="auto"/>
        </w:rPr>
        <w:t>• Process control systems</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Arial" w:cs="Arial" w:eastAsia="Arial" w:hAnsi="Arial"/>
          <w:sz w:val="16"/>
          <w:szCs w:val="16"/>
          <w:color w:val="auto"/>
        </w:rPr>
        <w:t>• Oscilloscopes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sectPr>
      </w:pPr>
    </w:p>
    <w:p>
      <w:pPr>
        <w:ind w:left="40"/>
        <w:spacing w:after="0"/>
        <w:rPr>
          <w:sz w:val="20"/>
          <w:szCs w:val="20"/>
          <w:color w:val="auto"/>
        </w:rPr>
      </w:pPr>
      <w:r>
        <w:rPr>
          <w:rFonts w:ascii="Arial" w:cs="Arial" w:eastAsia="Arial" w:hAnsi="Arial"/>
          <w:sz w:val="16"/>
          <w:szCs w:val="16"/>
          <w:color w:val="auto"/>
        </w:rPr>
        <w:t>• Connected motion and robotics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Lab, chemical, and environmental analyzers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Environmental control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Weigh scales</w:t>
      </w:r>
    </w:p>
    <w:p>
      <w:pPr>
        <w:spacing w:after="0" w:line="192"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firstLine="432"/>
        <w:spacing w:after="0" w:line="273" w:lineRule="auto"/>
        <w:rPr>
          <w:sz w:val="20"/>
          <w:szCs w:val="20"/>
          <w:color w:val="auto"/>
        </w:rPr>
      </w:pPr>
      <w:r>
        <w:rPr>
          <w:rFonts w:ascii="Arial" w:cs="Arial" w:eastAsia="Arial" w:hAnsi="Arial"/>
          <w:sz w:val="17"/>
          <w:szCs w:val="17"/>
          <w:i w:val="1"/>
          <w:iCs w:val="1"/>
          <w:color w:val="auto"/>
        </w:rPr>
        <w:t xml:space="preserve">Defense/Aerospace </w:t>
      </w:r>
      <w:r>
        <w:rPr>
          <w:rFonts w:ascii="Arial" w:cs="Arial" w:eastAsia="Arial" w:hAnsi="Arial"/>
          <w:sz w:val="17"/>
          <w:szCs w:val="17"/>
          <w:color w:val="auto"/>
        </w:rPr>
        <w:t>— The defense, commercial avionics and space markets all require high-performance ICs that meet rigorous environmental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reliability specifications. Many of our analog ICs can be supplied in versions that meet these standards. In addition, many products can be supplied to meet the standards required for broadcast satellites and other commercial space applications. Most of our products sold in this market are specially tested versions of products derived from our standard product offering. As end systems are becoming more complex, many of our customers in this market also look for us to provide higher levels of integration in order to minimize size, weight and power and to improve ease-of-use. As such, we also sell products in the form of SiPs (system in package), printed circuit board assemblies, modules, and subsystems.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Customer products include:</w:t>
      </w:r>
    </w:p>
    <w:p>
      <w:pPr>
        <w:sectPr>
          <w:pgSz w:w="11900" w:h="16838" w:orient="portrait"/>
          <w:cols w:equalWidth="0" w:num="1">
            <w:col w:w="11400"/>
          </w:cols>
          <w:pgMar w:left="240" w:top="746" w:right="259" w:bottom="1440" w:gutter="0" w:footer="0" w:header="0"/>
          <w:type w:val="continuous"/>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Navigation systems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260"/>
        <w:spacing w:after="0"/>
        <w:rPr>
          <w:sz w:val="20"/>
          <w:szCs w:val="20"/>
          <w:color w:val="auto"/>
        </w:rPr>
      </w:pPr>
      <w:r>
        <w:rPr>
          <w:rFonts w:ascii="Arial" w:cs="Arial" w:eastAsia="Arial" w:hAnsi="Arial"/>
          <w:sz w:val="15"/>
          <w:szCs w:val="15"/>
          <w:color w:val="auto"/>
        </w:rPr>
        <w:t>• Radar systems</w:t>
      </w:r>
    </w:p>
    <w:p>
      <w:pPr>
        <w:spacing w:after="0" w:line="97"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Space and satellite communications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Security devices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Communication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Electronic surveillance and countermeasures</w:t>
      </w:r>
    </w:p>
    <w:p>
      <w:pPr>
        <w:spacing w:after="0" w:line="181"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Energy Management </w:t>
      </w:r>
      <w:r>
        <w:rPr>
          <w:rFonts w:ascii="Arial" w:cs="Arial" w:eastAsia="Arial" w:hAnsi="Arial"/>
          <w:sz w:val="18"/>
          <w:szCs w:val="18"/>
          <w:color w:val="auto"/>
        </w:rPr>
        <w:t>— The desire to improve energy efficiency, conservation, reliability, and cleanliness is driving investments in renewable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power transmission and distribution systems, electric meters, and other innovative areas. The common characteristic behind these efforts is the addition of sensing, measurement, and communication technologies to electrical infrastructure. Our offerings include both standard and application-specific products and are used in applications such as:</w:t>
      </w:r>
    </w:p>
    <w:p>
      <w:pPr>
        <w:sectPr>
          <w:pgSz w:w="11900" w:h="16838" w:orient="portrait"/>
          <w:cols w:equalWidth="0" w:num="1">
            <w:col w:w="11400"/>
          </w:cols>
          <w:pgMar w:left="240" w:top="746" w:right="25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 Utility meters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Wind turbines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Meter communication modules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Solar inverters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Substation relays and automation equipment</w:t>
      </w:r>
    </w:p>
    <w:p>
      <w:pPr>
        <w:spacing w:after="0" w:line="20" w:lineRule="exact"/>
        <w:rPr>
          <w:sz w:val="20"/>
          <w:szCs w:val="20"/>
          <w:color w:val="auto"/>
        </w:rPr>
      </w:pPr>
      <w:r>
        <w:rPr>
          <w:sz w:val="20"/>
          <w:szCs w:val="20"/>
          <w:color w:val="auto"/>
        </w:rPr>
        <w:br w:type="column"/>
      </w:r>
    </w:p>
    <w:p>
      <w:pPr>
        <w:jc w:val="center"/>
        <w:ind w:right="2740"/>
        <w:spacing w:after="0"/>
        <w:rPr>
          <w:sz w:val="20"/>
          <w:szCs w:val="20"/>
          <w:color w:val="auto"/>
        </w:rPr>
      </w:pPr>
      <w:r>
        <w:rPr>
          <w:rFonts w:ascii="Arial" w:cs="Arial" w:eastAsia="Arial" w:hAnsi="Arial"/>
          <w:sz w:val="16"/>
          <w:szCs w:val="16"/>
          <w:color w:val="auto"/>
        </w:rPr>
        <w:t>• Building energy automation/control</w:t>
      </w:r>
    </w:p>
    <w:p>
      <w:pPr>
        <w:spacing w:after="0" w:line="181"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right="160" w:firstLine="432"/>
        <w:spacing w:after="0" w:line="342" w:lineRule="auto"/>
        <w:rPr>
          <w:sz w:val="20"/>
          <w:szCs w:val="20"/>
          <w:color w:val="auto"/>
        </w:rPr>
      </w:pPr>
      <w:r>
        <w:rPr>
          <w:rFonts w:ascii="Arial" w:cs="Arial" w:eastAsia="Arial" w:hAnsi="Arial"/>
          <w:sz w:val="16"/>
          <w:szCs w:val="16"/>
          <w:i w:val="1"/>
          <w:iCs w:val="1"/>
          <w:color w:val="auto"/>
        </w:rPr>
        <w:t xml:space="preserve">Healthcare </w:t>
      </w:r>
      <w:r>
        <w:rPr>
          <w:rFonts w:ascii="Arial" w:cs="Arial" w:eastAsia="Arial" w:hAnsi="Arial"/>
          <w:sz w:val="16"/>
          <w:szCs w:val="16"/>
          <w:color w:val="auto"/>
        </w:rPr>
        <w:t>— The healthcare market is calling for increased access to better and more affordable care. To help achieve this, we are collaborating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partners on innovative solutions that are designed to achieve better outcomes for patients and physicians at reduced costs for all.</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offerings include both standard and application-specific products and are used in applications such as:</w:t>
      </w:r>
    </w:p>
    <w:p>
      <w:pPr>
        <w:sectPr>
          <w:pgSz w:w="11900" w:h="16838" w:orient="portrait"/>
          <w:cols w:equalWidth="0" w:num="1">
            <w:col w:w="11400"/>
          </w:cols>
          <w:pgMar w:left="240" w:top="746" w:right="259" w:bottom="1440" w:gutter="0" w:footer="0" w:header="0"/>
          <w:type w:val="continuous"/>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Ultrasound systems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Anesthesia equipment</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X-Ray equipment (CT and DR)</w:t>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Arial" w:cs="Arial" w:eastAsia="Arial" w:hAnsi="Arial"/>
          <w:sz w:val="16"/>
          <w:szCs w:val="16"/>
          <w:color w:val="auto"/>
        </w:rPr>
        <w:t>• Lab diagnostic equipment</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Image guided therapy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Surgical tools and instruments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Multi-parameter vital signs monitors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Blood analyzers</w:t>
      </w:r>
    </w:p>
    <w:p>
      <w:pPr>
        <w:spacing w:after="0" w:line="86"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Disease management, e.g. hypertension and diabetes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Point-of-care diagnostics</w:t>
      </w:r>
    </w:p>
    <w:p>
      <w:pPr>
        <w:spacing w:after="0" w:line="200" w:lineRule="exact"/>
        <w:rPr>
          <w:sz w:val="20"/>
          <w:szCs w:val="20"/>
          <w:color w:val="auto"/>
        </w:rPr>
      </w:pPr>
    </w:p>
    <w:p>
      <w:pPr>
        <w:sectPr>
          <w:pgSz w:w="11900" w:h="16838" w:orient="portrait"/>
          <w:cols w:equalWidth="0" w:num="2">
            <w:col w:w="5260" w:space="720"/>
            <w:col w:w="5420"/>
          </w:cols>
          <w:pgMar w:left="240" w:top="746" w:right="259" w:bottom="1440" w:gutter="0" w:footer="0" w:header="0"/>
          <w:type w:val="continuous"/>
        </w:sectPr>
      </w:pPr>
    </w:p>
    <w:p>
      <w:pPr>
        <w:spacing w:after="0" w:line="35"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b w:val="1"/>
          <w:bCs w:val="1"/>
          <w:i w:val="1"/>
          <w:iCs w:val="1"/>
          <w:color w:val="auto"/>
        </w:rPr>
        <w:t xml:space="preserve">Automotive </w:t>
      </w:r>
      <w:r>
        <w:rPr>
          <w:rFonts w:ascii="Arial" w:cs="Arial" w:eastAsia="Arial" w:hAnsi="Arial"/>
          <w:sz w:val="16"/>
          <w:szCs w:val="16"/>
          <w:color w:val="auto"/>
        </w:rPr>
        <w:t>- We develop differentiated high performance signal processing solutions, which enable sophisticated transportation systems that span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Infotainment, Electrification and Autonomous applications. Through collaboration with manufacturers worldwide, we have developed a broad portfolio of analog, digital, power and sensor ICs that address the emerging needs of this evolving industry. Our focus is on audio/video applications that lead to a more enriching in-cabin experience, electrification applications that improve vehicle range and reduce emissions, and mission-critical perception and navigation applications that enable vehicles to more clearly sense the external environment. Specifically, we have developed products used in applications such as: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Infotainment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Electrification</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Autonomous, ADAS &amp; Safety</w:t>
            </w:r>
          </w:p>
        </w:tc>
      </w:tr>
      <w:tr>
        <w:trPr>
          <w:trHeight w:val="228"/>
        </w:trPr>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w w:val="94"/>
              </w:rPr>
              <w:t>Car audio, voice processing and connectivity</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Hybrid electric / electric vehicles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rPr>
              <w:t>High performance 24GHz &amp; 77/79GHz</w:t>
            </w:r>
          </w:p>
        </w:tc>
      </w:tr>
      <w:tr>
        <w:trPr>
          <w:trHeight w:val="230"/>
        </w:trPr>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RADAR systems</w:t>
            </w:r>
          </w:p>
        </w:tc>
      </w:tr>
      <w:tr>
        <w:trPr>
          <w:trHeight w:val="256"/>
        </w:trPr>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Video processing and connectivity</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Battery monitoring and management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rPr>
              <w:t>High resolution LIDAR systems</w:t>
            </w:r>
          </w:p>
        </w:tc>
      </w:tr>
      <w:tr>
        <w:trPr>
          <w:trHeight w:val="230"/>
        </w:trPr>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systems</w:t>
            </w:r>
          </w:p>
        </w:tc>
        <w:tc>
          <w:tcPr>
            <w:tcW w:w="28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56"/>
        </w:trPr>
        <w:tc>
          <w:tcPr>
            <w:tcW w:w="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w w:val="96"/>
              </w:rPr>
              <w:t>Inertial MEMS solutions for mission critical</w:t>
            </w:r>
          </w:p>
        </w:tc>
      </w:tr>
      <w:tr>
        <w:trPr>
          <w:trHeight w:val="230"/>
        </w:trPr>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navigation, stability and safety systems</w:t>
            </w:r>
          </w:p>
        </w:tc>
      </w:tr>
      <w:tr>
        <w:trPr>
          <w:trHeight w:val="486"/>
        </w:trPr>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tcPr>
          <w:p>
            <w:pPr>
              <w:ind w:left="15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ectPr>
          <w:pgSz w:w="11900" w:h="16838" w:orient="portrait"/>
          <w:cols w:equalWidth="0" w:num="1">
            <w:col w:w="11400"/>
          </w:cols>
          <w:pgMar w:left="240" w:top="746" w:right="259" w:bottom="1440" w:gutter="0" w:footer="0" w:header="0"/>
          <w:type w:val="continuous"/>
        </w:sectPr>
      </w:pPr>
    </w:p>
    <w:bookmarkStart w:id="7" w:name="page8"/>
    <w:bookmarkEnd w:id="7"/>
    <w:p>
      <w:pPr>
        <w:ind w:right="40" w:firstLine="432"/>
        <w:spacing w:after="0" w:line="302" w:lineRule="auto"/>
        <w:rPr>
          <w:sz w:val="20"/>
          <w:szCs w:val="20"/>
          <w:color w:val="auto"/>
        </w:rPr>
      </w:pPr>
      <w:r>
        <w:rPr>
          <w:rFonts w:ascii="Arial" w:cs="Arial" w:eastAsia="Arial" w:hAnsi="Arial"/>
          <w:sz w:val="16"/>
          <w:szCs w:val="16"/>
          <w:b w:val="1"/>
          <w:bCs w:val="1"/>
          <w:i w:val="1"/>
          <w:iCs w:val="1"/>
          <w:color w:val="auto"/>
        </w:rPr>
        <w:t xml:space="preserve">Consumer </w:t>
      </w:r>
      <w:r>
        <w:rPr>
          <w:rFonts w:ascii="Arial" w:cs="Arial" w:eastAsia="Arial" w:hAnsi="Arial"/>
          <w:sz w:val="16"/>
          <w:szCs w:val="16"/>
          <w:color w:val="auto"/>
        </w:rPr>
        <w:t>— To address the market demand for state of the art personal and professional entertainment systems and the consumer demand for high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user interfaces, music, movies and photographs, we have developed analog, digital and mixed-signal solutions that meet the rigorous cost and time-to-market requirements of the consumer electronics market. The emergence of high-performance, feature-rich consumer products has created a market for our high-performance ICs with a high level of specific functionality that enables best in class user experience. These products include:</w:t>
      </w:r>
    </w:p>
    <w:p>
      <w:pPr>
        <w:sectPr>
          <w:pgSz w:w="11900" w:h="16838" w:orient="portrait"/>
          <w:cols w:equalWidth="0" w:num="1">
            <w:col w:w="11420"/>
          </w:cols>
          <w:pgMar w:left="240" w:top="706" w:right="239" w:bottom="1440" w:gutter="0" w:footer="0" w:header="0"/>
        </w:sectPr>
      </w:pPr>
    </w:p>
    <w:p>
      <w:pPr>
        <w:spacing w:after="0" w:line="10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 Portable devices (smart phones, tablets and wearable devices) for media and vital signs motoring applications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Prosumer audio/video equipment</w:t>
      </w:r>
    </w:p>
    <w:p>
      <w:pPr>
        <w:spacing w:after="0" w:line="396" w:lineRule="exact"/>
        <w:rPr>
          <w:sz w:val="20"/>
          <w:szCs w:val="20"/>
          <w:color w:val="auto"/>
        </w:rPr>
      </w:pPr>
    </w:p>
    <w:p>
      <w:pPr>
        <w:sectPr>
          <w:pgSz w:w="11900" w:h="16838" w:orient="portrait"/>
          <w:cols w:equalWidth="0" w:num="2">
            <w:col w:w="5340" w:space="640"/>
            <w:col w:w="5440"/>
          </w:cols>
          <w:pgMar w:left="240" w:top="706" w:right="239" w:bottom="1440" w:gutter="0" w:footer="0" w:header="0"/>
          <w:type w:val="continuous"/>
        </w:sectPr>
      </w:pPr>
    </w:p>
    <w:p>
      <w:pPr>
        <w:ind w:right="60" w:firstLine="432"/>
        <w:spacing w:after="0" w:line="276" w:lineRule="auto"/>
        <w:rPr>
          <w:sz w:val="20"/>
          <w:szCs w:val="20"/>
          <w:color w:val="auto"/>
        </w:rPr>
      </w:pPr>
      <w:r>
        <w:rPr>
          <w:rFonts w:ascii="Arial" w:cs="Arial" w:eastAsia="Arial" w:hAnsi="Arial"/>
          <w:sz w:val="17"/>
          <w:szCs w:val="17"/>
          <w:b w:val="1"/>
          <w:bCs w:val="1"/>
          <w:i w:val="1"/>
          <w:iCs w:val="1"/>
          <w:color w:val="auto"/>
        </w:rPr>
        <w:t xml:space="preserve">Communications </w:t>
      </w:r>
      <w:r>
        <w:rPr>
          <w:rFonts w:ascii="Arial" w:cs="Arial" w:eastAsia="Arial" w:hAnsi="Arial"/>
          <w:sz w:val="17"/>
          <w:szCs w:val="17"/>
          <w:color w:val="auto"/>
        </w:rPr>
        <w:t>— The development of broadband, wireless and internet infrastructures around the world has created an important market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products. Communications technology involves the processing of signals that are converted from analog to digital and digital to analog form during the process of transmitting and receiving data. The need for higher speed and reduced power consumption, coupled with more reliable, bandwidth-efficient communications, creates demand for our products, which are used in the full spectrum of signal processing for data, video, voice and machine-to-machine communications. In wireless and broadband communication applications, our products are incorporated into:</w:t>
      </w:r>
    </w:p>
    <w:p>
      <w:pPr>
        <w:sectPr>
          <w:pgSz w:w="11900" w:h="16838" w:orient="portrait"/>
          <w:cols w:equalWidth="0" w:num="1">
            <w:col w:w="11420"/>
          </w:cols>
          <w:pgMar w:left="240" w:top="706" w:right="239" w:bottom="1440" w:gutter="0" w:footer="0" w:header="0"/>
          <w:type w:val="continuous"/>
        </w:sectPr>
      </w:pPr>
    </w:p>
    <w:p>
      <w:pPr>
        <w:spacing w:after="0" w:line="1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 Cellular basestation equipment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Optical and cable networking equipment for data center and service providers</w:t>
      </w:r>
    </w:p>
    <w:p>
      <w:pPr>
        <w:spacing w:after="0" w:line="8"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Microwave backhaul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Satellite and terrestrial broadband access equipment</w:t>
      </w:r>
    </w:p>
    <w:p>
      <w:pPr>
        <w:spacing w:after="0" w:line="181"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ind w:right="480" w:firstLine="432"/>
        <w:spacing w:after="0" w:line="277" w:lineRule="auto"/>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Industry, Segment and Geographic Information,</w:t>
      </w:r>
      <w:r>
        <w:rPr>
          <w:rFonts w:ascii="Arial" w:cs="Arial" w:eastAsia="Arial" w:hAnsi="Arial"/>
          <w:sz w:val="18"/>
          <w:szCs w:val="18"/>
          <w:color w:val="auto"/>
        </w:rPr>
        <w:t xml:space="preserve"> of the Notes to Consolidated Financial Statements contained in Item 8 of this Annual Report on Form 10-K for further information about our products by end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 Rights</w:t>
      </w:r>
    </w:p>
    <w:p>
      <w:pPr>
        <w:spacing w:after="0" w:line="13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seek to establish and maintain our proprietary rights in our technology and products through the use of patents, copyrights, mask works, trademarks and trade secrets. We have a program to file applications for and obtain patents, copyrights, mask works and trademarks in the United States and in selected foreign countries where we believe filing for such protection is appropriate. We also seek to maintain our trade secrets and confidential information by nondisclosure policies and through the use of appropriate confidentiality agreements. We have obtained a substantial number of patents and trademarks in the United States and in other countries. As of November 3, 2018, we held approximately 3,263 U.S. patents and approximately 581 non-provisional pending U.S. patent applications with expiration dates ranging from 2019 through 2039. There can be no assurance, however, that the rights obtained can be successfully enforced against infringing products in every jurisdiction. While our patents, copyrights, mask works, trademarks and trade secrets provide some advantage and protection, we believe our competitive position and future success is largely determined by such factors as the system and application knowledge, innovative skills, technological expertise and management ability and experience of our personnel; the range and success of new products being developed by us; our market brand recognition and ongoing marketing efforts; and customer service and technical support. It is generally our policy to seek patent protection for significant inventions that may be patented, though we may elect, in certain cases, not to seek patent protection even for significant inventions, if we determine other protection, such as maintaining the invention as a trade secret, to be more advantageous. We also have trademarks that are used in the conduct of our business to distinguish genuine Analog Devices products, and we maintain cooperative advertising programs to promote our brands and identify products containing genuine Analog Devices components.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13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sell our products globally through a direct sales force, third-party distributors, independent sales representatives and via our website. We have direct sales offices, sales representatives and/or distributors in over 50 countries outside North America.</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support our worldwide sales efforts through our website and with extensive promotional programs that include editorial coverage and paid advertising in online and printed trade publications, webinars, social media and communities, promotional and training videos, direct mail programs, technical seminars and participation in trade shows. We publish, share and distribute technical content such as data sheets, application guides and catalogs. We maintain a staff of field application engineers who aid customers in incorporating our products into their products. In addition, we offer a variety of web-based tools that ease product selection and aid in the design process for our customers.</w:t>
      </w:r>
    </w:p>
    <w:p>
      <w:pPr>
        <w:spacing w:after="0" w:line="9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derived approximately 56% of our fiscal 2018 revenue from sales made through distributors. These distributors typically maintain an inventory of our products. Some of them also sell products that compete with our products, including those for which we are an alternate source. We defer revenue and the related cost of sales on shipments to U.S. distributors and certain international distributors until the distributors resell the products to their customers. We make sales to distributors under agreements that allow certain distributors to receive price adjustment credits and to return qualifying products for credit, 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6" w:right="239" w:bottom="1440" w:gutter="0" w:footer="0" w:header="0"/>
          <w:type w:val="continuous"/>
        </w:sectPr>
      </w:pPr>
    </w:p>
    <w:bookmarkStart w:id="8" w:name="page9"/>
    <w:bookmarkEnd w:id="8"/>
    <w:p>
      <w:pPr>
        <w:ind w:right="20"/>
        <w:spacing w:after="0" w:line="279" w:lineRule="auto"/>
        <w:rPr>
          <w:sz w:val="20"/>
          <w:szCs w:val="20"/>
          <w:color w:val="auto"/>
        </w:rPr>
      </w:pPr>
      <w:r>
        <w:rPr>
          <w:rFonts w:ascii="Arial" w:cs="Arial" w:eastAsia="Arial" w:hAnsi="Arial"/>
          <w:sz w:val="17"/>
          <w:szCs w:val="17"/>
          <w:color w:val="auto"/>
        </w:rPr>
        <w:t xml:space="preserve">determined by us, in order to reduce the amounts of slow-moving, discontinued or obsolete product from their inventory. These agreements limit such returns to a certain percentage of our shipments to that distributor during the prior quarter. In addition, certain distributors are allowed to return unsold products if we terminate the relationship with the distributor. Additional information relating to our sales to distributors is set forth in Note 2n,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of the Notes to Consolidated Financial Statements contained in Item 8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3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have over 125,000 customers worldwide. During fiscal 2018, no sales to an individual customer accounted for more than 10% of revenue. Apple Inc. represented approximately 14% and 12% of revenue in the fiscal year ended October 28, 2017 (fiscal 2017) and the fiscal year ended October 29, 2016 (fiscal 2016), respectively. Our customers use hundreds of different types of our products in a wide range of applications spanning the industrial, automotive, consumer and communication markets. Our 20 largest customers accounted for approximately 33% of our fiscal 2018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Sales to customers during our first fiscal quarter may be lower than other quarters due to plant shutdowns at some of our customers during the holiday season. In general, the seasonality for any specific period of time has not had a material impact on our results of operations. In addition, as explained in our risk factors contained in Item 1A of this Annual Report on Form 10-K, our revenue is more likely to be influenced on a quarter to quarter basis by cyclicality in the semiconductor industry.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Raw Materials</w:t>
      </w:r>
    </w:p>
    <w:p>
      <w:pPr>
        <w:spacing w:after="0" w:line="135"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Monolithic IC components are manufactured in a sequence of semiconductor production steps that include wafer fabrication, wafer testing, dicing the wafer into individual “chips,” or dice, assembly of the dice into packages and electrical testing of the devices in final packaged form. The raw materials used to manufacture these devices include silicon wafers, processing chemicals (including liquefied gases), precious metals laminates, ceramic and plastic used for packaging.</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utilize, develop and employ a wide variety of manufacturing processes, primarily based on bipolar and complementary metal-oxide semiconductor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(CMOS) transistors, which are specifically tailored for use in fabricating high-performance analog, DSP and mixed-signal ICs. Devices such as MEMS,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w:t>
      </w:r>
      <w:r>
        <w:rPr>
          <w:rFonts w:ascii="Arial" w:cs="Arial" w:eastAsia="Arial" w:hAnsi="Arial"/>
          <w:sz w:val="16"/>
          <w:szCs w:val="16"/>
          <w:color w:val="auto"/>
        </w:rPr>
        <w:t>Coupler®isolators and various sensors, are fabricated using specialized processes, which typically use substantially similar equipment as bipolar and CMOS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processes.</w:t>
      </w:r>
    </w:p>
    <w:p>
      <w:pPr>
        <w:spacing w:after="0" w:line="116"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IC products are fabricated on proprietary processes at our internal production facilities in Wilmington, Massachusetts, Milpitas, California, Camas, Washington and Limerick, Ireland and also on a mix of proprietary and non-proprietary processes at third-party wafer fabricators. We currently source approximately half of our wafer requirements annually from third-party wafer fabrication foundries, such as Taiwan Semiconductor Manufacturing Company (TSMC), Global Foundries, Vanguard, and others, typically where deep-submicron lithography capabilities and/or large manufacturing capacity is required.</w:t>
      </w:r>
    </w:p>
    <w:p>
      <w:pPr>
        <w:spacing w:after="0" w:line="6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operate an assembly and wafer sort facility in Penang, Malaysia, and test facilities in the Philippines and Singapore. We also make extensive use of third-party subcontractors for the assembly and testing of our products.</w:t>
      </w:r>
    </w:p>
    <w:p>
      <w:pPr>
        <w:spacing w:after="0" w:line="76"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Capital spending was approximately $255 million in fiscal 2018, compared with approximately $204 million in fiscal 2017 and $127 million in fiscal 2016. We expect capital expenditures for the fiscal year ending November 2, 2019 (fiscal 2019) to be approximately 4% of fiscal 2019 revenue.</w:t>
      </w:r>
    </w:p>
    <w:p>
      <w:pPr>
        <w:spacing w:after="0" w:line="52"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products require a wide variety of components, raw materials and external foundry services, most of which we purchase from third-party suppliers. We have multiple sources for many of the components and materials that we purchase and incorporate into our products. If any of our key suppliers are unable or unwilling to manufacture and deliver sufficient quantities of components to us, on the time schedule and of the quality that we require, we may be forced to seek to engage additional or replacement suppliers, which could result in significant expenses and disruptions or delays in manufacturing, product development and shipment of product to our customers. Although we have experienced shortages of components, materials and external foundry services from time to time, these items have generally been available to us as needed.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Backlog at the end of fiscal 2018 and fiscal 2017 was approximately $1.2 billion. We define backlog as of a particular date to mean firm orders from a customer or distributor with a requested delivery date within thirteen weeks. Backlog is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706" w:right="27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customary in the semiconductor industry, we allow most orders to be canceled or deliveries to be delayed by customers without significant penalty.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believe that our backlog at any time should not be used as an indication of future revenue.</w:t>
      </w:r>
    </w:p>
    <w:p>
      <w:pPr>
        <w:spacing w:after="0" w:line="11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We typically do not have long-term sales contracts with our customers. In some of our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 As a result, we may incur inventory and manufacturing costs in advance of anticipated sales and are subject to the risk of cancellation of orders leading to a sharp reduction of sales and backlog. Further, those orders or forecasts may be for products that meet the customer’s unique requirements so that those canceled orders would, in addition, result in an inventory of unsaleable products, resulting in potential inventory write-offs. As a result of lengthy manufacturing cycles for some of our products that are subject to these uncertainties, the amount of unsaleable product could be substantial.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135"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Less than 5% of our fiscal 2018 revenue was attributable to sales to the U.S. government and U.S. government contractors and subcontractors. Our government contract business is predominantly in the form of negotiated, firm, fixed-price subcontracts. Most of these contracts and subcontracts contain standard provisions relating to termination at the election of the U.S. government.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3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An element of our business strategy involves expansion through the acquisition of businesses, assets, products or technologies that allow us to complement our existing product offerings, expand our market coverage, increase our engineering workforce or enhance our technological capabilities. From time to time, we consider acquisitions that may strengthen our business.</w:t>
      </w:r>
    </w:p>
    <w:p>
      <w:pPr>
        <w:spacing w:after="0" w:line="127"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On March 10, 2017, we completed the acquisition of Linear. The total consideration paid to acquire Linear was approximately $15.8 billion, consisting of $11.1 billion in cash financed through existing cash on hand, net proceeds from bridge and term loan facilities and proceeds received from the issuance of senior unsecured notes, $4.6 billion from the issuance of our common stock and $0.1 billion of consideration related to the replacement of outstanding equity awards held by Linear employees.</w:t>
      </w:r>
    </w:p>
    <w:p>
      <w:pPr>
        <w:spacing w:after="0" w:line="92"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 xml:space="preserve">Additional information relating to our acquisition activities during fiscal 2018, fiscal 2017 and fiscal 2016 is set forth in Note 6,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of the Notes to Consolidated Financial Statements contained in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believe that competitive performance in the marketplace for signal processing products depends upon multiple factors, including technological innovation, strength of brand, diversity of product portfolio, product performance, technical support, delivery capabilities, customer service quality, reliability and price, with the relative importance of these factors varying among products, markets, and customers.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compete with a number of semiconductor companies in markets that are highly competitive. Our competitors include but are not limited to:</w:t>
      </w:r>
    </w:p>
    <w:p>
      <w:pPr>
        <w:sectPr>
          <w:pgSz w:w="11900" w:h="16838" w:orient="portrait"/>
          <w:cols w:equalWidth="0" w:num="1">
            <w:col w:w="11400"/>
          </w:cols>
          <w:pgMar w:left="240" w:top="706" w:right="259" w:bottom="1440" w:gutter="0" w:footer="0" w:header="0"/>
        </w:sectPr>
      </w:pP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Broadcom Limited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 Monolithic Power Systems, Inc.</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Infineon Technologies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NXP Semiconductors</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Maxim Integrated Products, Inc.</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Arial" w:cs="Arial" w:eastAsia="Arial" w:hAnsi="Arial"/>
          <w:sz w:val="16"/>
          <w:szCs w:val="16"/>
          <w:color w:val="auto"/>
        </w:rPr>
        <w:t>• Texas Instruments, Inc.</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Microchip Technology, Inc.</w:t>
      </w:r>
    </w:p>
    <w:p>
      <w:pPr>
        <w:sectPr>
          <w:pgSz w:w="11900" w:h="16838" w:orient="portrait"/>
          <w:cols w:equalWidth="0" w:num="1">
            <w:col w:w="11400"/>
          </w:cols>
          <w:pgMar w:left="240" w:top="706" w:right="259" w:bottom="1440" w:gutter="0" w:footer="0" w:header="0"/>
          <w:type w:val="continuous"/>
        </w:sectPr>
      </w:pPr>
    </w:p>
    <w:p>
      <w:pPr>
        <w:spacing w:after="0" w:line="18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We believe that our technical innovation emphasizing product performance and reliability, supported by our commitment to strong customer service and technical support, enables us to make a fundamental difference to our customers’ competitiveness in our chosen markets.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Health and Safety</w:t>
      </w:r>
    </w:p>
    <w:p>
      <w:pPr>
        <w:spacing w:after="0" w:line="13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are committed to protecting the environment and the health and safety of our employees, customers and the public. We endeavor to adhere to applicable environmental, health and safety (EHS) regulatory and industry standards across all of our facilities, and to encourage pollution prevention, reduce our water and energy consumption, reduce waste generation, and strive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06" w:right="2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towards continual improvement. We strive to achieve excellence in EHS management practices as an integral part of our total quality management system.</w:t>
      </w:r>
    </w:p>
    <w:p>
      <w:pPr>
        <w:spacing w:after="0" w:line="15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EHS management systems in all of our facilities are certified to ISO 14001:2015 for environmental management and all of our facilities (excluding certain Linear facilities) conform to OHSAS 18001 for occupational health and safety. We are a member of the Responsible Business Alliance (RBA), which was formerly known as the Electronic Industry Citizenship Coalition (EICC). Our Sustainability Report, first published in 2009, states our commitment to reducing Greenhouse gas (GHG) emissions, conserving resources by consuming less energy and water, complying with our code of business conduct and ethics, and applying fair labor standards, among other things. We are not including the information contained in our Sustainability Report in, or incorporating it by reference into this Annual Report on Form 10-K.</w:t>
      </w:r>
    </w:p>
    <w:p>
      <w:pPr>
        <w:spacing w:after="0" w:line="9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manufacturing facilities are subject to numerous and increasingly strict federal, state, local and foreign EHS laws and regulations, particularly with respect to the transportation, storage, handling, use, emission, discharge and disposal of certain chemicals used or produced in the semiconductor manufacturing process. Our products are subject to increasingly stringent regulations regarding chemical content in jurisdictions where we sell products, including the Restriction of Hazardous Substances (RoHS) directive in the European Union and China and the Registration, Evaluation, Authorization and Restriction of Chemicals (REACH) directive in the European Union. Contracts with many of our customers reflect these and additional EHS compliance standards. Compliance with these laws and regulations has not had a material impact on our capital expenditures, earnings, financial condition or competitive position. There can be no assurance, however, that current or future environmental laws and regulations will not impose costly requirements upon us. Any failure by us to comply with applicable environmental laws, regulations and contractual obligations could result in fines, suspension of production, the need to alter manufacturing processes and legal liability.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of November 3, 2018, we employed approximately 15,800 individuals worldwide. Our future success depends in large part on the continued service of our key technical and senior management personnel, and on our ability to continue to attract, retain and motivate qualified employees, particularly those highly-skilled engineers involved in the design, development, support and manufacture of new and existing products and processes. We believe that relations with our employees are good; however, the competition for such personnel is intense, and the loss of key personnel could have a material adverse impact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0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9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Continuing uncertainty regarding the stability of global credit and financial markets may lead consumers and businesses to postpone spending, which may cause our customers to cancel, decrease or delay their existing and future orders for our products and make it difficult for us to accurately forecast and plan our future business activities. Significant disruption to global credit and financial markets may also adversely affect our ability to access external financing sources on acceptable terms. Financial difficulties experienced by our customers could result in nonpayment or payment delays for previously purchased products, thereby increasing our credit risk exposure. Uncertainty regarding the future stability of the global credit and financial markets could cause the value of the currency in the affected markets to deteriorate, thus reducing the purchasing power of those customers.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9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customer demand for our products and/or for end products that incorporate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customer order patterns and seasonality;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distributor demand for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estimate future distributor pricing credits and/or stock rotation rights;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effective tax rates or new or revised tax legislation in the United States, Ireland or worldwide;</w:t>
      </w:r>
    </w:p>
    <w:p>
      <w:pPr>
        <w:spacing w:after="0" w:line="103" w:lineRule="exact"/>
        <w:rPr>
          <w:rFonts w:ascii="Arial" w:cs="Arial" w:eastAsia="Arial" w:hAnsi="Arial"/>
          <w:sz w:val="18"/>
          <w:szCs w:val="18"/>
          <w:color w:val="auto"/>
        </w:rPr>
      </w:pPr>
    </w:p>
    <w:p>
      <w:pPr>
        <w:ind w:left="660" w:right="100" w:hanging="328"/>
        <w:spacing w:after="0" w:line="40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issued, threatened or retaliatory government sanctions, trade barriers or economic restrictions, changes in law, regulations or other restrictions, including executive orders, changes in import and export regulations or changes in duties and tariffs, particularly with respect to China;</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new product announcements or introductions by us, our customers or our competitors and the market acceptance of such products;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decisions and competitive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15" w:lineRule="exact"/>
        <w:rPr>
          <w:rFonts w:ascii="Arial" w:cs="Arial" w:eastAsia="Arial" w:hAnsi="Arial"/>
          <w:sz w:val="17"/>
          <w:szCs w:val="17"/>
          <w:color w:val="auto"/>
        </w:rPr>
      </w:pPr>
    </w:p>
    <w:p>
      <w:pPr>
        <w:ind w:left="660" w:right="34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103" w:lineRule="exact"/>
        <w:rPr>
          <w:rFonts w:ascii="Arial" w:cs="Arial" w:eastAsia="Arial" w:hAnsi="Arial"/>
          <w:sz w:val="18"/>
          <w:szCs w:val="18"/>
          <w:color w:val="auto"/>
        </w:rPr>
      </w:pPr>
    </w:p>
    <w:p>
      <w:pPr>
        <w:ind w:left="660" w:right="20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recruit, hire, retain and motivate adequate numbers of engineers and other qualified employees to meet the demands of our customers;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0" w:right="259" w:bottom="1440" w:gutter="0" w:footer="0" w:header="0"/>
        </w:sectPr>
      </w:pPr>
    </w:p>
    <w:bookmarkStart w:id="12" w:name="page13"/>
    <w:bookmarkEnd w:id="1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new design opportunities and win competitive bid selection processes;</w:t>
      </w:r>
    </w:p>
    <w:p>
      <w:pPr>
        <w:spacing w:after="0" w:line="103" w:lineRule="exact"/>
        <w:rPr>
          <w:rFonts w:ascii="Arial" w:cs="Arial" w:eastAsia="Arial" w:hAnsi="Arial"/>
          <w:sz w:val="18"/>
          <w:szCs w:val="18"/>
          <w:color w:val="auto"/>
        </w:rPr>
      </w:pPr>
    </w:p>
    <w:p>
      <w:pPr>
        <w:ind w:left="660" w:right="48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worldwide, including health insurance, retirement plan and pension plan contributions and retirement benefits;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significant litigation-related costs or product warranty and/or indemnity claims, including those not covered by our suppliers or insurers;</w:t>
      </w:r>
    </w:p>
    <w:p>
      <w:pPr>
        <w:spacing w:after="0" w:line="126" w:lineRule="exact"/>
        <w:rPr>
          <w:rFonts w:ascii="Arial" w:cs="Arial" w:eastAsia="Arial" w:hAnsi="Arial"/>
          <w:sz w:val="16"/>
          <w:szCs w:val="16"/>
          <w:color w:val="auto"/>
        </w:rPr>
      </w:pPr>
    </w:p>
    <w:p>
      <w:pPr>
        <w:ind w:left="660" w:right="20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 practices; and</w:t>
      </w:r>
    </w:p>
    <w:p>
      <w:pPr>
        <w:spacing w:after="0" w:line="103" w:lineRule="exact"/>
        <w:rPr>
          <w:rFonts w:ascii="Arial" w:cs="Arial" w:eastAsia="Arial" w:hAnsi="Arial"/>
          <w:sz w:val="18"/>
          <w:szCs w:val="18"/>
          <w:color w:val="auto"/>
        </w:rPr>
      </w:pPr>
    </w:p>
    <w:p>
      <w:pPr>
        <w:ind w:left="660" w:right="60" w:hanging="328"/>
        <w:spacing w:after="0" w:line="37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Our acquisition of Linear Technology Corporation (Linear) and the integration of its business, operations and employees with our own may be more difficult, costly or time consuming than expected, and the anticipated benefits and cost savings of the acquisition may not be fully realized, which could adversely impact our business operations, financial condition and results of operations.</w:t>
      </w:r>
    </w:p>
    <w:p>
      <w:pPr>
        <w:spacing w:after="0" w:line="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completed the acquisition of Linear, which we refer to as the Acquisition, on March 10, 2017. The success of the Acquisition, including the achievement of anticipated benefits and cost savings of the Acquisition, is subject to a number of uncertainties and will depend, in part, on our ability to successfully combine and integrate Linear's business into our business in an efficient and effective manner. Potential difficulties the combined company may encounter in the integration process include the following:</w:t>
      </w:r>
    </w:p>
    <w:p>
      <w:pPr>
        <w:spacing w:after="0" w:line="106" w:lineRule="exact"/>
        <w:rPr>
          <w:sz w:val="20"/>
          <w:szCs w:val="20"/>
          <w:color w:val="auto"/>
        </w:rPr>
      </w:pPr>
    </w:p>
    <w:p>
      <w:pPr>
        <w:ind w:left="660" w:right="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successfully integrate Linear's business into our own in a manner that permits the combined company to achieve the cost savings and operating synergies anticipated to result from the Acquisition, which could result in the anticipated benefits of the Acquisition not being realized partly or wholly in the time frame currently anticipated or at all;</w:t>
      </w:r>
    </w:p>
    <w:p>
      <w:pPr>
        <w:ind w:left="660" w:right="6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integrating personnel, IT systems and corporate, finance and administrative infrastructures of the two companies while maintaining focus on providing consistent, high quality products and services;</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coordinating and integrating our internal operations, compensation and benefits programs, policies and procedures, and corporate structures;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servicing the substantial debt that we have incurred in connection with the Acquisition.</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of these factors could result in the combined company failing to realize the anticipated benefits of the Acquisition, on the expected timeline or at all, and could adversely impact our business operations,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90"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Our effective tax rate reflects the applicable tax rate in effect in the various tax jurisdictions around the world where our income is earned. Our effective tax rate for fiscal 2018 was below our blended U.S. federal statutory rate of 23.4% calculated under the provisions of the Tax Cuts and Jobs Act of 2017 (Tax Legislation) enacted on December 22, 2017. It was also below the U.S. statutory tax rate of 35% for fiscal 2017 under the previous tax laws. This is primarily due to lower statutory tax rates applicable to our operations in the foreign jurisdictions in which we earn income. A number of factors may increase our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38" w:right="259" w:bottom="1440" w:gutter="0" w:footer="0" w:header="0"/>
        </w:sectPr>
      </w:pPr>
    </w:p>
    <w:bookmarkStart w:id="13" w:name="page14"/>
    <w:bookmarkEnd w:id="13"/>
    <w:p>
      <w:pPr>
        <w:spacing w:after="0" w:line="270" w:lineRule="auto"/>
        <w:rPr>
          <w:sz w:val="20"/>
          <w:szCs w:val="20"/>
          <w:color w:val="auto"/>
        </w:rPr>
      </w:pPr>
      <w:r>
        <w:rPr>
          <w:rFonts w:ascii="Arial" w:cs="Arial" w:eastAsia="Arial" w:hAnsi="Arial"/>
          <w:sz w:val="17"/>
          <w:szCs w:val="17"/>
          <w:color w:val="auto"/>
        </w:rPr>
        <w:t>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including our current transfer pricing appeal in Ireland;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4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addition, any changes in tax legislation and further interpretation of certain aspects of the U.S. Tax Legislation, which become effective in the fiscal year ending November 2, 2019, may result in changes to long-standing tax principles, which could adversely affect our effective tax rate or result in higher cash tax liabilities. On October 5, 2015, the Organization for Economic Cooperation and Development, an international association of thirty-five countries, including the United States, Ireland and UK, released the final reports from its Base Erosion and Profit Shifting (BEPS) Action Plans. The BEPS recommendations covered a number of issues, including country-by-country reporting, permanent establishment rules, transfer pricing rules and tax treaties. We continue to monitor these developments. Additionally, as a result of the Tax Legislation described above, we recorded provisional estimates of the one-time adjustments for the re-measurement of deferred tax assets (liabilities) and the deemed repatriation tax on unremitted foreign earnings and profits. The final impact of the new Tax Legislation may differ from these estimates, possibly materially, due to, among other things, changes in interpretations and assumptions made, additional guidance that may be issued, unexpected negative changes in business and market conditions that could reduce certain tax benefits, and actions we take as a result of this new tax law.</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reverse engineer,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5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patents are granted, enforcement may not be available or achieved under the circumstances. If our patents and mask works do not adequately protect our technology, our competitors may be able to offer products similar to ours. Our competitors may also be able to develop similar technology independently or design around our patents.</w:t>
      </w:r>
    </w:p>
    <w:p>
      <w:pPr>
        <w:spacing w:after="0" w:line="5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3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65" w:right="239" w:bottom="1440" w:gutter="0" w:footer="0" w:header="0"/>
        </w:sectPr>
      </w:pPr>
    </w:p>
    <w:bookmarkStart w:id="14" w:name="page15"/>
    <w:bookmarkEnd w:id="14"/>
    <w:p>
      <w:pPr>
        <w:spacing w:after="0" w:line="271" w:lineRule="auto"/>
        <w:rPr>
          <w:sz w:val="20"/>
          <w:szCs w:val="20"/>
          <w:color w:val="auto"/>
        </w:rPr>
      </w:pPr>
      <w:r>
        <w:rPr>
          <w:rFonts w:ascii="Arial" w:cs="Arial" w:eastAsia="Arial" w:hAnsi="Arial"/>
          <w:sz w:val="17"/>
          <w:szCs w:val="17"/>
          <w:color w:val="auto"/>
        </w:rPr>
        <w:t>which could adversely affect our business. We may also be subject to security breaches of our information technology systems and certain of our products caused by viruses, illegal break-ins or hacking, sabotage, or acts of vandalism by third parties or our employees or contractors. Our security measures or those of our third party service providers may not detect or prevent security breaches, defects, bugs or errors. In addition, we provide our confidential and proprietary information to our strategic partners in certain cases where doing so is necessary to conduct our business. While we employ confidentiality agreements to protect such information, nonetheless those third parties may also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or suppliers, which could result in our suffering significant financial or reputational damage.</w:t>
      </w:r>
    </w:p>
    <w:p>
      <w:pPr>
        <w:spacing w:after="0" w:line="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Long-term contracts are not typical for us, and incorrect forecasts or reductions, cancellations or delays in orders for our products could adversely affect our operating results.</w:t>
      </w:r>
    </w:p>
    <w:p>
      <w:pPr>
        <w:spacing w:after="0" w:line="3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which may fluctuate significantly on a quarterly or annual basis.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orders or forecasts for products that meet the customer’s unique requirements and that are canceled or unrealized orders would, in addition, result in an inventory of unsaleable products, causing potential inventory write-offs, and we may be unable to recover all of our costs incurred or committed.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3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future success significantly depends on our continued ability to execute our business strategy, continue to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 In addition, our growth is dependent on our ability to generate new design opportunities and win competitive bid selection processes. Failure to obtain or maintain a particular design win may prevent us from obtaining or maintaining design wins in subsequent generations of a particular product and could also weaken our position in future competitive selection processes. Our growth is also dependent on our ability to identify and penetrate new markets where we have limited experience and competition is intense. Some of our customers in new markets are less established, which could subject us to increased credit risk. There can be no assurance that the markets we serve and/or target based on our business strategy will grow in the future, that our existing and new products will meet the requirements of these markets, that our products, or the products in which our products are used, will achieve customer acceptance in these markets, that competitors will not force price reductions or take market share from us, or that we can achieve or maintain adequate gross margins or profits in these markets. Additionally, developing markets, such as the Industry 4.0, autonomous driving, artificial intelligence and 5G, require significant investments, resources and technological advancements in order to compete effectively and there can be no assurance that we will achieve success in these markets. Furthermore, a decline in demand in one or several of our end-user markets could have a material adverse effect on the demand for our products and our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65" w:right="259" w:bottom="1440" w:gutter="0" w:footer="0" w:header="0"/>
        </w:sectPr>
      </w:pPr>
    </w:p>
    <w:bookmarkStart w:id="15" w:name="page16"/>
    <w:bookmarkEnd w:id="15"/>
    <w:p>
      <w:pPr>
        <w:spacing w:after="0" w:line="269" w:lineRule="auto"/>
        <w:rPr>
          <w:sz w:val="20"/>
          <w:szCs w:val="20"/>
          <w:color w:val="auto"/>
        </w:rPr>
      </w:pPr>
      <w:r>
        <w:rPr>
          <w:rFonts w:ascii="Arial" w:cs="Arial" w:eastAsia="Arial" w:hAnsi="Arial"/>
          <w:sz w:val="17"/>
          <w:szCs w:val="17"/>
          <w:color w:val="auto"/>
        </w:rPr>
        <w:t>have more advantageous supply or development relationships with our current and potential customers or suppliers. Our competitors also include emerging companies selling specialized products in markets we serve and entities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assembly and test services, and transportation, and we generally cannot control their availability or conditions of supply.</w:t>
      </w:r>
    </w:p>
    <w:p>
      <w:pPr>
        <w:spacing w:after="0" w:line="35"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We rely, and plan to continue to rely, on third-party suppliers, assembly and test subcontractors, freight carriers and wafer fabricators (collectively, suppliers) to supply most of our products that can be manufactured using industry-standard processes. This reliance involves several risks, including reduced control over availability, capacity utilization, delivery schedules, manufacturing yields, and costs. We currently source approximately half of our wafer requirements annually from third-party wafer fabrication foundries, primarily Taiwan Semiconductor Manufacturing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additional or replacement suppliers or manufacturing processes are not available, we may also experience delays in product development or shipment which could, in turn, result in the temporary or permanent loss of customers.</w:t>
      </w: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 prolonged disruption of our internal manufacturing operations could have a material adverse effect on our business, financial condition and results of operations.</w:t>
      </w:r>
    </w:p>
    <w:p>
      <w:pPr>
        <w:spacing w:after="0" w:line="3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addition to leveraging an outsourcing model for manufacturing operations, we also rely on our internal manufacturing operations located in the United States, Ireland, the Philippines, Singapore and Malaysia. A prolonged disruption at, or inability to utilize, one or more of our manufacturing facilities, loss of raw materials or damage to our manufacturing equipment for any reason, including due to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1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term loans and senior unsecured notes.</w:t>
      </w:r>
    </w:p>
    <w:p>
      <w:pPr>
        <w:spacing w:after="0" w:line="3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ability to make payments of principal and interest on our indebtedness when due, including the significant indebtedness that we have incurred in connection with the Acquisition,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9" w:lineRule="exact"/>
        <w:rPr>
          <w:sz w:val="20"/>
          <w:szCs w:val="20"/>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borrow under our revolving credit facility;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repatriate earnings as dividends from foreign locations, attracting foreign withholding and state and local income taxes;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65" w:right="259" w:bottom="1440" w:gutter="0" w:footer="0" w:header="0"/>
        </w:sectPr>
      </w:pPr>
    </w:p>
    <w:bookmarkStart w:id="16" w:name="page17"/>
    <w:bookmarkEnd w:id="16"/>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reduce or delay planned capital expenditures or operating expenditures.</w:t>
      </w:r>
    </w:p>
    <w:p>
      <w:pPr>
        <w:spacing w:after="0" w:line="13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4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Our significant existing indebtedness could also have the effect, among other things, of reducing our flexibility to respond to changing business and economic conditions, reducing funds available for working capital, capital expenditures, acquisitions and other general corporate purposes or creating competitive disadvantages relative to other companies with lower debt levels.</w:t>
      </w:r>
    </w:p>
    <w:p>
      <w:pPr>
        <w:spacing w:after="0" w:line="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3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The demand for our products is subject to the strength of our four major end markets of Industrial, Communications,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43" w:lineRule="exact"/>
        <w:rPr>
          <w:sz w:val="20"/>
          <w:szCs w:val="20"/>
          <w:color w:val="auto"/>
        </w:rPr>
      </w:pPr>
    </w:p>
    <w:p>
      <w:pPr>
        <w:ind w:right="560"/>
        <w:spacing w:after="0" w:line="334" w:lineRule="auto"/>
        <w:rPr>
          <w:sz w:val="20"/>
          <w:szCs w:val="20"/>
          <w:color w:val="auto"/>
        </w:rPr>
      </w:pPr>
      <w:r>
        <w:rPr>
          <w:rFonts w:ascii="Arial" w:cs="Arial" w:eastAsia="Arial" w:hAnsi="Arial"/>
          <w:sz w:val="16"/>
          <w:szCs w:val="16"/>
          <w:i w:val="1"/>
          <w:iCs w:val="1"/>
          <w:color w:val="auto"/>
        </w:rPr>
        <w:t>Our semiconductor products are complex and we may be subject to product warranty and indemnity claims, which could result in significant costs and damage to our reputation and adversely affect customer relationships, the market acceptance of our products and our operating results.</w:t>
      </w:r>
    </w:p>
    <w:p>
      <w:pPr>
        <w:spacing w:after="0" w:line="1"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Semiconductor products are highly complex and may contain defects when they are first introduced or as new versions are developed. Failures in our products and services or in the products of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 breaches and theft of intellectual property.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recalls, which may adversely impact our operating results. We may also be subject to customer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 defects, or have reliability, quality or compatibility problems, our reputation may be damaged, which could make it more difficult for us to sell our products to customers and could also adversely affect our operating results.</w:t>
      </w:r>
    </w:p>
    <w:p>
      <w:pPr>
        <w:spacing w:after="0" w:line="52"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2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3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38" w:right="239" w:bottom="1440" w:gutter="0" w:footer="0" w:header="0"/>
        </w:sectPr>
      </w:pPr>
    </w:p>
    <w:bookmarkStart w:id="17" w:name="page18"/>
    <w:bookmarkEnd w:id="17"/>
    <w:p>
      <w:pPr>
        <w:ind w:right="80"/>
        <w:spacing w:after="0" w:line="272" w:lineRule="auto"/>
        <w:rPr>
          <w:sz w:val="20"/>
          <w:szCs w:val="20"/>
          <w:color w:val="auto"/>
        </w:rPr>
      </w:pPr>
      <w:r>
        <w:rPr>
          <w:rFonts w:ascii="Arial" w:cs="Arial" w:eastAsia="Arial" w:hAnsi="Arial"/>
          <w:sz w:val="17"/>
          <w:szCs w:val="17"/>
          <w:color w:val="auto"/>
        </w:rPr>
        <w:t>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recruit or retain our key personnel, our ability to execute our business strategy will be adversely affected.</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The inability to attract, hire and retain key employees with critical technical skills to achieve our strategy, including as a result of changes to immigration policies, could also have a material adverse effect on our business. In addition, there could be a material adverse effect on our business should the turnover rates for engineers and other key personnel increase significantly or if we are unable to continue to attract, hire and retain qualified personnel. We do not maintain any key person life insurance policy on any of our officers or employees.</w:t>
      </w:r>
    </w:p>
    <w:p>
      <w:pPr>
        <w:spacing w:after="0" w:line="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3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difficult to identify and complete for a number of reasons, including the cost of potential transactions, competition among prospective buyers and licensees, the need for regulatory approvals, and difficulties related to integration efforts. In addition, investments in private companies are subject to a risk of a partial or total loss of our investment. Both in the U.S. and abroad, governmental regulation of acquisitions, including antitrust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also involve a number of challenges and risks, including:</w:t>
      </w:r>
    </w:p>
    <w:p>
      <w:pPr>
        <w:spacing w:after="0" w:line="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or delay integrating acquired technologies, operations and personnel with our existing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transaction and integrating the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unforeseen liabilities or regulatory compliance issues of acquired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 and integration of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realizing synergies and growth prospects of an acquisition in a timely manner or at all;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risk of costly and time-consuming legal proceedings.</w:t>
      </w:r>
    </w:p>
    <w:p>
      <w:pPr>
        <w:spacing w:after="0" w:line="21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strategy, plans and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02"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65" w:right="259" w:bottom="1440" w:gutter="0" w:footer="0" w:header="0"/>
        </w:sectPr>
      </w:pPr>
    </w:p>
    <w:bookmarkStart w:id="18" w:name="page19"/>
    <w:bookmarkEnd w:id="18"/>
    <w:p>
      <w:pPr>
        <w:spacing w:after="0" w:line="257" w:lineRule="auto"/>
        <w:rPr>
          <w:sz w:val="20"/>
          <w:szCs w:val="20"/>
          <w:color w:val="auto"/>
        </w:rPr>
      </w:pPr>
      <w:r>
        <w:rPr>
          <w:rFonts w:ascii="Arial" w:cs="Arial" w:eastAsia="Arial" w:hAnsi="Arial"/>
          <w:sz w:val="18"/>
          <w:szCs w:val="18"/>
          <w:color w:val="auto"/>
        </w:rPr>
        <w:t>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5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35"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the Philippines, Singapore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3" w:lineRule="exact"/>
        <w:rPr>
          <w:sz w:val="20"/>
          <w:szCs w:val="20"/>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legal and economic changes, crises or instability and civil unrest in foreign markets;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conversion risks and exchange rate and interest rate fluctuations;</w:t>
      </w:r>
    </w:p>
    <w:p>
      <w:pPr>
        <w:spacing w:after="0" w:line="103" w:lineRule="exact"/>
        <w:rPr>
          <w:rFonts w:ascii="Arial" w:cs="Arial" w:eastAsia="Arial" w:hAnsi="Arial"/>
          <w:sz w:val="18"/>
          <w:szCs w:val="18"/>
          <w:color w:val="auto"/>
        </w:rPr>
      </w:pPr>
    </w:p>
    <w:p>
      <w:pPr>
        <w:ind w:left="560" w:right="20" w:hanging="160"/>
        <w:spacing w:after="0" w:line="360"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policy, trade, travel, export or taxation disputes or restrictions, government sanctions, import or export tariffs or other restrictions imposed by the U.S. government or by the governments of the countries in which we do business, particularly in China;</w:t>
      </w:r>
    </w:p>
    <w:p>
      <w:pPr>
        <w:ind w:left="560" w:right="180" w:hanging="160"/>
        <w:spacing w:after="0" w:line="360"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complex, varying and changing government regulations and legal standards and requirements, particularly with respect to price protection, competition practices, export control regulations and restrictions, customs and tax requirements, immigration, anti-boycott regulations, data privacy, intellectual property, anti-corruption and environmental compliance, including U.S. customs and export regulations and restrictions, International Traffic in Arms Regulations and the Foreign Corrupt Practices Act;</w:t>
      </w: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immigration laws, regulations and procedures and enforcement practices of various government agencies;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or pandemics;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13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35"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Many of these risks are present in China. While we expect to continue to expand our business and operations in China, our success in the Chinese markets may be adversely affected by China’s continuously evolving policies, laws and regulations, including those relating to trade, taxation, import and export tariffs or restrictions, currency controls, antitrust, cybersecurity and data protection, the environment, indigenous innovation and the promotion of a domestic semiconductor industry, and intellectual property rights and enforcement and protection of those rights. Enforcement of existing laws or agreements may be inconsistent. In addition, changes in the political environment, governmental policies, international trade policies and relations, or U.S.-China relations could result in revisions to laws or regulations or their interpretation and enforcement, exposure of our proprietary intellectual property, increased taxation, trade sanctions, the imposition of import duties or tariffs, restrictions on imports or exports, currency revaluations, or retaliatory actions by China in response to U.S. actions, which could have an adverse effect on our business plans and operating results.</w:t>
      </w:r>
    </w:p>
    <w:p>
      <w:pPr>
        <w:spacing w:after="0" w:line="3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At November 3, 2018, our principal source of liquidity was $816.6 million of cash and cash equivalents and short-term investments, of which approximately $383.5 million was held in the United States and the remaining balance was held outside the United States in various foreign subsidiaries. We continue to assert our intent to reinvest substantially all of our foreign earnings indefinitely, however we are in the process of analyzing the impact that the Tax Legislation has on this indefinite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65" w:right="239" w:bottom="1440" w:gutter="0" w:footer="0" w:header="0"/>
        </w:sectPr>
      </w:pPr>
    </w:p>
    <w:bookmarkStart w:id="19" w:name="page20"/>
    <w:bookmarkEnd w:id="19"/>
    <w:p>
      <w:pPr>
        <w:ind w:right="20"/>
        <w:spacing w:after="0" w:line="273" w:lineRule="auto"/>
        <w:rPr>
          <w:sz w:val="20"/>
          <w:szCs w:val="20"/>
          <w:color w:val="auto"/>
        </w:rPr>
      </w:pPr>
      <w:r>
        <w:rPr>
          <w:rFonts w:ascii="Arial" w:cs="Arial" w:eastAsia="Arial" w:hAnsi="Arial"/>
          <w:sz w:val="17"/>
          <w:szCs w:val="17"/>
          <w:color w:val="auto"/>
        </w:rPr>
        <w:t>reinvestment assertion. As we intend to reinvest substantially all of our foreign earnings indefinitely, certain cash held outside the United States may not be available for repatriation as dividends to the United States in the future.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our operating results could be adversely affected. We have also recently reduced the number of distributors we use, which may exacerbate the foregoing risks.</w:t>
      </w:r>
    </w:p>
    <w:p>
      <w:pPr>
        <w:spacing w:after="0" w:line="4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 xml:space="preserve">Effective November 4, 2018, all distributor sales will be recognized upon shipment to the distributor under Accounting Standards Update 2014-09, </w:t>
      </w: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(ASU 2014-09). Upon adoption of ASU 2014-09, we will no longer be permitted to defer revenue until sale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 to the end customer, but rather, will be required to estimate the effects of returns and allowances provided to distributors and record revenue at the time of sale to the distributor. If our estimates of such credits and rights are materially understated it could cause subsequent adjustments that negatively impact our revenues and gross profits in a future period.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90"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Our industry is subject to EHS requirements, particularly those environmental requirements that control and restrict the sourcing, use, transportation, emission, discharge, storage and disposal of certain chemicals,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make manufacturing process changes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4" w:lineRule="exact"/>
        <w:rPr>
          <w:sz w:val="20"/>
          <w:szCs w:val="20"/>
          <w:color w:val="auto"/>
        </w:rPr>
      </w:pPr>
    </w:p>
    <w:p>
      <w:pPr>
        <w:ind w:left="560" w:hanging="160"/>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liability for damages and remediation;</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imposition of regulatory penalties and civil and criminal fines;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suspension or termination of the development, manufacture, sale or use of certain of our products;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our manufacturing processes or a need to substitute materials that may cost more or be less available;</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reputation; and/or</w:t>
      </w:r>
    </w:p>
    <w:p>
      <w:pPr>
        <w:spacing w:after="0" w:line="10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increased expenses associated with compliance.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43"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In connection with our United States government business, we are also subject to government audits and to review and approval of our policies, procedures, and internal controls for compliance with procurement regulations and applicable laws. 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665" w:right="299" w:bottom="1440" w:gutter="0" w:footer="0" w:header="0"/>
        </w:sectPr>
      </w:pPr>
    </w:p>
    <w:bookmarkStart w:id="20" w:name="page21"/>
    <w:bookmarkEnd w:id="20"/>
    <w:p>
      <w:pPr>
        <w:ind w:right="360"/>
        <w:spacing w:after="0" w:line="312" w:lineRule="auto"/>
        <w:rPr>
          <w:sz w:val="20"/>
          <w:szCs w:val="20"/>
          <w:color w:val="auto"/>
        </w:rPr>
      </w:pPr>
      <w:r>
        <w:rPr>
          <w:rFonts w:ascii="Arial" w:cs="Arial" w:eastAsia="Arial" w:hAnsi="Arial"/>
          <w:sz w:val="16"/>
          <w:szCs w:val="16"/>
          <w:color w:val="auto"/>
        </w:rPr>
        <w:t>certain circumstances, if we do not comply with the terms of a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1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term loans and outstanding debt instruments may limit our activities.</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current revolving credit facility, term loans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and changes in technology, government regulations and the level of competition. In addition, our revolving credit facility requires us to maintain compliance with specified financial ratios. If we breach any of the covenants under our revolving credit facility, the indentures governing our outstanding senior unsecured notes, the term loans or any future debt instruments to which we may become subject and do not obtain appropriate waivers, then, subject to applicable cure periods, our outstanding indebtedness thereunder could be declared immediately due and payable or we may be restricted from further borrowing under our revolving credit facility.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9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8"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103" w:lineRule="exact"/>
        <w:rPr>
          <w:rFonts w:ascii="Arial" w:cs="Arial" w:eastAsia="Arial" w:hAnsi="Arial"/>
          <w:sz w:val="18"/>
          <w:szCs w:val="18"/>
          <w:color w:val="auto"/>
        </w:rPr>
      </w:pPr>
    </w:p>
    <w:p>
      <w:pPr>
        <w:ind w:left="660" w:right="440" w:hanging="247"/>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results and prospects of our customers;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and foreign government actions, including with respect to trade, travel, export and taxation;</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rumors and speculation in the press, investment community or on social media about us, our customers or other companies in our industry;</w:t>
      </w:r>
    </w:p>
    <w:p>
      <w:pPr>
        <w:spacing w:after="0" w:line="115" w:lineRule="exact"/>
        <w:rPr>
          <w:rFonts w:ascii="Arial" w:cs="Arial" w:eastAsia="Arial" w:hAnsi="Arial"/>
          <w:sz w:val="17"/>
          <w:szCs w:val="17"/>
          <w:color w:val="auto"/>
        </w:rPr>
      </w:pPr>
    </w:p>
    <w:p>
      <w:pPr>
        <w:ind w:left="660" w:right="320" w:hanging="247"/>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our customers or our competitors of significant new products, technical innovations, material transactions, acquisitions or dispositions, litigation, capital commitments or revised earnings estimates;</w:t>
      </w: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1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665"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corporate headquarters is located in Norwood, Massachusetts. Manufacturing and other operations are conducted in several locations worldwide.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certain information about our principal general offices and manufacturing facilities: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gridSpan w:val="2"/>
          </w:tcPr>
          <w:p>
            <w:pPr>
              <w:ind w:left="420"/>
              <w:spacing w:after="0"/>
              <w:rPr>
                <w:sz w:val="20"/>
                <w:szCs w:val="20"/>
                <w:color w:val="auto"/>
              </w:rPr>
            </w:pPr>
            <w:r>
              <w:rPr>
                <w:rFonts w:ascii="Arial" w:cs="Arial" w:eastAsia="Arial" w:hAnsi="Arial"/>
                <w:sz w:val="14"/>
                <w:szCs w:val="14"/>
                <w:b w:val="1"/>
                <w:bCs w:val="1"/>
                <w:color w:val="auto"/>
              </w:rPr>
              <w:t>Principal Properties</w:t>
            </w:r>
          </w:p>
        </w:tc>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233"/>
              <w:spacing w:after="0"/>
              <w:rPr>
                <w:sz w:val="20"/>
                <w:szCs w:val="20"/>
                <w:color w:val="auto"/>
              </w:rPr>
            </w:pPr>
            <w:r>
              <w:rPr>
                <w:rFonts w:ascii="Arial" w:cs="Arial" w:eastAsia="Arial" w:hAnsi="Arial"/>
                <w:sz w:val="14"/>
                <w:szCs w:val="14"/>
                <w:b w:val="1"/>
                <w:bCs w:val="1"/>
                <w:color w:val="auto"/>
              </w:rPr>
              <w:t>Approximate</w:t>
            </w:r>
          </w:p>
        </w:tc>
      </w:tr>
      <w:tr>
        <w:trPr>
          <w:trHeight w:val="276"/>
        </w:trPr>
        <w:tc>
          <w:tcPr>
            <w:tcW w:w="20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Owned:</w:t>
            </w:r>
          </w:p>
        </w:tc>
        <w:tc>
          <w:tcPr>
            <w:tcW w:w="120" w:type="dxa"/>
            <w:vAlign w:val="bottom"/>
            <w:tcBorders>
              <w:bottom w:val="single" w:sz="8" w:color="CCEEFF"/>
            </w:tcBorders>
          </w:tcPr>
          <w:p>
            <w:pPr>
              <w:spacing w:after="0"/>
              <w:rPr>
                <w:sz w:val="24"/>
                <w:szCs w:val="24"/>
                <w:color w:val="auto"/>
              </w:rPr>
            </w:pPr>
          </w:p>
        </w:tc>
        <w:tc>
          <w:tcPr>
            <w:tcW w:w="7640" w:type="dxa"/>
            <w:vAlign w:val="bottom"/>
            <w:tcBorders>
              <w:bottom w:val="single" w:sz="8" w:color="auto"/>
            </w:tcBorders>
          </w:tcPr>
          <w:p>
            <w:pPr>
              <w:ind w:left="3700"/>
              <w:spacing w:after="0"/>
              <w:rPr>
                <w:sz w:val="20"/>
                <w:szCs w:val="20"/>
                <w:color w:val="auto"/>
              </w:rPr>
            </w:pPr>
            <w:r>
              <w:rPr>
                <w:rFonts w:ascii="Arial" w:cs="Arial" w:eastAsia="Arial" w:hAnsi="Arial"/>
                <w:sz w:val="14"/>
                <w:szCs w:val="14"/>
                <w:b w:val="1"/>
                <w:bCs w:val="1"/>
                <w:color w:val="auto"/>
              </w:rPr>
              <w:t>Use</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 Sq. Ft.</w:t>
            </w: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Cavite, Philippines</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Wafer probe and testing, warehouse, engineering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873,000 sq. ft.</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Wilmington, MA</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Wafer fabrication, testing, engineering, marketing and administrative offices</w:t>
            </w:r>
          </w:p>
        </w:tc>
        <w:tc>
          <w:tcPr>
            <w:tcW w:w="1480" w:type="dxa"/>
            <w:vAlign w:val="bottom"/>
          </w:tcPr>
          <w:p>
            <w:pPr>
              <w:jc w:val="right"/>
              <w:spacing w:after="0"/>
              <w:rPr>
                <w:sz w:val="20"/>
                <w:szCs w:val="20"/>
                <w:color w:val="auto"/>
              </w:rPr>
            </w:pPr>
            <w:r>
              <w:rPr>
                <w:rFonts w:ascii="Arial" w:cs="Arial" w:eastAsia="Arial" w:hAnsi="Arial"/>
                <w:sz w:val="18"/>
                <w:szCs w:val="18"/>
                <w:color w:val="auto"/>
              </w:rPr>
              <w:t>594,000 sq. ft.</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Limerick, Ireland</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Wafer fabrication, wafer probe and testing, engineering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491,000 sq. ft.</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Milpitas, CA</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6"/>
              </w:rPr>
              <w:t>Wafer fabrication, test and assembly; warehouse and distribution; engineering, sales, marketing and</w:t>
            </w:r>
          </w:p>
        </w:tc>
        <w:tc>
          <w:tcPr>
            <w:tcW w:w="1480" w:type="dxa"/>
            <w:vAlign w:val="bottom"/>
          </w:tcPr>
          <w:p>
            <w:pPr>
              <w:jc w:val="right"/>
              <w:spacing w:after="0"/>
              <w:rPr>
                <w:sz w:val="20"/>
                <w:szCs w:val="20"/>
                <w:color w:val="auto"/>
              </w:rPr>
            </w:pPr>
            <w:r>
              <w:rPr>
                <w:rFonts w:ascii="Arial" w:cs="Arial" w:eastAsia="Arial" w:hAnsi="Arial"/>
                <w:sz w:val="18"/>
                <w:szCs w:val="18"/>
                <w:color w:val="auto"/>
              </w:rPr>
              <w:t>430,000 sq. ft.</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administrative offices</w:t>
            </w:r>
          </w:p>
        </w:tc>
        <w:tc>
          <w:tcPr>
            <w:tcW w:w="148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Singapore (a)</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7"/>
              </w:rPr>
              <w:t>Wafer test and packaging, warehouse and distribution, engineering, sales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384,000 sq. ft.</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Malaysia (b)</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Assembly and engineering offices, employee parking</w:t>
            </w:r>
          </w:p>
        </w:tc>
        <w:tc>
          <w:tcPr>
            <w:tcW w:w="1480" w:type="dxa"/>
            <w:vAlign w:val="bottom"/>
          </w:tcPr>
          <w:p>
            <w:pPr>
              <w:jc w:val="right"/>
              <w:spacing w:after="0"/>
              <w:rPr>
                <w:sz w:val="20"/>
                <w:szCs w:val="20"/>
                <w:color w:val="auto"/>
              </w:rPr>
            </w:pPr>
            <w:r>
              <w:rPr>
                <w:rFonts w:ascii="Arial" w:cs="Arial" w:eastAsia="Arial" w:hAnsi="Arial"/>
                <w:sz w:val="18"/>
                <w:szCs w:val="18"/>
                <w:color w:val="auto"/>
              </w:rPr>
              <w:t>350,000 sq. ft.</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Chelmsford, MA</w:t>
            </w: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Final assembly of certain module and subsystem-level products, testing, engineering and administrative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 sq. ft.</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offices</w:t>
            </w: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Camas, WA</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Wafer fabrication</w:t>
            </w:r>
          </w:p>
        </w:tc>
        <w:tc>
          <w:tcPr>
            <w:tcW w:w="1480" w:type="dxa"/>
            <w:vAlign w:val="bottom"/>
          </w:tcPr>
          <w:p>
            <w:pPr>
              <w:jc w:val="right"/>
              <w:spacing w:after="0"/>
              <w:rPr>
                <w:sz w:val="20"/>
                <w:szCs w:val="20"/>
                <w:color w:val="auto"/>
              </w:rPr>
            </w:pPr>
            <w:r>
              <w:rPr>
                <w:rFonts w:ascii="Arial" w:cs="Arial" w:eastAsia="Arial" w:hAnsi="Arial"/>
                <w:sz w:val="18"/>
                <w:szCs w:val="18"/>
                <w:color w:val="auto"/>
              </w:rPr>
              <w:t>105,000 sq. ft.</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Greensboro, NC</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 testing, engineering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99,000 sq. ft.</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San Jose, CA</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Engineering, administrative offices</w:t>
            </w:r>
          </w:p>
        </w:tc>
        <w:tc>
          <w:tcPr>
            <w:tcW w:w="1480" w:type="dxa"/>
            <w:vAlign w:val="bottom"/>
          </w:tcPr>
          <w:p>
            <w:pPr>
              <w:jc w:val="right"/>
              <w:spacing w:after="0"/>
              <w:rPr>
                <w:sz w:val="20"/>
                <w:szCs w:val="20"/>
                <w:color w:val="auto"/>
              </w:rPr>
            </w:pPr>
            <w:r>
              <w:rPr>
                <w:rFonts w:ascii="Arial" w:cs="Arial" w:eastAsia="Arial" w:hAnsi="Arial"/>
                <w:sz w:val="18"/>
                <w:szCs w:val="18"/>
                <w:color w:val="auto"/>
              </w:rPr>
              <w:t>77,000 sq. ft.</w:t>
            </w:r>
          </w:p>
        </w:tc>
      </w:tr>
    </w:tbl>
    <w:p>
      <w:pPr>
        <w:spacing w:after="0" w:line="13"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Leases on the land used for this facility expire in 2021 through 2022 with an option to extend each lease for an additional 30 years</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Leases on the land used for this facility expire in 2054 through 2057</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Lease</w:t>
            </w:r>
          </w:p>
        </w:tc>
        <w:tc>
          <w:tcPr>
            <w:tcW w:w="1360" w:type="dxa"/>
            <w:vAlign w:val="bottom"/>
          </w:tcPr>
          <w:p>
            <w:pPr>
              <w:spacing w:after="0"/>
              <w:rPr>
                <w:sz w:val="16"/>
                <w:szCs w:val="16"/>
                <w:color w:val="auto"/>
              </w:rPr>
            </w:pPr>
          </w:p>
        </w:tc>
      </w:tr>
      <w:tr>
        <w:trPr>
          <w:trHeight w:val="270"/>
        </w:trPr>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Properties</w:t>
            </w:r>
          </w:p>
        </w:tc>
        <w:tc>
          <w:tcPr>
            <w:tcW w:w="4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Approximate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w:t>
            </w:r>
          </w:p>
        </w:tc>
        <w:tc>
          <w:tcPr>
            <w:tcW w:w="1360" w:type="dxa"/>
            <w:vAlign w:val="bottom"/>
          </w:tcPr>
          <w:p>
            <w:pPr>
              <w:spacing w:after="0"/>
              <w:rPr>
                <w:sz w:val="23"/>
                <w:szCs w:val="23"/>
                <w:color w:val="auto"/>
              </w:rPr>
            </w:pPr>
          </w:p>
        </w:tc>
      </w:tr>
      <w:tr>
        <w:trPr>
          <w:trHeight w:val="276"/>
        </w:trPr>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Leased:</w:t>
            </w:r>
          </w:p>
        </w:tc>
        <w:tc>
          <w:tcPr>
            <w:tcW w:w="4800" w:type="dxa"/>
            <w:vAlign w:val="bottom"/>
            <w:gridSpan w:val="2"/>
          </w:tcPr>
          <w:p>
            <w:pPr>
              <w:ind w:left="2220"/>
              <w:spacing w:after="0"/>
              <w:rPr>
                <w:sz w:val="20"/>
                <w:szCs w:val="20"/>
                <w:color w:val="auto"/>
              </w:rPr>
            </w:pPr>
            <w:r>
              <w:rPr>
                <w:rFonts w:ascii="Arial" w:cs="Arial" w:eastAsia="Arial" w:hAnsi="Arial"/>
                <w:sz w:val="14"/>
                <w:szCs w:val="14"/>
                <w:b w:val="1"/>
                <w:bCs w:val="1"/>
                <w:color w:val="auto"/>
              </w:rPr>
              <w:t>Use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Sq. Ft.</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(fiscal year)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Renewals</w:t>
            </w:r>
          </w:p>
        </w:tc>
      </w:tr>
      <w:tr>
        <w:trPr>
          <w:trHeight w:val="270"/>
        </w:trPr>
        <w:tc>
          <w:tcPr>
            <w:tcW w:w="2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Norwood, MA</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headquarters, engineering, sales and marketing</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130,000 sq. ft.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 five-yr.</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periods</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Santa Clara, CA</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Engineering, sales, marketing and administrative offices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445,000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2030</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7"/>
              </w:rPr>
              <w:t>2, five-yr.</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periods</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Bangalore, India</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Engineering</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175,000 sq. ft.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 five-yr.</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period</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Greensboro, NC</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Engineering and administrative offices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51,000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 three-yr.</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periods</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Shanghai, China</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Engineering and sales offices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59,000 sq. ft.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three-yr.</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period</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Beijing, China</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Engineering and sales offices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58,000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 three-yr.</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period</w:t>
            </w:r>
          </w:p>
        </w:tc>
      </w:tr>
    </w:tbl>
    <w:p>
      <w:pPr>
        <w:spacing w:after="0" w:line="13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 xml:space="preserve">In addition to the principal properties listed in the above table, we also own or lease a number of other facilities in various locations in the United States and internationally that are used for manufacturing, engineering, sales and marketing and administration activities. Leases for these leased facilities expire at various dates through the year 2030. We do not anticipate experiencing significant difficulty in retaining occupancy of any of our manufacturing, office or sales facilities through lease renewals prior to expiration or through month-to-month occupancy, or in replacing them with equivalent facilities. For information concerning our obligations under all operating leases, see Note 9,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of the Notes to Consolidated Financial Statements contained in Item 8 of this Annual Report on Form 10-K.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From time to time in the ordinary course of our business, various claims, charges and litigation are asserted or commenced against us arising from, or related to, contractual matters, patents, trademarks, personal injury, environmental matters, product liability, insurance coverage and personnel and employment disputes. As to such claims and litigation, we can give no assurance that we will prevail. We do not believe that any current legal matters will have a material adverse effect on our financial position, results of operations or cash flows.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16"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following table sets forth (i) the name, age and position of each of our executive officers as of November 27, 2018 and (ii) the business experience of each person named in the table during at least the past five years. There is no family relationship among any of our executive officers.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Officer</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Position(s)</w:t>
            </w:r>
          </w:p>
        </w:tc>
        <w:tc>
          <w:tcPr>
            <w:tcW w:w="10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Business Experience</w:t>
            </w:r>
          </w:p>
        </w:tc>
      </w:tr>
      <w:tr>
        <w:trPr>
          <w:trHeight w:val="228"/>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Vincent Roche</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58   President and Chief Executive Officer</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President and Chief Executive Officer since May 2013; President</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since November 2012; Vice President, Strategic Segments Group</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and Global Sales from October 2009 to November 2012; Vice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President, Worldwide Sales from March 2001 to October 2009;</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Vice President and General Manager, Silicon Valley Business</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Units and Computer &amp; Networking from 1999 to March 2001;</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Product Line Director from 1995 to 1999; and Product Marketing</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Manager from 1988 to 1995.</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Prashanth Mahendra-Rajah</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w w:val="98"/>
              </w:rPr>
              <w:t>48   Senior Vice President, Finance and Chief</w:t>
            </w:r>
          </w:p>
        </w:tc>
        <w:tc>
          <w:tcPr>
            <w:tcW w:w="4780" w:type="dxa"/>
            <w:vAlign w:val="bottom"/>
          </w:tcPr>
          <w:p>
            <w:pPr>
              <w:ind w:left="20"/>
              <w:spacing w:after="0"/>
              <w:rPr>
                <w:sz w:val="20"/>
                <w:szCs w:val="20"/>
                <w:color w:val="auto"/>
              </w:rPr>
            </w:pPr>
            <w:r>
              <w:rPr>
                <w:rFonts w:ascii="Arial" w:cs="Arial" w:eastAsia="Arial" w:hAnsi="Arial"/>
                <w:sz w:val="18"/>
                <w:szCs w:val="18"/>
                <w:color w:val="auto"/>
                <w:w w:val="92"/>
              </w:rPr>
              <w:t>Senior Vice President, Finance and Chief Financial Officer since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Financial Officer</w:t>
            </w:r>
          </w:p>
        </w:tc>
        <w:tc>
          <w:tcPr>
            <w:tcW w:w="4780" w:type="dxa"/>
            <w:vAlign w:val="bottom"/>
          </w:tcPr>
          <w:p>
            <w:pPr>
              <w:ind w:left="20"/>
              <w:spacing w:after="0"/>
              <w:rPr>
                <w:sz w:val="20"/>
                <w:szCs w:val="20"/>
                <w:color w:val="auto"/>
              </w:rPr>
            </w:pPr>
            <w:r>
              <w:rPr>
                <w:rFonts w:ascii="Arial" w:cs="Arial" w:eastAsia="Arial" w:hAnsi="Arial"/>
                <w:sz w:val="18"/>
                <w:szCs w:val="18"/>
                <w:color w:val="auto"/>
                <w:w w:val="97"/>
              </w:rPr>
              <w:t>September 2017; Chief Financial Officer of WABCO Holdings</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6"/>
              </w:rPr>
              <w:t>Inc., a supplier of commercial vehicle technologies, from June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0"/>
              </w:rPr>
              <w:t>2014 to September 2017; Corporate Vice President and Segment</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6"/>
              </w:rPr>
              <w:t>CFO of the Silicon Systems Group of Applied Materials Inc., a</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5"/>
              </w:rPr>
              <w:t>provider of manufacturing equipment, services and software to</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2"/>
              </w:rPr>
              <w:t>the global semiconductor industry, from April 2012 to June 2014.</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Martin Cotter</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53   Senior Vice President, Worldwide Sales</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Senior Vice President, Worldwide Sales and Digital Marketing</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Digital Marketing</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since September 2016; Vice President Internet of Things (IoT),</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Healthcare, and Consumer Business Units, from November 2015</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to September 2016; Vice President, Healthcare and Consumer</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Business Groups from November 2014 to November 2015;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VP, Communications Infrastructure Business Unit from October</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2012 to November 2014.</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Joseph (John) Hassett</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w w:val="98"/>
              </w:rPr>
              <w:t>60   Senior Vice President, Global Operations</w:t>
            </w:r>
          </w:p>
        </w:tc>
        <w:tc>
          <w:tcPr>
            <w:tcW w:w="4780" w:type="dxa"/>
            <w:vAlign w:val="bottom"/>
          </w:tcPr>
          <w:p>
            <w:pPr>
              <w:ind w:left="20"/>
              <w:spacing w:after="0"/>
              <w:rPr>
                <w:sz w:val="20"/>
                <w:szCs w:val="20"/>
                <w:color w:val="auto"/>
              </w:rPr>
            </w:pPr>
            <w:r>
              <w:rPr>
                <w:rFonts w:ascii="Arial" w:cs="Arial" w:eastAsia="Arial" w:hAnsi="Arial"/>
                <w:sz w:val="18"/>
                <w:szCs w:val="18"/>
                <w:color w:val="auto"/>
                <w:w w:val="93"/>
              </w:rPr>
              <w:t>Senior Vice President, Global Operations and Technology since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and Technology</w:t>
            </w:r>
          </w:p>
        </w:tc>
        <w:tc>
          <w:tcPr>
            <w:tcW w:w="4780" w:type="dxa"/>
            <w:vAlign w:val="bottom"/>
          </w:tcPr>
          <w:p>
            <w:pPr>
              <w:ind w:left="20"/>
              <w:spacing w:after="0"/>
              <w:rPr>
                <w:sz w:val="20"/>
                <w:szCs w:val="20"/>
                <w:color w:val="auto"/>
              </w:rPr>
            </w:pPr>
            <w:r>
              <w:rPr>
                <w:rFonts w:ascii="Arial" w:cs="Arial" w:eastAsia="Arial" w:hAnsi="Arial"/>
                <w:sz w:val="18"/>
                <w:szCs w:val="18"/>
                <w:color w:val="auto"/>
              </w:rPr>
              <w:t>May 2015; Vice President Assembly and Test Worldwide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5"/>
              </w:rPr>
              <w:t>Manufacturing from 1994 to May 2015; and Director Assembly</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Operations Worldwide Manufacturing from 1990 to 1994.</w:t>
            </w:r>
          </w:p>
        </w:tc>
      </w:tr>
      <w:tr>
        <w:trPr>
          <w:trHeight w:val="702"/>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Officer</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Position(s)</w:t>
            </w:r>
          </w:p>
        </w:tc>
        <w:tc>
          <w:tcPr>
            <w:tcW w:w="10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Business Experience</w:t>
            </w:r>
          </w:p>
        </w:tc>
      </w:tr>
      <w:tr>
        <w:trPr>
          <w:trHeight w:val="228"/>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Gregory Henderson</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50   Senior Vice President, Automotive,</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Automotive, Communications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Communications and Aerospace and</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Aerospace and Defense since June 2017; Vice President, RF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Defense</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Microwave Business Unit from July 2014 to June 2017; Vice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of the RF and Microwave Business Unit of Hittite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Microwave Corporation, a maker of chips and related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from October 2013 to July 2014; and Director</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Product Management of Harris Corporation, a defense contractor</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and technology provider of communications, electronic, and</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space and intelligence systems, from 2011 to October 2013.</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Yusuf Jamal</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rPr>
              <w:t>41   Senior Vice President, Industrial,</w:t>
            </w:r>
          </w:p>
        </w:tc>
        <w:tc>
          <w:tcPr>
            <w:tcW w:w="4780" w:type="dxa"/>
            <w:vAlign w:val="bottom"/>
          </w:tcPr>
          <w:p>
            <w:pPr>
              <w:ind w:left="20"/>
              <w:spacing w:after="0"/>
              <w:rPr>
                <w:sz w:val="20"/>
                <w:szCs w:val="20"/>
                <w:color w:val="auto"/>
              </w:rPr>
            </w:pPr>
            <w:r>
              <w:rPr>
                <w:rFonts w:ascii="Arial" w:cs="Arial" w:eastAsia="Arial" w:hAnsi="Arial"/>
                <w:sz w:val="18"/>
                <w:szCs w:val="18"/>
                <w:color w:val="auto"/>
                <w:w w:val="91"/>
              </w:rPr>
              <w:t>Senior Vice President, Industrial, Healthcare, Consumer, and IoT</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w w:val="95"/>
              </w:rPr>
              <w:t>Healthcare, Consumer, and IoT Solutions</w:t>
            </w:r>
          </w:p>
        </w:tc>
        <w:tc>
          <w:tcPr>
            <w:tcW w:w="4780" w:type="dxa"/>
            <w:vAlign w:val="bottom"/>
          </w:tcPr>
          <w:p>
            <w:pPr>
              <w:ind w:left="20"/>
              <w:spacing w:after="0"/>
              <w:rPr>
                <w:sz w:val="20"/>
                <w:szCs w:val="20"/>
                <w:color w:val="auto"/>
              </w:rPr>
            </w:pPr>
            <w:r>
              <w:rPr>
                <w:rFonts w:ascii="Arial" w:cs="Arial" w:eastAsia="Arial" w:hAnsi="Arial"/>
                <w:sz w:val="18"/>
                <w:szCs w:val="18"/>
                <w:color w:val="auto"/>
              </w:rPr>
              <w:t>Solutions and Security since June 2017; Vice President,</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and Security</w:t>
            </w:r>
          </w:p>
        </w:tc>
        <w:tc>
          <w:tcPr>
            <w:tcW w:w="4780" w:type="dxa"/>
            <w:vAlign w:val="bottom"/>
          </w:tcPr>
          <w:p>
            <w:pPr>
              <w:ind w:left="20"/>
              <w:spacing w:after="0"/>
              <w:rPr>
                <w:sz w:val="20"/>
                <w:szCs w:val="20"/>
                <w:color w:val="auto"/>
              </w:rPr>
            </w:pPr>
            <w:r>
              <w:rPr>
                <w:rFonts w:ascii="Arial" w:cs="Arial" w:eastAsia="Arial" w:hAnsi="Arial"/>
                <w:sz w:val="18"/>
                <w:szCs w:val="18"/>
                <w:color w:val="auto"/>
                <w:w w:val="90"/>
              </w:rPr>
              <w:t>Healthcare and Consumer Business Unit from September 2016 to</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8"/>
              </w:rPr>
              <w:t>June 2017; General Manager, Consumer Business Unit from</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1"/>
              </w:rPr>
              <w:t>September 2014 to September 2016; Product Marketing Director,</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2"/>
              </w:rPr>
              <w:t>User eXperience Technologies from October 2012 to September</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1"/>
              </w:rPr>
              <w:t>2014; and Business Director Portable Segment from May 2008 to</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October 2012.</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Steve </w:t>
            </w:r>
            <w:r>
              <w:rPr>
                <w:rFonts w:ascii="Arial" w:cs="Arial" w:eastAsia="Arial" w:hAnsi="Arial"/>
                <w:sz w:val="19"/>
                <w:szCs w:val="19"/>
                <w:color w:val="auto"/>
              </w:rPr>
              <w:t>Pietkiewicz</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59   Senior Vice President, Power Products</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Senior Vice President, Power Products since June 2017; Vice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President and General Manager of S Power Products from March</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2017 to June 2017; Vice President and General Manager of S</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Products at Linear Technology Corporation, a</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manufacturer of high performance linear integrated circuits, from</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July 2007 to March 2017; General Manager, S Power Products at</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Linear Technology Corporation from April 2005 to July 2007;</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and Design Manager at Linear Technology Corporation from</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1995 to April 2005.</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Margaret K. Seif</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rPr>
              <w:t>57   Chief People Officer, Chief Legal</w:t>
            </w:r>
          </w:p>
        </w:tc>
        <w:tc>
          <w:tcPr>
            <w:tcW w:w="4780" w:type="dxa"/>
            <w:vAlign w:val="bottom"/>
          </w:tcPr>
          <w:p>
            <w:pPr>
              <w:ind w:left="20"/>
              <w:spacing w:after="0"/>
              <w:rPr>
                <w:sz w:val="20"/>
                <w:szCs w:val="20"/>
                <w:color w:val="auto"/>
              </w:rPr>
            </w:pPr>
            <w:r>
              <w:rPr>
                <w:rFonts w:ascii="Arial" w:cs="Arial" w:eastAsia="Arial" w:hAnsi="Arial"/>
                <w:sz w:val="18"/>
                <w:szCs w:val="18"/>
                <w:color w:val="auto"/>
                <w:w w:val="94"/>
              </w:rPr>
              <w:t>Chief People Officer, Chief Legal Officer, Secretary and Senior</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Officer, Secretary and Senior Vice</w:t>
            </w:r>
          </w:p>
        </w:tc>
        <w:tc>
          <w:tcPr>
            <w:tcW w:w="4780" w:type="dxa"/>
            <w:vAlign w:val="bottom"/>
          </w:tcPr>
          <w:p>
            <w:pPr>
              <w:ind w:left="20"/>
              <w:spacing w:after="0"/>
              <w:rPr>
                <w:sz w:val="20"/>
                <w:szCs w:val="20"/>
                <w:color w:val="auto"/>
              </w:rPr>
            </w:pPr>
            <w:r>
              <w:rPr>
                <w:rFonts w:ascii="Arial" w:cs="Arial" w:eastAsia="Arial" w:hAnsi="Arial"/>
                <w:sz w:val="18"/>
                <w:szCs w:val="18"/>
                <w:color w:val="auto"/>
                <w:w w:val="98"/>
              </w:rPr>
              <w:t>Vice President of Communications since August 2018; Chief</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President of Communications</w:t>
            </w:r>
          </w:p>
        </w:tc>
        <w:tc>
          <w:tcPr>
            <w:tcW w:w="4780" w:type="dxa"/>
            <w:vAlign w:val="bottom"/>
          </w:tcPr>
          <w:p>
            <w:pPr>
              <w:ind w:left="20"/>
              <w:spacing w:after="0"/>
              <w:rPr>
                <w:sz w:val="20"/>
                <w:szCs w:val="20"/>
                <w:color w:val="auto"/>
              </w:rPr>
            </w:pPr>
            <w:r>
              <w:rPr>
                <w:rFonts w:ascii="Arial" w:cs="Arial" w:eastAsia="Arial" w:hAnsi="Arial"/>
                <w:sz w:val="18"/>
                <w:szCs w:val="18"/>
                <w:color w:val="auto"/>
              </w:rPr>
              <w:t>Legal Officer, Secretary and Senior Vice President of</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3"/>
              </w:rPr>
              <w:t>Communications and Brand from January 2016 to August 2018;</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9"/>
              </w:rPr>
              <w:t>Senior Vice President, General Counsel and Secretary from</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November 2014 to January 2016; Vice President, General</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5"/>
              </w:rPr>
              <w:t>Counsel and Secretary from January 2006 to November 2014;</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5"/>
              </w:rPr>
              <w:t>Senior Vice President, General Counsel and Secretary of RSA</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3"/>
              </w:rPr>
              <w:t>Security Inc., a provider of computer and network security, from</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5"/>
              </w:rPr>
              <w:t>January 2000 to November 2005; and Vice President, General</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4"/>
              </w:rPr>
              <w:t>Counsel and Secretary of RSA Security Inc. from June 1998 to</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January 2000.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Eileen Wynne</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52   Vice President and Chief Accounting</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Vice President and Chief Accounting Officer since April 2015;</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Officer</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Interim Chief Financial Officer from March 2017 to September</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 Vice President, Corporate Controller and Chief</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Officer from May 2013 to April 2015; Corporate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Controller from April 2011 to May 2013; and Assistant</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Controller from February 2004 to April 2011.</w:t>
            </w:r>
          </w:p>
        </w:tc>
      </w:tr>
      <w:tr>
        <w:trPr>
          <w:trHeight w:val="45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60" w:right="180" w:hanging="1052"/>
        <w:spacing w:after="0" w:line="282" w:lineRule="auto"/>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Nasdaq Global Select Market under the symbol ADI.</w:t>
      </w:r>
    </w:p>
    <w:p>
      <w:pPr>
        <w:spacing w:after="0" w:line="13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Information regarding our equity compensation plans and the securities authorized for issuance thereunder is set forth in Item 12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March 10, 2017, we completed the acquisition of Linear Technology Corporation, an independent manufacturer of high performance analog integrated circuits, which we refer to as the Acquisition. In connection with the Acquisition, we temporarily suspended our share repurchase program. On August 21, 2018, we reinstated the share repurchase program, and our Board of Directors approved an increase to the current authorization for the stock repurchase program by an additional $2.0 billion to $8.2 billion in the aggregate. The table below summarizes the activity related to stock repurchases for the three months ended November 3,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Average Price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Per Share(b)</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Programs(c)</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August 5, 2018 through September 1, 2018</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102,443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98.83</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90,453</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2,783,503,862</w:t>
            </w:r>
          </w:p>
        </w:tc>
        <w:tc>
          <w:tcPr>
            <w:tcW w:w="0" w:type="dxa"/>
            <w:vAlign w:val="bottom"/>
          </w:tcPr>
          <w:p>
            <w:pPr>
              <w:spacing w:after="0"/>
              <w:rPr>
                <w:sz w:val="1"/>
                <w:szCs w:val="1"/>
                <w:color w:val="auto"/>
              </w:rPr>
            </w:pP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 2018 through September 29, 2018</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847,200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92.87</w:t>
            </w:r>
          </w:p>
        </w:tc>
        <w:tc>
          <w:tcPr>
            <w:tcW w:w="10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819,059</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2,707,442,670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September 30, 2018 through November 3, 2018</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1,099,271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86.70</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1,034,848</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2,617,537,930</w:t>
            </w:r>
          </w:p>
        </w:tc>
        <w:tc>
          <w:tcPr>
            <w:tcW w:w="0" w:type="dxa"/>
            <w:vAlign w:val="bottom"/>
          </w:tcPr>
          <w:p>
            <w:pPr>
              <w:spacing w:after="0"/>
              <w:rPr>
                <w:sz w:val="1"/>
                <w:szCs w:val="1"/>
                <w:color w:val="auto"/>
              </w:rPr>
            </w:pPr>
          </w:p>
        </w:tc>
      </w:tr>
      <w:tr>
        <w:trPr>
          <w:trHeight w:val="237"/>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2,048,914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89.86</w:t>
            </w:r>
          </w:p>
        </w:tc>
        <w:tc>
          <w:tcPr>
            <w:tcW w:w="100" w:type="dxa"/>
            <w:vAlign w:val="bottom"/>
          </w:tcPr>
          <w:p>
            <w:pPr>
              <w:spacing w:after="0"/>
              <w:rPr>
                <w:sz w:val="20"/>
                <w:szCs w:val="20"/>
                <w:color w:val="auto"/>
              </w:rPr>
            </w:pPr>
          </w:p>
        </w:tc>
        <w:tc>
          <w:tcPr>
            <w:tcW w:w="20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1,944,360</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2,617,537,930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9" w:lineRule="exact"/>
        <w:rPr>
          <w:sz w:val="20"/>
          <w:szCs w:val="20"/>
          <w:color w:val="auto"/>
        </w:rPr>
      </w:pPr>
    </w:p>
    <w:p>
      <w:pPr>
        <w:ind w:left="460" w:right="4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104,554 shares withheld by us from employees to satisfy employee tax obligations upon vesting of restricted stock units/awards granted to our employees under our equity compensation plans.</w:t>
      </w:r>
    </w:p>
    <w:p>
      <w:pPr>
        <w:spacing w:after="0" w:line="8"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spacing w:after="0" w:line="8" w:lineRule="exact"/>
        <w:rPr>
          <w:rFonts w:ascii="Arial" w:cs="Arial" w:eastAsia="Arial" w:hAnsi="Arial"/>
          <w:sz w:val="18"/>
          <w:szCs w:val="18"/>
          <w:color w:val="auto"/>
        </w:rPr>
      </w:pPr>
    </w:p>
    <w:p>
      <w:pPr>
        <w:ind w:left="460" w:right="140" w:hanging="452"/>
        <w:spacing w:after="0" w:line="25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repurchased pursuant to the stock repurchase program publicly announced on August 12, 2004. On August 21, 2018, the Board of Directors approved an increase to the current authorization for the stock repurchase program by an additional $2.0 billion to $8.2 billion in the aggregate.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9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number of holders of record of our common stock at November 23, 2018 was 2,164. This number does not include shareholders for whom shares are held in a “nominee” or “street” name. On November 2, 2018, the last reported sales price of our common stock on The Nasdaq Global Select Market was $87.18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following graph compares cumulative total shareholder return on our common stock since November 2, 2013 with the cumulative total return of the Standard &amp; Poor’s (S&amp;P) 500 Index and the S&amp;P Semiconductors Index. This graph assumes the investment of $100 on November 2, 2013 in our common stock, the S&amp;P 500 Index and the S&amp;P Semiconductors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702935" cy="3481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2935"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1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5"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 xml:space="preserve">The following table includes selected financial data for each of our last five fiscal years and includes the results of operations from the acquisition of Linear from March 10, 2017 and the acquisition of Hittite Microwave Corporation from July 22, 2014. See Note 6,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of the Notes to Consolidated Financial Statements contained in Item 8 of this Annual Report on Form 10-K for information on the Linear acquisition.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 of Operations data: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6,200,942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5,107,503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3,421,409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3,435,092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2,864,773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1,495,432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727,259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696,878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629,320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income per common share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Balance Sheet data:</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20,449,779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21,141,294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7,970,278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7,058,777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6,855,331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6,332,674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7,851,084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1,732,177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869,935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868,430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7" w:name="page28"/>
    <w:bookmarkEnd w:id="27"/>
    <w:p>
      <w:pPr>
        <w:ind w:left="900" w:right="30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(all tabular amounts in thousands except per share amounts)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Overview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2018 over 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2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22"/>
                <w:szCs w:val="22"/>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880" w:type="dxa"/>
            <w:vAlign w:val="bottom"/>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6,200,942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5,107,503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3,421,409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1,093,439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1,686,094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1,495,432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727,259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861,664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768,173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(134,405)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w w:val="99"/>
              </w:rPr>
              <w:t>Net income as a % of Revenue</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 of Linear Technology Corporation</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On March 10, 2017 (Acquisition Date), we completed the acquisition of Linear Technology Corporation (Linear), a designer, manufacturer and marketer of high performance analog integrated circuits. The total consideration paid to acquire Linear was approximately $15.8 billion, consisting of $11.1 billion in cash financed through existing cash on hand, net proceeds from bridge and term loan facilities and proceeds received from the issuance of senior unsecured notes, $4.6 billion from the issuance of our common stock and $0.1 billion of consideration related to the replacement of outstanding equity awards held by Linear employees. The acquisition of Linear is referred to as the Acquisition. The consolidated financial statements included in this Annual Report on Form 10-K include the financial results of Linear prospectively from the Acquisition Date. See Note 6,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and Note 14, </w:t>
      </w:r>
      <w:r>
        <w:rPr>
          <w:rFonts w:ascii="Arial" w:cs="Arial" w:eastAsia="Arial" w:hAnsi="Arial"/>
          <w:sz w:val="17"/>
          <w:szCs w:val="17"/>
          <w:i w:val="1"/>
          <w:iCs w:val="1"/>
          <w:color w:val="auto"/>
        </w:rPr>
        <w:t>Debt,</w:t>
      </w:r>
      <w:r>
        <w:rPr>
          <w:rFonts w:ascii="Arial" w:cs="Arial" w:eastAsia="Arial" w:hAnsi="Arial"/>
          <w:sz w:val="17"/>
          <w:szCs w:val="17"/>
          <w:color w:val="auto"/>
        </w:rPr>
        <w:t xml:space="preserve"> of the Notes to the Consolidated Financial Statements contained in Item 8 of this Annual Report on Form 10-K for further information.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Product</w:t>
            </w:r>
          </w:p>
        </w:tc>
        <w:tc>
          <w:tcPr>
            <w:tcW w:w="120" w:type="dxa"/>
            <w:vAlign w:val="bottom"/>
          </w:tcPr>
          <w:p>
            <w:pPr>
              <w:spacing w:after="0"/>
              <w:rPr>
                <w:sz w:val="12"/>
                <w:szCs w:val="12"/>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Product</w:t>
            </w:r>
          </w:p>
        </w:tc>
        <w:tc>
          <w:tcPr>
            <w:tcW w:w="240" w:type="dxa"/>
            <w:vAlign w:val="bottom"/>
          </w:tcPr>
          <w:p>
            <w:pPr>
              <w:spacing w:after="0"/>
              <w:rPr>
                <w:sz w:val="12"/>
                <w:szCs w:val="12"/>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Product</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3,102,508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2,342,404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1,478,452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988,741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803,211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558,631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856,778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1,044,697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688,176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1,252,915</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917,191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696,150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6,200,942</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5,107,503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3,421,409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1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 xml:space="preserve">Industrial </w:t>
      </w:r>
      <w:r>
        <w:rPr>
          <w:rFonts w:ascii="Arial" w:cs="Arial" w:eastAsia="Arial" w:hAnsi="Arial"/>
          <w:sz w:val="16"/>
          <w:szCs w:val="16"/>
          <w:color w:val="auto"/>
        </w:rPr>
        <w:t>- The Industrial end market included $951.1 million of revenue in the fiscal year ended November 3, 2018 (fiscal 2018), as compared to $489.7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of revenue in the fiscal year ended October 28, 2017 (fiscal 2017), as a result of the Acquisition. Industrial end market revenue increased in fiscal 2018, as compared to fiscal 2017, primarily as a result of the Acquisition, a broad-based increase in demand for our products in this end market and an additional week of operations in fiscal 2018 as compared to fiscal 2017. Industrial end market revenue increased in fiscal 2017, as compared to the fiscal year ended October 29, 2016 (fiscal 2016), primarily as a result of the Acquisition and a broad-based increase in demand for our products in this end market.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2" w:right="239" w:bottom="1440" w:gutter="0" w:footer="0" w:header="0"/>
        </w:sectPr>
      </w:pPr>
    </w:p>
    <w:bookmarkStart w:id="28" w:name="page29"/>
    <w:bookmarkEnd w:id="28"/>
    <w:p>
      <w:pPr>
        <w:ind w:right="280"/>
        <w:spacing w:after="0" w:line="257"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 The Automotive end market included $339.9 million of revenue in fiscal 2018, as compared to $199.8 million of revenue in fiscal 2017,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the Acquisition. Automotive end market revenue increased in fiscal 2018, as compared to fiscal 2017, primarily as a result of the Acquisition, a broad-based increase in demand for our products in this end market and an additional week of operations in fiscal 2018 as compared to fiscal 2017. Automotive end market revenue increased in fiscal 2017, as compared to fiscal 2016, primarily as a result of the Acquisition and a broad-based increase in demand for our products.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Consumer </w:t>
      </w:r>
      <w:r>
        <w:rPr>
          <w:rFonts w:ascii="Arial" w:cs="Arial" w:eastAsia="Arial" w:hAnsi="Arial"/>
          <w:sz w:val="18"/>
          <w:szCs w:val="18"/>
          <w:color w:val="auto"/>
        </w:rPr>
        <w:t>- Consumer end market revenue decreased in fiscal 2018, as compared to fiscal 2017, primarily as a result of a decreased demand for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in portable consumer applications, partially offset by an increase in revenue due to the Acquisition and an additional week of operations in fiscal 2018 as compared to fiscal 2017. Consumer end market revenue increased in fiscal 2017, as compared to fiscal 2016, primarily as a result of an increased demand for products used in portable consumer applications and as a result of the Acquisition.</w:t>
      </w:r>
    </w:p>
    <w:p>
      <w:pPr>
        <w:spacing w:after="0" w:line="18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i w:val="1"/>
          <w:iCs w:val="1"/>
          <w:color w:val="auto"/>
        </w:rPr>
        <w:t xml:space="preserve">Communications </w:t>
      </w:r>
      <w:r>
        <w:rPr>
          <w:rFonts w:ascii="Arial" w:cs="Arial" w:eastAsia="Arial" w:hAnsi="Arial"/>
          <w:sz w:val="16"/>
          <w:szCs w:val="16"/>
          <w:color w:val="auto"/>
        </w:rPr>
        <w:t>- The Communications end market included $356.1 million of revenue in fiscal 2018, as compared to $187.6 million of revenue in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as a result of the Acquisition. Communications end market revenue increased in fiscal 2018, as compared to fiscal 2017, primarily as a result of the Acquisition, a broad-based increase in demand for our products in this end market and an additional week of operations in fiscal 2018 as compared to fiscal 2017. Communications end market revenue increased in fiscal 2017, as compared to fiscal 2016, primarily as a result of the Acquisition.</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Trends by Geographic Region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by geographic region, based upon the primary end customer location for fiscal 2018, fiscal 2017 and fiscal 2016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64"/>
        </w:trPr>
        <w:tc>
          <w:tcPr>
            <w:tcW w:w="3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2018 over 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34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2,105,662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1,999,041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1,299,629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106,621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699,412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Rest of North and South America</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103,401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103,077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95,957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7,120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1,471,689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1,211,435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924,849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260,254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286,586</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716,276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506,114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291,649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210,162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214,465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1,210,042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842,532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575,690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367,510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266,842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Rest of Asia</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593,872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445,304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233,635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148,568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211,669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6,200,942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5,107,503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3,421,409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1,093,439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1,686,094</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fiscal 2018, fiscal 2017 and fiscal 2016, the predominant countries comprising “Rest of North and South America” are Canada and Mexico; the predominant countries comprising “Europe” are Germany, the Netherlands and Sweden; and the predominant countries comprising “Rest of Asia” are South Korea and Taiwan.</w:t>
      </w:r>
    </w:p>
    <w:p>
      <w:pPr>
        <w:spacing w:after="0" w:line="127"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auto"/>
        </w:rPr>
        <w:t>The United States and Rest of North and South America included $420.0 million of revenue in fiscal 2018, as compared to $207.8 million of revenue in fiscal 2017, as a result of the Acquisition. The sales increase in the United States year-over-year in fiscal 2018 was primarily a result of the Acquisition, an increase in demand for our products sold into the Industrial and Automotive end markets and an additional week of operations in fiscal 2018, as compared to fiscal 2017, partially offset by a decrease in demand for our products sold into the Consumer end market. Europe included $369.7 million of revenue in fiscal 2018, as compared to $211.2 million of revenue in fiscal 2017, as a result of the Acquisition. The sales increase in Europe year-over-year in fiscal 2018 was primarily a result of the Acquisition and an increase in demand for our products sold into the Industrial and Communications end markets and an additional week of operations in fiscal 2018, as compared to fiscal 2017, partially offset by a decrease in demand for our products sold into the Automotive end market. Japan included $274.1 million of revenue in fiscal 2018, as compared to $123.7 million of revenue in fiscal 2017, as a result of the Acquisition. The sales increase in Japan year-over-year in fiscal 2018 was primarily a result of the Acquisition, an increase in demand for our products sold into the Industrial end market and an additional week of operations in fiscal 2018, as compared to fiscal 2017. China included $379.1 million of revenue in fiscal 2018, as compared to $213.6 million of revenue in fiscal 2017, as a result of the Acquisition. The Rest of Asia included $265.1 million of revenue in fiscal 2018, as compared to $156.9 million of revenue in fiscal 2017, as a result of the Acquisition. The sales increase in China and the Rest of Asia year-over-year in fiscal 2018 was primarily a result of the Acquisition, a broad-based increase in demand for our products sold into all end markets and an additional week of operations in fiscal 2018 as compared to fiscal 2017.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9" w:name="page30"/>
    <w:bookmarkEnd w:id="29"/>
    <w:p>
      <w:pPr>
        <w:ind w:right="40" w:firstLine="405"/>
        <w:spacing w:after="0" w:line="270" w:lineRule="auto"/>
        <w:rPr>
          <w:sz w:val="20"/>
          <w:szCs w:val="20"/>
          <w:color w:val="auto"/>
        </w:rPr>
      </w:pPr>
      <w:r>
        <w:rPr>
          <w:rFonts w:ascii="Arial" w:cs="Arial" w:eastAsia="Arial" w:hAnsi="Arial"/>
          <w:sz w:val="17"/>
          <w:szCs w:val="17"/>
          <w:color w:val="auto"/>
        </w:rPr>
        <w:t>The United States and Rest of North and South America included $207.8 million of revenue as a result of the Acquisition in fiscal 2017. The increase in revenue in the United States in fiscal 2017 as compared to fiscal 2016 was primarily a result of an increase in demand of our products sold into the Consumer and Industrial end markets and as a result of the Acquisition. Europe and Japan included $211.2 million and $123.7 million of revenue, respectively, as a result of the Acquisition in fiscal 2017. The sales increase in Europe and Japan year-over-year in fiscal 2017 was primarily a result of the Acquisition and an increase in demand of our products sold into the Industrial end market. China included $213.6 million of revenue as a result of the Acquisition in fiscal 2017. The sales increase in China year-over-year in fiscal 2017 was primarily a result of the Acquisition and an increase in demand of our products sold into the Industrial and Automotive end markets. The Rest of Asia included $156.9 million of revenue as a result of the Acquisition in fiscal 2017. The sales increase in the Rest of Asia year-over year in fiscal 2017 was primarily a result of the Acquisition and an increase in demand of our products sold into the Industrial and Communications end markets.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2018 over 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2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4,233,302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3,061,596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2,227,173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1,171,706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  $</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834,423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7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Gross margin percentage in fiscal 2018 increased by 840 basis points compared to fiscal 2017, primarily because fiscal 2017 included cost of sales adjustments of $358.7 million related to the sale of acquired Linear inventory written up to fair value. Additionally, the increase in gross margin percentage in fiscal 2018, as compared to fiscal 2017 was a result of a mix shift in favor of higher margin products being sold resulting from the Acquisition and lower cost of sales resulting from favorable factory variances related to increased utilization at our manufacturing facilities. The increase in gross margin percentage in fiscal 2018 was partially offset by increases in amortization expense of developed technology intangible assets and depreciation expense related to fixed assets as a result of a full year of expense for each related to the Acquisition.</w:t>
      </w:r>
    </w:p>
    <w:p>
      <w:pPr>
        <w:spacing w:after="0" w:line="12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Gross margin percentage in fiscal 2017 decreased by 520 basis points compared to fiscal 2016, primarily as a result of recording additional cost related to Acquisition accounting adjustments, including $358.7 million related to the sale of acquired inventory written up to fair value, $83.0 million related to amortization of acquired developed technology intangible assets, and $22.9 million of depreciation related to fixed assets as a result of the Acquisition. The increases in cost of sales as a result of Acquisition accounting adjustments were partially offset by favorable factory variances as a result of increased utilization at our manufacturing facilities.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 (R&amp;D)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44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2018 over 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244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Expenses</w:t>
            </w:r>
          </w:p>
        </w:tc>
        <w:tc>
          <w:tcPr>
            <w:tcW w:w="1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   1,165,410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968,602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653,816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196,808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  $</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314,786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2440" w:type="dxa"/>
            <w:vAlign w:val="bottom"/>
          </w:tcPr>
          <w:p>
            <w:pPr>
              <w:ind w:left="40"/>
              <w:spacing w:after="0"/>
              <w:rPr>
                <w:sz w:val="20"/>
                <w:szCs w:val="20"/>
                <w:color w:val="auto"/>
              </w:rPr>
            </w:pPr>
            <w:r>
              <w:rPr>
                <w:rFonts w:ascii="Arial" w:cs="Arial" w:eastAsia="Arial" w:hAnsi="Arial"/>
                <w:sz w:val="18"/>
                <w:szCs w:val="18"/>
                <w:color w:val="auto"/>
              </w:rPr>
              <w:t>R&amp;D Expenses as a % of</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440" w:type="dxa"/>
            <w:vAlign w:val="bottom"/>
          </w:tcPr>
          <w:p>
            <w:pPr>
              <w:ind w:left="40"/>
              <w:spacing w:after="0"/>
              <w:rPr>
                <w:sz w:val="20"/>
                <w:szCs w:val="20"/>
                <w:color w:val="auto"/>
              </w:rPr>
            </w:pPr>
            <w:r>
              <w:rPr>
                <w:rFonts w:ascii="Arial" w:cs="Arial" w:eastAsia="Arial" w:hAnsi="Arial"/>
                <w:sz w:val="18"/>
                <w:szCs w:val="18"/>
                <w:color w:val="auto"/>
              </w:rPr>
              <w:t>Revenue</w:t>
            </w:r>
          </w:p>
        </w:tc>
        <w:tc>
          <w:tcPr>
            <w:tcW w:w="13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75"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R&amp;D expenses increased in fiscal 2018 as compared to fiscal 2017. Approximately $147.8 million of the overall increase was a result of the Acquisition. The remainder of the increase was primarily the result of increases in operational spending and R&amp;D employee and related benefit expenses, partially offset by a decrease in variable compensation expense linked to our overall profitability and revenue growth. The additional week of operations in fiscal 2018 as compared to fiscal 2017 also contributed to the increase in operational spending and R&amp;D employee and related benefit expenses in fiscal 2018.</w:t>
      </w:r>
    </w:p>
    <w:p>
      <w:pPr>
        <w:spacing w:after="0" w:line="134"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R&amp;D expenses increased in fiscal 2017 as compared to fiscal 2016. Approximately $205.2 million of the overall increase was a result of the Acquisition. The remainder of the increase was primarily the result of an increase in variable compensation expense linked to our overall profitability and revenue growth and an increase in R&amp;D employee and related benefit expenses and to a lesser extent an increase in operational spending.</w:t>
      </w:r>
    </w:p>
    <w:p>
      <w:pPr>
        <w:spacing w:after="0" w:line="93"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30" w:name="page31"/>
    <w:bookmarkEnd w:id="30"/>
    <w:p>
      <w:pPr>
        <w:ind w:right="60"/>
        <w:spacing w:after="0" w:line="286" w:lineRule="auto"/>
        <w:rPr>
          <w:sz w:val="20"/>
          <w:szCs w:val="20"/>
          <w:color w:val="auto"/>
        </w:rPr>
      </w:pPr>
      <w:r>
        <w:rPr>
          <w:rFonts w:ascii="Arial" w:cs="Arial" w:eastAsia="Arial" w:hAnsi="Arial"/>
          <w:sz w:val="17"/>
          <w:szCs w:val="17"/>
          <w:color w:val="auto"/>
        </w:rPr>
        <w:t>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and therefore, we expect to continue to make significant R&amp;D investments in the future.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4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2018 over 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2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SMG&amp;A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695,937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691,046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461,438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4,891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  $</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229,608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460" w:type="dxa"/>
            <w:vAlign w:val="bottom"/>
          </w:tcPr>
          <w:p>
            <w:pPr>
              <w:ind w:left="40"/>
              <w:spacing w:after="0"/>
              <w:rPr>
                <w:sz w:val="20"/>
                <w:szCs w:val="20"/>
                <w:color w:val="auto"/>
              </w:rPr>
            </w:pPr>
            <w:r>
              <w:rPr>
                <w:rFonts w:ascii="Arial" w:cs="Arial" w:eastAsia="Arial" w:hAnsi="Arial"/>
                <w:sz w:val="18"/>
                <w:szCs w:val="18"/>
                <w:color w:val="auto"/>
              </w:rPr>
              <w:t>SMG&amp;A Expenses as a % of</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46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7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SMG&amp;A expenses increased in fiscal 2018 as compared to fiscal 2017 primarily as a result of a $55.5 million increase in SMG&amp;A expenses as a result of the Acquisition, partially offset by a decrease of $50.6 million in Acquisition-related transaction costs, which include legal, accounting, other related fees and integration costs resulting from the Acquisition.</w:t>
      </w:r>
    </w:p>
    <w:p>
      <w:pPr>
        <w:spacing w:after="0" w:line="12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SMG&amp;A expenses increased in fiscal 2017 as compared to fiscal 2016 primarily as a result of the Acquisition and Acquisition-related costs. Approximately $119.8 million of the total increase was a result of the Acquisition. Acquisition-related costs, which include legal, accounting, other related fees and integration costs resulting from the Acquisition, increased $56.9 million in fiscal 2017 as compared to fiscal 2016. The remainder of the increase in SMG&amp;A expenses was a result of increases in variable compensation expense linked to our overall profitability and revenue growth and an increase in SMG&amp;A employee and related benefit expenses.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Amortization of Intangibles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2018 over 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2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428,902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297,351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70,123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131,551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  $</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227,228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9"/>
        </w:trPr>
        <w:tc>
          <w:tcPr>
            <w:tcW w:w="2580" w:type="dxa"/>
            <w:vAlign w:val="bottom"/>
          </w:tcPr>
          <w:p>
            <w:pPr>
              <w:ind w:left="40"/>
              <w:spacing w:after="0"/>
              <w:rPr>
                <w:sz w:val="20"/>
                <w:szCs w:val="20"/>
                <w:color w:val="auto"/>
              </w:rPr>
            </w:pPr>
            <w:r>
              <w:rPr>
                <w:rFonts w:ascii="Arial" w:cs="Arial" w:eastAsia="Arial" w:hAnsi="Arial"/>
                <w:sz w:val="18"/>
                <w:szCs w:val="18"/>
                <w:color w:val="auto"/>
                <w:w w:val="96"/>
              </w:rPr>
              <w:t>Amortization expenses as a % of</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58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7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Amortization expenses increased in fiscal 2018 as compared to fiscal 2017 primarily as a result of a full year of amortization expense for intangible assets acquired as part of the Acquisition and to a lesser extent, other acquisitions in fiscal 2017 and fiscal 2018.</w:t>
      </w:r>
    </w:p>
    <w:p>
      <w:pPr>
        <w:spacing w:after="0" w:line="116"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Amortization expenses increased in fiscal 2017 as compared to fiscal 2016 primarily as a result of the purchase of intangible assets as part of the Acquisition and to a lesser extent, other acquisitions in fiscal 2016 and fiscal 2017.</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 Charges</w:t>
      </w:r>
    </w:p>
    <w:p>
      <w:pPr>
        <w:spacing w:after="0" w:line="17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fiscal 2018, we recorded special charges of $44.5 million as a result of our decision to consolidate certain wafer and test facility operations acquired as part of the Acquisition. Over the next two to four years, we plan to close our Hillview wafer fabrication facility located in Milpitas, California and our Singapore test facility. We intend to transfer Hillview wafer fabrication production to our other internal facilities and to external foundries. In addition, we are planning to transition testing operations currently handled in our Singapore facility to our facilities in Penang, Malaysia and the Philippines, in addition to our outsourced assembly and test partners. The special charge recognized as a result of this action consists of severance and related benefit costs. We expect that this action will result in estimated annual salary, variable compensation and employee benefit savings of approximately $60.0 million once fully implemented.</w:t>
      </w:r>
    </w:p>
    <w:p>
      <w:pPr>
        <w:spacing w:after="0" w:line="11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Special charges of $16.9 million, $8.1 million and $13.7 million were recorded in fiscal 2018, fiscal 2017 and fiscal 2016, respectively, in an effort to reduce overall operating costs. In addition, in fiscal 2017 we recorded a special charge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1" w:name="page32"/>
    <w:bookmarkEnd w:id="31"/>
    <w:p>
      <w:pPr>
        <w:ind w:right="120"/>
        <w:spacing w:after="0" w:line="277" w:lineRule="auto"/>
        <w:rPr>
          <w:sz w:val="20"/>
          <w:szCs w:val="20"/>
          <w:color w:val="auto"/>
        </w:rPr>
      </w:pPr>
      <w:r>
        <w:rPr>
          <w:rFonts w:ascii="Arial" w:cs="Arial" w:eastAsia="Arial" w:hAnsi="Arial"/>
          <w:sz w:val="18"/>
          <w:szCs w:val="18"/>
          <w:color w:val="auto"/>
        </w:rPr>
        <w:t>$41.3 million related to an early retirement offer action, which we expect will result in estimated annual salary, variable compensation, and employee benefit savings of approximately $28.4 million once fully implemented.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2018 over 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2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1,881,735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1,055,134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1,028,112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826,601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  $</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27,022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460" w:type="dxa"/>
            <w:vAlign w:val="bottom"/>
          </w:tcPr>
          <w:p>
            <w:pPr>
              <w:ind w:left="40"/>
              <w:spacing w:after="0"/>
              <w:rPr>
                <w:sz w:val="20"/>
                <w:szCs w:val="20"/>
                <w:color w:val="auto"/>
              </w:rPr>
            </w:pPr>
            <w:r>
              <w:rPr>
                <w:rFonts w:ascii="Arial" w:cs="Arial" w:eastAsia="Arial" w:hAnsi="Arial"/>
                <w:sz w:val="18"/>
                <w:szCs w:val="18"/>
                <w:color w:val="auto"/>
              </w:rPr>
              <w:t>Operating income as a % of</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46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7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 xml:space="preserve">The increase in operating income in fiscal 2018 as compared to fiscal 2017 was the result of a $1.2 billion increase in gross margin, partially offset by a $196.8 million increase in R&amp;D expenses, a $131.6 million increase in amortization expense, an $11.8 million increase in special charges, and a $4.9 million increase in SMG&amp;A expenses as more fully described above under the headings </w:t>
      </w:r>
      <w:r>
        <w:rPr>
          <w:rFonts w:ascii="Arial" w:cs="Arial" w:eastAsia="Arial" w:hAnsi="Arial"/>
          <w:sz w:val="18"/>
          <w:szCs w:val="18"/>
          <w:i w:val="1"/>
          <w:iCs w:val="1"/>
          <w:color w:val="auto"/>
        </w:rPr>
        <w:t>Research and Development (R&amp;D), Amortization of Intangibles, Special</w:t>
      </w:r>
      <w:r>
        <w:rPr>
          <w:rFonts w:ascii="Arial" w:cs="Arial" w:eastAsia="Arial" w:hAnsi="Arial"/>
          <w:sz w:val="18"/>
          <w:szCs w:val="18"/>
          <w:color w:val="auto"/>
        </w:rPr>
        <w:t xml:space="preserve"> </w:t>
      </w:r>
      <w:r>
        <w:rPr>
          <w:rFonts w:ascii="Arial" w:cs="Arial" w:eastAsia="Arial" w:hAnsi="Arial"/>
          <w:sz w:val="18"/>
          <w:szCs w:val="18"/>
          <w:i w:val="1"/>
          <w:iCs w:val="1"/>
          <w:color w:val="auto"/>
        </w:rPr>
        <w:t>Charges and Selling, Marketing, General and Administrative (SMG&amp;A).</w:t>
      </w:r>
    </w:p>
    <w:p>
      <w:pPr>
        <w:spacing w:after="0" w:line="13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 xml:space="preserve">The increase in operating income in fiscal 2017 as compared to fiscal 2016 was the result of a $834.4 million increase in gross margin, partially offset by a $314.8 million increase in R&amp;D expenses, a $229.6 million increase in SMG&amp;A expenses, a $227.2 million increase in amortization expenses and a $35.8 million increase in special charges as more fully described above under the headings </w:t>
      </w:r>
      <w:r>
        <w:rPr>
          <w:rFonts w:ascii="Arial" w:cs="Arial" w:eastAsia="Arial" w:hAnsi="Arial"/>
          <w:sz w:val="18"/>
          <w:szCs w:val="18"/>
          <w:i w:val="1"/>
          <w:iCs w:val="1"/>
          <w:color w:val="auto"/>
        </w:rPr>
        <w:t>Research and Development (R&amp;D), Selling, Marketing,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Administrative (SMG&amp;A), Amortization of Intangibles </w:t>
      </w:r>
      <w:r>
        <w:rPr>
          <w:rFonts w:ascii="Arial" w:cs="Arial" w:eastAsia="Arial" w:hAnsi="Arial"/>
          <w:sz w:val="18"/>
          <w:szCs w:val="18"/>
          <w:color w:val="auto"/>
        </w:rPr>
        <w:t>and</w:t>
      </w:r>
      <w:r>
        <w:rPr>
          <w:rFonts w:ascii="Arial" w:cs="Arial" w:eastAsia="Arial" w:hAnsi="Arial"/>
          <w:sz w:val="18"/>
          <w:szCs w:val="18"/>
          <w:i w:val="1"/>
          <w:iCs w:val="1"/>
          <w:color w:val="auto"/>
        </w:rPr>
        <w:t xml:space="preserve"> Special Charges.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rPr>
              <w:t>Change</w:t>
            </w:r>
          </w:p>
        </w:tc>
      </w:tr>
      <w:tr>
        <w:trPr>
          <w:trHeight w:val="264"/>
        </w:trPr>
        <w:tc>
          <w:tcPr>
            <w:tcW w:w="4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2018 over 2017</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2017 over 2016</w:t>
            </w:r>
          </w:p>
        </w:tc>
      </w:tr>
      <w:tr>
        <w:trPr>
          <w:trHeight w:val="264"/>
        </w:trPr>
        <w:tc>
          <w:tcPr>
            <w:tcW w:w="4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22"/>
                <w:szCs w:val="22"/>
                <w:color w:val="auto"/>
              </w:rPr>
            </w:pPr>
          </w:p>
        </w:tc>
        <w:tc>
          <w:tcPr>
            <w:tcW w:w="1200" w:type="dxa"/>
            <w:vAlign w:val="bottom"/>
          </w:tcPr>
          <w:p>
            <w:pPr>
              <w:jc w:val="right"/>
              <w:ind w:right="3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250,840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88,757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162,083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20,950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(9,112)</w:t>
            </w: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2,487</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Total nonoperating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243,218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226,649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71,191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16,569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155,458</w:t>
            </w: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year-over-year increase in nonoperating expense in fiscal 2018 was primarily the result of a decrease in interest income as a result of lower invested cash balances in fiscal 2018 as compared to fiscal 2017, and an increase in interest expense related to financing commitments entered into in fiscal 2017 in connection with the Acquisition and $750 million of senior unsecured notes issued in the second quarter of fiscal 2018, partially offset by a reduction in fees related to financing commitments which were entered into prior to and upon the Acquisition, which terminated during fiscal 2017.</w:t>
      </w:r>
    </w:p>
    <w:p>
      <w:pPr>
        <w:spacing w:after="0" w:line="11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increase in nonoperating expense in fiscal 2017 as compared to fiscal 2016 was primarily the result of an increase in interest expense as a result of the issuance of $1.3 billion of senior unsecured notes in the first quarter of fiscal 2016, $2.1 billion of senior unsecured notes in the first quarter of fiscal 2017, and as a result of fees paid and financing commitments entered into in connection with the Acquisition, including a 90-day Bridge Credit Agreement in the principal amount of $4.1 billion, a 3-year unsecured term loan in the principal amount of $2.5 billion and a 5-year unsecured term loan in the principal amount of $2.5 billion. The increase in nonoperating expense as a result of the increase in interest expense was partially offset by an increase in interest income due to higher interest rates earned on our investments, partially offset by lower cash balances in fiscal 2017 as compared to fiscal 2016.</w:t>
      </w:r>
    </w:p>
    <w:p>
      <w:pPr>
        <w:spacing w:after="0" w:line="111"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our Consolidated Financial Statements contained in Item 8 of this Annual Report on Form 10-K for further information on debt issuances and commitments related to the Acquisition.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2" w:name="page33"/>
    <w:bookmarkEnd w:id="32"/>
    <w:p>
      <w:pPr>
        <w:ind w:left="220"/>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2018 over 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2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143,085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101,226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95,257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41,859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  $</w:t>
            </w:r>
          </w:p>
        </w:tc>
        <w:tc>
          <w:tcPr>
            <w:tcW w:w="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5,969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income tax rate can also be impacted each year by discrete factors or events.</w:t>
      </w:r>
    </w:p>
    <w:p>
      <w:pPr>
        <w:spacing w:after="0" w:line="116" w:lineRule="exact"/>
        <w:rPr>
          <w:sz w:val="20"/>
          <w:szCs w:val="20"/>
          <w:color w:val="auto"/>
        </w:rPr>
      </w:pPr>
    </w:p>
    <w:p>
      <w:pPr>
        <w:ind w:right="180" w:firstLine="392"/>
        <w:spacing w:after="0" w:line="302" w:lineRule="auto"/>
        <w:rPr>
          <w:sz w:val="20"/>
          <w:szCs w:val="20"/>
          <w:color w:val="auto"/>
        </w:rPr>
      </w:pPr>
      <w:r>
        <w:rPr>
          <w:rFonts w:ascii="Arial" w:cs="Arial" w:eastAsia="Arial" w:hAnsi="Arial"/>
          <w:sz w:val="16"/>
          <w:szCs w:val="16"/>
          <w:color w:val="auto"/>
        </w:rPr>
        <w:t>The Tax Cuts and Jobs Act of 2017 (Tax Legislation), enacted on December 22, 2017, contains significant changes to U.S. tax law, including lowering the U.S. corporate income tax rate to 21.0%, implementing a territorial tax system, and imposing a one-time tax on deemed repatriated earnings of foreign subsidiaries. As of November 3, 2018, we have not completed our accounting for the tax effects of the enactment of the Tax Legislation. However, as described below, we have made reasonable estimates of the effects on its existing deferred tax balances and the one-time transition tax in fiscal 2018.</w:t>
      </w:r>
    </w:p>
    <w:p>
      <w:pPr>
        <w:spacing w:after="0" w:line="100" w:lineRule="exact"/>
        <w:rPr>
          <w:sz w:val="20"/>
          <w:szCs w:val="20"/>
          <w:color w:val="auto"/>
        </w:rPr>
      </w:pPr>
    </w:p>
    <w:p>
      <w:pPr>
        <w:ind w:right="80" w:firstLine="392"/>
        <w:spacing w:after="0" w:line="342" w:lineRule="auto"/>
        <w:rPr>
          <w:sz w:val="20"/>
          <w:szCs w:val="20"/>
          <w:color w:val="auto"/>
        </w:rPr>
      </w:pPr>
      <w:r>
        <w:rPr>
          <w:rFonts w:ascii="Arial" w:cs="Arial" w:eastAsia="Arial" w:hAnsi="Arial"/>
          <w:sz w:val="16"/>
          <w:szCs w:val="16"/>
          <w:color w:val="auto"/>
        </w:rPr>
        <w:t>The Tax Legislation reduced the U.S. statutory tax rate from 35.0% to 21.0%, effective January 1, 2018, which results in a blended statutory income tax rate for us of 23.4% for fiscal 2018. For the fiscal year ending November 2, 2019 (fiscal 2019), our U.S. federal statutory income tax rate will be 21.0%.</w:t>
      </w:r>
    </w:p>
    <w:p>
      <w:pPr>
        <w:spacing w:after="0" w:line="70"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The tax rate for fiscal 2018 was below our blended U.S. federal statutory tax rate of 23.4% for fiscal 2018 resulting from the passage of the Tax Legislation, primarily due to lower statutory tax rates applicable to our operations in the foreign jurisdictions in which we earn income and $25.6 million of tax benefit related to the release of uncertain tax positions due to lapses in statute of limitation. Similarly, fiscal 2017 was below the then U.S. statutory tax rate of 35%, primarily due to lower statutory tax rates applicable to our operations in the foreign jurisdictions in which we earn income and a tax benefit of $50.5 million related to the reduction of reserves and related interest resulting from the U.S. Tax Court’s favorable ruling, offset by approximately $98.2 million of tax expense incurred during the year as part of the post-Acquisition integration.</w:t>
      </w:r>
    </w:p>
    <w:p>
      <w:pPr>
        <w:spacing w:after="0" w:line="12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addition, our effective tax rate for fiscal 2018 includes a provisional estimate for a tax benefit of $637.0 million from remeasuring our U.S. deferred tax assets and liabilities at the lower 21.0% U.S. federal statutory tax rate. Fiscal 2018 also includes a provisional estimate of $691.0 million for the discrete tax charge from the Tax Legislation’s one-time transition tax associated with our undistributed foreign earnings, which is comprised of a $755.0 million transitional tax liability less a deferred tax liability of $64.0 million that was recorded in prior years.</w:t>
      </w:r>
    </w:p>
    <w:p>
      <w:pPr>
        <w:spacing w:after="0" w:line="133"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Additionally, we recorded discrete benefits for excess tax benefits from share-based payments of $26.2 million in fiscal 2018. Our effective tax rate for fiscal 2017 also included a tax benefit of $15.0 million for the release of a state tax credit valuation allowance as a result of the Acquisition.</w:t>
      </w:r>
    </w:p>
    <w:p>
      <w:pPr>
        <w:spacing w:after="0" w:line="9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Tax Legislation contains many provisions that are effective for tax years beginning on or after January 1, 2018. Because we are a fiscal year U.S. taxpayer, certain provisions, such as the foreign-derived intangible income deduction on certain foreign-source income and new limitations on certain business deductions, will begin applying to us for our fiscal year ending November 2, 2019 (fiscal 2019). For fiscal 2018, the most significant impacts include a lower U.S. federal corporate income tax rate, a re-measurement of certain net deferred taxes to reflect the revised tax rates and a new transition tax on the deemed repatriation of certain foreign earnings.</w:t>
      </w:r>
    </w:p>
    <w:p>
      <w:pPr>
        <w:spacing w:after="0" w:line="13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Non-U.S. jurisdictions accounted for approximately 75.9% of our total revenues for fiscal 2018, compared to approximately 77.3% of our total revenues fiscal 2017. This revenue generated outside of the U.S. results in a material portion of our pretax income being taxed outside the U.S., primarily in Bermuda, Ireland and Singapore, at tax rates ranging from 0% to 33.3%. We have a partial tax holiday in Malaysia through July 2025. A partial tax holiday in Singapore had been in place through August 2019, but was terminated effective September 2018 due to negotiations with the Economic Development Board. The aggregate dollar benefits derived from these tax holidays approximated $27.7 million and $27.4 million in fiscal 2018 and 2017, respectively. The impact of the tax holidays during fiscal 2018 increased the basic and diluted net income per common share by $0.07 each. The impact of the tax holidays during fiscal 2017 increased the basic and diluted net income per common share by $0.08 each. The impact on our provision for income taxes on income earned in foreign jurisdictions being taxed at rates different than the U.S. federal statutory rate was a benefit of approximately $434.8 million and a foreign effective tax rate of approximately 7.4% for fiscal 2018, compared to a benefit of approximately $385.1 million and a foreign effective tax rate of approximately 7.8% for fiscal 2017. A reduction in the ratio of domestic taxable income to worldwide taxable income effectively lowers our overall tax rate, due to the fact that the tax rates in the majority of foreign jurisdictions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14" w:right="239" w:bottom="1440" w:gutter="0" w:footer="0" w:header="0"/>
        </w:sectPr>
      </w:pPr>
    </w:p>
    <w:bookmarkStart w:id="33" w:name="page34"/>
    <w:bookmarkEnd w:id="33"/>
    <w:p>
      <w:pPr>
        <w:ind w:right="380"/>
        <w:spacing w:after="0" w:line="277" w:lineRule="auto"/>
        <w:rPr>
          <w:sz w:val="20"/>
          <w:szCs w:val="20"/>
          <w:color w:val="auto"/>
        </w:rPr>
      </w:pPr>
      <w:r>
        <w:rPr>
          <w:rFonts w:ascii="Arial" w:cs="Arial" w:eastAsia="Arial" w:hAnsi="Arial"/>
          <w:sz w:val="18"/>
          <w:szCs w:val="18"/>
          <w:color w:val="auto"/>
        </w:rPr>
        <w:t>where we earn income are lower than the U.S. statutory rate. In addition, our effective income tax rate can be impacted each year by amounts for discrete factors or events, and acquisition-related accounting adjustments.</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of the Notes to our Consolidated Financial Statements contained in Item 8 of this Annual Report on Form 10-K for further discussion.</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2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2018 over 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2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1,495,432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727,259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861,664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768,173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w w:val="93"/>
              </w:rPr>
              <w:t>Net Income, as a % of Revenue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increase in net income in fiscal 2018 as compared to fiscal 2017 was a result of a $826.6 million increase in operating income, partially offset by a $41.9 million increase in provision for income taxes, and a $16.6 million increase in nonoperating expense.</w:t>
      </w:r>
    </w:p>
    <w:p>
      <w:pPr>
        <w:spacing w:after="0" w:line="11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decrease in net income in fiscal 2017 as compared to fiscal 2016 was the result of a $155.5 million increase in nonoperating expense and a $6.0 million increase in provision for income taxes, partially offset by a $27.0 million increase in operating income.</w:t>
      </w:r>
    </w:p>
    <w:p>
      <w:pPr>
        <w:spacing w:after="0" w:line="116"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impact of inflation and foreign currency exchange rate movement on our results of operations during the past three fiscal years has not been 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At November 3, 2018, our principal source of liquidity was $816.6 million of cash and cash equivalents, of which approximately $383.5 million was held in the United States. The balance of our cash and cash equivalents was held outside the United States in various foreign subsidiaries. We continue to assert our intent to reinvest substantially all of our foreign earnings indefinitely, however we are in the process of analyzing the impact that the Tax Legislation has on this indefinite reinvestment assertion. As we intend to reinvest substantially all of our foreign earnings indefinitely, certain cash held outside the United States may not be available for repatriation as dividends to the United States in the future. If such funds are needed for U.S. operations, we would be required to accrue and pay foreign withholding and U.S. state income taxes to the extent not already subject to taxation.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6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On the Acquisition Date, we entered into a 90-day Bridge Credit Agreement that provided for unsecured loans in an aggregate principal amount of up to $4.1 billion and borrowed under a term loan agreement consisting of a 3-year unsecured term loan in the principal amount of $2.5 billion, due March 10, 2020 and a 5-year unsecured term loan in the principal amount of $2.5 billion, due March 10, 2022. As of November 3, 2018, we have paid $2.1 billion of principal on the 3-year unsecured term loan, paid $1.2 billion of principal on the 5-year unsecured term loan and repaid all of the $4.1 billion of outstanding loans under the Bridge Credit Agreement. See Note 13, </w:t>
      </w:r>
      <w:r>
        <w:rPr>
          <w:rFonts w:ascii="Arial" w:cs="Arial" w:eastAsia="Arial" w:hAnsi="Arial"/>
          <w:sz w:val="18"/>
          <w:szCs w:val="18"/>
          <w:i w:val="1"/>
          <w:iCs w:val="1"/>
          <w:color w:val="auto"/>
        </w:rPr>
        <w:t>Revolving Credit Facility</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our Consolidated Financial Statements contained in Item 8 of this Annual Report on Form 10-K for further information.</w:t>
      </w:r>
    </w:p>
    <w:p>
      <w:pPr>
        <w:spacing w:after="0" w:line="99"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and dividend payments (if any) in the immediate future and for at least the next twelve months.</w:t>
      </w:r>
    </w:p>
    <w:p>
      <w:pPr>
        <w:spacing w:after="0" w:line="119"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60" w:type="dxa"/>
            <w:vAlign w:val="bottom"/>
            <w:tcBorders>
              <w:top w:val="single" w:sz="8" w:color="CCEEFF"/>
            </w:tcBorders>
            <w:shd w:val="clear" w:color="auto" w:fill="CCEEFF"/>
          </w:tcPr>
          <w:p>
            <w:pPr>
              <w:spacing w:after="0"/>
              <w:rPr>
                <w:sz w:val="23"/>
                <w:szCs w:val="23"/>
                <w:color w:val="auto"/>
              </w:rPr>
            </w:pPr>
          </w:p>
        </w:tc>
        <w:tc>
          <w:tcPr>
            <w:tcW w:w="15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2,442,361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1,154,365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1,291,348</w:t>
            </w:r>
          </w:p>
        </w:tc>
      </w:tr>
      <w:tr>
        <w:trPr>
          <w:trHeight w:val="27"/>
        </w:trPr>
        <w:tc>
          <w:tcPr>
            <w:tcW w:w="5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as a % of Revenue</w:t>
            </w: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(313,998)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(6,618,014)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(1,218,270)</w:t>
            </w:r>
          </w:p>
        </w:tc>
      </w:tr>
      <w:tr>
        <w:trPr>
          <w:trHeight w:val="27"/>
        </w:trPr>
        <w:tc>
          <w:tcPr>
            <w:tcW w:w="5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Provided by Financing Activities</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(2,358,042)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5,586,805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(33,370)</w:t>
            </w:r>
          </w:p>
        </w:tc>
      </w:tr>
      <w:tr>
        <w:trPr>
          <w:trHeight w:val="459"/>
        </w:trPr>
        <w:tc>
          <w:tcPr>
            <w:tcW w:w="5060" w:type="dxa"/>
            <w:vAlign w:val="bottom"/>
          </w:tcPr>
          <w:p>
            <w:pPr>
              <w:spacing w:after="0"/>
              <w:rPr>
                <w:sz w:val="24"/>
                <w:szCs w:val="24"/>
                <w:color w:val="auto"/>
              </w:rPr>
            </w:pPr>
          </w:p>
        </w:tc>
        <w:tc>
          <w:tcPr>
            <w:tcW w:w="1500" w:type="dxa"/>
            <w:vAlign w:val="bottom"/>
          </w:tcPr>
          <w:p>
            <w:pPr>
              <w:jc w:val="right"/>
              <w:ind w:right="67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34" w:name="page35"/>
    <w:bookmarkEnd w:id="34"/>
    <w:p>
      <w:pPr>
        <w:ind w:right="740" w:firstLine="432"/>
        <w:spacing w:after="0" w:line="277" w:lineRule="auto"/>
        <w:rPr>
          <w:sz w:val="20"/>
          <w:szCs w:val="20"/>
          <w:color w:val="auto"/>
        </w:rPr>
      </w:pPr>
      <w:r>
        <w:rPr>
          <w:rFonts w:ascii="Arial" w:cs="Arial" w:eastAsia="Arial" w:hAnsi="Arial"/>
          <w:sz w:val="18"/>
          <w:szCs w:val="18"/>
          <w:color w:val="auto"/>
        </w:rPr>
        <w:t>At November 3, 2018, cash and cash equivalents totaled $816.6 million. The following changes contributed to the net change in cash and cash equivalents in fiscal 2018 and fiscal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provided by operating activities is net income adjusted for certain non-cash items and changes in assets and liabilities.</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increase in cash provided by operating activities during fiscal 2018, as compared to fiscal 2017, was primarily a result of higher net income adjusted for non-cash items, and changes in working capital, primarily resulting from increases in tax liabilities related to the one-time transition tax recognized as a result of the Tax Legislation.</w:t>
      </w:r>
    </w:p>
    <w:p>
      <w:pPr>
        <w:spacing w:after="0" w:line="12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decrease in cash provided by operating activities during fiscal 2017, as compared to fiscal 2016, was primarily due to higher tax payments as a result of the post-Acquisition integration, and other changes in working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Investing cash flows consist primarily of capital expenditures, investment purchases, maturities and sales of available-for-sale securities, as well as cash used for acquisitions.</w:t>
      </w:r>
    </w:p>
    <w:p>
      <w:pPr>
        <w:spacing w:after="0" w:line="11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decrease in cash used for investing activities during fiscal 2018, as compared to fiscal 2017, was primarily the result of a decrease in payments for acquisitions, partially offset by a decrease of proceeds from the sale of available for sale securities.</w:t>
      </w:r>
    </w:p>
    <w:p>
      <w:pPr>
        <w:spacing w:after="0" w:line="11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increase in cash used for investing activities during fiscal 2017, as compared to fiscal 2016, was primarily the result of cash payments made for the Acquisition, partially offset by a decrease in maturities of available for sale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Financing cash flows consist primarily of payments of dividends to stockholders, repurchases of common stock, issuance and repayment of long-term debt, and proceeds from the sale of shares of common stock pursuant to employee equity incentive plans.</w:t>
      </w:r>
    </w:p>
    <w:p>
      <w:pPr>
        <w:spacing w:after="0" w:line="116"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decrease in cash provided by financing activities during fiscal 2018, as compared to fiscal 2017, was primarily due to a decrease in net proceeds of $10.4 billion received from the issuance of senior unsecured notes and financing commitments, and lower repayments of principal on the 3-year and 5-year unsecured term loans.</w:t>
      </w:r>
    </w:p>
    <w:p>
      <w:pPr>
        <w:spacing w:after="0" w:line="127"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The increase in cash provided by financing activities during fiscal 2017, as compared to fiscal 2016, was primarily due to an increase in net debt proceeds of $9.9 billion received from the issuance of senior unsecured notes, financing commitments entered into in connection with the Acquisition, consisting of a 90-day Bridge Credit Agreement and a term loan agreement, and a decrease in stock repurchases of $323.5 million due to the temporary suspension of our share repurchase program in connection with the Acquisition. These decreases were partially offset by payments of $5.1 billion related to financing commitments entered into in connection with the Acquisition.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639,717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688,953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(49,236)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2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586,760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550,816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35,944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Days Cost of Sales in Inventory*</w:t>
            </w:r>
          </w:p>
        </w:tc>
        <w:tc>
          <w:tcPr>
            <w:tcW w:w="2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3" w:lineRule="exact"/>
        <w:rPr>
          <w:sz w:val="20"/>
          <w:szCs w:val="20"/>
          <w:color w:val="auto"/>
        </w:rPr>
      </w:pPr>
    </w:p>
    <w:p>
      <w:pPr>
        <w:ind w:right="280" w:firstLine="8"/>
        <w:spacing w:after="0" w:line="279" w:lineRule="auto"/>
        <w:tabs>
          <w:tab w:leader="none" w:pos="1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use the average of the current year and prior year ending net accounts receivable and ending inventory balance in our calculation of days sales outstanding and days cost of sales in inventory, respectively. Cost of sales amounts used in the calculation of days cost of sales in inventory for fiscal 2018 and fiscal 2017 include Acquisition accounting adjustments related to amortization of developed technology intangible assets acquired and depreciation related to fixed assets acquired. Fiscal 2017 also included cost of sales amounts for inventory acquired in the Acquisition.</w:t>
      </w:r>
    </w:p>
    <w:p>
      <w:pPr>
        <w:spacing w:after="0" w:line="17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decrease in accounts receivable for fiscal 2018 compared to fiscal 2017 was primarily the result of the timing of shipments and the collection of receivables.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5" w:name="page36"/>
    <w:bookmarkEnd w:id="35"/>
    <w:p>
      <w:pPr>
        <w:spacing w:after="0" w:line="342" w:lineRule="auto"/>
        <w:rPr>
          <w:sz w:val="20"/>
          <w:szCs w:val="20"/>
          <w:color w:val="auto"/>
        </w:rPr>
      </w:pPr>
      <w:r>
        <w:rPr>
          <w:rFonts w:ascii="Arial" w:cs="Arial" w:eastAsia="Arial" w:hAnsi="Arial"/>
          <w:sz w:val="16"/>
          <w:szCs w:val="16"/>
          <w:color w:val="auto"/>
        </w:rPr>
        <w:t>Inventory in dollars increased in fiscal 2018 as compared to fiscal 2017, primarily as a result of our efforts to balance manufacturing production, demand and inventory levels. Our inventory levels are impacted by our need to support forecasted sales demand and variations between those forecasts and actual demand.</w:t>
      </w:r>
    </w:p>
    <w:p>
      <w:pPr>
        <w:spacing w:after="0" w:line="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Current liabilities decreased to $1.4 billion at November 3, 2018 from $1.6 billion recorded at the end of fiscal 2017. The decrease was primarily due to a decrease in the current portion of our debt.</w:t>
      </w:r>
    </w:p>
    <w:p>
      <w:pPr>
        <w:spacing w:after="0" w:line="116"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As of November 3, 2018 and October 28, 2017, we had gross deferred revenue of $603.8 million and $589.5 million, respectively, and gross deferred cost of sales of $116.4 million and $115.5 million, respectively. Deferred income on shipments to distributors decreased in fiscal 2018 primarily as a result of the distributors' sales to their customers in fiscal 2018 exceeding our shipments to our distributors during this same time period. Sales to certain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certain distributors, the sales price to the distributors is not fixed or determinable until the distributors resell the products to their customers. Therefore, we defer revenue recognition from sales to certain distributors until such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As of November 3, 2018, we had $6.3 billion of carrying value outstanding on our long-term debt. The difference in the carrying value of the debt and the principal is due to the unamortized discount and issuance fees on these instruments that will accrete to the face value over the term of the debt. Our debt obligations consist of the following:</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$500.0 Million Aggregate Principal Amount of 2.875% Senior Unsecured Notes (2023 Notes)</w:t>
      </w:r>
    </w:p>
    <w:p>
      <w:pPr>
        <w:spacing w:after="0" w:line="171"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On June 3, 2013, we issued the 2023 Notes with semi-annual fixed interest payments due on June 1 and December 1 of each year, commencing December 1, 2013.</w:t>
      </w:r>
    </w:p>
    <w:p>
      <w:pPr>
        <w:spacing w:after="0" w:line="116"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i w:val="1"/>
          <w:iCs w:val="1"/>
          <w:color w:val="auto"/>
        </w:rPr>
        <w:t>$850.0 Million Aggregate Principal Amount of 3.9% Senior Unsecured Notes (2025 Notes) and $400.0 Million Aggregate Principal Amount of 5.3% Senior Unsecured Notes (2045 Notes)</w:t>
      </w:r>
    </w:p>
    <w:p>
      <w:pPr>
        <w:spacing w:after="0" w:line="11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On December 14, 2015, we issued the 2025 Notes and the 2045 Notes with semi-annual fixed interest payments due on June 15 and December 15 of each year, commencing June 15, 2016.</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$400 Million Aggregate Principal Amount of 2.5% Senior Unsecured Notes (2021 Notes), $550 Million Aggregate Principal Amount of 3.125% Senior Unsecured Notes (December 2023 Notes), $900 Million Aggregate Principal Amount of 3.5% Senior Unsecured Notes (2026 Notes) and $250 Million Aggregate Principal Amount of 4.5% Senior Unsecured Notes (2036 Notes)</w:t>
      </w:r>
    </w:p>
    <w:p>
      <w:pPr>
        <w:spacing w:after="0" w:line="12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December 5, 2016, we issued the 2021 Notes, the December 2023 Notes, the 2026 Notes and the 2036 Notes with semi-annual fixed interest payments due on June 5 and December 5 of each year, commencing June 5, 2017.</w:t>
      </w:r>
    </w:p>
    <w:p>
      <w:pPr>
        <w:spacing w:after="0" w:line="116"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i w:val="1"/>
          <w:iCs w:val="1"/>
          <w:color w:val="auto"/>
        </w:rPr>
        <w:t>$300.0 Million Aggregate Principal Amount of 2.85% Senior Unsecured Notes (2020 Notes) and $450.0 Million Aggregate Principal Amount of 2.95% Senior Unsecured Notes (January 2021 Notes)</w:t>
      </w:r>
    </w:p>
    <w:p>
      <w:pPr>
        <w:spacing w:after="0" w:line="116"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On March 12, 2018, we issued the 2020 Notes with semi-annual fixed interest payments due on March 12 and September 12 of each year, commencing September 12, 2018, and the January 2021 Notes with semi-annual fixed interest payments due on January 12 and July 12 of each year, commencing July 12, 2018.</w:t>
      </w:r>
    </w:p>
    <w:p>
      <w:pPr>
        <w:spacing w:after="0" w:line="127"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 xml:space="preserve">The indentures governing the 2020 Notes, 2021 Notes, January 2021 Notes, 2023 Notes, December 2023 Notes, 2025 Notes, 2026 Notes, 2036 Notes and 2045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November 3, 2018, we were compliant with these covenants. See Note 14, </w:t>
      </w:r>
      <w:r>
        <w:rPr>
          <w:rFonts w:ascii="Arial" w:cs="Arial" w:eastAsia="Arial" w:hAnsi="Arial"/>
          <w:sz w:val="16"/>
          <w:szCs w:val="16"/>
          <w:i w:val="1"/>
          <w:iCs w:val="1"/>
          <w:color w:val="auto"/>
        </w:rPr>
        <w:t>Debt,</w:t>
      </w:r>
      <w:r>
        <w:rPr>
          <w:rFonts w:ascii="Arial" w:cs="Arial" w:eastAsia="Arial" w:hAnsi="Arial"/>
          <w:sz w:val="16"/>
          <w:szCs w:val="16"/>
          <w:color w:val="auto"/>
        </w:rPr>
        <w:t xml:space="preserve"> of the Notes to Consolidated Financial Statements contained in Item 8 of this Annual Report on Form 10-K for further information on our outstanding debt.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i w:val="1"/>
          <w:iCs w:val="1"/>
          <w:color w:val="auto"/>
        </w:rPr>
        <w:t>$5.0 Billion Aggregate Principal Term Loans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the Acquisition Date, we drew down on a 3-year unsecured term loan in the principal amount of $2.5 billion, due March 10, 2020 and a 5-year unsecured term loan in the principal amount of $2.5 billion, due March 10, 2022. The term loans bear interest at a rate per annum equal to the Eurodollar Rate plus a margin based on our debt ratings from time to time of between 0.75% and 1.63% in the case of the 3-year unsecured term loan, and a margin of between 0.88% and 1.75% in the case of the 5-year unsecured term loan. As of November 3, 2018, we have paid $2.1 billion of principal on the 3-year unsecured term loan and paid $1.2 billion of principal on the 5-year unsecured term loan.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 xml:space="preserve">We have a senior unsecured revolving credit facility with certain institutional lenders that expires on July 10, 2020. The agreement for such revolving credit facility (Credit Agreement) provides that we may borrow up to $1.0 billion. To date, we have not borrowed under this credit facility, but we may borrow in the future and use the proceeds for repayment of existing indebtedness, stock repurchases, acquisitions, capital expenditures, working capital and other lawful corporate purposes. The terms of the Credit Agreement impose restrictions on our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4.5 to 1.0. The debt covenant will be reduced over time to 3.0 to 1.0, which began in May 2018. As of November 3, 2018, we were compliant with these covenants. See Note 13, </w:t>
      </w:r>
      <w:r>
        <w:rPr>
          <w:rFonts w:ascii="Arial" w:cs="Arial" w:eastAsia="Arial" w:hAnsi="Arial"/>
          <w:sz w:val="17"/>
          <w:szCs w:val="17"/>
          <w:i w:val="1"/>
          <w:iCs w:val="1"/>
          <w:color w:val="auto"/>
        </w:rPr>
        <w:t>Revolving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Facility, </w:t>
      </w:r>
      <w:r>
        <w:rPr>
          <w:rFonts w:ascii="Arial" w:cs="Arial" w:eastAsia="Arial" w:hAnsi="Arial"/>
          <w:sz w:val="17"/>
          <w:szCs w:val="17"/>
          <w:color w:val="auto"/>
        </w:rPr>
        <w:t>of the Notes to Consolidated Financial Statements contained in Item 8 of this Annual Report on Form 10-K for further information on our revolving</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facility.</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common stock repurchase program has been in place since August 2004. In the aggregate, our Board of Directors has authorized us to repurchase $8.2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w:t>
      </w:r>
    </w:p>
    <w:p>
      <w:pPr>
        <w:spacing w:after="0" w:line="5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connection with the Acquisition, we temporarily suspended the share repurchase program. On August 21, 2018, we reinstated the share repurchase program, and as of November 3, 2018, we had repurchased a total of approximately 148.9 million shares of its common stock for approximately $5.6 billion under this program. An additional $2.6 billion remains available for repurchase of shares under the current authorized program. The repurchased shares are held as authorized but unissued shares of common stock. We also, from time to time, repurchase shares in settlement of employee tax withholding obligations due upon the vesting of restricted stock units/awards or the exercise of stock options.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Net additions to property, plant and equipment were $254.9 million in fiscal 2018 and were funded with a combination of cash on hand and cash generated from operations. We expect capital expenditures for fiscal 2019 to be approximately 4% of fiscal 2019 revenue. These capital expenditures will be funded with a combination of cash on hand and cash generated from operations.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On November 19, 2018, our Board of Directors declared a cash dividend of $0.48 per outstanding share of common stock. The dividend will be paid on December 10, 2018 to all shareholders of record at the close of business on November 29, 2018 and is expected to total approximately $178 million. We currently expect quarterly dividends to continue at $0.48 per share, although they remain subject to determination and declaration by our Board of Directors. The payment of future dividends, if any, will be based on several factors, including our financial performance, outlook and liquidity.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46" w:right="259" w:bottom="1440" w:gutter="0" w:footer="0" w:header="0"/>
        </w:sectPr>
      </w:pPr>
    </w:p>
    <w:bookmarkStart w:id="37" w:name="page38"/>
    <w:bookmarkEnd w:id="37"/>
    <w:p>
      <w:pPr>
        <w:ind w:left="420"/>
        <w:spacing w:after="0"/>
        <w:rPr>
          <w:sz w:val="20"/>
          <w:szCs w:val="20"/>
          <w:color w:val="auto"/>
        </w:rPr>
      </w:pPr>
      <w:r>
        <w:rPr>
          <w:rFonts w:ascii="Arial" w:cs="Arial" w:eastAsia="Arial" w:hAnsi="Arial"/>
          <w:sz w:val="18"/>
          <w:szCs w:val="18"/>
          <w:i w:val="1"/>
          <w:iCs w:val="1"/>
          <w:color w:val="auto"/>
        </w:rPr>
        <w:t>Contractual Obligations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summarizes our contractual obligations and the amounts we owe under these contracts in specified periods as of November 3,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7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1-3 Years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Transition tax (a)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755,000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61,600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120,592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120,592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452,216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 (</w:t>
            </w:r>
            <w:r>
              <w:rPr>
                <w:rFonts w:ascii="Arial" w:cs="Arial" w:eastAsia="Arial" w:hAnsi="Arial"/>
                <w:sz w:val="16"/>
                <w:szCs w:val="16"/>
                <w:color w:val="auto"/>
              </w:rPr>
              <w:t>b)</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201,489</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Debt obligations (c)</w:t>
            </w: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6,375,000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67,000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w w:val="99"/>
              </w:rPr>
              <w:t>1,108,000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2,250,000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2,950,000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payments associated with debt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1,740,053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223,796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830,594</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16"/>
                <w:szCs w:val="16"/>
                <w:color w:val="auto"/>
              </w:rPr>
              <w:t>(d)</w:t>
            </w: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41,001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39,853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Pension funding </w:t>
            </w:r>
            <w:r>
              <w:rPr>
                <w:rFonts w:ascii="Arial" w:cs="Arial" w:eastAsia="Arial" w:hAnsi="Arial"/>
                <w:sz w:val="16"/>
                <w:szCs w:val="16"/>
                <w:color w:val="auto"/>
              </w:rPr>
              <w:t>(e)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9,305,455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396,986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1,718,920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2,715,397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4,474,152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9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Tax Legislation, enacted on December 22, 2017, contains significant changes to U.S. tax law, including lowering the U.S. corporate income tax rate to 21.0%, implementing a territorial tax system, and imposing a one-time tax on deemed repatriated earnings of foreign subsidiaries. As part of transitioning to the territorial tax system, the Tax Legislation includes a one-time transition tax that we intend to elect to pay over a period of eight years that begins in fiscal 2019 on an interest free basis.</w:t>
      </w:r>
    </w:p>
    <w:p>
      <w:pPr>
        <w:spacing w:after="0" w:line="24"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of our operating lease obligations include escalation clauses. These escalating payment requirements are reflected in the table.</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Debt obligations are assumed to be held to maturity.</w:t>
      </w:r>
    </w:p>
    <w:p>
      <w:pPr>
        <w:spacing w:after="0" w:line="63" w:lineRule="exact"/>
        <w:rPr>
          <w:rFonts w:ascii="Arial" w:cs="Arial" w:eastAsia="Arial" w:hAnsi="Arial"/>
          <w:sz w:val="18"/>
          <w:szCs w:val="18"/>
          <w:color w:val="auto"/>
        </w:rPr>
      </w:pPr>
    </w:p>
    <w:p>
      <w:pPr>
        <w:ind w:left="460" w:right="220" w:hanging="452"/>
        <w:spacing w:after="0" w:line="29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payments relate to obligations under our deferred compensation plan. The deferred compensation plan allows certain members of management and other highly-compensated employees and non-employee directors to defer receipt of all or any portion of their compensation. The amount in the “More than 5 Years” column of the table represents the remaining total balance under the deferred compensation plan to be paid to participants who have not terminated employment. Since we cannot reasonably estimate the timing of withdrawals for participants who have not yet terminated employment, we have included the future obligation to these participants in the “More than 5 Years” column of the table.</w:t>
      </w:r>
    </w:p>
    <w:p>
      <w:pPr>
        <w:spacing w:after="0" w:line="3"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funding policy for our foreign defined benefit plans is consistent with the local requirements of each country. The payment obligations in the table are estimates of our expected contributions to these plans for fiscal year 2019. The actual future payments may differ from the amounts presented in the table and reasonable estimates of payments beyond one year are not practical because of potential future changes in variables, such as plan asset performance, interest rates and the rate of increase in compensation levels.</w:t>
      </w:r>
    </w:p>
    <w:p>
      <w:pPr>
        <w:spacing w:after="0" w:line="9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of November 3, 2018, our total liabilities associated with uncertain tax positions was $16.8 million, which are included in non-current income taxes payable in our consolidated balance sheet contained in Item 8 of this Annual Report on Form 10-K. Due to the complexity associated with our deferred taxes and tax uncertainties, we cannot make a reasonably reliable estimate of the period in which we expect to settle the non-current liabilities associated with these deferred taxes and uncertain tax positions. Therefore, we have not included these deferred taxes and uncertain tax positions in the above contractual obligations table.</w:t>
      </w:r>
    </w:p>
    <w:p>
      <w:pPr>
        <w:spacing w:after="0" w:line="94"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expected timing of payments and the amounts of the obligations discussed above are estimated based on current information available as of November 3, 2018.</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Off-balance Sheet Arrangements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November 3, 2018, we had no off-balance sheet financing arrangements.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From time to time, new accounting pronouncements are issued by the Financial Accounting Standards Board (FASB) and are adopted by us as of the specified effective date. Unless otherwise discussed, management believes that the impact of recently issued standards will not have a material impact on our future financial condition and results of operations. See Note 2t,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of the Notes to Consolidated Financial Statements contained in Item 8 of this Annual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8" w:name="page39"/>
    <w:bookmarkEnd w:id="38"/>
    <w:p>
      <w:pPr>
        <w:ind w:right="620"/>
        <w:spacing w:after="0" w:line="277" w:lineRule="auto"/>
        <w:rPr>
          <w:sz w:val="20"/>
          <w:szCs w:val="20"/>
          <w:color w:val="auto"/>
        </w:rPr>
      </w:pPr>
      <w:r>
        <w:rPr>
          <w:rFonts w:ascii="Arial" w:cs="Arial" w:eastAsia="Arial" w:hAnsi="Arial"/>
          <w:sz w:val="18"/>
          <w:szCs w:val="18"/>
          <w:color w:val="auto"/>
        </w:rPr>
        <w:t>Report on Form 10-K for a description of recently issued and adopted accounting pronouncements, including the dates of adoption and impact on our historical financial condition and results of operations.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 xml:space="preserve">In May 2014, the FASB issued Accounting Standards Update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nearly all existing revenue recognition guidance under generally accepted accounting principles in the United States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The FASB has issued several amendments and updates to the new revenue standard, including guidance related to when an entity should recognize revenue gross as a principal or net as an agent and how an entity should identify performance obligations. As amended, ASU 2014-09 is effective for fiscal years, and interim periods within those fiscal years, beginning after December 15, 2017, which is our first quarter of fiscal 2019. We are approaching the final stage of our project plan for the implementation of the guidance. We have reviewed our revenue streams, including those from the Acquisition, and are nearing completion in assessing all potential impacts of the standard on our consolidated financial statements and related disclosures, including any impacts from recently issued amendments, and retrospectively adjusting financial information for prior fiscal years. The most significant impact of adopting the new standard will be related to the timing of recognition of sales to certain distributors. As described in Note 2,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of the Notes to the Consolidated Financial Statements contained in Item 8 of this Annual Report on Form 10-K, we currently defer revenue and the related cost of sales on shipments to certain distributors until the distributors resell the products to their customers. Upon adoption of ASU 2014-09, we will no longer be permitted to defer revenue until sale by the distributor to the end customer, but rather, will be required to estimate the effects of returns and allowances provided to distributors and record revenue at the time of sale to the distributor. We will adopt ASU 2014-09, using the full retrospective method, upon its effective date for us which is our first quarter of fiscal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Management’s discussion and analysis of the financial condition and results of operations is based upon the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based on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significant estimates or judgments that are difficult or subjective.</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Revenue from product sales to customers is generally recognized when title passes, which is upon shipment in the U.S. and in certain foreign counties. Revenue from product sales to other foreign countries is recognized subsequent to product shipment. Title for these shipments to these other foreign countries ordinarily passes within a week of shipment. Accordingly, we defer the revenue recognized relating to these other foreign countries until title has passed. For multiple element arrangements, we allocate arrangement consideration among the elements based on the relative fair values of those elements as determined using vendor-specific objective evidence or third-party evidence. We use our best estimate of selling price to allocate arrangement consideration between the deliverables in cases where neither vendor-specific objective evidence nor third-party evidence is available. A reserve for sales returns and allowances for customers is recorded based on historical experience or specific identification of an event necessitating a reserve.</w:t>
      </w:r>
    </w:p>
    <w:p>
      <w:pPr>
        <w:spacing w:after="0" w:line="3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Revenue from contracts with the United States government, government prime contractors and some commercial customers is generally recorded on a percentage of completion basis, using either units delivered or costs incurred as the measurement basis for progress toward completion. The output measure is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65" w:right="259" w:bottom="1440" w:gutter="0" w:footer="0" w:header="0"/>
        </w:sectPr>
      </w:pPr>
    </w:p>
    <w:bookmarkStart w:id="39" w:name="page40"/>
    <w:bookmarkEnd w:id="39"/>
    <w:p>
      <w:pPr>
        <w:ind w:right="220"/>
        <w:spacing w:after="0" w:line="342" w:lineRule="auto"/>
        <w:rPr>
          <w:sz w:val="20"/>
          <w:szCs w:val="20"/>
          <w:color w:val="auto"/>
        </w:rPr>
      </w:pPr>
      <w:r>
        <w:rPr>
          <w:rFonts w:ascii="Arial" w:cs="Arial" w:eastAsia="Arial" w:hAnsi="Arial"/>
          <w:sz w:val="16"/>
          <w:szCs w:val="16"/>
          <w:color w:val="auto"/>
        </w:rPr>
        <w:t>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Revenue from product sales to certain international distributors are made under agreements that permit limited stock return privileges but not sales price rebates. Revenue on these sales is recognized upon shipment at which time title passes.</w:t>
      </w:r>
    </w:p>
    <w:p>
      <w:pPr>
        <w:spacing w:after="0" w:line="11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We defer revenue and the related cost of sales on shipments to U.S. distributors and certain international distributors until the distributors resell the products to their customers. As a result, our revenue fully reflects end customer purchases and is not impacted by distributor inventory levels. Sales to certain of these distributors are made under agreements that allow such distributors to receive price-adjustment credits and to return qualifying products for credit, as determined by us, in order to reduce the amounts of slow-moving, discontinued or obsolete product from their inventory. These agreements limit such returns to a certain percentage of the value of our shipments to that distributor during the prior quarter. In addition, such distributors are allowed to return unsold products if we terminate the relationship with the distributor. Given the uncertainties associated with the levels of price-adjustment credits to be granted to certain distributors, the sales price to the distributor is not fixed or determinable until the distributor resells the products to their customers. Therefore, we defer revenue recognition from sales to certain distributors until such distributors have sold the products to their customers.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Inventory Valuation</w:t>
      </w:r>
    </w:p>
    <w:p>
      <w:pPr>
        <w:spacing w:after="0" w:line="131"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value inventories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net realizable value of inventory. While a portion of the calculation is determined via reference to the age of inventory and lower of cost or market calculations, an element of the calculation is subject to significant judgments made by us about future demand for our inventory. If actual demand for our products is less than our estimates, additional adjustments to existing inventories may need to be recorded in future periods. To date, our actual results have not been materially different than our estimates, and we do not expect them to be materially different in the future.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Long-Lived Assets</w:t>
      </w:r>
    </w:p>
    <w:p>
      <w:pPr>
        <w:spacing w:after="0" w:line="13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review property, plant, and equipment and finite lived intangible assets for impairment whenever events or changes in circumstances indicate that the carrying value of assets may not be recoverable. Recoverability of these assets is determined by comparison of their carrying value to the estimated future undiscounted cash flows that the assets are expected to generate over their remaining estimated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Although we have recognized no material impairment adjustments related to our property, plant, and equipment and identified intangible assets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 We review indefinite-lived intangible assets for impairment annually, on the first day of the fourth quarter (on or about August 5) or more frequently if indicators of impairment exist. We perform a qualitative assessment on our indefinite-lived intangible assets to determine whether it is more likely-than not that the indefinite-lived intangible asset is impaired. If it is determined that the fair value of the indefinite-lived intangible asset is less than the carrying value, we would compare the fair value of the intangible asset with its carrying amount and recognize an impairment equal to any amount by which the carrying value of the assets exceeds the fair value.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Goodwill is subject to annual impairment tests or more frequently if indicators of potential impairment exist and suggest that the carrying value of goodwill may not be recoverable from estimated discounted future cash flows. We test goodwill for impairment at the reporting unit level (operating segment or one level below an operating segment) on an annual basis in the fourth quarter (on or about August 5) or more frequently if we believe indicators of impairment exist. We have the option to first assess qualitative factors to determine whether it is more likely than not that the fair value of a reporting unit is less than its net book value. If we elect not to use this option, or we determine that it is more likely than not that the fair value of a reporting unit is less than its net book value, then we perform the quantitative goodwill impairment test. In prior periods, we did not elect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65" w:right="239" w:bottom="1440" w:gutter="0" w:footer="0" w:header="0"/>
        </w:sectPr>
      </w:pPr>
    </w:p>
    <w:bookmarkStart w:id="40" w:name="page41"/>
    <w:bookmarkEnd w:id="40"/>
    <w:p>
      <w:pPr>
        <w:spacing w:after="0" w:line="269" w:lineRule="auto"/>
        <w:rPr>
          <w:sz w:val="20"/>
          <w:szCs w:val="20"/>
          <w:color w:val="auto"/>
        </w:rPr>
      </w:pPr>
      <w:r>
        <w:rPr>
          <w:rFonts w:ascii="Arial" w:cs="Arial" w:eastAsia="Arial" w:hAnsi="Arial"/>
          <w:sz w:val="17"/>
          <w:szCs w:val="17"/>
          <w:color w:val="auto"/>
        </w:rPr>
        <w:t>to use the qualitative option for assessing goodwill and instead proceeded directly to the quantitative goodwill impairment analysis. The goodwill impairment test requires an entity to compare the fair value of a reporting unit with its carrying amount. If fair value is determined to be less than carrying value, an impairment loss is recognized for the amount of the carrying value that exceeds the amount of the reporting unit's fair value, not to exceed the total amount of goodwill allocated to the reporting unit. Additionally, we consider income tax effects from any tax deductible goodwill on the carrying amount of the reporting unit when measuring the goodwill impairment loss, if applicable. We determine the fair value of our reporting units using a weighting of the income and market approaches. Under the income approach, we use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of the reporting unit being tested, in order to obtain their respective fair values. In order to assess the reasonableness of the calculated reporting unit fair values, we reconcile the aggregate fair values of our reporting units determined, as described above, to its current market capitalization, allowing for a reasonable control premium.</w:t>
      </w:r>
    </w:p>
    <w:p>
      <w:pPr>
        <w:spacing w:after="0" w:line="8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our latest annual impairment evaluation that occurred as of August 5, 2018, we used the qualitative method of assessing goodwill for all eight of our identified reporting units, which we determined are the same as our eight operating segments. For each of the reporting units, we determined that it was not more likely than not that the fair values were less than their net book values. In making this determination, we considered several factors, including the following:</w:t>
      </w:r>
    </w:p>
    <w:p>
      <w:pPr>
        <w:spacing w:after="0" w:line="106" w:lineRule="exact"/>
        <w:rPr>
          <w:sz w:val="20"/>
          <w:szCs w:val="20"/>
          <w:color w:val="auto"/>
        </w:rPr>
      </w:pPr>
    </w:p>
    <w:p>
      <w:pPr>
        <w:ind w:left="660" w:right="20" w:hanging="324"/>
        <w:spacing w:after="0" w:line="256" w:lineRule="auto"/>
        <w:rPr>
          <w:sz w:val="20"/>
          <w:szCs w:val="20"/>
          <w:color w:val="auto"/>
        </w:rPr>
      </w:pPr>
      <w:r>
        <w:rPr>
          <w:rFonts w:ascii="Arial" w:cs="Arial" w:eastAsia="Arial" w:hAnsi="Arial"/>
          <w:sz w:val="18"/>
          <w:szCs w:val="18"/>
          <w:color w:val="auto"/>
        </w:rPr>
        <w:t>– the amount by which the fair values of each reporting unit exceeded their carrying values as of the date of the most recent quantitative impairment analysis, which indicated there would need to be substantial negative developments in the markets in which these reporting units operate in order for there to be potential impairment;</w:t>
      </w:r>
    </w:p>
    <w:p>
      <w:pPr>
        <w:ind w:left="660" w:right="180" w:hanging="324"/>
        <w:spacing w:after="0" w:line="250" w:lineRule="auto"/>
        <w:rPr>
          <w:sz w:val="20"/>
          <w:szCs w:val="20"/>
          <w:color w:val="auto"/>
        </w:rPr>
      </w:pPr>
      <w:r>
        <w:rPr>
          <w:rFonts w:ascii="Arial" w:cs="Arial" w:eastAsia="Arial" w:hAnsi="Arial"/>
          <w:sz w:val="18"/>
          <w:szCs w:val="18"/>
          <w:color w:val="auto"/>
        </w:rPr>
        <w:t>– the carrying values of these reporting units as of August 5, 2018 compared to the previously calculated fair values as of the date of the most recent quantitative impairment analysis;</w:t>
      </w:r>
    </w:p>
    <w:p>
      <w:pPr>
        <w:ind w:left="340"/>
        <w:spacing w:after="0"/>
        <w:rPr>
          <w:sz w:val="20"/>
          <w:szCs w:val="20"/>
          <w:color w:val="auto"/>
        </w:rPr>
      </w:pPr>
      <w:r>
        <w:rPr>
          <w:rFonts w:ascii="Arial" w:cs="Arial" w:eastAsia="Arial" w:hAnsi="Arial"/>
          <w:sz w:val="18"/>
          <w:szCs w:val="18"/>
          <w:color w:val="auto"/>
        </w:rPr>
        <w:t>–   the current forecasts as compared to the forecasts included in the most recent quantitative impairment analysis;</w:t>
      </w:r>
    </w:p>
    <w:p>
      <w:pPr>
        <w:spacing w:after="0" w:line="9" w:lineRule="exact"/>
        <w:rPr>
          <w:sz w:val="20"/>
          <w:szCs w:val="20"/>
          <w:color w:val="auto"/>
        </w:rPr>
      </w:pPr>
    </w:p>
    <w:p>
      <w:pPr>
        <w:ind w:left="660" w:right="340" w:hanging="324"/>
        <w:spacing w:after="0" w:line="250" w:lineRule="auto"/>
        <w:rPr>
          <w:sz w:val="20"/>
          <w:szCs w:val="20"/>
          <w:color w:val="auto"/>
        </w:rPr>
      </w:pPr>
      <w:r>
        <w:rPr>
          <w:rFonts w:ascii="Arial" w:cs="Arial" w:eastAsia="Arial" w:hAnsi="Arial"/>
          <w:sz w:val="18"/>
          <w:szCs w:val="18"/>
          <w:color w:val="auto"/>
        </w:rPr>
        <w:t>– public information from competitors and other industry information to determine if there were any significant adverse trends in our competitors' businesses, such as significant declines in market capitalization or significant goodwill impairment charges that could be an indication that the goodwill of our reporting units was potentially impaired;</w:t>
      </w:r>
    </w:p>
    <w:p>
      <w:pPr>
        <w:spacing w:after="0" w:line="1" w:lineRule="exact"/>
        <w:rPr>
          <w:sz w:val="20"/>
          <w:szCs w:val="20"/>
          <w:color w:val="auto"/>
        </w:rPr>
      </w:pPr>
    </w:p>
    <w:p>
      <w:pPr>
        <w:ind w:left="660" w:right="620" w:hanging="324"/>
        <w:spacing w:after="0" w:line="250" w:lineRule="auto"/>
        <w:rPr>
          <w:sz w:val="20"/>
          <w:szCs w:val="20"/>
          <w:color w:val="auto"/>
        </w:rPr>
      </w:pPr>
      <w:r>
        <w:rPr>
          <w:rFonts w:ascii="Arial" w:cs="Arial" w:eastAsia="Arial" w:hAnsi="Arial"/>
          <w:sz w:val="18"/>
          <w:szCs w:val="18"/>
          <w:color w:val="auto"/>
        </w:rPr>
        <w:t>– changes in the value of major U.S. stock indices that could suggest declines in overall market stability that could impact the valuation of our reporting units;</w:t>
      </w:r>
    </w:p>
    <w:p>
      <w:pPr>
        <w:ind w:left="660" w:right="100" w:hanging="324"/>
        <w:spacing w:after="0" w:line="250" w:lineRule="auto"/>
        <w:rPr>
          <w:sz w:val="20"/>
          <w:szCs w:val="20"/>
          <w:color w:val="auto"/>
        </w:rPr>
      </w:pPr>
      <w:r>
        <w:rPr>
          <w:rFonts w:ascii="Arial" w:cs="Arial" w:eastAsia="Arial" w:hAnsi="Arial"/>
          <w:sz w:val="18"/>
          <w:szCs w:val="18"/>
          <w:color w:val="auto"/>
        </w:rPr>
        <w:t>– changes in our market capitalization and overall enterprise valuation to determine if there were any significant decreases that could be an indication that the valuation of our reporting units had significantly decreased; and</w:t>
      </w:r>
    </w:p>
    <w:p>
      <w:pPr>
        <w:ind w:left="660" w:right="700" w:hanging="324"/>
        <w:spacing w:after="0" w:line="261" w:lineRule="auto"/>
        <w:rPr>
          <w:sz w:val="20"/>
          <w:szCs w:val="20"/>
          <w:color w:val="auto"/>
        </w:rPr>
      </w:pPr>
      <w:r>
        <w:rPr>
          <w:rFonts w:ascii="Arial" w:cs="Arial" w:eastAsia="Arial" w:hAnsi="Arial"/>
          <w:sz w:val="18"/>
          <w:szCs w:val="18"/>
          <w:color w:val="auto"/>
        </w:rPr>
        <w:t>– whether there had been any significant increases to the weighted-average cost of capital (WACC) rates for each reporting unit, which could materially lower our prior valuation conclusions under a discounted cash flow approach.</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13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Under the acquisition method of accounting, we recognize tangible and identifiable intangible assets acquired and liabilities assumed based on their estimated fair values. We record the excess of the fair value of the purchase consideration over the value of the net assets acquired as goodwill. The accounting for business combinations requires us to make significant estimates and assumptions, especially with respect to intangible assets and the fair value of contingent payment obligations. Critical estimates in valuing purchased technology, customer lists and other identifiable intangible assets include future cash flows that we expect to generate from the acquired assets. If the subsequent actual results and updated projections of the underlying business activity change compared with the assumptions and projections used to develop these values, we could experience impairment charges which could be material. In addition, we have estimated the economic lives of certain acquired assets and these lives are used to calculate depreciation and amortization expense. If our estimates of the economic lives change, depreciation or amortization expenses could be accelerated or slowed.</w:t>
      </w:r>
    </w:p>
    <w:p>
      <w:pPr>
        <w:spacing w:after="0" w:line="7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record contingent consideration resulting from a business combination at its fair value on the acquisition date. We generally determine the fair value of the contingent consideration using the income approach methodology of valuation. Each reporting period thereafter, we revalue these obligations and record increases or decreases in their fair value as an adjustment to operating expenses within the consolidated statement of income. Changes in the fair value of the contingent consideration can result from changes in assumed discount periods and rates, and from changes pertaining to the achievement of the defined milestones.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expense we record in any given period.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706" w:right="279" w:bottom="1440" w:gutter="0" w:footer="0" w:header="0"/>
        </w:sectPr>
      </w:pPr>
    </w:p>
    <w:bookmarkStart w:id="41" w:name="page42"/>
    <w:bookmarkEnd w:id="41"/>
    <w:p>
      <w:pPr>
        <w:ind w:left="220"/>
        <w:spacing w:after="0"/>
        <w:rPr>
          <w:sz w:val="20"/>
          <w:szCs w:val="20"/>
          <w:color w:val="auto"/>
        </w:rPr>
      </w:pPr>
      <w:r>
        <w:rPr>
          <w:rFonts w:ascii="Arial" w:cs="Arial" w:eastAsia="Arial" w:hAnsi="Arial"/>
          <w:sz w:val="18"/>
          <w:szCs w:val="18"/>
          <w:i w:val="1"/>
          <w:iCs w:val="1"/>
          <w:color w:val="auto"/>
        </w:rPr>
        <w:t>Accounting for Income Taxes</w:t>
      </w:r>
    </w:p>
    <w:p>
      <w:pPr>
        <w:spacing w:after="0" w:line="13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must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the recognition of revenue and expense for tax and financial statement purposes, as well as the interest and penalties relating to these uncertain tax positions. We assessed the likelihood of the realization of deferred tax assets and concluded that a valuation allowance is needed to reserve the amount of the deferred tax assets that may not be realized due to the uncertainty of the timing and amount of the realization of certain state credit carryovers. In reaching our conclusion, we evaluated certain relevant criteria including the existence of deferred tax liabilities that can be used to realize deferred tax assets, the taxable income in prior carryback years in the impacted state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 which in turn, may result in an increase or decrease to our tax provision in a subsequent period.</w:t>
      </w:r>
    </w:p>
    <w:p>
      <w:pPr>
        <w:spacing w:after="0" w:line="75"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account for uncertain tax positions by determining if it is “more likely than not” that a tax position will be sustained by the appropriate taxing authorities prior to recording any benefit in the financial statements. An uncertain income tax position is not recognized if it has less than a 50% likelihood of being sustained.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reevaluate these uncertain tax positions on a quarterly basis. This evaluation is based on factors including, but not limited to, changes in known facts or circumstances, changes in tax law, effectively settled issues under audit, and new audit activity. A change in these factors would result in the recognition of a tax benefit or an additional charge to the tax provision.</w:t>
      </w:r>
    </w:p>
    <w:p>
      <w:pPr>
        <w:spacing w:after="0" w:line="84"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In the event our assumptions are incorrect, the differences could have a material impact on our income tax provision and operating results in the period in which such determination is made. In addition to the factors described above, our current and expected effective tax rate is based on then-current tax law. Significant changes during the year in enacted tax law could affect these estimates.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Tax Cuts and Jobs Act of 2017 (Tax Legislation) significantly changes existing U.S. tax law and includes numerous provisions that affect our business. See Note 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of the of the Notes to our Consolidated Financial Statements contained in Item 8 of this Annual Report on Form 10-K for further discussion.</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131"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 xml:space="preserve">Stock-based compensation expense associated with stock options and related awards is recognized in the consolidated statements of income. Determining the amount of stock-based compensation to be recorded requires us to develop estimates to be used in calculating the grant-date fair value of stock options and market-based restricted stock units. We calculate the grant-date fair values of stock options using the Black-Scholes valuation model. The use of valuation models requires us to make estimates of key assumptions such as expected option term and stock price volatility to determine the fair value of a stock option. The estimate of these key assumptions is based on historical information and judgment regarding market factors and trends. We recognize the expense related to equity awards on a straight-line basis over the vesting period. See Note 3, </w:t>
      </w:r>
      <w:r>
        <w:rPr>
          <w:rFonts w:ascii="Arial" w:cs="Arial" w:eastAsia="Arial" w:hAnsi="Arial"/>
          <w:sz w:val="18"/>
          <w:szCs w:val="18"/>
          <w:i w:val="1"/>
          <w:iCs w:val="1"/>
          <w:color w:val="auto"/>
        </w:rPr>
        <w:t>Stock-Based Compensation and Shareholders' Equity,</w:t>
      </w:r>
      <w:r>
        <w:rPr>
          <w:rFonts w:ascii="Arial" w:cs="Arial" w:eastAsia="Arial" w:hAnsi="Arial"/>
          <w:sz w:val="18"/>
          <w:szCs w:val="18"/>
          <w:color w:val="auto"/>
        </w:rPr>
        <w:t xml:space="preserve"> of the Notes to Consolidated Financial Statements contained in Item 8 of this Annual Report on Form 10-K for more information related to stock based compensation.</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Contingencies</w:t>
      </w:r>
    </w:p>
    <w:p>
      <w:pPr>
        <w:spacing w:after="0" w:line="131"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From time to time, in the ordinary course of business, various claims, charges and litigation are asserted or commenced against us arising from, or related to, contractual matters, patents, trademarks, personal injury, environmental matters, product liability, insurance coverage and personnel and employment disputes. We periodically assess each matter to determine if a contingent liability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If a loss is probable and reasonably estimable, we record a contingent loss. In determining the amount of a contingent loss, we consider advice received from</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14" w:right="239" w:bottom="1440" w:gutter="0" w:footer="0" w:header="0"/>
        </w:sectPr>
      </w:pPr>
    </w:p>
    <w:bookmarkStart w:id="42" w:name="page43"/>
    <w:bookmarkEnd w:id="42"/>
    <w:p>
      <w:pPr>
        <w:spacing w:after="0" w:line="264" w:lineRule="auto"/>
        <w:rPr>
          <w:sz w:val="20"/>
          <w:szCs w:val="20"/>
          <w:color w:val="auto"/>
        </w:rPr>
      </w:pPr>
      <w:r>
        <w:rPr>
          <w:rFonts w:ascii="Arial" w:cs="Arial" w:eastAsia="Arial" w:hAnsi="Arial"/>
          <w:sz w:val="18"/>
          <w:szCs w:val="18"/>
          <w:color w:val="auto"/>
        </w:rPr>
        <w:t>experts in the specific matter, current status of legal proceedings, settlement negotiations that may be ongoing, prior case history and other factors. If the judgments and estimates made by us are incorrect, we may need to record additional contingent losses that could materially adversely impact our results of operations.</w:t>
      </w:r>
    </w:p>
    <w:p>
      <w:pPr>
        <w:spacing w:after="0" w:line="200" w:lineRule="exact"/>
        <w:rPr>
          <w:sz w:val="20"/>
          <w:szCs w:val="20"/>
          <w:color w:val="auto"/>
        </w:rPr>
      </w:pPr>
    </w:p>
    <w:p>
      <w:pPr>
        <w:spacing w:after="0" w:line="34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240" w:top="706" w:right="4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Exposure</w:t>
      </w:r>
    </w:p>
    <w:p>
      <w:pPr>
        <w:spacing w:after="0" w:line="13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interest income and expense are sensitive to changes in the general level of interest rates. In this regard, changes in interest rates affect the interest earned on our marketable securities and short term investments, as well as the fair value of our investments and debt.</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the fiscal year ended October 28, 2017, we borrowed $2.5 billion of 3-year term loans and $2.5 billion of 5-year term loans as part of the financing for the acquisition of Linear Technology Corporation. As of November 3, 2018, we have paid $2.1 billion of principal on the 3-year unsecured term loan and</w:t>
      </w:r>
    </w:p>
    <w:p>
      <w:pPr>
        <w:ind w:right="100"/>
        <w:spacing w:after="0" w:line="254" w:lineRule="auto"/>
        <w:rPr>
          <w:sz w:val="20"/>
          <w:szCs w:val="20"/>
          <w:color w:val="auto"/>
        </w:rPr>
      </w:pPr>
      <w:r>
        <w:rPr>
          <w:rFonts w:ascii="Arial" w:cs="Arial" w:eastAsia="Arial" w:hAnsi="Arial"/>
          <w:sz w:val="18"/>
          <w:szCs w:val="18"/>
          <w:color w:val="auto"/>
        </w:rPr>
        <w:t>paid $1.2 billion of principal on the 5-year unsecured term loan. The term loans accrue interest at a floating rate, equal to the LIBOR rate corresponding with the tenor of the borrowing period plus the applicable spread (112.5 basis points for the 3-year term loan and 125 basis points for the 5-year term loan). Based on the $1.8 billion of floating rate debt outstanding as of November 3, 2018, of which $1 billion is hedged, our annual interest expense would change by approximately $7.8 million for each 100 basis point increase in interest rates.</w:t>
      </w:r>
    </w:p>
    <w:p>
      <w:pPr>
        <w:spacing w:after="0" w:line="95"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Based on our marketable securities and short-term investments outstanding as of November 3, 2018 and October 28, 2017, our annual interest income would change by approximately $8.2 million and $10.5 million, respectively, for each 100 basis point increase in interest rates.</w:t>
      </w:r>
    </w:p>
    <w:p>
      <w:pPr>
        <w:spacing w:after="0" w:line="5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To provide a meaningful assessment of the interest rate risk associated with our investment portfolio, we performed a sensitivity analysis to determine the impact a change in interest rates would have on the value of our investment portfolio assuming a 100 basis point parallel shift in the yield curve. Based on investment positions as of November 3, 2018 and October 28, 2017, a hypothetical 100 basis point increase in interest rates across all maturities would not materially impact the fair market value of the portfolio as of November 3, 2018 and would result in a $7.0 million decline in the fair market value of the portfolio as of October 28, 2017. Such losses would only be realized if we sold the investments prior to maturity.</w:t>
      </w:r>
    </w:p>
    <w:p>
      <w:pPr>
        <w:spacing w:after="0" w:line="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 of November 3, 2018, we had $4.6 billion in principal amount of senior unsecured notes outstanding, with a fair value of $4.5 billion. The fair value of our notes is subject to interest rate risk, market risk, and other factors. Generally, the fair value of our notes will increase as interest rates fall and decrease as interest rates rise. The fair values of our notes as of November 3, 2018 and October 28, 2017, assuming a hypothetical 100 basis point increase in market interest rates,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November 3, 2018</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October 28, 2017</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4"/>
              </w:rPr>
              <w:t>Fair Value given</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w w:val="94"/>
              </w:rPr>
              <w:t>Fair Value given an</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2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Principal Amount</w:t>
            </w:r>
          </w:p>
        </w:tc>
        <w:tc>
          <w:tcPr>
            <w:tcW w:w="138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an increase in</w:t>
            </w:r>
          </w:p>
        </w:tc>
        <w:tc>
          <w:tcPr>
            <w:tcW w:w="128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Principal Amount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2"/>
              </w:rPr>
              <w:t>increase in interest</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(thousands)</w:t>
            </w:r>
          </w:p>
        </w:tc>
        <w:tc>
          <w:tcPr>
            <w:tcW w:w="1320" w:type="dxa"/>
            <w:vAlign w:val="bottom"/>
            <w:gridSpan w:val="2"/>
            <w:vMerge w:val="continue"/>
          </w:tcPr>
          <w:p>
            <w:pPr>
              <w:spacing w:after="0"/>
              <w:rPr>
                <w:sz w:val="12"/>
                <w:szCs w:val="12"/>
                <w:color w:val="auto"/>
              </w:rPr>
            </w:pPr>
          </w:p>
        </w:tc>
        <w:tc>
          <w:tcPr>
            <w:tcW w:w="13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4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interest rates of</w:t>
            </w: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Fair Value</w:t>
            </w:r>
          </w:p>
        </w:tc>
        <w:tc>
          <w:tcPr>
            <w:tcW w:w="13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w w:val="96"/>
              </w:rPr>
              <w:t>rates of 100 basis</w:t>
            </w:r>
          </w:p>
        </w:tc>
        <w:tc>
          <w:tcPr>
            <w:tcW w:w="0" w:type="dxa"/>
            <w:vAlign w:val="bottom"/>
          </w:tcPr>
          <w:p>
            <w:pPr>
              <w:spacing w:after="0"/>
              <w:rPr>
                <w:sz w:val="1"/>
                <w:szCs w:val="1"/>
                <w:color w:val="auto"/>
              </w:rPr>
            </w:pPr>
          </w:p>
        </w:tc>
      </w:tr>
      <w:tr>
        <w:trPr>
          <w:trHeight w:val="192"/>
        </w:trPr>
        <w:tc>
          <w:tcPr>
            <w:tcW w:w="3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212"/>
              <w:spacing w:after="0"/>
              <w:rPr>
                <w:sz w:val="20"/>
                <w:szCs w:val="20"/>
                <w:color w:val="auto"/>
              </w:rPr>
            </w:pPr>
            <w:r>
              <w:rPr>
                <w:rFonts w:ascii="Arial" w:cs="Arial" w:eastAsia="Arial" w:hAnsi="Arial"/>
                <w:sz w:val="14"/>
                <w:szCs w:val="14"/>
                <w:b w:val="1"/>
                <w:bCs w:val="1"/>
                <w:color w:val="auto"/>
                <w:w w:val="99"/>
              </w:rPr>
              <w:t>Outstanding</w:t>
            </w:r>
          </w:p>
        </w:tc>
        <w:tc>
          <w:tcPr>
            <w:tcW w:w="1380" w:type="dxa"/>
            <w:vAlign w:val="bottom"/>
            <w:vMerge w:val="continue"/>
          </w:tcPr>
          <w:p>
            <w:pPr>
              <w:spacing w:after="0"/>
              <w:rPr>
                <w:sz w:val="16"/>
                <w:szCs w:val="16"/>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100 basis points</w:t>
            </w:r>
          </w:p>
        </w:tc>
        <w:tc>
          <w:tcPr>
            <w:tcW w:w="180" w:type="dxa"/>
            <w:vAlign w:val="bottom"/>
          </w:tcPr>
          <w:p>
            <w:pPr>
              <w:spacing w:after="0"/>
              <w:rPr>
                <w:sz w:val="16"/>
                <w:szCs w:val="16"/>
                <w:color w:val="auto"/>
              </w:rPr>
            </w:pPr>
          </w:p>
        </w:tc>
        <w:tc>
          <w:tcPr>
            <w:tcW w:w="110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Outstanding</w:t>
            </w: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b w:val="1"/>
                <w:bCs w:val="1"/>
                <w:color w:val="auto"/>
              </w:rPr>
              <w:t>points</w:t>
            </w: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 Notes, due March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300,000</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298,147</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294,237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2021</w:t>
            </w:r>
          </w:p>
        </w:tc>
        <w:tc>
          <w:tcPr>
            <w:tcW w:w="2920" w:type="dxa"/>
            <w:vAlign w:val="bottom"/>
          </w:tcPr>
          <w:p>
            <w:pPr>
              <w:ind w:left="20"/>
              <w:spacing w:after="0"/>
              <w:rPr>
                <w:sz w:val="20"/>
                <w:szCs w:val="20"/>
                <w:color w:val="auto"/>
              </w:rPr>
            </w:pPr>
            <w:r>
              <w:rPr>
                <w:rFonts w:ascii="Arial" w:cs="Arial" w:eastAsia="Arial" w:hAnsi="Arial"/>
                <w:sz w:val="18"/>
                <w:szCs w:val="18"/>
                <w:color w:val="auto"/>
              </w:rPr>
              <w:t>Notes, due January 2021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450,000</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444,568</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435,334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400,000</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386,375</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400,000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399,530</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384,374</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2023</w:t>
            </w:r>
          </w:p>
        </w:tc>
        <w:tc>
          <w:tcPr>
            <w:tcW w:w="2920" w:type="dxa"/>
            <w:vAlign w:val="bottom"/>
          </w:tcPr>
          <w:p>
            <w:pPr>
              <w:ind w:left="20"/>
              <w:spacing w:after="0"/>
              <w:rPr>
                <w:sz w:val="20"/>
                <w:szCs w:val="20"/>
                <w:color w:val="auto"/>
              </w:rPr>
            </w:pPr>
            <w:r>
              <w:rPr>
                <w:rFonts w:ascii="Arial" w:cs="Arial" w:eastAsia="Arial" w:hAnsi="Arial"/>
                <w:sz w:val="18"/>
                <w:szCs w:val="18"/>
                <w:color w:val="auto"/>
              </w:rPr>
              <w:t>Notes, due June 2023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500,000</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479,189</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459,377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498,582</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473,727</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2023</w:t>
            </w:r>
          </w:p>
        </w:tc>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550,000</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529,120</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505,176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550,000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554,411</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524,718</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2025</w:t>
            </w:r>
          </w:p>
        </w:tc>
        <w:tc>
          <w:tcPr>
            <w:tcW w:w="2920" w:type="dxa"/>
            <w:vAlign w:val="bottom"/>
          </w:tcPr>
          <w:p>
            <w:pPr>
              <w:ind w:left="20"/>
              <w:spacing w:after="0"/>
              <w:rPr>
                <w:sz w:val="20"/>
                <w:szCs w:val="20"/>
                <w:color w:val="auto"/>
              </w:rPr>
            </w:pPr>
            <w:r>
              <w:rPr>
                <w:rFonts w:ascii="Arial" w:cs="Arial" w:eastAsia="Arial" w:hAnsi="Arial"/>
                <w:sz w:val="18"/>
                <w:szCs w:val="18"/>
                <w:color w:val="auto"/>
              </w:rPr>
              <w:t>Notes, due December 2025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850,000</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829,611</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780,432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850,000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884,861</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825,700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2026</w:t>
            </w:r>
          </w:p>
        </w:tc>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900,000</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848,027</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791,549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900,000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902,769</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835,891</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2036</w:t>
            </w:r>
          </w:p>
        </w:tc>
        <w:tc>
          <w:tcPr>
            <w:tcW w:w="2920" w:type="dxa"/>
            <w:vAlign w:val="bottom"/>
          </w:tcPr>
          <w:p>
            <w:pPr>
              <w:ind w:left="20"/>
              <w:spacing w:after="0"/>
              <w:rPr>
                <w:sz w:val="20"/>
                <w:szCs w:val="20"/>
                <w:color w:val="auto"/>
              </w:rPr>
            </w:pPr>
            <w:r>
              <w:rPr>
                <w:rFonts w:ascii="Arial" w:cs="Arial" w:eastAsia="Arial" w:hAnsi="Arial"/>
                <w:sz w:val="18"/>
                <w:szCs w:val="18"/>
                <w:color w:val="auto"/>
              </w:rPr>
              <w:t>Notes, due December 2036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250,000</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232,627</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206,716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250,000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259,442</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228,671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2045</w:t>
            </w: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December 2045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400,000</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407,984</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354,806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460,588</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396,506</w:t>
            </w:r>
          </w:p>
        </w:tc>
        <w:tc>
          <w:tcPr>
            <w:tcW w:w="0" w:type="dxa"/>
            <w:vAlign w:val="bottom"/>
          </w:tcPr>
          <w:p>
            <w:pPr>
              <w:spacing w:after="0"/>
              <w:rPr>
                <w:sz w:val="1"/>
                <w:szCs w:val="1"/>
                <w:color w:val="auto"/>
              </w:rPr>
            </w:pPr>
          </w:p>
        </w:tc>
      </w:tr>
      <w:tr>
        <w:trPr>
          <w:trHeight w:val="27"/>
        </w:trPr>
        <w:tc>
          <w:tcPr>
            <w:tcW w:w="42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Foreign Currency Exposure</w:t>
      </w:r>
    </w:p>
    <w:p>
      <w:pPr>
        <w:spacing w:after="0" w:line="131"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 xml:space="preserve">As more fully described in Note 2i, </w:t>
      </w:r>
      <w:r>
        <w:rPr>
          <w:rFonts w:ascii="Arial" w:cs="Arial" w:eastAsia="Arial" w:hAnsi="Arial"/>
          <w:sz w:val="18"/>
          <w:szCs w:val="18"/>
          <w:i w:val="1"/>
          <w:iCs w:val="1"/>
          <w:color w:val="auto"/>
        </w:rPr>
        <w:t>Derivative and Hedging Agreements,</w:t>
      </w:r>
      <w:r>
        <w:rPr>
          <w:rFonts w:ascii="Arial" w:cs="Arial" w:eastAsia="Arial" w:hAnsi="Arial"/>
          <w:sz w:val="18"/>
          <w:szCs w:val="18"/>
          <w:color w:val="auto"/>
        </w:rPr>
        <w:t xml:space="preserve"> in the Notes to Consolidated Financial Statements contained in Item 8 of this Annual Report on Form 10-K, we regularly hedge our non-U.S. dollar-based exposures by entering into forward foreign currency exchange contracts. The terms of these contracts are for periods matching the duration of the underlying exposure and generally range from one to twelve months. Currently, our largest foreign currency exposure is the Euro, primarily because our European operations have the highest proportion of our local currency denominated expenses. Relative to foreign currency exposures existing at November 3, 2018 and October 28, 2017, a 10% unfavorable movement in foreign currency exchange rates over the course of the year would result in approximately $14.1 million of losses and $10.1 million of losses, respectively, in changes in earnings or cash flows.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4" w:name="page45"/>
    <w:bookmarkEnd w:id="44"/>
    <w:p>
      <w:pPr>
        <w:ind w:right="140" w:firstLine="432"/>
        <w:spacing w:after="0" w:line="272" w:lineRule="auto"/>
        <w:rPr>
          <w:sz w:val="20"/>
          <w:szCs w:val="20"/>
          <w:color w:val="auto"/>
        </w:rPr>
      </w:pPr>
      <w:r>
        <w:rPr>
          <w:rFonts w:ascii="Arial" w:cs="Arial" w:eastAsia="Arial" w:hAnsi="Arial"/>
          <w:sz w:val="17"/>
          <w:szCs w:val="17"/>
          <w:color w:val="auto"/>
        </w:rPr>
        <w:t>The market risk associated with our derivative instruments results from currency exchange rates that are expected to offset the market risk of the underlying transactions, assets and liabilities being hedged. The counterparties to the agreements relating to our foreign exchange instruments consist of a number of major international financial institutions with high credit ratings. Based on the credit ratings of our counterparties as of November 3, 2018, we do not believe that there is significant risk of nonperformance by them. While the contract or notional amounts of derivative financial instruments provide one measure of the volume of these transactions, they do not represent the amount of our exposure to credit risk. The amounts potentially subject to credit risk (arising from the possible inability of counterparties to meet the terms of their contracts) are generally limited to the amounts, if any, by which the counterparties’ obligations under the contracts exceed our obligations to the counterparties.</w:t>
      </w:r>
    </w:p>
    <w:p>
      <w:pPr>
        <w:spacing w:after="0" w:line="8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illustrates the effect that a 10% unfavorable or favorable movement in foreign currency exchange rates, relative to the U.S. dollar, would have on the fair value of our forward exchange contracts as of November 3, 2018 and October 28,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3, 2018</w:t>
            </w:r>
          </w:p>
        </w:tc>
        <w:tc>
          <w:tcPr>
            <w:tcW w:w="180" w:type="dxa"/>
            <w:vAlign w:val="bottom"/>
          </w:tcPr>
          <w:p>
            <w:pPr>
              <w:spacing w:after="0"/>
              <w:rPr>
                <w:sz w:val="16"/>
                <w:szCs w:val="16"/>
                <w:color w:val="auto"/>
              </w:rPr>
            </w:pPr>
          </w:p>
        </w:tc>
        <w:tc>
          <w:tcPr>
            <w:tcW w:w="13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October 28,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forward exchange contracts liability</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2"/>
              </w:rPr>
              <w:t>Fair value of forward exchange contracts after a 10% unfavorable movement in foreign currency exchange rates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asset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13,591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18,557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Fair value of forward exchange contracts after a 10% favorable movement in foreign currency exchange rates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(20,415)</w:t>
            </w:r>
          </w:p>
        </w:tc>
      </w:tr>
      <w:tr>
        <w:trPr>
          <w:trHeight w:val="27"/>
        </w:trPr>
        <w:tc>
          <w:tcPr>
            <w:tcW w:w="8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0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Analog Devices, Inc. (the Company) as of November 3, 2018 and October 28, 2017, the related consolidated statements of income, comprehensive income, shareholders' equity and cash flows for each of the three years in the period ended November 3, 2018,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November 3, 2018 and October 28, 2017, and the results of its operations and its cash flows for each of the three years in the period ended November 3, 2018, in conformity with U.S. generally accepted accounting principles.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November 3, 2018, based on criteria established in Internal Control-Integrated Framework issued by the Committee of Sponsoring Organizations of the Treadway Commission (2013 framework), and our report dated November 27,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918" w:right="239" w:bottom="1440" w:gutter="0" w:footer="0" w:header="0"/>
        </w:sectPr>
      </w:pPr>
    </w:p>
    <w:bookmarkStart w:id="46" w:name="page47"/>
    <w:bookmarkEnd w:id="46"/>
    <w:p>
      <w:pPr>
        <w:spacing w:after="0"/>
        <w:tabs>
          <w:tab w:leader="none" w:pos="10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36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3, 2018, October 28, 2017 and October 29,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6,200,942</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5,107,503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3,421,409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Cost of sales(1)</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1,967,640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2,045,907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1,194,236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4,233,302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3,061,596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2,227,173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1,165,410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968,602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653,816</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Selling, marketing, general and administrative(1)</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695,937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691,046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461,438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428,902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70,123</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Special charges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61,318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49,463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13,684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2,351,567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2,006,462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1,199,061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Operating income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1,881,735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1,055,134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1,028,112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Nonoperating (income)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253,589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250,840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88,757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(21,221)</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Other,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6,142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3,655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243,218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71,191</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1,638,517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956,921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143,085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101,226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95,257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1,495,432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727,259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861,664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used to compute earnings per common share — 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370,430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308,736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Shares used to compute earnings per common share — Diluted</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374,938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350,484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312,308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Basic earnings per common share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Dividends declared and paid per share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 Includes stock-based compensation expense as follows: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Cost of sales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18,733</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12,569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7,808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81,444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27,039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Selling, marketing, general and administrative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50,988</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40,361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28,574</w:t>
            </w: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7" w:name="page48"/>
    <w:bookmarkEnd w:id="47"/>
    <w:p>
      <w:pPr>
        <w:ind w:left="628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3, 2018, October 28, 2017 and October 29, 2016</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727,259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861,664</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6"/>
              </w:rPr>
              <w:t>Foreign currency translation adjustment (net of taxes of $0 in 2018, $1,556 in 2017 and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$1,175 in 2016)</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unrecognized gains/losses on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6"/>
              </w:rPr>
              <w:t>Change in fair value of available-for-sale securities (net of taxes of $0 in 2018, $35 in</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2017 and $56 in 2016)</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unrealized gains/losses on marketable securities,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w:t>
            </w: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w w:val="95"/>
              </w:rPr>
              <w:t>Change in unrecognized gains/losses on derivative instruments designated as cash flow</w:t>
            </w: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hedges: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Changes in fair value of derivatives (net of taxes of $416 in 2018, $920 in 2017 and $903</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2016)</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4"/>
              </w:rPr>
              <w:t>Adjustment for realized gain/loss reclassified into earnings (net of taxes of $94 in 2018,</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$1,326 in 2017 and $1,050 in 2016)</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3,437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derivative instruments designated as cash flow hedges,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Changes in accumulated other comprehensive loss — pension plans: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Change in transition asset (net of taxes of $0 in 2018, $1 in 2017 and $3 in 2016)</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2"/>
              </w:rPr>
              <w:t>Change in actuarial loss/gain (net of taxes of $2,363 in 2018, $355 in 2017 and $3,297</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in 2016)</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12,616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(16,730)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Change in prior service cost/income (net of taxes of $0 in 2018, $61 in 2017 and $47 in</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change in accumulated other comprehensive loss — pension plans, net of tax</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(22,963)</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1,498,351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739,714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838,701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8" w:name="page49"/>
    <w:bookmarkEnd w:id="48"/>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 2018 and October 28,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816,591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1,047,838</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receivable less allowances of $2,284 ($7,213 in 2017)</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639,717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688,953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Inventories(1)</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586,760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550,816</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Prepaid income tax</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3,196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3,522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65,862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60,209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current assets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2,112,126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2,351,338</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 at Cost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Land and buildings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873,186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794,456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Machinery and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2,478,032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2,368,215</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Office equipment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76,233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66,493</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Leasehold improvements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100,374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75,263</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3,527,825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3,304,427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accumulated depreciation and amortization</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2,373,497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2,197,123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property, plant and equipment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1,154,328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1,107,304</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compensation plan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39,853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32,572</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28,730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24,838</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12,252,604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12,217,455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 assets,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4,778,192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5,319,425</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tax assets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21,078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32,322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62,868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56,040</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other assets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17,183,325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17,682,652</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20,449,779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21,141,294</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SHAREHOLDERS’ EQUITY</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260,919</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236,629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on shipments to distributors,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487,417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473,972</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93,722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86,905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current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67,000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497,080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498,826</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current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1,406,138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1,596,332</w:t>
            </w:r>
          </w:p>
        </w:tc>
        <w:tc>
          <w:tcPr>
            <w:tcW w:w="0" w:type="dxa"/>
            <w:vAlign w:val="bottom"/>
          </w:tcPr>
          <w:p>
            <w:pPr>
              <w:spacing w:after="0"/>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debt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6,265,674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7,551,084</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927,065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1,674,683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39,846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32,572</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710,179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49,583</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non-current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112,337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75,500</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non-current liabilities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8,055,101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9,383,422</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Commitments and contingencies (Note 10)</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Shareholders’ Equity</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471,934 shares authorized, none outstanding</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w w:val="94"/>
              </w:rPr>
              <w:t>Common stock, $0.16 2/3 par value, 1,200,000,000 shares authorized, 370,159,553 shares outstanding (368,635,788 on October 28, 2017)</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61,694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61,441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5,282,222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5,250,519</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5,703,064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4,910,939</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(58,440)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(61,359)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shareholders’ equity</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10,988,540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10,161,540</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20,449,779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21,141,294</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780" w:right="2240" w:hanging="4745"/>
        <w:spacing w:after="0" w:line="356" w:lineRule="auto"/>
        <w:tabs>
          <w:tab w:leader="none" w:pos="3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$7,128 and $5,373 related to stock-based compensation at November 3, 2018 and October 28, 2017, respectively. See accompanying Notes.</w:t>
      </w:r>
    </w:p>
    <w:p>
      <w:pPr>
        <w:sectPr>
          <w:pgSz w:w="11900" w:h="16838" w:orient="portrait"/>
          <w:cols w:equalWidth="0" w:num="1">
            <w:col w:w="11420"/>
          </w:cols>
          <w:pgMar w:left="240" w:top="580" w:right="239" w:bottom="109"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580" w:right="239" w:bottom="109" w:gutter="0" w:footer="0" w:header="0"/>
          <w:type w:val="continuous"/>
        </w:sectPr>
      </w:pPr>
    </w:p>
    <w:bookmarkStart w:id="49" w:name="page50"/>
    <w:bookmarkEnd w:id="49"/>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3, 2018, October 28, 2017 and October 29, 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 in</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Excess of</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(thousands)</w:t>
            </w: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Par Value</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22"/>
                <w:szCs w:val="22"/>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OCTOBER 31, 2015</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312,061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634,484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4,437,315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(50,851)</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Activity in Fiscal 2016</w:t>
            </w: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2016</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861,664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Dividends declared and paid</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Tax benefit — equity based awards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12,282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(22,963)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(368,959)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OCTOBER 29, 2016</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308,171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51,363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402,270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4,785,799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(73,814)</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Activity in Fiscal 2017</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 — 2017</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727,259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132,439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stock in connection with Acquisition</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55,884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4,584,341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Tax benefit — equity based awards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40,189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40"/>
              <w:spacing w:after="0"/>
              <w:rPr>
                <w:sz w:val="20"/>
                <w:szCs w:val="20"/>
                <w:color w:val="auto"/>
              </w:rPr>
            </w:pPr>
            <w:r>
              <w:rPr>
                <w:rFonts w:ascii="Arial" w:cs="Arial" w:eastAsia="Arial" w:hAnsi="Arial"/>
                <w:sz w:val="18"/>
                <w:szCs w:val="18"/>
                <w:color w:val="auto"/>
              </w:rPr>
              <w:t>Replacement share-based awards issued in connection with</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33,530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(46,438)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OCTOBER 28, 2017</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368,636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5,250,519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4,910,939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(61,359)</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Activity in Fiscal 2018</w:t>
            </w: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2018</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1,495,432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Dividends declared and paid</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(703,307)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Tax benefit — equity based awards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7,741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NOVEMBER 3, 2018</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370,160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61,694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5,282,222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5,703,064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(58,440)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3, 2018, October 28, 2017 and October 29,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1,495,432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727,259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861,664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228,525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134,540</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Amortization of intangibles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570,538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389,393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75,250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goods sold for inventory acquired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358,718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151,165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104,188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63,421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3,290</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Other non-cash activity</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36,569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24,570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(825,869)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Change in operating assets and liabilities: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(9,392)</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(34,636)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(47,354)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38,221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(5,618)</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Deferred compensation plan investments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(2,399)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(4,315)</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Accounts payable, deferred income and accrued liabilities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192,249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85,502</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compensation plan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2,399</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119,618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9,950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696,108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6,141</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adjustments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946,929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427,106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429,684</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2,442,361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1,154,365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1,291,348</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Purchases of short-term available-for-sale investments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(705,485)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(7,697,260)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Maturities of short-term available-for-sale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3,362,792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6,375,361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Sales of short-term available-for-sale investments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577,187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332,716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Additions to 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(204,098)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(127,397)</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Payments for acquisitions, net of cash acquired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(52,839)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(9,632,568)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(83,170)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(18,520)</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(313,998)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(6,618,014)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(1,218,270)</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743,778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11,156,164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1,235,331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Debt repayments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(2,275,000)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(5,050,000)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Early termination of debt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(378,156)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Proceeds from (payments of) derivative instruments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(33,430)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deferred financing fees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(26,583)</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Dividend payments to shareholders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(703,307)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(602,119)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(513,180)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(225,977)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(370,061)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Proceeds from employee stock plans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99,027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133,302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61,496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Contingent consideration payment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Change in other financing activities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6,327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(7,378)</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(2,358,042)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5,586,805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(33,370)</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3,550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(2,929)</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(decrease) increase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(231,247)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36,779</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1,047,838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921,132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884,353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816,591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1,047,838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921,132</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80" w:right="239" w:bottom="717"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580" w:right="239" w:bottom="717" w:gutter="0" w:footer="0" w:header="0"/>
          <w:type w:val="continuous"/>
        </w:sectPr>
      </w:pPr>
    </w:p>
    <w:bookmarkStart w:id="51" w:name="page52"/>
    <w:bookmarkEnd w:id="51"/>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November 3, 2018, October 28, 2017 and October 29,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(all tabular amounts in thousands except per share amounts)</w:t>
      </w:r>
    </w:p>
    <w:p>
      <w:pPr>
        <w:spacing w:after="0" w:line="20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35" w:lineRule="exact"/>
        <w:rPr>
          <w:sz w:val="20"/>
          <w:szCs w:val="20"/>
          <w:color w:val="auto"/>
        </w:rPr>
      </w:pPr>
    </w:p>
    <w:p>
      <w:pPr>
        <w:ind w:right="320" w:firstLine="392"/>
        <w:spacing w:after="0" w:line="297" w:lineRule="auto"/>
        <w:rPr>
          <w:sz w:val="20"/>
          <w:szCs w:val="20"/>
          <w:color w:val="auto"/>
        </w:rPr>
      </w:pPr>
      <w:r>
        <w:rPr>
          <w:rFonts w:ascii="Arial" w:cs="Arial" w:eastAsia="Arial" w:hAnsi="Arial"/>
          <w:sz w:val="16"/>
          <w:szCs w:val="16"/>
          <w:color w:val="auto"/>
        </w:rPr>
        <w:t>Analog Devices, Inc. (Analog Devices or the Company) is a leading global high-performance analog technology company. Since the Company's inception in 1965, it has focused on solving its customers’ toughest signal processing engineering challenges and playing a fundamental role in efficiently converting, conditioning, and processing real-world phenomena such as temperature, pressure, sound, light, speed, and motion into electrical signals to be used in a wide array of electronic applications. The Company produces innovative products and technologies that accurately and securely sense, measure, connect, interpret and power, allowing its customers to intelligently bridge the physical and digital domains.</w:t>
      </w:r>
    </w:p>
    <w:p>
      <w:pPr>
        <w:spacing w:after="0" w:line="64" w:lineRule="exact"/>
        <w:rPr>
          <w:sz w:val="20"/>
          <w:szCs w:val="20"/>
          <w:color w:val="auto"/>
        </w:rPr>
      </w:pPr>
    </w:p>
    <w:p>
      <w:pPr>
        <w:ind w:right="120" w:firstLine="392"/>
        <w:spacing w:after="0" w:line="273" w:lineRule="auto"/>
        <w:rPr>
          <w:sz w:val="20"/>
          <w:szCs w:val="20"/>
          <w:color w:val="auto"/>
        </w:rPr>
      </w:pPr>
      <w:r>
        <w:rPr>
          <w:rFonts w:ascii="Arial" w:cs="Arial" w:eastAsia="Arial" w:hAnsi="Arial"/>
          <w:sz w:val="17"/>
          <w:szCs w:val="17"/>
          <w:color w:val="auto"/>
        </w:rPr>
        <w:t>The Company designs, manufactures, and markets a broad portfolio of solutions, including integrated circuits (ICs), algorithms, software, and subsystems, that leverage high-performance analog, mixed-signal, and digital signal processing technologies. The Company's fusion of cutting-edge sensors, data converters, amplifiers and linear products, radio frequency (RF) ICs, power management products, and other signal processing products with deep industry expertise allows it to create robust technology platforms that meet a broad spectrum of customer and market needs. As new generations of applications evolve - such as autonomous vehicles, 5G networks, intelligent factories, and smart healthcare devices - the demand for Analog Devices’ high-performance analog signal processing and digital signal processing (DSP) products and technologies is increasing.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2" w:lineRule="exact"/>
        <w:rPr>
          <w:sz w:val="20"/>
          <w:szCs w:val="20"/>
          <w:color w:val="auto"/>
        </w:rPr>
      </w:pPr>
    </w:p>
    <w:p>
      <w:pPr>
        <w:ind w:left="800" w:hanging="468"/>
        <w:spacing w:after="0"/>
        <w:tabs>
          <w:tab w:leader="none" w:pos="80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The consolidated financial statements include the accounts of the Company and all of its subsidiaries. Upon consolidation, all intercompany accounts and transactions are eliminated. Certain amounts reported in previous years have been reclassified to conform to the presentation for the fiscal year ended November 3, 2018 (fiscal 2018). In March 2016, the Financial Accounting Standards Board (FASB) issued Accounting Standards Update (ASU) 2016-09, </w:t>
      </w:r>
      <w:r>
        <w:rPr>
          <w:rFonts w:ascii="Arial" w:cs="Arial" w:eastAsia="Arial" w:hAnsi="Arial"/>
          <w:sz w:val="17"/>
          <w:szCs w:val="17"/>
          <w:i w:val="1"/>
          <w:iCs w:val="1"/>
          <w:color w:val="auto"/>
        </w:rPr>
        <w:t xml:space="preserve">Compensation - Stock Compensation (Topic 718): Improvements to Employee Share-Based Payment Accounting </w:t>
      </w:r>
      <w:r>
        <w:rPr>
          <w:rFonts w:ascii="Arial" w:cs="Arial" w:eastAsia="Arial" w:hAnsi="Arial"/>
          <w:sz w:val="17"/>
          <w:szCs w:val="17"/>
          <w:color w:val="auto"/>
        </w:rPr>
        <w:t>(ASU 2016-09). As a result of the adoption</w:t>
      </w:r>
      <w:r>
        <w:rPr>
          <w:rFonts w:ascii="Arial" w:cs="Arial" w:eastAsia="Arial" w:hAnsi="Arial"/>
          <w:sz w:val="17"/>
          <w:szCs w:val="17"/>
          <w:i w:val="1"/>
          <w:iCs w:val="1"/>
          <w:color w:val="auto"/>
        </w:rPr>
        <w:t xml:space="preserve"> </w:t>
      </w:r>
      <w:r>
        <w:rPr>
          <w:rFonts w:ascii="Arial" w:cs="Arial" w:eastAsia="Arial" w:hAnsi="Arial"/>
          <w:sz w:val="17"/>
          <w:szCs w:val="17"/>
          <w:color w:val="auto"/>
        </w:rPr>
        <w:t>of ASU 2016-09 in the first quarter of fiscal 2018, excess tax benefits from share-based payments are presented within operating activities in the Consolidated Statements of Cash Flows. The Company applied this change in presentation retrospectively and has adjusted prior year presentation by removing the reclass of $41.8 million and $10.5 million of excess tax benefit-equity based awards from net cash provided by operating activities to net cash provided by financing activities in the fiscal year ended October 28, 2017 (fiscal 2017) and in the fiscal year ended October 29, 2016 (fiscal 2016), respectively. All other reclassified amounts are immaterial.</w:t>
      </w:r>
    </w:p>
    <w:p>
      <w:pPr>
        <w:spacing w:after="0" w:line="8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Company’s fiscal year is the 52-week or 53-week period ending on the Saturday closest to the last day in October. Fiscal 2018 is a 53-week fiscal year. Fiscal 2017 and fiscal 2016 were 52-week periods. The additional week in fiscal 2018 was included in the first quarter ended February 3, 2018. Therefore, fiscal 2018 included an additional week of operations as compared to fiscal 2017 and fiscal 2016.</w:t>
      </w:r>
    </w:p>
    <w:p>
      <w:pPr>
        <w:spacing w:after="0" w:line="8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On March 10, 2017 (Acquisition Date), the Company completed the acquisition of all of the voting interests of Linear Technology Corporation (Linear), an independent manufacturer of high performance analog integrated circuits. The total consideration paid to acquire Linear was approximately $15.8 billion, consisting of $11.1 billion in cash financed through existing cash on hand, net proceeds from bridge and term loan facilities and proceeds received from the issuance of senior unsecured notes, $4.6 billion from the issuance of the Company's common stock and $0.1 billion of consideration related to the replacement of outstanding equity awards held by Linear employees. The acquisition of Linear is referred to as the Acquisition. The consolidated financial statements included in this Annual Report on Form 10-K include the financial results of Linear prospectively from the Acquisition Date.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Acquisitions</w:t>
      </w:r>
      <w:r>
        <w:rPr>
          <w:rFonts w:ascii="Arial" w:cs="Arial" w:eastAsia="Arial" w:hAnsi="Arial"/>
          <w:sz w:val="18"/>
          <w:szCs w:val="18"/>
          <w:color w:val="auto"/>
        </w:rPr>
        <w:t>, of these notes to Consolidated Financial Statements for further discussion related to the Acquisition.</w:t>
      </w:r>
    </w:p>
    <w:p>
      <w:pPr>
        <w:spacing w:after="0" w:line="13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Cash Equivalents and Short-term Investments</w:t>
      </w:r>
    </w:p>
    <w:p>
      <w:pPr>
        <w:spacing w:after="0" w:line="13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Cash and cash equivalents are highly liquid investments with insignificant interest rate risk and maturities of ninety days or less at the time of acquisition. Cash, cash equivalents and short-term investments consist primarily of government and institutional money market funds, corporate obligations such as commercial paper and floating rate notes, bonds and bank time deposits.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Company classifies its investments in readily marketable debt and equity securities as “held-to-maturity,” “available-for-sale” or “trading” at the time of purchase. There were no transfers between investment classifications in any of the fiscal years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cash equivalents and short-term investments are classified as available-for-sale. Available-for-sale securities are carried at fair value with unrealized gains and losses, net of related tax, reported in accumulated other comprehensive (loss) income. Adjustments to the fair value of investments classified as available-for-sale are recorded as an increase or decrease in accumulated other comprehensive (loss) income, unless the adjustment is considered an other-than-temporary impairment, in which case the adjustment is recorded as a charge in the statement of income.</w:t>
      </w:r>
    </w:p>
    <w:p>
      <w:pPr>
        <w:spacing w:after="0" w:line="84"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 xml:space="preserve">The Company’s deferred compensation plan investments are classified as trading. See Note 2j,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Retirement Plans,</w:t>
      </w:r>
      <w:r>
        <w:rPr>
          <w:rFonts w:ascii="Arial" w:cs="Arial" w:eastAsia="Arial" w:hAnsi="Arial"/>
          <w:sz w:val="18"/>
          <w:szCs w:val="18"/>
          <w:color w:val="auto"/>
        </w:rPr>
        <w:t xml:space="preserve"> of these Notes to Consolidated Financial Statements for additional information on these investments. There were no cash equivalents or short-term investments classified as trading at November 3, 2018 or October 28, 2017.</w:t>
      </w:r>
    </w:p>
    <w:p>
      <w:pPr>
        <w:spacing w:after="0" w:line="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 periodically evaluates its investments for impairment. There were no other-than-temporary impairments of short-term investments in any of the fiscal years presented.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(income)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net realized gains or losses from the sales of available-for-sale investments during any of the fiscal periods presented.</w:t>
      </w:r>
    </w:p>
    <w:p>
      <w:pPr>
        <w:spacing w:after="0" w:line="15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of November 3, 2018, the Company held 15 investment securities, 15 of which were in an unrealized loss position with immaterial gross unrealized losses and an aggregate fair value of $205.0 million. As of October 28, 2017, the Company held 18 investment securities, 8 of which were in an unrealized loss position with immaterial gross unrealized losses and an aggregate fair value of $143.9 million. These unrealized losses were primarily related to corporate obligations that earn lower interest rates than current market rates. None of these investments have been in a loss position for more than twelve months. As the Company does not intend to sell these investments and it is unlikely that the Company will be required to sell the investments before recovery of their amortized basis, which will be at maturity, the Company does not consider those investments to be other-than-temporarily impaired at November 3, 2018 and October 28, 2017.</w:t>
      </w:r>
    </w:p>
    <w:p>
      <w:pPr>
        <w:spacing w:after="0" w:line="9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components of the Company’s cash and cash equivalents and short-term investments as of November 3, 2018 and October 28, 2017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Cash</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147,629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226,160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598,962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751,678</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Held-to-maturity</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70,000</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816,591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1,047,838</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 xml:space="preserve">See Note 2j,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of these Notes to Consolidated Financial Statements for additional information on the Company’s cash equivalents and short-term investments.</w:t>
      </w:r>
    </w:p>
    <w:p>
      <w:pPr>
        <w:spacing w:after="0" w:line="7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Supplemental Cash Flow Statement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fiscal year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211,473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868,492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77,918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233,436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183,117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41,701</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Inventories are valued at the lower of cost (first-in, first-out method) or market.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 inventory at its net realizable value is based on the age of the inventory and lower of cost or market calculations, a key factor in estimating obsolete or excess inventory requires the Company to estimate the future demand for its products. If actual demand is less than the Company’s estimates, impairment charges, which are recorded to cost of sales, may need to be recorded in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1" w:right="2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future periods. Inventory in excess of saleable amounts is not valued, and the remaining inventory is valued at the lower of cost or market.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at November 3, 2018 and October 28, 2017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35,436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375,908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376,476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180,341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138,904</w:t>
            </w:r>
          </w:p>
        </w:tc>
      </w:tr>
      <w:tr>
        <w:trPr>
          <w:trHeight w:val="257"/>
        </w:trPr>
        <w:tc>
          <w:tcPr>
            <w:tcW w:w="832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586,760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550,816</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w:t>
      </w:r>
    </w:p>
    <w:p>
      <w:pPr>
        <w:spacing w:after="0" w:line="13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Property, plant and equipment is recorded at cost, less allowances for depreciation. The straight-line method of depreciation is used for all classes of assets for financial statement purposes while both straight-line and accelerated methods are used for income tax purposes. Leasehold improvements are depreciated over the lesser of the term of the lease or the useful life of the asset. Repairs and maintenance charges are expensed as incurred. Depreciation is based on the following ranges of estimated useful lives: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620" w:type="dxa"/>
            <w:vAlign w:val="bottom"/>
            <w:shd w:val="clear" w:color="auto" w:fill="CCEEFF"/>
          </w:tcPr>
          <w:p>
            <w:pPr>
              <w:ind w:left="3940"/>
              <w:spacing w:after="0"/>
              <w:rPr>
                <w:sz w:val="20"/>
                <w:szCs w:val="20"/>
                <w:color w:val="auto"/>
              </w:rPr>
            </w:pPr>
            <w:r>
              <w:rPr>
                <w:rFonts w:ascii="Arial" w:cs="Arial" w:eastAsia="Arial" w:hAnsi="Arial"/>
                <w:sz w:val="18"/>
                <w:szCs w:val="18"/>
                <w:color w:val="auto"/>
              </w:rPr>
              <w:t>Up to 30 years</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Machinery &amp; equipment</w:t>
            </w:r>
          </w:p>
        </w:tc>
        <w:tc>
          <w:tcPr>
            <w:tcW w:w="5620" w:type="dxa"/>
            <w:vAlign w:val="bottom"/>
          </w:tcPr>
          <w:p>
            <w:pPr>
              <w:ind w:left="3940"/>
              <w:spacing w:after="0"/>
              <w:rPr>
                <w:sz w:val="20"/>
                <w:szCs w:val="20"/>
                <w:color w:val="auto"/>
              </w:rPr>
            </w:pPr>
            <w:r>
              <w:rPr>
                <w:rFonts w:ascii="Arial" w:cs="Arial" w:eastAsia="Arial" w:hAnsi="Arial"/>
                <w:sz w:val="18"/>
                <w:szCs w:val="18"/>
                <w:color w:val="auto"/>
              </w:rPr>
              <w:t>3-10 years</w:t>
            </w:r>
          </w:p>
        </w:tc>
      </w:tr>
      <w:tr>
        <w:trPr>
          <w:trHeight w:val="27"/>
        </w:trPr>
        <w:tc>
          <w:tcPr>
            <w:tcW w:w="578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equipment</w:t>
            </w:r>
          </w:p>
        </w:tc>
        <w:tc>
          <w:tcPr>
            <w:tcW w:w="562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8"/>
                <w:szCs w:val="18"/>
                <w:color w:val="auto"/>
              </w:rPr>
              <w:t>3-10 years</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620" w:type="dxa"/>
            <w:vAlign w:val="bottom"/>
          </w:tcPr>
          <w:p>
            <w:pPr>
              <w:ind w:left="3940"/>
              <w:spacing w:after="0"/>
              <w:rPr>
                <w:sz w:val="20"/>
                <w:szCs w:val="20"/>
                <w:color w:val="auto"/>
              </w:rPr>
            </w:pPr>
            <w:r>
              <w:rPr>
                <w:rFonts w:ascii="Arial" w:cs="Arial" w:eastAsia="Arial" w:hAnsi="Arial"/>
                <w:sz w:val="18"/>
                <w:szCs w:val="18"/>
                <w:color w:val="auto"/>
              </w:rPr>
              <w:t>7-20 years</w:t>
            </w:r>
          </w:p>
        </w:tc>
      </w:tr>
    </w:tbl>
    <w:p>
      <w:pPr>
        <w:spacing w:after="0" w:line="134"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Depreciation expense for property, plant and equipment was $228.5 million, $194.7 million and $134.5 million in fiscal 2018, 2017 and 2016, respectively.</w:t>
      </w:r>
    </w:p>
    <w:p>
      <w:pPr>
        <w:spacing w:after="0" w:line="7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reviews property, plant and equipment for impairment whenever events or changes in circumstances indicate that the carrying amount of assets may not be recoverable. Recoverability of these assets is determined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If such assets are not impaired, but their useful lives have decreased, the remaining net book value is depreciated over the revised useful life. The Company has not recorded any material impairment charges related to our property, plant and equipment in fiscal 2018, fiscal 2017 or fiscal 2016.</w:t>
      </w:r>
    </w:p>
    <w:p>
      <w:pPr>
        <w:spacing w:after="0" w:line="9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evaluates goodwill for impairment annually, utilizing either the qualitative or quantitative method, as well as whenever events or changes in circumstances suggest that the carrying value of goodwill may not be recoverable. The Company tests goodwill for impairment at the reporting unit level, which the Company has determined is consistent with our operating segments, on an annual basis on the first day of the fourth quarter (on or about August 5) or more frequently if indicators of impairment exist or the Company reorganizes its reporting units. The Company has the option to first assess qualitative factors to determine whether it is more likely than not that the fair value of a reporting unit is less than its net book value. If the Company elects not to use this option, or it determines that it is more likely than not that the fair value of a reporting unit is less than its net book value, then the Company performs the quantitative goodwill impairment test.</w:t>
      </w:r>
    </w:p>
    <w:p>
      <w:pPr>
        <w:spacing w:after="0" w:line="18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the first quarter of fiscal 2018, the Company completed organizational changes designed to integrate the operations of Linear into the Company’s organizational structure and to reflect the evolution of the Company's markets. The Company performed an impairment analysis utilizing the quantitative method immediately prior to and subsequent to the reorganization and evaluated goodwill for impairment as of the date of reorganization. Based on the quantitative test performed on the reorganization date, no impairment was identified.</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Company's latest annual impairment evaluation that occurred as of August 5, 2018, the Company used the qualitative method of assessing goodwill for all eight of its identified reporting units. For each of the reporting units,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Company determined that it was not more likely than not that the fair values were less than their net book values. In making this determination, the Company considered several factors, including the following:</w:t>
      </w:r>
    </w:p>
    <w:p>
      <w:pPr>
        <w:spacing w:after="0" w:line="170" w:lineRule="exact"/>
        <w:rPr>
          <w:sz w:val="20"/>
          <w:szCs w:val="20"/>
          <w:color w:val="auto"/>
        </w:rPr>
      </w:pPr>
    </w:p>
    <w:p>
      <w:pPr>
        <w:ind w:left="660" w:right="60" w:hanging="324"/>
        <w:spacing w:after="0" w:line="256" w:lineRule="auto"/>
        <w:rPr>
          <w:sz w:val="20"/>
          <w:szCs w:val="20"/>
          <w:color w:val="auto"/>
        </w:rPr>
      </w:pPr>
      <w:r>
        <w:rPr>
          <w:rFonts w:ascii="Arial" w:cs="Arial" w:eastAsia="Arial" w:hAnsi="Arial"/>
          <w:sz w:val="18"/>
          <w:szCs w:val="18"/>
          <w:color w:val="auto"/>
        </w:rPr>
        <w:t>– the amount by which the fair values of each reporting unit exceeded their carrying values as of the date of the most recent quantitative impairment analysis, which indicated there would need to be substantial negative developments in the markets in which these reporting units operate in order for there to be potential impairment;</w:t>
      </w:r>
    </w:p>
    <w:p>
      <w:pPr>
        <w:ind w:left="660" w:right="220" w:hanging="324"/>
        <w:spacing w:after="0" w:line="250" w:lineRule="auto"/>
        <w:rPr>
          <w:sz w:val="20"/>
          <w:szCs w:val="20"/>
          <w:color w:val="auto"/>
        </w:rPr>
      </w:pPr>
      <w:r>
        <w:rPr>
          <w:rFonts w:ascii="Arial" w:cs="Arial" w:eastAsia="Arial" w:hAnsi="Arial"/>
          <w:sz w:val="18"/>
          <w:szCs w:val="18"/>
          <w:color w:val="auto"/>
        </w:rPr>
        <w:t>– the carrying values of these reporting units as of August 5, 2018 compared to the previously calculated fair values as of the date of the most recent quantitative impairment analysis;</w:t>
      </w:r>
    </w:p>
    <w:p>
      <w:pPr>
        <w:ind w:left="340"/>
        <w:spacing w:after="0"/>
        <w:rPr>
          <w:sz w:val="20"/>
          <w:szCs w:val="20"/>
          <w:color w:val="auto"/>
        </w:rPr>
      </w:pPr>
      <w:r>
        <w:rPr>
          <w:rFonts w:ascii="Arial" w:cs="Arial" w:eastAsia="Arial" w:hAnsi="Arial"/>
          <w:sz w:val="18"/>
          <w:szCs w:val="18"/>
          <w:color w:val="auto"/>
        </w:rPr>
        <w:t>–   the Company's current forecasts as compared to the forecasts included in the most recent quantitative impairment analysis;</w:t>
      </w:r>
    </w:p>
    <w:p>
      <w:pPr>
        <w:spacing w:after="0" w:line="9" w:lineRule="exact"/>
        <w:rPr>
          <w:sz w:val="20"/>
          <w:szCs w:val="20"/>
          <w:color w:val="auto"/>
        </w:rPr>
      </w:pPr>
    </w:p>
    <w:p>
      <w:pPr>
        <w:ind w:left="660" w:right="380" w:hanging="324"/>
        <w:spacing w:after="0" w:line="250" w:lineRule="auto"/>
        <w:rPr>
          <w:sz w:val="20"/>
          <w:szCs w:val="20"/>
          <w:color w:val="auto"/>
        </w:rPr>
      </w:pPr>
      <w:r>
        <w:rPr>
          <w:rFonts w:ascii="Arial" w:cs="Arial" w:eastAsia="Arial" w:hAnsi="Arial"/>
          <w:sz w:val="18"/>
          <w:szCs w:val="18"/>
          <w:color w:val="auto"/>
        </w:rPr>
        <w:t>– public information from competitors and other industry information to determine if there were any significant adverse trends in our competitors' businesses, such as significant declines in market capitalization or significant goodwill impairment charges that could be an indication that the goodwill of our reporting units was potentially impaired;</w:t>
      </w:r>
    </w:p>
    <w:p>
      <w:pPr>
        <w:spacing w:after="0" w:line="1" w:lineRule="exact"/>
        <w:rPr>
          <w:sz w:val="20"/>
          <w:szCs w:val="20"/>
          <w:color w:val="auto"/>
        </w:rPr>
      </w:pPr>
    </w:p>
    <w:p>
      <w:pPr>
        <w:ind w:left="660" w:right="660" w:hanging="324"/>
        <w:spacing w:after="0" w:line="250" w:lineRule="auto"/>
        <w:rPr>
          <w:sz w:val="20"/>
          <w:szCs w:val="20"/>
          <w:color w:val="auto"/>
        </w:rPr>
      </w:pPr>
      <w:r>
        <w:rPr>
          <w:rFonts w:ascii="Arial" w:cs="Arial" w:eastAsia="Arial" w:hAnsi="Arial"/>
          <w:sz w:val="18"/>
          <w:szCs w:val="18"/>
          <w:color w:val="auto"/>
        </w:rPr>
        <w:t>– changes in the value of major U.S. stock indices that could suggest declines in overall market stability that could impact the valuation of our reporting units;</w:t>
      </w:r>
    </w:p>
    <w:p>
      <w:pPr>
        <w:ind w:left="660" w:right="140" w:hanging="324"/>
        <w:spacing w:after="0" w:line="250" w:lineRule="auto"/>
        <w:rPr>
          <w:sz w:val="20"/>
          <w:szCs w:val="20"/>
          <w:color w:val="auto"/>
        </w:rPr>
      </w:pPr>
      <w:r>
        <w:rPr>
          <w:rFonts w:ascii="Arial" w:cs="Arial" w:eastAsia="Arial" w:hAnsi="Arial"/>
          <w:sz w:val="18"/>
          <w:szCs w:val="18"/>
          <w:color w:val="auto"/>
        </w:rPr>
        <w:t>– changes in our market capitalization and overall enterprise valuation to determine if there were any significant decreases that could be an indication that the valuation of our reporting units had significantly decreased; and</w:t>
      </w:r>
    </w:p>
    <w:p>
      <w:pPr>
        <w:ind w:left="660" w:right="740" w:hanging="324"/>
        <w:spacing w:after="0" w:line="261" w:lineRule="auto"/>
        <w:rPr>
          <w:sz w:val="20"/>
          <w:szCs w:val="20"/>
          <w:color w:val="auto"/>
        </w:rPr>
      </w:pPr>
      <w:r>
        <w:rPr>
          <w:rFonts w:ascii="Arial" w:cs="Arial" w:eastAsia="Arial" w:hAnsi="Arial"/>
          <w:sz w:val="18"/>
          <w:szCs w:val="18"/>
          <w:color w:val="auto"/>
        </w:rPr>
        <w:t>– whether there had been any significant increases to the weighted-average cost of capital (WACC) rates for each reporting unit, which could materially lower our prior valuation conclusions under a discounted cash flow approach.</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prior periods, the Company did not elect to use the qualitative option for assessing goodwill and instead proceeded directly to the quantitative goodwill impairment analysis. The first step of the goodwill impairment test requires an entity to compare the fair value of a reporting unit with its carrying amount. The Company determines the fair value of its reporting units using a weighting of the income and market approaches. Under the income approach, the Company uses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the Company uses the guideline public company method. Under this method the Company utilizes information from comparable publicly traded companies with similar operating and investment characteristics as the reporting units, to estimate valuation multiples that are applied to the operating performance of the reporting unit being tested, in order to estimate their respective fair values. In order to assess the reasonableness of the calculated reporting unit fair values, the Company reconciles the aggregate estimated fair values of its reporting units determined to its current market capitalization, allowing for a reasonable control premium. If the carrying amount of a reporting unit, calculated using the above approaches, exceeds the reporting unit’s fair value, an impairment loss is recognized for the amount of the carrying value that exceeds the amount of the reporting unit's fair value, not to exceed the total amount of goodwill allocated to the reporting unit. Additionally, the Company considers income tax effects from any tax deductible goodwill on the carrying amount of the reporting unit when measuring the goodwill impairment loss, if applicable.</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was no impairment of goodwill in any of the fiscal years presented. The Company’s next annual impairment assessment will be performed as of the first day of the fourth quarter of the fiscal year ending November 2, 2019 (fiscal 2019) unless indicators arise that would require the Company to reevaluate at an earlier date. The following table presents the changes in goodwill during fiscal 2018 and fiscal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12,217,455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1,679,116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 of Linear (Note 6)</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10,532,272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adjustment related to other acquisitions (1)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1,869</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12,252,604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12,217,455</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ind w:right="1760"/>
        <w:spacing w:after="0" w:line="406" w:lineRule="auto"/>
        <w:rPr>
          <w:sz w:val="20"/>
          <w:szCs w:val="20"/>
          <w:color w:val="auto"/>
        </w:rPr>
      </w:pPr>
      <w:r>
        <w:rPr>
          <w:rFonts w:ascii="Arial" w:cs="Arial" w:eastAsia="Arial" w:hAnsi="Arial"/>
          <w:sz w:val="18"/>
          <w:szCs w:val="18"/>
          <w:color w:val="auto"/>
        </w:rPr>
        <w:t xml:space="preserve">(1) Represents goodwill related to other acquisitions that were not material to the Company on either an individual or aggregate basis. </w:t>
      </w:r>
      <w:r>
        <w:rPr>
          <w:rFonts w:ascii="Arial" w:cs="Arial" w:eastAsia="Arial" w:hAnsi="Arial"/>
          <w:sz w:val="18"/>
          <w:szCs w:val="18"/>
          <w:i w:val="1"/>
          <w:iCs w:val="1"/>
          <w:color w:val="auto"/>
        </w:rPr>
        <w:t>Intangible Assets</w:t>
      </w:r>
    </w:p>
    <w:p>
      <w:pPr>
        <w:spacing w:after="0" w:line="1"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The Company reviews finite-lived intangible assets for impairment whenever events or changes in circumstances indicate that the carrying value of assets may not be recoverable. If required,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amount by which the carrying value of the assets exceeds their estimated fair value determined by either a quoted market price, if any, or a value determined by utilizing a discounted cash flow technique.</w:t>
      </w:r>
    </w:p>
    <w:p>
      <w:pPr>
        <w:spacing w:after="0" w:line="76"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Indefinite-lived intangible assets are tested for impairment on an annual basis on the first day of the fourth quarter (on or about August 5) or more frequently if indicators of impairment exist. The impairment test involves a qualitative assessment on the indefinite-lived intangible assets to determine whether it is more likely-than not that the indefinite-lived intangible asset is impaired. If it is determined that the fair value of the indefinite-lived intangible asset is less than the carrying value, the Company would recognize into earnings the amount by which the carrying value of the assets exceeds the estimated fair value. No impairment of intangible assets resulted from the impairment tests in any of the fiscal years presented.</w:t>
      </w:r>
    </w:p>
    <w:p>
      <w:pPr>
        <w:spacing w:after="0" w:line="78"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Definite-lived intangible assets are amortized on a straight-line basis over their estimated useful lives or on an accelerated method of amortization that is expected to reflect the estimated pattern of economic use. In-process research and development (IPR&amp;D) assets are considered indefinite-lived intangible assets until completion or abandonment of the associated research and development (R&amp;D) efforts. Upon completion of the projects, the IPR&amp;D assets are reclassified to technology-based intangible assets and amortized over their estimated useful lives.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November 3, 2018 and October 28, 2017, the Company’s intangible assets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November 3, 2018</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28, 2017</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500" w:type="dxa"/>
            <w:vAlign w:val="bottom"/>
          </w:tcPr>
          <w:p>
            <w:pPr>
              <w:spacing w:after="0"/>
              <w:rPr>
                <w:sz w:val="13"/>
                <w:szCs w:val="13"/>
                <w:color w:val="auto"/>
              </w:rPr>
            </w:pPr>
          </w:p>
        </w:tc>
        <w:tc>
          <w:tcPr>
            <w:tcW w:w="14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16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480" w:type="dxa"/>
            <w:vAlign w:val="bottom"/>
          </w:tcPr>
          <w:p>
            <w:pPr>
              <w:spacing w:after="0"/>
              <w:rPr>
                <w:sz w:val="13"/>
                <w:szCs w:val="13"/>
                <w:color w:val="auto"/>
              </w:rPr>
            </w:pPr>
          </w:p>
        </w:tc>
        <w:tc>
          <w:tcPr>
            <w:tcW w:w="134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5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4,697,716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867,207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4,683,461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449,369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28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1,114,080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243,350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1,097,025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101,920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74,031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72,800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IPR&amp;D</w:t>
            </w:r>
          </w:p>
        </w:tc>
        <w:tc>
          <w:tcPr>
            <w:tcW w:w="28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20,768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24,334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(1) (2)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5,906,595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1,128,403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5,877,620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558,195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intangible asset carrying amounts are affected by foreign currency translation.</w:t>
      </w:r>
    </w:p>
    <w:p>
      <w:pPr>
        <w:spacing w:after="0" w:line="9" w:lineRule="exact"/>
        <w:rPr>
          <w:rFonts w:ascii="Arial" w:cs="Arial" w:eastAsia="Arial" w:hAnsi="Arial"/>
          <w:sz w:val="18"/>
          <w:szCs w:val="18"/>
          <w:color w:val="auto"/>
        </w:rPr>
      </w:pPr>
    </w:p>
    <w:p>
      <w:pPr>
        <w:ind w:right="180" w:firstLine="8"/>
        <w:spacing w:after="0" w:line="323" w:lineRule="auto"/>
        <w:tabs>
          <w:tab w:leader="none" w:pos="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Increases in intangible assets primarily relate to acquisitions that were not material to the Company on either an individual or aggregate basis. Intangible assets, along with the related accumulated amortization, are removed from the table above at the end of the fiscal year they become fully amortized.</w:t>
      </w:r>
    </w:p>
    <w:p>
      <w:pPr>
        <w:spacing w:after="0" w:line="85" w:lineRule="exact"/>
        <w:rPr>
          <w:sz w:val="20"/>
          <w:szCs w:val="20"/>
          <w:color w:val="auto"/>
        </w:rPr>
      </w:pPr>
    </w:p>
    <w:p>
      <w:pPr>
        <w:ind w:right="500" w:firstLine="405"/>
        <w:spacing w:after="0" w:line="308" w:lineRule="auto"/>
        <w:rPr>
          <w:sz w:val="20"/>
          <w:szCs w:val="20"/>
          <w:color w:val="auto"/>
        </w:rPr>
      </w:pPr>
      <w:r>
        <w:rPr>
          <w:rFonts w:ascii="Arial" w:cs="Arial" w:eastAsia="Arial" w:hAnsi="Arial"/>
          <w:sz w:val="17"/>
          <w:szCs w:val="17"/>
          <w:color w:val="auto"/>
        </w:rPr>
        <w:t>Amortization expense related to finite-lived intangible assets was $570.5 million, $389.4 million and $75.3 million in fiscal 2018, 2017 and 2016, respectively. The remaining amortization expense will be recognized over a weighted average life of approximately 4.6 years.</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expects annual amortization expense for intangible assets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4"/>
                <w:szCs w:val="14"/>
                <w:color w:val="auto"/>
              </w:rPr>
            </w:pPr>
          </w:p>
        </w:tc>
        <w:tc>
          <w:tcPr>
            <w:tcW w:w="174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Amortization Expense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8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569,314</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7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568,665</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568,005</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7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565,075</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7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541,877</w:t>
            </w:r>
          </w:p>
        </w:tc>
      </w:tr>
      <w:tr>
        <w:trPr>
          <w:trHeight w:val="27"/>
        </w:trPr>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Grant Accounting</w:t>
      </w:r>
    </w:p>
    <w:p>
      <w:pPr>
        <w:spacing w:after="0" w:line="13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Certain of the Company’s foreign subsidiaries have received grants from governmental agencies. These grants include capital, employment and research and development grants. Capital grants for the acquisition of property and equipment are netted against the related capital expenditures and amortized as a credit to depreciation expense over the estimated useful life of the related asset. Employment grants, which relate to employee hiring and training, and research and development grants are recognized in earnings in the period in which the related expenditures are incurred by the Company. The amounts recognized were not material in fiscal 2018, fiscal 2017 or fiscal 2016.</w:t>
      </w:r>
    </w:p>
    <w:p>
      <w:pPr>
        <w:spacing w:after="0" w:line="9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Translation of Foreign Currencies</w:t>
      </w:r>
    </w:p>
    <w:p>
      <w:pPr>
        <w:spacing w:after="0" w:line="13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functional currency for the Company’s foreign sales and research and development operations is the applicable local currency. Gains and losses resulting from translation of these foreign currencies into U.S. dollars are recorded in accumulated other comprehensive (loss) income. Transaction gains and losses and re-measurement of foreign currency denominated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and liabilities are included in income currently, including those at the Company’s principal foreign manufacturing operations where the functional currency is the U.S. dollar. Foreign currency transaction gains or losses included in other, net, were not material in fiscal 2018, 2017 or 2016.</w:t>
      </w:r>
    </w:p>
    <w:p>
      <w:pPr>
        <w:spacing w:after="0" w:line="5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 and Hedging Agreements</w:t>
      </w:r>
    </w:p>
    <w:p>
      <w:pPr>
        <w:spacing w:after="0" w:line="13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 xml:space="preserve">Foreign Exchange Exposure Management </w:t>
      </w:r>
      <w:r>
        <w:rPr>
          <w:rFonts w:ascii="Arial" w:cs="Arial" w:eastAsia="Arial" w:hAnsi="Arial"/>
          <w:sz w:val="17"/>
          <w:szCs w:val="17"/>
          <w:color w:val="auto"/>
        </w:rPr>
        <w:t>— The Company enters into forward foreign currency exchange contracts to offset certain operational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and the Japanese Yen.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qualitatively evaluated for effectiveness quarterly.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gain or loss on the derivative reported as a component of accumulated other comprehensive (loss) income (OCI) in shareholders’ equity and reclassified into earnings in the same line item on the consolidated statement of income as the impact of the hedged transaction in the same period during which the hedged transaction affects earnings.</w:t>
      </w:r>
    </w:p>
    <w:p>
      <w:pPr>
        <w:spacing w:after="0" w:line="8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November 3, 2018 and October 28, 2017 was $194.4 million and $194.3 million, respectively. The fair values of forward foreign currency derivative instruments designated as hedging instruments in the Company’s consolidated balance sheets as of November 3, 2018 and October 28, 2017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136"/>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4120" w:type="dxa"/>
            <w:vAlign w:val="bottom"/>
            <w:tcBorders>
              <w:bottom w:val="single" w:sz="8" w:color="CCEEFF"/>
            </w:tcBorders>
          </w:tcPr>
          <w:p>
            <w:pPr>
              <w:spacing w:after="0"/>
              <w:rPr>
                <w:sz w:val="22"/>
                <w:szCs w:val="22"/>
                <w:color w:val="auto"/>
              </w:rPr>
            </w:pPr>
          </w:p>
        </w:tc>
        <w:tc>
          <w:tcPr>
            <w:tcW w:w="390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7"/>
              </w:rPr>
              <w:t>November 3,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8"/>
              </w:rPr>
              <w:t>October 28, 2017</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6,934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November 3, 2018 and October 28, 2017, the total notional amount of these undesignated hedges was $40.6 million and $100.4 million, respectively. The fair value of these hedging instruments in the Company’s consolidated balance sheets was immaterial as of November 3, 2018 and was a liability of $1.8 million as of October 28, 2017.</w:t>
      </w:r>
    </w:p>
    <w:p>
      <w:pPr>
        <w:spacing w:after="0" w:line="6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Company estimates that $4.7 million, net of tax, of losses on forward foreign currency derivative instruments included in OCI will be reclassified into earnings within the next 12 months.</w:t>
      </w:r>
    </w:p>
    <w:p>
      <w:pPr>
        <w:spacing w:after="0" w:line="7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All of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consolidated balance sheet on a net basis. As of November 3, 2018 and October 28, 2017, none of the netting arrangements involved collateral. The following table presents the gross amounts of the Company's derivative assets and liabilities and the net amounts recorded in the Company's consolidated balance sheet as of November 3, 2018 and October 28, 2017:</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3, 2018</w:t>
            </w:r>
          </w:p>
        </w:tc>
        <w:tc>
          <w:tcPr>
            <w:tcW w:w="180" w:type="dxa"/>
            <w:vAlign w:val="bottom"/>
          </w:tcPr>
          <w:p>
            <w:pPr>
              <w:spacing w:after="0"/>
              <w:rPr>
                <w:sz w:val="16"/>
                <w:szCs w:val="16"/>
                <w:color w:val="auto"/>
              </w:rPr>
            </w:pPr>
          </w:p>
        </w:tc>
        <w:tc>
          <w:tcPr>
            <w:tcW w:w="140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October 28, 2017</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amount of recognized liabilities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Gross amounts of recognized assets offset in the consolidated balance sheet</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3,512</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liabilities presented in the consolidated balance sheet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i w:val="1"/>
          <w:iCs w:val="1"/>
          <w:color w:val="auto"/>
        </w:rPr>
        <w:t xml:space="preserve">Interest Rate Exposure Management </w:t>
      </w:r>
      <w:r>
        <w:rPr>
          <w:rFonts w:ascii="Arial" w:cs="Arial" w:eastAsia="Arial" w:hAnsi="Arial"/>
          <w:sz w:val="18"/>
          <w:szCs w:val="18"/>
          <w:color w:val="auto"/>
        </w:rPr>
        <w:t>— The Company's current and future debt may be subject to interest rate risk. The Company utilizes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to alter interest rate exposure in an attempt to reduce the effects of these changes.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November 3, 2018 and October 28, 2017,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83"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The Company records the fair value of its derivative financial instruments in its consolidated financial statements in other current assets, other assets, accrued liabilities and other non-current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in the same line item on the consolidated statement of income as the impact of the hedged transaction when the underlying contract matures. Changes in the fair values of derivatives not qualifying for hedge accounting are reported in earnings as they occur.</w:t>
      </w:r>
    </w:p>
    <w:p>
      <w:pPr>
        <w:spacing w:after="0" w:line="9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accumulated other comprehensive income into the consolidated statement of income related to forward foreign currency exchange contracts, see Note 2o,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of these Notes to Consolidated Financial Statements.</w:t>
      </w:r>
    </w:p>
    <w:p>
      <w:pPr>
        <w:spacing w:after="0" w:line="8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w:t>
      </w:r>
    </w:p>
    <w:p>
      <w:pPr>
        <w:spacing w:after="0" w:line="13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76"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76"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tables below, set forth by level, presents the Company’s financial assets and liabilities, excluding accrued interest components, that were accounted for at fair value on a recurring basis as of November 3, 2018 and October 28, 2017. The tables exclude cash on hand and assets and liabilities that are measured at historical cost or any basis other than fair value. As of November 3, 2018 and October 28, 2017, the Company held $217.6 million and $296.2 million, respectively, of cash and held-to-maturity investments that were excluded from the tables below.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November 3, 2018</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gridSpan w:val="4"/>
          </w:tcPr>
          <w:p>
            <w:pPr>
              <w:jc w:val="center"/>
              <w:ind w:right="20"/>
              <w:spacing w:after="0" w:line="153" w:lineRule="exact"/>
              <w:rPr>
                <w:sz w:val="20"/>
                <w:szCs w:val="20"/>
                <w:color w:val="auto"/>
              </w:rPr>
            </w:pPr>
            <w:r>
              <w:rPr>
                <w:rFonts w:ascii="Arial" w:cs="Arial" w:eastAsia="Arial" w:hAnsi="Arial"/>
                <w:sz w:val="14"/>
                <w:szCs w:val="14"/>
                <w:b w:val="1"/>
                <w:bCs w:val="1"/>
                <w:color w:val="auto"/>
                <w:w w:val="93"/>
              </w:rPr>
              <w:t>Fair Value measurement at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Reporting Date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Government and 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394,076</w:t>
            </w:r>
          </w:p>
        </w:tc>
        <w:tc>
          <w:tcPr>
            <w:tcW w:w="3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394,076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204,886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204,886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41,001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41,001</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Interest rate derivatives</w:t>
            </w:r>
          </w:p>
        </w:tc>
        <w:tc>
          <w:tcPr>
            <w:tcW w:w="30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435,077</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206,322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641,399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7,150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November 3, 2018 was $205.0 million.</w:t>
      </w:r>
    </w:p>
    <w:p>
      <w:pPr>
        <w:spacing w:after="0" w:line="23" w:lineRule="exact"/>
        <w:rPr>
          <w:rFonts w:ascii="Arial" w:cs="Arial" w:eastAsia="Arial" w:hAnsi="Arial"/>
          <w:sz w:val="18"/>
          <w:szCs w:val="18"/>
          <w:color w:val="auto"/>
        </w:rPr>
      </w:pPr>
    </w:p>
    <w:p>
      <w:pPr>
        <w:jc w:val="both"/>
        <w:ind w:left="340" w:right="800" w:hanging="332"/>
        <w:spacing w:after="0" w:line="323"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Company has netting arrangements by counterparty with respect to derivative contracts. See Note 2i, </w:t>
      </w:r>
      <w:r>
        <w:rPr>
          <w:rFonts w:ascii="Arial" w:cs="Arial" w:eastAsia="Arial" w:hAnsi="Arial"/>
          <w:sz w:val="16"/>
          <w:szCs w:val="16"/>
          <w:i w:val="1"/>
          <w:iCs w:val="1"/>
          <w:color w:val="auto"/>
        </w:rPr>
        <w:t>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of these Notes to Consolidated Financial Statements for more information related to the Company's master netting arrangements.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1" w:right="2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October 28, 2017</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gridSpan w:val="4"/>
          </w:tcPr>
          <w:p>
            <w:pPr>
              <w:jc w:val="center"/>
              <w:ind w:right="20"/>
              <w:spacing w:after="0" w:line="153" w:lineRule="exact"/>
              <w:rPr>
                <w:sz w:val="20"/>
                <w:szCs w:val="20"/>
                <w:color w:val="auto"/>
              </w:rPr>
            </w:pPr>
            <w:r>
              <w:rPr>
                <w:rFonts w:ascii="Arial" w:cs="Arial" w:eastAsia="Arial" w:hAnsi="Arial"/>
                <w:sz w:val="14"/>
                <w:szCs w:val="14"/>
                <w:b w:val="1"/>
                <w:bCs w:val="1"/>
                <w:color w:val="auto"/>
                <w:w w:val="93"/>
              </w:rPr>
              <w:t>Fair Value measurement at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Reporting Date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Government and 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512,882</w:t>
            </w:r>
          </w:p>
        </w:tc>
        <w:tc>
          <w:tcPr>
            <w:tcW w:w="3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512,882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238,796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238,796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33,510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33,510</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Interest rate derivatives</w:t>
            </w:r>
          </w:p>
        </w:tc>
        <w:tc>
          <w:tcPr>
            <w:tcW w:w="30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546,392</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241,762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788,154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October 28, 2017 was $238.9 million.</w:t>
      </w:r>
    </w:p>
    <w:p>
      <w:pPr>
        <w:spacing w:after="0" w:line="23" w:lineRule="exact"/>
        <w:rPr>
          <w:rFonts w:ascii="Arial" w:cs="Arial" w:eastAsia="Arial" w:hAnsi="Arial"/>
          <w:sz w:val="18"/>
          <w:szCs w:val="18"/>
          <w:color w:val="auto"/>
        </w:rPr>
      </w:pPr>
    </w:p>
    <w:p>
      <w:pPr>
        <w:ind w:left="340" w:right="280" w:hanging="332"/>
        <w:spacing w:after="0" w:line="323"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Company has master netting arrangements by counterparty with respect to derivative contracts. See Note 2i, </w:t>
      </w:r>
      <w:r>
        <w:rPr>
          <w:rFonts w:ascii="Arial" w:cs="Arial" w:eastAsia="Arial" w:hAnsi="Arial"/>
          <w:sz w:val="16"/>
          <w:szCs w:val="16"/>
          <w:i w:val="1"/>
          <w:iCs w:val="1"/>
          <w:color w:val="auto"/>
        </w:rPr>
        <w:t>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of these Notes to Consolidated Financial Statements for more information related to the Company's master netting arrangements.</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3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These investments are adjusted to fair value based on quoted market prices or are determined using a yield curve model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market rates.</w:t>
      </w:r>
    </w:p>
    <w:p>
      <w:pPr>
        <w:spacing w:after="0" w:line="76"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7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Interest rate derivatives </w:t>
      </w:r>
      <w:r>
        <w:rPr>
          <w:rFonts w:ascii="Arial" w:cs="Arial" w:eastAsia="Arial" w:hAnsi="Arial"/>
          <w:sz w:val="18"/>
          <w:szCs w:val="18"/>
          <w:color w:val="auto"/>
        </w:rPr>
        <w:t>— The fair value of interest rate derivatives is estimated using a discounted cash flow analysis based on the contractual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derivatives.</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3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 xml:space="preserve">The table below presents the estimated fair value of certain financial instruments not recorded at fair value on a recurring basis. The carrying amounts of the term loans approximate fair value. The term loans are classified as Level 2 measurements according to the fair value hierarchy. The fair values of the senior unsecured notes debt are obtained from broker prices and are classified as Level 1 measurements according to the fair value hierarchy. See Note 14, </w:t>
      </w:r>
      <w:r>
        <w:rPr>
          <w:rFonts w:ascii="Arial" w:cs="Arial" w:eastAsia="Arial" w:hAnsi="Arial"/>
          <w:sz w:val="17"/>
          <w:szCs w:val="17"/>
          <w:i w:val="1"/>
          <w:iCs w:val="1"/>
          <w:color w:val="auto"/>
        </w:rPr>
        <w:t>Debt</w:t>
      </w:r>
      <w:r>
        <w:rPr>
          <w:rFonts w:ascii="Arial" w:cs="Arial" w:eastAsia="Arial" w:hAnsi="Arial"/>
          <w:sz w:val="17"/>
          <w:szCs w:val="17"/>
          <w:color w:val="auto"/>
        </w:rPr>
        <w:t>, of these Notes to Consolidated Financial Statements for further discussion related to outstanding debt.</w:t>
      </w:r>
    </w:p>
    <w:p>
      <w:pPr>
        <w:spacing w:after="0" w:line="200" w:lineRule="exact"/>
        <w:rPr>
          <w:sz w:val="20"/>
          <w:szCs w:val="20"/>
          <w:color w:val="auto"/>
        </w:rPr>
      </w:pPr>
    </w:p>
    <w:p>
      <w:pPr>
        <w:spacing w:after="0" w:line="220" w:lineRule="exact"/>
        <w:rPr>
          <w:sz w:val="20"/>
          <w:szCs w:val="20"/>
          <w:color w:val="auto"/>
        </w:rPr>
      </w:pPr>
    </w:p>
    <w:p>
      <w:pPr>
        <w:ind w:left="5820"/>
        <w:spacing w:after="0"/>
        <w:tabs>
          <w:tab w:leader="none" w:pos="9240" w:val="left"/>
        </w:tabs>
        <w:rPr>
          <w:sz w:val="20"/>
          <w:szCs w:val="20"/>
          <w:color w:val="auto"/>
        </w:rPr>
      </w:pPr>
      <w:r>
        <w:rPr>
          <w:rFonts w:ascii="Arial" w:cs="Arial" w:eastAsia="Arial" w:hAnsi="Arial"/>
          <w:sz w:val="14"/>
          <w:szCs w:val="14"/>
          <w:b w:val="1"/>
          <w:bCs w:val="1"/>
          <w:color w:val="auto"/>
        </w:rPr>
        <w:t>November 3, 2018</w:t>
      </w:r>
      <w:r>
        <w:rPr>
          <w:sz w:val="20"/>
          <w:szCs w:val="20"/>
          <w:color w:val="auto"/>
        </w:rPr>
        <w:tab/>
      </w:r>
      <w:r>
        <w:rPr>
          <w:rFonts w:ascii="Arial" w:cs="Arial" w:eastAsia="Arial" w:hAnsi="Arial"/>
          <w:sz w:val="12"/>
          <w:szCs w:val="12"/>
          <w:b w:val="1"/>
          <w:bCs w:val="1"/>
          <w:color w:val="auto"/>
        </w:rPr>
        <w:t>October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3" w:lineRule="exact"/>
        <w:rPr>
          <w:sz w:val="20"/>
          <w:szCs w:val="20"/>
          <w:color w:val="auto"/>
        </w:rPr>
      </w:pPr>
    </w:p>
    <w:tbl>
      <w:tblPr>
        <w:tblLayout w:type="fixed"/>
        <w:tblInd w:w="4960" w:type="dxa"/>
        <w:tblCellMar>
          <w:top w:w="0" w:type="dxa"/>
          <w:left w:w="0" w:type="dxa"/>
          <w:bottom w:w="0" w:type="dxa"/>
          <w:right w:w="0" w:type="dxa"/>
        </w:tblCellMar>
      </w:tblPr>
      <w:tr>
        <w:trPr>
          <w:trHeight w:val="161"/>
        </w:trPr>
        <w:tc>
          <w:tcPr>
            <w:tcW w:w="1520" w:type="dxa"/>
            <w:vAlign w:val="bottom"/>
          </w:tcPr>
          <w:p>
            <w:pPr>
              <w:jc w:val="center"/>
              <w:ind w:right="348"/>
              <w:spacing w:after="0"/>
              <w:rPr>
                <w:sz w:val="20"/>
                <w:szCs w:val="20"/>
                <w:color w:val="auto"/>
              </w:rPr>
            </w:pPr>
            <w:r>
              <w:rPr>
                <w:rFonts w:ascii="Arial" w:cs="Arial" w:eastAsia="Arial" w:hAnsi="Arial"/>
                <w:sz w:val="14"/>
                <w:szCs w:val="14"/>
                <w:b w:val="1"/>
                <w:bCs w:val="1"/>
                <w:color w:val="auto"/>
                <w:w w:val="94"/>
              </w:rPr>
              <w:t>Principal Amount</w:t>
            </w:r>
          </w:p>
        </w:tc>
        <w:tc>
          <w:tcPr>
            <w:tcW w:w="1060" w:type="dxa"/>
            <w:vAlign w:val="bottom"/>
            <w:vMerge w:val="restart"/>
          </w:tcPr>
          <w:p>
            <w:pPr>
              <w:ind w:left="42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86"/>
        </w:trPr>
        <w:tc>
          <w:tcPr>
            <w:tcW w:w="1520" w:type="dxa"/>
            <w:vAlign w:val="bottom"/>
          </w:tcPr>
          <w:p>
            <w:pPr>
              <w:jc w:val="center"/>
              <w:ind w:right="368"/>
              <w:spacing w:after="0"/>
              <w:rPr>
                <w:sz w:val="20"/>
                <w:szCs w:val="20"/>
                <w:color w:val="auto"/>
              </w:rPr>
            </w:pPr>
            <w:r>
              <w:rPr>
                <w:rFonts w:ascii="Arial" w:cs="Arial" w:eastAsia="Arial" w:hAnsi="Arial"/>
                <w:sz w:val="14"/>
                <w:szCs w:val="14"/>
                <w:b w:val="1"/>
                <w:bCs w:val="1"/>
                <w:color w:val="auto"/>
                <w:w w:val="92"/>
              </w:rPr>
              <w:t>Outstanding</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jc w:val="center"/>
              <w:ind w:right="328"/>
              <w:spacing w:after="0"/>
              <w:rPr>
                <w:sz w:val="20"/>
                <w:szCs w:val="20"/>
                <w:color w:val="auto"/>
              </w:rPr>
            </w:pPr>
            <w:r>
              <w:rPr>
                <w:rFonts w:ascii="Arial" w:cs="Arial" w:eastAsia="Arial" w:hAnsi="Arial"/>
                <w:sz w:val="14"/>
                <w:szCs w:val="14"/>
                <w:b w:val="1"/>
                <w:bCs w:val="1"/>
                <w:color w:val="auto"/>
                <w:w w:val="96"/>
              </w:rPr>
              <w:t>Principal Amount</w:t>
            </w:r>
          </w:p>
        </w:tc>
        <w:tc>
          <w:tcPr>
            <w:tcW w:w="1060" w:type="dxa"/>
            <w:vAlign w:val="bottom"/>
            <w:vMerge w:val="restart"/>
          </w:tcPr>
          <w:p>
            <w:pPr>
              <w:ind w:left="42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86"/>
        </w:trPr>
        <w:tc>
          <w:tcPr>
            <w:tcW w:w="1520" w:type="dxa"/>
            <w:vAlign w:val="bottom"/>
          </w:tcPr>
          <w:p>
            <w:pPr>
              <w:jc w:val="center"/>
              <w:ind w:right="328"/>
              <w:spacing w:after="0"/>
              <w:rPr>
                <w:sz w:val="20"/>
                <w:szCs w:val="20"/>
                <w:color w:val="auto"/>
              </w:rPr>
            </w:pPr>
            <w:r>
              <w:rPr>
                <w:rFonts w:ascii="Arial" w:cs="Arial" w:eastAsia="Arial" w:hAnsi="Arial"/>
                <w:sz w:val="14"/>
                <w:szCs w:val="14"/>
                <w:b w:val="1"/>
                <w:bCs w:val="1"/>
                <w:color w:val="auto"/>
                <w:w w:val="92"/>
              </w:rPr>
              <w:t>Outstanding</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3-Year term loan</w:t>
            </w: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425,000</w:t>
            </w: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1,950,000</w:t>
            </w:r>
          </w:p>
        </w:tc>
        <w:tc>
          <w:tcPr>
            <w:tcW w:w="52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1,950,000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5-Year term loan</w:t>
            </w: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1,350,000</w:t>
            </w:r>
          </w:p>
        </w:tc>
        <w:tc>
          <w:tcPr>
            <w:tcW w:w="5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2,100,000</w:t>
            </w:r>
          </w:p>
        </w:tc>
        <w:tc>
          <w:tcPr>
            <w:tcW w:w="5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2,100,000</w:t>
            </w:r>
          </w:p>
        </w:tc>
      </w:tr>
      <w:tr>
        <w:trPr>
          <w:trHeight w:val="27"/>
        </w:trPr>
        <w:tc>
          <w:tcPr>
            <w:tcW w:w="47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 Notes, due March 2020</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298,147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2021</w:t>
            </w:r>
          </w:p>
        </w:tc>
        <w:tc>
          <w:tcPr>
            <w:tcW w:w="4280" w:type="dxa"/>
            <w:vAlign w:val="bottom"/>
          </w:tcPr>
          <w:p>
            <w:pPr>
              <w:ind w:left="20"/>
              <w:spacing w:after="0"/>
              <w:rPr>
                <w:sz w:val="20"/>
                <w:szCs w:val="20"/>
                <w:color w:val="auto"/>
              </w:rPr>
            </w:pPr>
            <w:r>
              <w:rPr>
                <w:rFonts w:ascii="Arial" w:cs="Arial" w:eastAsia="Arial" w:hAnsi="Arial"/>
                <w:sz w:val="18"/>
                <w:szCs w:val="18"/>
                <w:color w:val="auto"/>
              </w:rPr>
              <w:t>Notes, due January 2021</w:t>
            </w: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450,000</w:t>
            </w:r>
          </w:p>
        </w:tc>
        <w:tc>
          <w:tcPr>
            <w:tcW w:w="5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444,568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2021</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386,375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399,530</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2023</w:t>
            </w:r>
          </w:p>
        </w:tc>
        <w:tc>
          <w:tcPr>
            <w:tcW w:w="4280" w:type="dxa"/>
            <w:vAlign w:val="bottom"/>
          </w:tcPr>
          <w:p>
            <w:pPr>
              <w:ind w:left="20"/>
              <w:spacing w:after="0"/>
              <w:rPr>
                <w:sz w:val="20"/>
                <w:szCs w:val="20"/>
                <w:color w:val="auto"/>
              </w:rPr>
            </w:pPr>
            <w:r>
              <w:rPr>
                <w:rFonts w:ascii="Arial" w:cs="Arial" w:eastAsia="Arial" w:hAnsi="Arial"/>
                <w:sz w:val="18"/>
                <w:szCs w:val="18"/>
                <w:color w:val="auto"/>
              </w:rPr>
              <w:t>Notes, due June 2023</w:t>
            </w: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5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479,189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5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498,582</w:t>
            </w:r>
          </w:p>
        </w:tc>
      </w:tr>
      <w:tr>
        <w:trPr>
          <w:trHeight w:val="27"/>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2023</w:t>
            </w: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2023</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550,000</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529,120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550,000</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554,411</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2025</w:t>
            </w:r>
          </w:p>
        </w:tc>
        <w:tc>
          <w:tcPr>
            <w:tcW w:w="4280" w:type="dxa"/>
            <w:vAlign w:val="bottom"/>
          </w:tcPr>
          <w:p>
            <w:pPr>
              <w:ind w:left="20"/>
              <w:spacing w:after="0"/>
              <w:rPr>
                <w:sz w:val="20"/>
                <w:szCs w:val="20"/>
                <w:color w:val="auto"/>
              </w:rPr>
            </w:pPr>
            <w:r>
              <w:rPr>
                <w:rFonts w:ascii="Arial" w:cs="Arial" w:eastAsia="Arial" w:hAnsi="Arial"/>
                <w:sz w:val="18"/>
                <w:szCs w:val="18"/>
                <w:color w:val="auto"/>
              </w:rPr>
              <w:t>Notes, due December 2025</w:t>
            </w: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850,000</w:t>
            </w:r>
          </w:p>
        </w:tc>
        <w:tc>
          <w:tcPr>
            <w:tcW w:w="5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829,611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850,000</w:t>
            </w:r>
          </w:p>
        </w:tc>
        <w:tc>
          <w:tcPr>
            <w:tcW w:w="5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884,861</w:t>
            </w:r>
          </w:p>
        </w:tc>
      </w:tr>
      <w:tr>
        <w:trPr>
          <w:trHeight w:val="27"/>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2026</w:t>
            </w: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2026</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900,000</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848,027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900,000</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902,769</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2036</w:t>
            </w:r>
          </w:p>
        </w:tc>
        <w:tc>
          <w:tcPr>
            <w:tcW w:w="4280" w:type="dxa"/>
            <w:vAlign w:val="bottom"/>
          </w:tcPr>
          <w:p>
            <w:pPr>
              <w:ind w:left="20"/>
              <w:spacing w:after="0"/>
              <w:rPr>
                <w:sz w:val="20"/>
                <w:szCs w:val="20"/>
                <w:color w:val="auto"/>
              </w:rPr>
            </w:pPr>
            <w:r>
              <w:rPr>
                <w:rFonts w:ascii="Arial" w:cs="Arial" w:eastAsia="Arial" w:hAnsi="Arial"/>
                <w:sz w:val="18"/>
                <w:szCs w:val="18"/>
                <w:color w:val="auto"/>
              </w:rPr>
              <w:t>Notes, due December 2036</w:t>
            </w: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5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232,627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5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259,442</w:t>
            </w:r>
          </w:p>
        </w:tc>
      </w:tr>
      <w:tr>
        <w:trPr>
          <w:trHeight w:val="27"/>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2045</w:t>
            </w: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2045</w:t>
            </w:r>
          </w:p>
        </w:tc>
        <w:tc>
          <w:tcPr>
            <w:tcW w:w="4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407,984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460,588</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6,375,000</w:t>
            </w:r>
          </w:p>
        </w:tc>
        <w:tc>
          <w:tcPr>
            <w:tcW w:w="5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6,230,648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7,900,000</w:t>
            </w:r>
          </w:p>
        </w:tc>
        <w:tc>
          <w:tcPr>
            <w:tcW w:w="5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8,010,183</w:t>
            </w:r>
          </w:p>
        </w:tc>
      </w:tr>
      <w:tr>
        <w:trPr>
          <w:trHeight w:val="20"/>
        </w:trPr>
        <w:tc>
          <w:tcPr>
            <w:tcW w:w="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identified intangible assets, allowances for doubtful accounts and customer returns, the net realizable value of inventory, potential reserves relating to litigation matters, accrued liabilities, accrued taxes, deferred tax valuation allowances, assumptions pertaining to share-based payments, and fair value of acquired assets and liabilities, including inventory, property, plant and equipment and acquired intangibles, and other reserves. Actual results could differ from those estimates and such differences may be material to the financial statements.</w:t>
      </w:r>
    </w:p>
    <w:p>
      <w:pPr>
        <w:spacing w:after="0" w:line="8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13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investments and trade accounts receivable.</w:t>
      </w:r>
    </w:p>
    <w:p>
      <w:pPr>
        <w:spacing w:after="0" w:line="7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maintains cash, cash equivalents and short-term and long-term investments with high credit quality counterparties, continuously monitors the amount of credit exposure to any one issuer and diversifies its investments in order to minimize its credit risk.</w:t>
      </w:r>
    </w:p>
    <w:p>
      <w:pPr>
        <w:spacing w:after="0" w:line="76"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Company sells its products to distributors and original equipment manufacturers involved in a variety of industries including industrial process automation, instrumentation, defense/aerospace, automotive, communications, computers and computer peripherals and consumer electronics. The Company has adopted credit policies and standards to accommodate growth in these markets. The Company performs continuing credit evaluations of its customers’ financial condition and although the Company generally does not require collateral, the Company may require letters of credit from customers in certain circumstances. The Company provides reserves for estimated amounts of accounts receivable that may not be collected.</w:t>
      </w:r>
    </w:p>
    <w:p>
      <w:pPr>
        <w:spacing w:after="0" w:line="6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During fiscal 2018, no sales to an individual customer accounted for more than 10% of revenue. In fiscal 2017 and fiscal 2016, the Company's largest single end customer represented approximately 14% and 12%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m.</w:t>
      </w:r>
      <w:r>
        <w:rPr>
          <w:sz w:val="20"/>
          <w:szCs w:val="20"/>
          <w:color w:val="auto"/>
        </w:rPr>
        <w:tab/>
      </w:r>
      <w:r>
        <w:rPr>
          <w:rFonts w:ascii="Arial" w:cs="Arial" w:eastAsia="Arial" w:hAnsi="Arial"/>
          <w:sz w:val="15"/>
          <w:szCs w:val="15"/>
          <w:b w:val="1"/>
          <w:bCs w:val="1"/>
          <w:i w:val="1"/>
          <w:iCs w:val="1"/>
          <w:color w:val="auto"/>
        </w:rPr>
        <w:t>Concentration of Other Risks</w:t>
      </w:r>
    </w:p>
    <w:p>
      <w:pPr>
        <w:spacing w:after="0" w:line="131"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a large portion of the Company’s purchases of external wafer and foundry services are from a limited number of suppliers, such as Taiwan Semiconductor Manufacturing Company (TSMC), Global Foundries, Vanguard, and others. If these suppliers or any of the Company’s other key suppliers are unable or unwilling to manufacture and deliver sufficient quantities of components, on the time schedule and of the quality that the Company requires, the Company may be forced to engage additional or replacement suppliers, which could result in significant expenses and disruptions or delays in manufacturing, product development and shipment of product to the Company’s customers. Although the Company has experienced shortages of components, materials and external foundry services from time to time, these items have generally been available to the Company as needed.</w:t>
      </w:r>
    </w:p>
    <w:p>
      <w:pPr>
        <w:spacing w:after="0" w:line="8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Revenue Recognition</w:t>
      </w:r>
    </w:p>
    <w:p>
      <w:pPr>
        <w:spacing w:after="0" w:line="13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Revenue from product sales to customers is generally recognized when title passes, which is generally upon shipment in the U.S. and in certain foreign countries. Revenue from product sales to customers in other foreign countries is generally recognized subsequent to product shipment. Title for shipments to these other foreign countries ordinarily passes within a week of shipment. Accordingly, the Company defers the revenue recognized relating to these other foreign countries until title has passed. For multiple element arrangements, the Company allocates arrangement consideration among the elements based on the relative fair values of those elements as determined using vendor-specific objective evidence or third-party evidence. The Company uses its best estimate of selling price to allocate arrangement consideration between the deliverables in cases where neither vendor-specific objective evidence nor third-party evidence is available. A reserve for sales returns and allowances for customers is recorded based on historical experience or specific identification of an event necessitating a reserve.</w:t>
      </w:r>
    </w:p>
    <w:p>
      <w:pPr>
        <w:spacing w:after="0" w:line="9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Revenue from contracts with the United States government, government prime contractors and some commercial customers is generally recorded on a percentage of completion basis using either units delivered or costs incurred as the measurement basis for progress towards completion. The output measure is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subcontractor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84" w:lineRule="exact"/>
        <w:rPr>
          <w:sz w:val="20"/>
          <w:szCs w:val="20"/>
          <w:color w:val="auto"/>
        </w:rPr>
      </w:pPr>
    </w:p>
    <w:p>
      <w:pPr>
        <w:ind w:right="1080" w:firstLine="432"/>
        <w:spacing w:after="0" w:line="277" w:lineRule="auto"/>
        <w:rPr>
          <w:sz w:val="20"/>
          <w:szCs w:val="20"/>
          <w:color w:val="auto"/>
        </w:rPr>
      </w:pPr>
      <w:r>
        <w:rPr>
          <w:rFonts w:ascii="Arial" w:cs="Arial" w:eastAsia="Arial" w:hAnsi="Arial"/>
          <w:sz w:val="18"/>
          <w:szCs w:val="18"/>
          <w:color w:val="auto"/>
        </w:rPr>
        <w:t>Product sales to certain international distributors are made under agreements that permit limited stock return privileges but not sales price rebates. Revenue on these sales is recognized upon shipment at which time title passes.</w:t>
      </w:r>
    </w:p>
    <w:p>
      <w:pPr>
        <w:spacing w:after="0" w:line="76"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The Company defers revenue and the related cost of sales on shipments to U.S. distributors and certain international distributors until the distributors resell the products to their customers. As a result, the Company’s revenue fully reflects end customer purchases and is not impacted by distributor inventory levels. Sales to certain of these distributors are made under agreements that allow such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such distributors are allowed to return unsold products if the Company terminates the relationship with the distributor.</w:t>
      </w:r>
    </w:p>
    <w:p>
      <w:pPr>
        <w:spacing w:after="0" w:line="7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Certain 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upon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6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Certain distributors are also granted price-adjustment credits in the event of a price decrease subsequent to the date the product was shipped and billed to the distributor. Generally, the Company will provide a credit equal to the difference between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price paid by the distributor (less any prior credits on such products) and the new price for the product multiplied by the quantity of the specific product in the distributor’s inventory at the time of the price decrease.</w:t>
      </w:r>
    </w:p>
    <w:p>
      <w:pPr>
        <w:spacing w:after="0" w:line="7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Given the uncertainties associated with the levels of price-adjustment credits to be granted to certain distributors, the sales price to the distributor is not fixed or determinable until the distributor resells the products to their customers. Therefore, the Company defers revenue recognition from sales to certain distributors until such distributors have sold the products to their customers.</w:t>
      </w:r>
    </w:p>
    <w:p>
      <w:pPr>
        <w:spacing w:after="0" w:line="8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Generally, 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 Shipping costs are charged to cost of sales as incurred.</w:t>
      </w:r>
    </w:p>
    <w:p>
      <w:pPr>
        <w:spacing w:after="0" w:line="7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frequent contact with the distributors to ensure reserves are established for all known material issues.</w:t>
      </w:r>
    </w:p>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As of November 3, 2018 and October 28, 2017, the Company had gross deferred revenue of $603.8 million and $589.5 million, respectively, and gross deferred cost of sales of $116.4 million and $115.5 million, respectively.</w:t>
      </w:r>
    </w:p>
    <w:p>
      <w:pPr>
        <w:spacing w:after="0" w:line="7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Company generally offers a twelve-month warranty for its products. The Company’s warranty policy provides for replacement of defective products. Specific accruals are recorded for known product warranty issues. Product warranty expenses during fiscal 2018, fiscal 2017 and fiscal 2016 were not material.</w:t>
      </w:r>
    </w:p>
    <w:p>
      <w:pPr>
        <w:spacing w:after="0" w:line="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Accumulated Other Comprehensive (Loss) Income</w:t>
      </w:r>
    </w:p>
    <w:p>
      <w:pPr>
        <w:spacing w:after="0" w:line="13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Accumulated other comprehensive (loss) income includes certain transactions that have generally been reported in the consolidated statement of shareholders’ equity. The components of accumulated other comprehensive loss at November 3, 2018 and October 28, 2017 consisted of the following, net of tax:</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Unrealized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Foreign currency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holding gains on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5"/>
              </w:rPr>
              <w:t>holding (losses) on</w:t>
            </w: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translation</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available for sale</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available for sale</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holding Gains on</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adjustment</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securities</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securities</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Pension Plans</w:t>
            </w:r>
          </w:p>
        </w:tc>
        <w:tc>
          <w:tcPr>
            <w:tcW w:w="32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r>
      <w:tr>
        <w:trPr>
          <w:trHeight w:val="33"/>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28, 2017</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(61,359)</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Other comprehensive income before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13,358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5,679</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out of other</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Tax effects</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(2,685)</w:t>
            </w:r>
          </w:p>
        </w:tc>
      </w:tr>
      <w:tr>
        <w:trPr>
          <w:trHeight w:val="27"/>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2,919</w:t>
            </w:r>
          </w:p>
        </w:tc>
      </w:tr>
      <w:tr>
        <w:trPr>
          <w:trHeight w:val="257"/>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November 3, 2018</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(58,440)</w:t>
            </w: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loss into the consolidated statement of income, with presentation location during each period were as follows: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1"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Component</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holding (losses) gains on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Currency 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rate derivatives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311"/>
        </w:trPr>
        <w:tc>
          <w:tcPr>
            <w:tcW w:w="4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Amortization of pension components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Transition obligation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60"/>
              <w:spacing w:after="0"/>
              <w:rPr>
                <w:sz w:val="20"/>
                <w:szCs w:val="20"/>
                <w:color w:val="auto"/>
              </w:rPr>
            </w:pPr>
            <w:r>
              <w:rPr>
                <w:rFonts w:ascii="Arial" w:cs="Arial" w:eastAsia="Arial" w:hAnsi="Arial"/>
                <w:sz w:val="18"/>
                <w:szCs w:val="18"/>
                <w:color w:val="auto"/>
              </w:rPr>
              <w:t>Prior service credit and curtailment recognition</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Actuarial losses and settlement recognition</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84"/>
        </w:trPr>
        <w:tc>
          <w:tcPr>
            <w:tcW w:w="4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Total amounts reclassified out of accumulated other</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5,669</w:t>
            </w: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comprehensive income, net of tax</w:t>
            </w:r>
          </w:p>
        </w:tc>
        <w:tc>
          <w:tcPr>
            <w:tcW w:w="3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8890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-130175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660" w:right="420"/>
        <w:spacing w:after="0" w:line="261" w:lineRule="auto"/>
        <w:rPr>
          <w:sz w:val="20"/>
          <w:szCs w:val="20"/>
          <w:color w:val="auto"/>
        </w:rPr>
      </w:pPr>
      <w:r>
        <w:rPr>
          <w:rFonts w:ascii="Arial" w:cs="Arial" w:eastAsia="Arial" w:hAnsi="Arial"/>
          <w:sz w:val="18"/>
          <w:szCs w:val="18"/>
          <w:color w:val="auto"/>
        </w:rPr>
        <w:t xml:space="preserve">a) The amortization of pension components is included in the computation of net periodic pension cost. See Note 11, </w:t>
      </w:r>
      <w:r>
        <w:rPr>
          <w:rFonts w:ascii="Arial" w:cs="Arial" w:eastAsia="Arial" w:hAnsi="Arial"/>
          <w:sz w:val="18"/>
          <w:szCs w:val="18"/>
          <w:i w:val="1"/>
          <w:iCs w:val="1"/>
          <w:color w:val="auto"/>
        </w:rPr>
        <w:t>Retirement Plans,</w:t>
      </w:r>
      <w:r>
        <w:rPr>
          <w:rFonts w:ascii="Arial" w:cs="Arial" w:eastAsia="Arial" w:hAnsi="Arial"/>
          <w:sz w:val="18"/>
          <w:szCs w:val="18"/>
          <w:color w:val="auto"/>
        </w:rPr>
        <w:t xml:space="preserve"> of these Notes to Consolidated Financial Statements for further information</w:t>
      </w:r>
      <w:r>
        <w:rPr>
          <w:rFonts w:ascii="Arial" w:cs="Arial" w:eastAsia="Arial" w:hAnsi="Arial"/>
          <w:sz w:val="18"/>
          <w:szCs w:val="18"/>
          <w:i w:val="1"/>
          <w:iCs w:val="1"/>
          <w:color w:val="auto"/>
        </w:rPr>
        <w:t>.</w:t>
      </w:r>
    </w:p>
    <w:p>
      <w:pPr>
        <w:spacing w:after="0" w:line="8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Expense</w:t>
      </w:r>
    </w:p>
    <w:p>
      <w:pPr>
        <w:spacing w:after="0" w:line="13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Advertising costs are expensed as incurred. Advertising expense was approximately $10.4 million in fiscal 2018, $11.7 million in fiscal 2017 and $5.6 million in fiscal 2016.</w:t>
      </w:r>
    </w:p>
    <w:p>
      <w:pPr>
        <w:spacing w:after="0" w:line="7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 xml:space="preserve">Deferred tax assets and liabilities are determined based on the differences between financial reporting and tax basis of assets and liabilities and are measured using the enacted income tax rates and laws that are expected to be in effect when the temporary differences are expected to reverse. A valuation allowance is recorded when it is more likely than not that some or all of the deferred tax assets will not be realized. The calculation of the tax liabilities involves dealing with uncertainties in the application of complex tax regulations. If it is more likely than not that the tax position will not be sustained on audit, an uncertain tax position is recorded. The Company re-evaluates these uncertain tax positions on a quarterly basis. See Note 12, </w:t>
      </w:r>
      <w:r>
        <w:rPr>
          <w:rFonts w:ascii="Arial" w:cs="Arial" w:eastAsia="Arial" w:hAnsi="Arial"/>
          <w:sz w:val="17"/>
          <w:szCs w:val="17"/>
          <w:i w:val="1"/>
          <w:iCs w:val="1"/>
          <w:color w:val="auto"/>
        </w:rPr>
        <w:t>Income Taxes</w:t>
      </w:r>
      <w:r>
        <w:rPr>
          <w:rFonts w:ascii="Arial" w:cs="Arial" w:eastAsia="Arial" w:hAnsi="Arial"/>
          <w:sz w:val="17"/>
          <w:szCs w:val="17"/>
          <w:color w:val="auto"/>
        </w:rPr>
        <w:t>, of these Notes to Consolidated Financial Statements for further information related to income taxes.</w:t>
      </w:r>
    </w:p>
    <w:p>
      <w:pPr>
        <w:spacing w:after="0" w:line="8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 of Common Stock</w:t>
      </w:r>
    </w:p>
    <w:p>
      <w:pPr>
        <w:spacing w:after="0" w:line="131" w:lineRule="exact"/>
        <w:rPr>
          <w:sz w:val="20"/>
          <w:szCs w:val="20"/>
          <w:color w:val="auto"/>
        </w:rPr>
      </w:pPr>
    </w:p>
    <w:p>
      <w:pPr>
        <w:ind w:right="200" w:firstLine="432"/>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and restricted stock units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and restricted stock units were excluded because they were anti-dilutive. Those potential shares, determined based on the weighted average exercise prices during the respective periods, could be dilutive in the future.</w:t>
      </w:r>
    </w:p>
    <w:p>
      <w:pPr>
        <w:spacing w:after="0" w:line="7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connection with the Acquisition, the Company granted restricted stock awards to replace outstanding restricted stock awards of Linear employees. These restricted stock awards entitle recipients to voting and nonforfeitable dividend rights from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date of grant. These unvested stock-based compensation awards are considered participating securities and the two-class method is used for purposes of calculating earnings per share. Under the two-class method, a portion of net income is allocated to these participating securities and therefore is excluded from the calculation of earnings per share allocated to common stock, as shown in the table below. The difference between the income allocated to participating securities under the basic and diluted two-class methods is not material.</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1,495,432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727,259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861,664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allocated to common shareholders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1,489,523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725,016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861,664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shares: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370,430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346,371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308,736</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common share 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shares: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370,430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346,371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308,736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Assumed exercise of common stock equivalents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Weighted-average common and common equivalent shares</w:t>
            </w: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374,938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350,484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312,308</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common share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Anti-dilutive shares related to:</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stock options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 xml:space="preserve">Stock-based compensation is measured at the grant date based on the grant-date fair value of the awards ultimately expected to vest and is recognized as an expense on a straight-line basis over the vesting period, which is generally four years for stock options and restricted stock units, or in annual installments of 25% on each of the first, second, third and fourth anniversaries of the date of grant in fiscal 2018. For grants issued prior to 2018, the vesting period was generally five years for stock options, or in annual installments of 20% on each of the first, second, third, fourth and fifth anniversaries of the date of grant and in one installment on the third anniversary of the date of grant for restricted stock units/awards. Determining the amount of stock-based compensation to be recorded for stock options requires the Company to develop estimates used in calculating the grant-date fair value of awards. The Company uses the Black-Scholes valuation model to calculate the grant-date fair value of stock option awards. The use of valuation models requires the Company to make estimates and assumptions, such as expected volatility, expected term, risk-free interest rate, expected dividend yield and forfeiture rates. The grant-date fair value of restricted stock units with only a service condition represents the value of the Company's common stock on the date of grant, reduced by the present value of dividends expected to be paid on the Company's common stock prior to vesting. See Note 3, </w:t>
      </w:r>
      <w:r>
        <w:rPr>
          <w:rFonts w:ascii="Arial" w:cs="Arial" w:eastAsia="Arial" w:hAnsi="Arial"/>
          <w:sz w:val="16"/>
          <w:szCs w:val="16"/>
          <w:i w:val="1"/>
          <w:iCs w:val="1"/>
          <w:color w:val="auto"/>
        </w:rPr>
        <w:t>Stock-Based Compensation and Shareholders' Equity,</w:t>
      </w:r>
      <w:r>
        <w:rPr>
          <w:rFonts w:ascii="Arial" w:cs="Arial" w:eastAsia="Arial" w:hAnsi="Arial"/>
          <w:sz w:val="16"/>
          <w:szCs w:val="16"/>
          <w:color w:val="auto"/>
        </w:rPr>
        <w:t xml:space="preserve"> of these Notes to Consolidated Financial Statements for additional information relating to stock-based compensation.</w:t>
      </w:r>
    </w:p>
    <w:p>
      <w:pPr>
        <w:spacing w:after="0" w:line="78"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Derivatives and Hedging</w:t>
      </w:r>
    </w:p>
    <w:p>
      <w:pPr>
        <w:spacing w:after="0" w:line="90"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(ASU 2017-12), which amends and simplifies existing guidance in order to allow companies to more accurately present the economic effects of risk management activities in the financial statements. ASU 2017-12 is effective for fiscal years beginning after December 15, 2018, including interim periods within those years. Early adoption is permitted. ASU 2017-12 is effective for the Company in the first quarter of the fiscal year ending October 31, 2020 (fiscal 2020). The Company early adopted ASU 2017-12 in the third quarter of fiscal 2018. The adoption of ASU 2017-12 did not impact the Company's financial position or results of operations.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1"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Compensation</w:t>
      </w:r>
    </w:p>
    <w:p>
      <w:pPr>
        <w:spacing w:after="0" w:line="9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(ASU 2016-09). ASU 2016-09 simplifies several aspects of the accounting for share-based payment transactions, including the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classification of awards as either equity or liabilities, and classification on the statement of cash flows. ASU 2016-09 is effective for fiscal years, and interim periods within those annual periods, beginning after December 15, 2016 and allows for prospective, retrospective or modified retrospective adoption, depending on the area covered in the update, with early adoption permitted. The Company adopted ASU 2016-09 in the first quarter of fiscal 2018. The Company recorded total excess tax benefits of $26.2 million in fiscal 2018 from its share-based payments within income tax expense in its consolidated statements of income. These excess tax benefits are presented within operating activities in the condensed consolidated statements of cash flows. The Company applied this change in presentation retrospectively and has adjusted prior year presentation by removing the reclass of $41.8 million and $10.5 million of excess tax benefit-stock options from net cash provided by operating activities to net cash provided by financing activities in fiscal 2017 and in fiscal 2016, respectively. The Company elected not to change its policy on accounting for forfeitures and continues to estimate forfeitures expected to occur to determine the amount of compensation cost to be recognized in each period. The adoption of ASU 2016-09 also changed the calculation of fully diluted shares outstanding. The excess tax benefits have been excluded from the calculation of assumed proceeds in the Company's calculation of diluted weighted shares under the new standard.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Method Investments</w:t>
      </w:r>
    </w:p>
    <w:p>
      <w:pPr>
        <w:spacing w:after="0" w:line="9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 xml:space="preserve">In March 2016, the FASB issued ASU 2016-07, </w:t>
      </w:r>
      <w:r>
        <w:rPr>
          <w:rFonts w:ascii="Arial" w:cs="Arial" w:eastAsia="Arial" w:hAnsi="Arial"/>
          <w:sz w:val="18"/>
          <w:szCs w:val="18"/>
          <w:i w:val="1"/>
          <w:iCs w:val="1"/>
          <w:color w:val="auto"/>
        </w:rPr>
        <w:t>Investments - Equity Method and Joint Ventures (Topic 323): Simplifying the Transition to the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Method of Accounting </w:t>
      </w:r>
      <w:r>
        <w:rPr>
          <w:rFonts w:ascii="Arial" w:cs="Arial" w:eastAsia="Arial" w:hAnsi="Arial"/>
          <w:sz w:val="18"/>
          <w:szCs w:val="18"/>
          <w:color w:val="auto"/>
        </w:rPr>
        <w:t>(ASU 2016-07). ASU 2016-07 eliminates the requirement that when an investment, initially accounted for under a method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the equity method of accounting, subsequently qualifies for use of the equity method, an investor must retrospectively apply the equity method in prior periods in which it held the investment. This requires an investor to determine the fair value of the investee’s underlying assets and liabilities retrospectively at each investment date and revise all prior periods as if the equity method had always been applied. The new guidance requires the investor to apply the equity method prospectively from the date the investment qualifies for the equity method. The investor will add the carrying value of the existing investment to the cost of the additional investment to determine the initial cost basis of the equity method investment. ASU 2016-07 is effective for fiscal years beginning after December 15, 2016, and interim periods within those fiscal years, and early adoption is permitted. The Company adopted ASU 2016-07 in the first quarter of fiscal 2018. The adoption of ASU 2016-07 in the first quarter of fiscal 2018 did not impact the Company's financial position or results of operations.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xml:space="preserve"> -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(ASU 2015-11)</w:t>
      </w:r>
      <w:r>
        <w:rPr>
          <w:rFonts w:ascii="Arial" w:cs="Arial" w:eastAsia="Arial" w:hAnsi="Arial"/>
          <w:sz w:val="16"/>
          <w:szCs w:val="16"/>
          <w:i w:val="1"/>
          <w:iCs w:val="1"/>
          <w:color w:val="auto"/>
        </w:rPr>
        <w:t>,</w:t>
      </w:r>
      <w:r>
        <w:rPr>
          <w:rFonts w:ascii="Arial" w:cs="Arial" w:eastAsia="Arial" w:hAnsi="Arial"/>
          <w:sz w:val="16"/>
          <w:szCs w:val="16"/>
          <w:color w:val="auto"/>
        </w:rPr>
        <w:t xml:space="preserve"> which simplifies the subsequent measurement of inventories by replacing the lower of cost or market test with a lower of cost and net realizable value test. The guidance applies only to inventories for which cost is determined by methods other than last-in first-out and the retail inventory method. The guidance in ASU 2015-11 is effective for fiscal years beginning after December 15, 2016 and early adoption is permitted. The Company adopted ASU 2015-11 in the first quarter of fiscal 2018. The adoption of ASU 2015-11 in the first quarter of fiscal 2018 did not impact the Company's financial position or results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Retirement Benefits</w:t>
      </w:r>
    </w:p>
    <w:p>
      <w:pPr>
        <w:spacing w:after="0" w:line="9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(ASU 2018-14), which modifies the disclosure requirements for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pension plans and other post-retirement plans. ASU 2018-14 is effective for fiscal years ending after December 15, 2020, with early adoption permitted. ASU 2018-14 is effective for the Company in the first quarter of fiscal 2021. The Company is currently evaluating the adoption date. The adoption of ASU 2018-14 will modify the Company's disclosures for defined benefit plans and other post-retirement plans but is not expected to impact its financial position or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(Topic 220): Reclassification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 Effects from Accumulated Other Comprehensive Income </w:t>
      </w:r>
      <w:r>
        <w:rPr>
          <w:rFonts w:ascii="Arial" w:cs="Arial" w:eastAsia="Arial" w:hAnsi="Arial"/>
          <w:sz w:val="18"/>
          <w:szCs w:val="18"/>
          <w:color w:val="auto"/>
        </w:rPr>
        <w:t>(ASU 2018-01). ASU 2018-01 allows for reclassification of stranded tax effects resulting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Tax Cuts and Jobs Act of 2017 from accumulated other comprehensive income to retained earnings. ASU 2018-02 is effective for fiscal years beginning after December 15, 2018, with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early adoption permitted. ASU 2018-02 is effective for the Company in the first quarter of fiscal 2020. The Company is currently evaluating the adoption date and the impact, if any, adoption will have on its financial position and results of operations.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(ASU 2017-01).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The guidance is effective for annual periods beginning after December 15, 2017, including interim periods within those periods. The Company will adopt ASU 2017-01 in the first quarter of fiscal 2019. The impact of the adoption on the Company's financial position and results of operations will be dependent upon any future acquisitions or disposals.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(ASU 2016-16)</w:t>
      </w:r>
      <w:r>
        <w:rPr>
          <w:rFonts w:ascii="Arial" w:cs="Arial" w:eastAsia="Arial" w:hAnsi="Arial"/>
          <w:sz w:val="16"/>
          <w:szCs w:val="16"/>
          <w:i w:val="1"/>
          <w:iCs w:val="1"/>
          <w:color w:val="auto"/>
        </w:rPr>
        <w:t>.</w:t>
      </w:r>
      <w:r>
        <w:rPr>
          <w:rFonts w:ascii="Arial" w:cs="Arial" w:eastAsia="Arial" w:hAnsi="Arial"/>
          <w:sz w:val="16"/>
          <w:szCs w:val="16"/>
          <w:color w:val="auto"/>
        </w:rPr>
        <w:t xml:space="preserve"> ASU 2016-16 will require an entity to recognize the income tax consequences of an intra-entity transfer of an asset, other than inventory, when the transfer occurs. ASU 2016-16 is effective for fiscal years beginning after December 15, 2017, and interim periods within those fiscal years. Early adoption is permitted as of the beginning of an annual reporting period for which financial statements have not been issued or made available for issuance. The Company will adopt ASU 2016-16 in the first quarter of fiscal 2019. The Company is currently evaluating the impact of the adoption of this standard will have on its consolidated financial statements but expects to recognize its previously deferred tax related to intra-entity transfers upon adoption, through a material cumulative-effect adjustment to retained earnings.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Statement of Cash Flows</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xml:space="preserve"> (ASU 2016-15). ASU 2016-15 provides guidance on several specific cash flow issues, including debt prepayment or extinguishment costs, settlement of certain debt instruments, contingent consideration payments made after a business combination, proceeds from the settlement of certain insurance claims and distributions received from equity method investees. ASU 2016-15 is effective for fiscal years beginning after December 15, 2017, and interim periods within those fiscal years. Early adoption is permitted in any interim or annual period. The Company will adopt ASU 2016-15 in the first quarter of fiscal 2019. The adoption of ASU 2016-15 will not have a material impact on the Company's financial position and results of operations.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In January 2018, the FASB issued ASU 2018-01, </w:t>
      </w:r>
      <w:r>
        <w:rPr>
          <w:rFonts w:ascii="Arial" w:cs="Arial" w:eastAsia="Arial" w:hAnsi="Arial"/>
          <w:sz w:val="16"/>
          <w:szCs w:val="16"/>
          <w:i w:val="1"/>
          <w:iCs w:val="1"/>
          <w:color w:val="auto"/>
        </w:rPr>
        <w:t>Leases (Topic 842): Land Easement Practical Expedient for Transition to Topic 842</w:t>
      </w:r>
      <w:r>
        <w:rPr>
          <w:rFonts w:ascii="Arial" w:cs="Arial" w:eastAsia="Arial" w:hAnsi="Arial"/>
          <w:sz w:val="16"/>
          <w:szCs w:val="16"/>
          <w:color w:val="auto"/>
        </w:rPr>
        <w:t xml:space="preserve"> (ASU 2018-01). ASU 2018-01 permits an entity to elect an optional transition practical expedient to not evaluate land easements that existed or expired before the entity’s adoption of Topic 842 and that were not previously accounted for as leases under Topic 840. In July 2018, the FASB issued ASU 2018-11, </w:t>
      </w:r>
      <w:r>
        <w:rPr>
          <w:rFonts w:ascii="Arial" w:cs="Arial" w:eastAsia="Arial" w:hAnsi="Arial"/>
          <w:sz w:val="16"/>
          <w:szCs w:val="16"/>
          <w:i w:val="1"/>
          <w:iCs w:val="1"/>
          <w:color w:val="auto"/>
        </w:rPr>
        <w:t>Leases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Targeted Improvements (Topic 842) </w:t>
      </w:r>
      <w:r>
        <w:rPr>
          <w:rFonts w:ascii="Arial" w:cs="Arial" w:eastAsia="Arial" w:hAnsi="Arial"/>
          <w:sz w:val="16"/>
          <w:szCs w:val="16"/>
          <w:color w:val="auto"/>
        </w:rPr>
        <w:t>(ASU 2018-11), which provides for an additional transition method that allows companies to apply the new lease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at the adoption date, eliminating the requirement to apply the standard to the earliest period presented in the financial statements.</w:t>
      </w:r>
    </w:p>
    <w:p>
      <w:pPr>
        <w:spacing w:after="0" w:line="32"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ASU 2016-02, ASU 2018-01 and ASU 2018-11 are effective for financial statements issued for fiscal years beginning after December 15, 2018, and interim periods within those fiscal years. ASU 2016-02 and ASU 2018-01 are effective for the Company in the first quarter of fiscal 2020. The Company is currently evaluating the adoption date and the impact adoption will have on its financial position and results of operations.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ASU 2016-13 requires a financial asset (or group of financial assets) measured at amortized cost basis to be presented at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2019, and for interim periods within those fiscal years. ASU 2016-13 is effective for the Company in the first quarter of fiscal 2020. The Company is currently evaluating the adoption date and the impact, if any, adoption will have on its financial position and results of operations.</w:t>
      </w:r>
    </w:p>
    <w:p>
      <w:pPr>
        <w:spacing w:after="0" w:line="1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Financial Liabilities </w:t>
      </w:r>
      <w:r>
        <w:rPr>
          <w:rFonts w:ascii="Arial" w:cs="Arial" w:eastAsia="Arial" w:hAnsi="Arial"/>
          <w:sz w:val="17"/>
          <w:szCs w:val="17"/>
          <w:color w:val="auto"/>
        </w:rPr>
        <w:t>(ASU 2016-01). ASU 2016-01 requires equity investments to be measured at fair value with changes in fair value recognized in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simplifies the impairment assessment of equity investments without readily determinable fair values by requiring a qualitative assessment to identify impairment; eliminates the requirement for public business entities to disclose the method(s) and significant assumptions used to estimate the fair value that is required to be disclosed for financial instruments measured at amortized cost on the balance sheet; requires public business entities to use the exit price notion when measuring the fair value of financial instruments for disclosure purposes;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requires separate presentation of financial assets and financial liabilities by measurement category and form of financial assets on the balance sheet or the accompanying notes to the financial statements; and clarifies that an entity should evaluate the need for a valuation allowance on a deferred tax asset related to available-for-sale securities in combination with the entity’s other deferred tax assets. ASU 2016-01 is effective for financial statements issued for fiscal years beginning after December 15, 2017, and interim periods within those fiscal years. ASU 2016-01 is effective for the Company in the first quarter of fiscal 2019. The Company is currently evaluating the impact adoption will have on its financial position and results of operations.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Compensation</w:t>
      </w:r>
    </w:p>
    <w:p>
      <w:pPr>
        <w:spacing w:after="0" w:line="90"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 - 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(ASU 2018-07). ASU 2018-07 expands the scope of Topic 718 to include all share-based payment transactions for acquiring goods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from nonemployees. ASU 2018-07 is effective for fiscal years beginning after December 15, 2018, including interim periods within that fiscal year, with early adoption permitted. ASU 2018-07 is effective for the Company in the first quarter of fiscal 2020. The Company is currently evaluating the adoption date and the impact, if any, adoption will have on its financial position and results of operations.</w:t>
      </w:r>
    </w:p>
    <w:p>
      <w:pPr>
        <w:spacing w:after="0" w:line="3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(ASU 2017-09)</w:t>
      </w:r>
      <w:r>
        <w:rPr>
          <w:rFonts w:ascii="Arial" w:cs="Arial" w:eastAsia="Arial" w:hAnsi="Arial"/>
          <w:sz w:val="18"/>
          <w:szCs w:val="18"/>
          <w:i w:val="1"/>
          <w:iCs w:val="1"/>
          <w:color w:val="auto"/>
        </w:rPr>
        <w:t>.</w:t>
      </w:r>
      <w:r>
        <w:rPr>
          <w:rFonts w:ascii="Arial" w:cs="Arial" w:eastAsia="Arial" w:hAnsi="Arial"/>
          <w:sz w:val="18"/>
          <w:szCs w:val="18"/>
          <w:color w:val="auto"/>
        </w:rPr>
        <w:t xml:space="preserve"> The new guidance clarifies when a change to the terms or conditions of a share-based payment award must be accounted for as a modification. ASU 2017-09 is effective for fiscal years, and interim periods within those annual periods, beginning after December 15, 2017, with early adoption permitted. ASU 2017-09 is effective for the Company in the first quarter of fiscal 2019. The Company is currently evaluating the impact adoption will have on its financial position and results of operations.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supersedes nearly all existing revenue recognition guidance under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The FASB has issued several amendments and updates to the new revenue standard, including guidance related to when an entity should recognize revenue gross as a principal or net as an agent and how an entity should identify performance obligations. As amended, ASU 2014-09 is effective for fiscal years, and interim periods within those fiscal years, beginning after December 15, 2017, which is the Company's first quarter of fiscal 2019. The Company is approaching the final stage of its project plan for the implementation of the guidance. The Company has reviewed its revenue streams, including those from the Acquisition, and is nearing completion in assessing all potential impacts of the standard on its consolidated financial statements and related disclosures, including any impacts from recently issued amendments, and retrospectively adjusting financial information for prior fiscal years. The most significant impact of adopting the new standard will be related to the timing of recognition of sales to certain distributors. As described in Note 2, </w:t>
      </w:r>
      <w:r>
        <w:rPr>
          <w:rFonts w:ascii="Arial" w:cs="Arial" w:eastAsia="Arial" w:hAnsi="Arial"/>
          <w:sz w:val="16"/>
          <w:szCs w:val="16"/>
          <w:i w:val="1"/>
          <w:iCs w:val="1"/>
          <w:color w:val="auto"/>
        </w:rPr>
        <w:t>Revenue Recognition</w:t>
      </w:r>
      <w:r>
        <w:rPr>
          <w:rFonts w:ascii="Arial" w:cs="Arial" w:eastAsia="Arial" w:hAnsi="Arial"/>
          <w:sz w:val="16"/>
          <w:szCs w:val="16"/>
          <w:color w:val="auto"/>
        </w:rPr>
        <w:t>, of these Notes to the Consolidated Financial Statements, the Company currently defers revenue and the related cost of sales on shipments to certain distributors until the distributors resell the products to their customers. Upon adoption of ASU 2014-09, the Company will no longer be permitted to defer revenue until sale by the distributor to the end customer, but rather, will be required to estimate the effects of returns and allowances provided to distributors and record revenue at the time of sale to the distributor. The Company will adopt ASU 2014-09, using the full retrospective method, upon its effective date for the Company which is the Company’s first quarter of fiscal 2019.</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220" w:right="7100" w:hanging="212"/>
        <w:spacing w:after="0" w:line="393" w:lineRule="auto"/>
        <w:tabs>
          <w:tab w:leader="none" w:pos="18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and Shareholders’ Equity </w:t>
      </w:r>
      <w:r>
        <w:rPr>
          <w:rFonts w:ascii="Arial" w:cs="Arial" w:eastAsia="Arial" w:hAnsi="Arial"/>
          <w:sz w:val="18"/>
          <w:szCs w:val="18"/>
          <w:i w:val="1"/>
          <w:iCs w:val="1"/>
          <w:u w:val="single" w:color="auto"/>
          <w:color w:val="auto"/>
        </w:rPr>
        <w:t>Equity Compensation Plans</w:t>
      </w:r>
    </w:p>
    <w:p>
      <w:pPr>
        <w:spacing w:after="0" w:line="1" w:lineRule="exact"/>
        <w:rPr>
          <w:sz w:val="20"/>
          <w:szCs w:val="20"/>
          <w:color w:val="auto"/>
        </w:rPr>
      </w:pPr>
    </w:p>
    <w:p>
      <w:pPr>
        <w:ind w:firstLine="432"/>
        <w:spacing w:after="0" w:line="283" w:lineRule="auto"/>
        <w:rPr>
          <w:sz w:val="20"/>
          <w:szCs w:val="20"/>
          <w:color w:val="auto"/>
        </w:rPr>
      </w:pPr>
      <w:r>
        <w:rPr>
          <w:rFonts w:ascii="Arial" w:cs="Arial" w:eastAsia="Arial" w:hAnsi="Arial"/>
          <w:sz w:val="16"/>
          <w:szCs w:val="16"/>
          <w:color w:val="auto"/>
        </w:rPr>
        <w:t>The Company grants, or has granted, stock options and other stock and stock-based awards under the Company's Amended and Restated 2006 Stock Incentive Plan (2006 Plan). This plan was originally approved by shareholders on March 14, 2006, and shareholders subsequently approved the amended and restated 2006 Plan in March 2014. The 2006 Plan provides for the grant of up to 34 million shares of the Company’s common stock, plus such number of additional shares that were subject to outstanding options under the Company’s previous equity compensation plans that have not been issued because the applicable option award subsequently terminates or expires without being exercised. The 2006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2006 Plan. No award may be made under the 2006 Plan after March 12, 2021, but awards previously granted may extend beyond that date. The Company will not grant further equity awards under any previous equity compensation plans. In connection with the Acquisition, the Company assumed the Linear Technology Corporation Amended and Restated 2005 Equity Incentive Plan (the 2005 Plan) and the Linear Technology Corporation Amended and Restated 2010 Equity Incentive Plan (now referred to as the Analog Devices, Inc. Amended and Restated 2010 Equity Incentive Plan) (the</w:t>
      </w:r>
    </w:p>
    <w:p>
      <w:pPr>
        <w:spacing w:after="0" w:line="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2010 Plan). The Company will not grant further equity awards under the 2005 Plan but may grant stock options and other stock and stock-based awards under the 2010 Plan.</w:t>
      </w:r>
    </w:p>
    <w:p>
      <w:pPr>
        <w:spacing w:after="0" w:line="8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While the Company may grant options to employees that become exercisable at different times or within different periods, in fiscal 2018, the Company generally granted to employees options that vest over four years and become exercisable in annual installments of 25% on each of the first, second, third and fourth anniversaries of the date of grant. For grants issued prior to fiscal 2018 the options granted to employees generally vested over five years and became exercisable in annual installments of 20% on each of the first, second, third, fourth and fifth anniversaries of the date of grant. The maximum contractual term of all options is ten years.</w:t>
      </w:r>
    </w:p>
    <w:p>
      <w:pPr>
        <w:spacing w:after="0" w:line="94"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In addition, in fiscal 2018, the Company granted to employees restricted stock units that generally vest over four years in annual installments of 25% on each of the first, second, third and fourth anniversaries of the date of grant. For grants issued prior to fiscal 2018 restricted stock units generally vested in one installment on the third anniversary of the date of grant.</w:t>
      </w:r>
    </w:p>
    <w:p>
      <w:pPr>
        <w:spacing w:after="0" w:line="8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As of November 3, 2018, a total of 11.4 million and 1.6 million common shares were available for future grant under the 2006 Plan and 2010 Plan, respectively, and 25.5 million common shares were reserved for issuance under the 2006 Plan, 2010 Plan and the Company's previous equity compensation plans.</w:t>
      </w:r>
    </w:p>
    <w:p>
      <w:pPr>
        <w:spacing w:after="0" w:line="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Stock-based compensation is measured at the grant date based on the grant-date fair value of the awards ultimately expected to vest and is recognized as an expense on a straight-line basis over the vesting period. Determining the amount of stock-based compensation to be recorded requires the Company to develop estimates used in calculating the grant-date fair value of stock options.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Linear Replacement Awards</w:t>
      </w:r>
    </w:p>
    <w:p>
      <w:pPr>
        <w:spacing w:after="0" w:line="17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 connection with the Acquisition, the Company issued equity awards, consisting of restricted stock awards and restricted stock units (replacement awards), to certain Linear employees in replacement of Linear equity awards. The replacement awards consisted of restricted stock awards and restricted stock units for approximately 2.8 million shares of the Company's common stock with a weighted average grant date fair value of $82.20. The terms and intrinsic value of these replacement awards are substantially the same as the converted Linear awards. The fair value of the replacement awards associated with services rendered through the Acquisition Date was recognized as a component of the total acquisition consideration, and the remaining fair value of the replacement awards associated with post-Acquisition services will be recognized as an expense on a straight-line basis over the remaining vesting period.</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Modification of Awards</w:t>
      </w:r>
    </w:p>
    <w:p>
      <w:pPr>
        <w:spacing w:after="0" w:line="13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Company has, from time to time, modified the terms of its equity awards to employees and directors. The modifications made to the Company’s equity awards in fiscal 2018, fiscal 2017 and fiscal 2016 did not result in significant incremental compensation costs, either individually or in the aggregate.</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Grant-Date Fair Value</w:t>
      </w:r>
    </w:p>
    <w:p>
      <w:pPr>
        <w:spacing w:after="0" w:line="131"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Company uses the Black-Scholes valuation model to calculate the grant-date fair value of stock option awards. The use of valuation models requires the Company to make estimates and assumptions, such as expected volatility, expected term,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risk-free interest rate, expected dividend yield and forfeiture rates. The grant-date fair value of restricted stock units with a service condition represents the value of the Company's common stock on the date of grant, reduced by the present value of dividends expected to be paid on the Company's common stock prior to vesting.</w:t>
      </w:r>
    </w:p>
    <w:p>
      <w:pPr>
        <w:spacing w:after="0" w:line="8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using the Black-Scholes valuation model granted in fiscal 2018, fiscal 2017 and fiscal 2016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Options</w:t>
            </w:r>
          </w:p>
        </w:tc>
        <w:tc>
          <w:tcPr>
            <w:tcW w:w="1540" w:type="dxa"/>
            <w:vAlign w:val="bottom"/>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4"/>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granted (in thousands)</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1,814</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exercise price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$90.98</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$82.99</w:t>
            </w:r>
          </w:p>
        </w:tc>
        <w:tc>
          <w:tcPr>
            <w:tcW w:w="12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$55.19</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$12.67</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Assumptions: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expected 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term (in years)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dividend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 the remaining maturities of the traded options used to estimate volatility are at least one year.</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8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the risk-free interest rate.</w:t>
      </w:r>
    </w:p>
    <w:p>
      <w:pPr>
        <w:spacing w:after="0" w:line="7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 In connection with the Acquisition, the Company granted restricted stock awards to replace outstanding restricted stock awards of Linear employees. These restricted stock awards entitle recipients to voting and nonforfeitable dividend rights from the date of grant.</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Stock-Based Compensation Expense</w:t>
      </w:r>
    </w:p>
    <w:p>
      <w:pPr>
        <w:spacing w:after="0" w:line="131"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5.0% to all unvested stock-based awards as of November 3, 2018. This analysis will be re-evaluated quarterly and the forfeiture rate will be adjusted as necessary. Ultimately, the actual expense recognized over the vesting period will only be for those awards that vest.</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Additional paid-in-capital (APIC) Pool</w:t>
      </w:r>
    </w:p>
    <w:p>
      <w:pPr>
        <w:spacing w:after="0" w:line="13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adopted ASU 2016-09 during fiscal 2018. ASU 2016-09 eliminated the APIC pool and requires that excess tax benefits and tax deficiencies be recorded in the income statement when awards are settled. As a result of this adoption the Company recorded total excess tax benefits of $26.2 million in fiscal 2018 from its share-based payments within income tax expense in its consolidated statements of income.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For fiscal 2017 and fiscal 2016, the APIC pool represented the excess tax benefits related to share-based compensation that were available to absorb future tax deficiencies. If the amount of future tax deficiencies was greater than the available APIC pool, the Company recorded the excess as income tax expense in its consolidated statements of income. For fiscal 2017 and fiscal 2016, the Company had a sufficient APIC pool to cover any tax deficiencies recorded and as a result, these deficiencies did not affect its results of operations.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Stock-Based Compensation Activity</w:t>
      </w:r>
    </w:p>
    <w:p>
      <w:pPr>
        <w:spacing w:after="0" w:line="13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 summary of the activity under the Company’s stock option plans as of November 3, 2018 and changes during the fiscal year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4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October 28, 2017</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9,347</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603</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$90.98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Options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(264)</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$65.20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Options outstanding at November 3, 2018</w:t>
            </w:r>
          </w:p>
        </w:tc>
        <w:tc>
          <w:tcPr>
            <w:tcW w:w="15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7,297</w:t>
            </w:r>
          </w:p>
        </w:tc>
        <w:tc>
          <w:tcPr>
            <w:tcW w:w="160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$58.42</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$212,151</w:t>
            </w: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Options exercisable at November 3, 2018</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4,089</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$48.93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$156,474</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Options vested or expected to vest at November 3, 2018 (1)</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vMerge w:val="continue"/>
          </w:tcPr>
          <w:p>
            <w:pPr>
              <w:spacing w:after="0"/>
              <w:rPr>
                <w:sz w:val="21"/>
                <w:szCs w:val="21"/>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7,076</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40" w:type="dxa"/>
            <w:vAlign w:val="bottom"/>
          </w:tcPr>
          <w:p>
            <w:pPr>
              <w:ind w:left="460"/>
              <w:spacing w:after="0"/>
              <w:rPr>
                <w:sz w:val="20"/>
                <w:szCs w:val="20"/>
                <w:color w:val="auto"/>
              </w:rPr>
            </w:pPr>
            <w:r>
              <w:rPr>
                <w:rFonts w:ascii="Arial" w:cs="Arial" w:eastAsia="Arial" w:hAnsi="Arial"/>
                <w:sz w:val="18"/>
                <w:szCs w:val="18"/>
                <w:color w:val="auto"/>
              </w:rPr>
              <w:t>$209,396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52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7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total intrinsic value of options exercised (i.e., the difference between the market price at exercise and the price paid by the employee to exercise the options) during fiscal 2018, fiscal 2017 and fiscal 2016 was $123.8 million, $144.6 million and $46.6 million, respectively, and the total amount of proceeds received by the Company from exercise of these options during fiscal 2018, fiscal 2017 and fiscal 2016 was $99.0 million, $133.3 million and $61.5 million, respectively.</w:t>
      </w:r>
    </w:p>
    <w:p>
      <w:pPr>
        <w:spacing w:after="0" w:line="9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 summary of the Company’s restricted stock unit award activity as of November 3, 2018 and changes during the fiscal year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149"/>
        </w:trPr>
        <w:tc>
          <w:tcPr>
            <w:tcW w:w="8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Units/Awards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r>
      <w:tr>
        <w:trPr>
          <w:trHeight w:val="149"/>
        </w:trPr>
        <w:tc>
          <w:tcPr>
            <w:tcW w:w="8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w:t>
            </w:r>
          </w:p>
        </w:tc>
      </w:tr>
      <w:tr>
        <w:trPr>
          <w:trHeight w:val="192"/>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units/awards outstanding at October 28, 2017</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5,680</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$71.88</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Units/Awards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1,668</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$87.88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$69.90</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(443)</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$70.61</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units/awards outstanding at November 3, 2018</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5,289</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$77.54</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As of November 3, 2018, there was $350.7 million of total unrecognized compensation cost related to unvested share-based awards comprised of stock options and restricted stock units. That cost is expected to be recognized over a weighted-average period of 1.6 years. The total grant-date fair value of shares that vested during fiscal 2018, fiscal 2017 and fiscal 2016 was approximately $136.1 million, $114.8 million and $62.8 million, respectively.</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3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Company’s share repurchase program has been in place since August 2004. In the aggregate, the Board of Directors has authorized the Company to repurchase $8.2 billion of the Company’s common stock under the program, which includes the $2.0 billion authorization approved by the Board of Directors on August 21, 2018.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Acquisition, the Company temporarily suspended the share repurchase program. On August 21, 2018, the Company reinstated the share repurchase program and as of November 3, 2018, the Company had repurchased a total of approximately 148.9 million shares of its common stock for approximately $5.6 billion under this program. An additional $2.6 billion remains available for repurchase of shares under the current authorized program. The repurchased shares are held as authorized but unissued shares of common stock.</w:t>
      </w:r>
    </w:p>
    <w:p>
      <w:pPr>
        <w:spacing w:after="0" w:line="9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also, from time to time, repurchases shares in settlement of employee tax withholding obligations due upon the vesting of restricted stock units/awards or the exercise of stock options. The withholding amount is based on the employee's minimum statutory withholding requirement. Any future common stock repurchases will be dependent upon several factors, including the Company's financial performance, outlook, liquidity and the amount of cash the Company has available in the United States.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3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w:t>
      </w:r>
    </w:p>
    <w:p>
      <w:pPr>
        <w:spacing w:after="0" w:line="166"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Industry, Segment and Geographic Information</w:t>
      </w:r>
    </w:p>
    <w:p>
      <w:pPr>
        <w:spacing w:after="0" w:line="13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Company operates and tracks its results in one reportable segment based on the aggregation of eight operating segments. The Company designs, develops, manufactures and markets a broad range of integrated circuits (ICs). The Chief Executive Officer has been identified as the Company's Chief Operating Decision Maker. The Company has determined that all of the Company's operating segments share the following similar economic characteristics, and therefore meet the criteria established for operating segments to be aggregated into one reportable segment, namely:</w:t>
      </w:r>
    </w:p>
    <w:p>
      <w:pPr>
        <w:spacing w:after="0" w:line="63" w:lineRule="exact"/>
        <w:rPr>
          <w:sz w:val="20"/>
          <w:szCs w:val="20"/>
          <w:color w:val="auto"/>
        </w:rPr>
      </w:pPr>
    </w:p>
    <w:p>
      <w:pPr>
        <w:ind w:left="720" w:hanging="280"/>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primary source of revenue for each operating segment is the sale of ICs.</w:t>
      </w:r>
    </w:p>
    <w:p>
      <w:pPr>
        <w:spacing w:after="0" w:line="130" w:lineRule="exact"/>
        <w:rPr>
          <w:rFonts w:ascii="Arial" w:cs="Arial" w:eastAsia="Arial" w:hAnsi="Arial"/>
          <w:sz w:val="18"/>
          <w:szCs w:val="18"/>
          <w:color w:val="auto"/>
        </w:rPr>
      </w:pPr>
    </w:p>
    <w:p>
      <w:pPr>
        <w:ind w:right="580" w:firstLine="440"/>
        <w:spacing w:after="0" w:line="357" w:lineRule="auto"/>
        <w:tabs>
          <w:tab w:leader="none" w:pos="711"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ICs sold by each of the Company's operating segments are manufactured using similar semiconductor manufacturing processes and raw materials in either the Company’s own production facilities or by third-party wafer fabricators using proprietary processes.</w:t>
      </w:r>
    </w:p>
    <w:p>
      <w:pPr>
        <w:spacing w:after="0" w:line="12" w:lineRule="exact"/>
        <w:rPr>
          <w:rFonts w:ascii="Arial" w:cs="Arial" w:eastAsia="Arial" w:hAnsi="Arial"/>
          <w:sz w:val="17"/>
          <w:szCs w:val="17"/>
          <w:color w:val="auto"/>
        </w:rPr>
      </w:pPr>
    </w:p>
    <w:p>
      <w:pPr>
        <w:ind w:right="660" w:firstLine="440"/>
        <w:spacing w:after="0" w:line="324" w:lineRule="auto"/>
        <w:tabs>
          <w:tab w:leader="none" w:pos="7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sells its products to tens of thousands of customers worldwide. Many of these customers use products spanning all operating segments in a wide range of applications.</w:t>
      </w:r>
    </w:p>
    <w:p>
      <w:pPr>
        <w:spacing w:after="0" w:line="35" w:lineRule="exact"/>
        <w:rPr>
          <w:rFonts w:ascii="Arial" w:cs="Arial" w:eastAsia="Arial" w:hAnsi="Arial"/>
          <w:sz w:val="18"/>
          <w:szCs w:val="18"/>
          <w:color w:val="auto"/>
        </w:rPr>
      </w:pPr>
    </w:p>
    <w:p>
      <w:pPr>
        <w:ind w:right="120" w:firstLine="440"/>
        <w:spacing w:after="0" w:line="324" w:lineRule="auto"/>
        <w:tabs>
          <w:tab w:leader="none" w:pos="7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ICs marketed by each of the Company's operating segments are sold globally through a direct sales force, third-party distributors, independent sales representatives and via our website to the same types of customers.</w:t>
      </w:r>
    </w:p>
    <w:p>
      <w:pPr>
        <w:spacing w:after="0" w:line="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All of the Company's operating segments share a similar long-term financial model as they have similar economic characteristics. The causes for variation in operating and financial performance are the same among the Company's operating segments and include factors such as (i) life cycle and price and cost fluctuations, (ii) number of competitors, (iii) product differentiation and (iv) size of market opportunity. Additionally, each operating segment is subject to the overall cyclical nature of the semiconductor industry. Lastly, the number and composition of employees and the amounts and types of tools and materials required for production of products are proportionally similar for each operating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1" w:right="2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Revenue</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Product</w:t>
            </w:r>
          </w:p>
        </w:tc>
        <w:tc>
          <w:tcPr>
            <w:tcW w:w="280" w:type="dxa"/>
            <w:vAlign w:val="bottom"/>
          </w:tcPr>
          <w:p>
            <w:pPr>
              <w:spacing w:after="0"/>
              <w:rPr>
                <w:sz w:val="12"/>
                <w:szCs w:val="12"/>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Revenue</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Product</w:t>
            </w:r>
          </w:p>
        </w:tc>
        <w:tc>
          <w:tcPr>
            <w:tcW w:w="300" w:type="dxa"/>
            <w:vAlign w:val="bottom"/>
          </w:tcPr>
          <w:p>
            <w:pPr>
              <w:spacing w:after="0"/>
              <w:rPr>
                <w:sz w:val="12"/>
                <w:szCs w:val="12"/>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Revenue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3,102,508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2,342,404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1,478,452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988,741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803,211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558,631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856,778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1,044,697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688,176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1,252,915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917,191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696,150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6,200,942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5,107,503</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3,421,409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31"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Revenue by geographic region is based upon the primary end customer location for the Company's products. In fiscal 2018, fiscal 2017 and fiscal 2016, the predominant countries comprising “Rest of North and South America” are Canada and Mexico; the predominant countries comprising “Europe” are Germany, Sweden, France and the United Kingdom; and the predominant countries comprising “Rest of Asia” are South Korea and Taiwan.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CCEEFF"/>
            </w:tcBorders>
          </w:tcPr>
          <w:p>
            <w:pPr>
              <w:spacing w:after="0"/>
              <w:rPr>
                <w:sz w:val="16"/>
                <w:szCs w:val="16"/>
                <w:color w:val="auto"/>
              </w:rPr>
            </w:pPr>
          </w:p>
        </w:tc>
        <w:tc>
          <w:tcPr>
            <w:tcW w:w="6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2,105,662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1,999,041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1,299,629</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North and South America</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103,401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95,957</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1,471,689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1,211,435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924,849</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716,276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506,114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291,649</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China</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1,210,042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842,532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575,690</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Borders>
              <w:bottom w:val="single" w:sz="8" w:color="CCEEFF"/>
            </w:tcBorders>
            <w:shd w:val="clear" w:color="auto" w:fill="CCEEFF"/>
          </w:tcPr>
          <w:p>
            <w:pPr>
              <w:spacing w:after="0"/>
              <w:rPr>
                <w:sz w:val="23"/>
                <w:szCs w:val="23"/>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Asia</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593,872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445,304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233,635</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Subtotal all foreign countries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4,095,280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3,108,462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2,121,780</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6,200,942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5,107,503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3,421,409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0" w:type="dxa"/>
            <w:vAlign w:val="bottom"/>
          </w:tcPr>
          <w:p>
            <w:pPr>
              <w:spacing w:after="0"/>
              <w:rPr>
                <w:sz w:val="20"/>
                <w:szCs w:val="20"/>
                <w:color w:val="auto"/>
              </w:rPr>
            </w:pPr>
          </w:p>
        </w:tc>
        <w:tc>
          <w:tcPr>
            <w:tcW w:w="62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Borders>
              <w:bottom w:val="single" w:sz="8" w:color="CCEEFF"/>
            </w:tcBorders>
            <w:shd w:val="clear" w:color="auto" w:fill="CCEEFF"/>
          </w:tcPr>
          <w:p>
            <w:pPr>
              <w:spacing w:after="0"/>
              <w:rPr>
                <w:sz w:val="23"/>
                <w:szCs w:val="23"/>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505,646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504,968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236,625</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Ireland</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202,611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188,728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174,952</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Philippines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260,355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228,629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194,587</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Singapore</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80,383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77,015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Malaysia</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All other countries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47,819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36,208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29,952</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Subtotal all foreign countries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648,682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602,336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399,491</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240" w:type="dxa"/>
            <w:vAlign w:val="bottom"/>
          </w:tcPr>
          <w:p>
            <w:pPr>
              <w:ind w:left="220"/>
              <w:spacing w:after="0"/>
              <w:rPr>
                <w:sz w:val="20"/>
                <w:szCs w:val="20"/>
                <w:color w:val="auto"/>
              </w:rPr>
            </w:pPr>
            <w:r>
              <w:rPr>
                <w:rFonts w:ascii="Arial" w:cs="Arial" w:eastAsia="Arial" w:hAnsi="Arial"/>
                <w:sz w:val="18"/>
                <w:szCs w:val="18"/>
                <w:color w:val="auto"/>
              </w:rPr>
              <w:t>Total property, plant and equipment</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1,154,328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1,107,304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636,116</w:t>
            </w:r>
          </w:p>
        </w:tc>
        <w:tc>
          <w:tcPr>
            <w:tcW w:w="0" w:type="dxa"/>
            <w:vAlign w:val="bottom"/>
          </w:tcPr>
          <w:p>
            <w:pPr>
              <w:spacing w:after="0"/>
              <w:rPr>
                <w:sz w:val="1"/>
                <w:szCs w:val="1"/>
                <w:color w:val="auto"/>
              </w:rPr>
            </w:pPr>
          </w:p>
        </w:tc>
      </w:tr>
      <w:tr>
        <w:trPr>
          <w:trHeight w:val="20"/>
        </w:trPr>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5.</w:t>
            </w:r>
          </w:p>
        </w:tc>
        <w:tc>
          <w:tcPr>
            <w:tcW w:w="62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Special Charges</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60" w:type="dxa"/>
            <w:vAlign w:val="bottom"/>
            <w:vMerge w:val="continue"/>
          </w:tcPr>
          <w:p>
            <w:pPr>
              <w:spacing w:after="0"/>
              <w:rPr>
                <w:sz w:val="24"/>
                <w:szCs w:val="24"/>
                <w:color w:val="auto"/>
              </w:rPr>
            </w:pPr>
          </w:p>
        </w:tc>
        <w:tc>
          <w:tcPr>
            <w:tcW w:w="6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 The following table displays a roll-forward from October 31, 2015 to November 3, 2018 of the employee separation and exit cost accruals established related to these actions.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Closure of Manufacturing</w:t>
            </w:r>
          </w:p>
        </w:tc>
        <w:tc>
          <w:tcPr>
            <w:tcW w:w="30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Reduction of</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Accrued Restructuring</w:t>
            </w:r>
          </w:p>
        </w:tc>
        <w:tc>
          <w:tcPr>
            <w:tcW w:w="18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Operating</w:t>
            </w:r>
          </w:p>
        </w:tc>
        <w:tc>
          <w:tcPr>
            <w:tcW w:w="17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Early Retirement Action</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0"/>
              </w:rPr>
              <w:t>Costs Action</w:t>
            </w:r>
          </w:p>
        </w:tc>
        <w:tc>
          <w:tcPr>
            <w:tcW w:w="100" w:type="dxa"/>
            <w:vAlign w:val="bottom"/>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Balance at October 31, 2015</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5,877</w:t>
            </w:r>
          </w:p>
        </w:tc>
        <w:tc>
          <w:tcPr>
            <w:tcW w:w="100" w:type="dxa"/>
            <w:vAlign w:val="bottom"/>
          </w:tcPr>
          <w:p>
            <w:pPr>
              <w:spacing w:after="0"/>
              <w:rPr>
                <w:sz w:val="21"/>
                <w:szCs w:val="21"/>
                <w:color w:val="auto"/>
              </w:rPr>
            </w:pPr>
          </w:p>
        </w:tc>
        <w:tc>
          <w:tcPr>
            <w:tcW w:w="580" w:type="dxa"/>
            <w:vAlign w:val="bottom"/>
          </w:tcPr>
          <w:p>
            <w:pPr>
              <w:jc w:val="right"/>
              <w:ind w:right="37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2016 special charges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Severance payments</w:t>
            </w:r>
          </w:p>
        </w:tc>
        <w:tc>
          <w:tcPr>
            <w:tcW w:w="3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Balance at October 29, 2016</w:t>
            </w: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12,374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 special charges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8,126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41,337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Severance payments</w:t>
            </w:r>
          </w:p>
        </w:tc>
        <w:tc>
          <w:tcPr>
            <w:tcW w:w="3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Balance at October 28, 2017</w:t>
            </w: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32,211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 special charges</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Severance payments</w:t>
            </w:r>
          </w:p>
        </w:tc>
        <w:tc>
          <w:tcPr>
            <w:tcW w:w="3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(16,785)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Balance at November 3, 2018</w:t>
            </w: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42,974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Closure of Manufacturing Facilities</w:t>
      </w:r>
    </w:p>
    <w:p>
      <w:pPr>
        <w:spacing w:after="0" w:line="9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During the first quarter of fiscal 2018, the Company recorded a special charge of $41.2 million as a result of its decision to consolidate certain wafer and test facility operations acquired as part of the Acquisition. Over the next two to four years, the Company plans to close its Hillview wafer fabrication facility located in Milpitas, California and its Singapore test facility. The Company intends to transfer Hillview wafer fabrication production to its other internal facilities and to external foundries. In addition, the Company is planning to transition testing operations currently handled in its Singapore facility to its facilities in Penang, Malaysia and the Philippines, in addition to its outsourced assembly and test partners. The special charge was for severance and fringe benefit costs in accordance with the Company's ongoing benefit plan or statutory requirements at foreign locations for 1,249 manufacturing, engineering and selling, marketing, general and administrative (SMG&amp;A) employees.</w:t>
      </w:r>
    </w:p>
    <w:p>
      <w:pPr>
        <w:spacing w:after="0" w:line="43"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During the second, third and fourth quarters of fiscal 2018, the Company recorded special charges totaling $3.3 million in the aggregate related to one-time termination benefits for employees included in this action. These one-time termination benefits are being recognized over the future service period required for employees to earn these benefits. Employees included in this action must continue to be employed by the Company until their employment is terminated by the Company in order to receive the severance benefits. The accrual related to this action is included in other non-current liabilities in the condensed consolidated balance sheet as of November 3, 2018.</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Reduction of Operating Costs Actions</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During fiscal 2018, the Company recorded special charges of approximately $16.9 million for severance and fringe benefit costs in accordance with the Company's ongoing benefit plan or statutory requirements at foreign locations for 126 manufacturing, engineering and SMG&amp;A employees.</w:t>
      </w:r>
    </w:p>
    <w:p>
      <w:pPr>
        <w:spacing w:after="0" w:line="29"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During fiscal 2017, the Company recorded special charges of approximately $8.1 million for severance and fringe benefit costs in accordance with the Company's ongoing benefit plan or statutory requirements at foreign locations for 177 manufacturing, engineering and SMG&amp;A employees.</w:t>
      </w:r>
    </w:p>
    <w:p>
      <w:pPr>
        <w:spacing w:after="0" w:line="5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During fiscal 2016, the Company recorded special charges of approximately $13.7 million for severance and fringe benefit costs in accordance with the Company's ongoing benefit plan for 123 manufacturing, engineering and SMG&amp;A employees.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terminated the employment of all employees associated with the reduction of operating cost actions.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Early Retirement Offer Action</w:t>
      </w:r>
    </w:p>
    <w:p>
      <w:pPr>
        <w:spacing w:after="0" w:line="131" w:lineRule="exact"/>
        <w:rPr>
          <w:sz w:val="20"/>
          <w:szCs w:val="20"/>
          <w:color w:val="auto"/>
        </w:rPr>
      </w:pPr>
    </w:p>
    <w:p>
      <w:pPr>
        <w:ind w:right="440" w:firstLine="392"/>
        <w:spacing w:after="0" w:line="286" w:lineRule="auto"/>
        <w:rPr>
          <w:sz w:val="20"/>
          <w:szCs w:val="20"/>
          <w:color w:val="auto"/>
        </w:rPr>
      </w:pPr>
      <w:r>
        <w:rPr>
          <w:rFonts w:ascii="Arial" w:cs="Arial" w:eastAsia="Arial" w:hAnsi="Arial"/>
          <w:sz w:val="17"/>
          <w:szCs w:val="17"/>
          <w:color w:val="auto"/>
        </w:rPr>
        <w:t>During fiscal 2017, the Company initiated an early retirement offer. This resulted in a special charge of approximately $41.3 million for severance, related benefits and other costs in accordance with this program for 225 manufacturing, engineering and selling, marketing, general and administrative (SMG&amp;A) employees. The Company terminated the employment of all employees associated with this action.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Linear Technology Corporation</w:t>
      </w:r>
    </w:p>
    <w:p>
      <w:pPr>
        <w:spacing w:after="0" w:line="171" w:lineRule="exact"/>
        <w:rPr>
          <w:sz w:val="20"/>
          <w:szCs w:val="20"/>
          <w:color w:val="auto"/>
        </w:rPr>
      </w:pPr>
    </w:p>
    <w:p>
      <w:pPr>
        <w:ind w:right="880" w:firstLine="405"/>
        <w:spacing w:after="0" w:line="274" w:lineRule="auto"/>
        <w:rPr>
          <w:sz w:val="20"/>
          <w:szCs w:val="20"/>
          <w:color w:val="auto"/>
        </w:rPr>
      </w:pPr>
      <w:r>
        <w:rPr>
          <w:rFonts w:ascii="Arial" w:cs="Arial" w:eastAsia="Arial" w:hAnsi="Arial"/>
          <w:sz w:val="17"/>
          <w:szCs w:val="17"/>
          <w:color w:val="auto"/>
        </w:rPr>
        <w:t>On the Acquisition Date, the Company completed its acquisition of all of the voting interests of Linear, an independent manufacturer of high performance analog integrated circuits. Under the terms of the agreement pursuant to which the Company acquired Linear (Merger</w:t>
      </w:r>
    </w:p>
    <w:p>
      <w:pPr>
        <w:ind w:right="120"/>
        <w:spacing w:after="0" w:line="271" w:lineRule="auto"/>
        <w:rPr>
          <w:sz w:val="20"/>
          <w:szCs w:val="20"/>
          <w:color w:val="auto"/>
        </w:rPr>
      </w:pPr>
      <w:r>
        <w:rPr>
          <w:rFonts w:ascii="Arial" w:cs="Arial" w:eastAsia="Arial" w:hAnsi="Arial"/>
          <w:sz w:val="17"/>
          <w:szCs w:val="17"/>
          <w:color w:val="auto"/>
        </w:rPr>
        <w:t>Agreement), Linear stockholders received, for each outstanding share of Linear common stock, $46.00 in cash and 0.2321 of a share of the Company's common stock at the closing. The Company believes the combination creates the premier analog technology company with the industry’s most comprehensive suite of high-performance analog offerings. The results of operations of Linear from the Acquisition Date are included in the Company’s consolidated statements of income, consolidated balance sheet, consolidated statement of cash flows and shareholders’ equity for fiscal 2017. The amount of revenue attributable to Linear included in the Company's consolidated statements of income for fiscal 2017 was $913.2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in the Acquisition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40"/>
              <w:spacing w:after="0"/>
              <w:rPr>
                <w:sz w:val="20"/>
                <w:szCs w:val="20"/>
                <w:color w:val="auto"/>
              </w:rPr>
            </w:pPr>
            <w:r>
              <w:rPr>
                <w:rFonts w:ascii="Arial" w:cs="Arial" w:eastAsia="Arial" w:hAnsi="Arial"/>
                <w:sz w:val="18"/>
                <w:szCs w:val="18"/>
                <w:color w:val="auto"/>
              </w:rPr>
              <w:t>Cash consideration (a)</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11,092,047</w:t>
            </w:r>
          </w:p>
        </w:tc>
      </w:tr>
      <w:tr>
        <w:trPr>
          <w:trHeight w:val="27"/>
        </w:trPr>
        <w:tc>
          <w:tcPr>
            <w:tcW w:w="8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(b)</w:t>
            </w:r>
          </w:p>
        </w:tc>
        <w:tc>
          <w:tcPr>
            <w:tcW w:w="9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4,593,655</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Fair value of replacement share-based and cash awards (c)</w:t>
            </w:r>
          </w:p>
        </w:tc>
        <w:tc>
          <w:tcPr>
            <w:tcW w:w="9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70,954</w:t>
            </w:r>
          </w:p>
        </w:tc>
      </w:tr>
      <w:tr>
        <w:trPr>
          <w:trHeight w:val="27"/>
        </w:trPr>
        <w:tc>
          <w:tcPr>
            <w:tcW w:w="8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estimated purchase consideration</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15,756,656</w:t>
            </w:r>
          </w:p>
        </w:tc>
      </w:tr>
      <w:tr>
        <w:trPr>
          <w:trHeight w:val="20"/>
        </w:trPr>
        <w:tc>
          <w:tcPr>
            <w:tcW w:w="8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ind w:left="660" w:right="60"/>
        <w:spacing w:after="0" w:line="250" w:lineRule="auto"/>
        <w:rPr>
          <w:sz w:val="20"/>
          <w:szCs w:val="20"/>
          <w:color w:val="auto"/>
        </w:rPr>
      </w:pPr>
      <w:r>
        <w:rPr>
          <w:rFonts w:ascii="Arial" w:cs="Arial" w:eastAsia="Arial" w:hAnsi="Arial"/>
          <w:sz w:val="18"/>
          <w:szCs w:val="18"/>
          <w:color w:val="auto"/>
        </w:rPr>
        <w:t xml:space="preserve">(a)The cash consideration was funded utilizing cash on hand, the net proceeds from bridge credit and term loan facilities and the proceeds received from the Company's issuance of the Notes (as defined in Note 14, </w:t>
      </w:r>
      <w:r>
        <w:rPr>
          <w:rFonts w:ascii="Arial" w:cs="Arial" w:eastAsia="Arial" w:hAnsi="Arial"/>
          <w:sz w:val="18"/>
          <w:szCs w:val="18"/>
          <w:i w:val="1"/>
          <w:iCs w:val="1"/>
          <w:color w:val="auto"/>
        </w:rPr>
        <w:t>Debt</w:t>
      </w:r>
      <w:r>
        <w:rPr>
          <w:rFonts w:ascii="Arial" w:cs="Arial" w:eastAsia="Arial" w:hAnsi="Arial"/>
          <w:sz w:val="18"/>
          <w:szCs w:val="18"/>
          <w:color w:val="auto"/>
        </w:rPr>
        <w:t>, of these Notes to Consolidated Financial Statements). This reflects the cash portion of the purchase consideration paid to Linear stockholders of approximately $11.1 billion, as well as $16.3 million for the cash-settled portion of consideration paid to holders of restricted stock and restricted stock awards that automatically vested at the effective time of the Acquisition pursuant to pre-existing change-of-control agreements.</w:t>
      </w:r>
    </w:p>
    <w:p>
      <w:pPr>
        <w:spacing w:after="0" w:line="2" w:lineRule="exact"/>
        <w:rPr>
          <w:sz w:val="20"/>
          <w:szCs w:val="20"/>
          <w:color w:val="auto"/>
        </w:rPr>
      </w:pPr>
    </w:p>
    <w:p>
      <w:pPr>
        <w:ind w:left="660" w:right="260" w:hanging="4"/>
        <w:spacing w:after="0" w:line="250" w:lineRule="auto"/>
        <w:tabs>
          <w:tab w:leader="none" w:pos="9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fair value is based on the issuance of approximately 55.9 million shares of the Company's common stock with a per-share value of $82.20 (the closing price of the Company's common stock on The Nasdaq Global Select Market on the Acquisition Date).</w:t>
      </w:r>
    </w:p>
    <w:p>
      <w:pPr>
        <w:ind w:left="660" w:right="340" w:hanging="4"/>
        <w:spacing w:after="0" w:line="277" w:lineRule="auto"/>
        <w:tabs>
          <w:tab w:leader="none" w:pos="905"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connection with the Acquisition, the Company issued equity and cash awards to certain Linear employees to replace Linear equity awards. This amount represents the portion of the fair value of the replacement equity and cash awards associated with services rendered though the Acquisition Date and have been included as a component of the total estimated purchase consideration.</w:t>
      </w:r>
    </w:p>
    <w:p>
      <w:pPr>
        <w:spacing w:after="0" w:line="11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During fiscal 2018, the Company completed the acquisition accounting for the Acquisition. The following is a summary of the amounts recognized in accounting for the Acquisition: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5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82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1,466,445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5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100,246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(a)</w:t>
            </w:r>
          </w:p>
        </w:tc>
        <w:tc>
          <w:tcPr>
            <w:tcW w:w="5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143,542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5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461,695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5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462,285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(Note 2f)</w:t>
            </w:r>
          </w:p>
        </w:tc>
        <w:tc>
          <w:tcPr>
            <w:tcW w:w="5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5,157,300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Goodwill (Note 2f)</w:t>
            </w:r>
          </w:p>
        </w:tc>
        <w:tc>
          <w:tcPr>
            <w:tcW w:w="5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10,533,919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5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18,340,214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Assumed liabilities</w:t>
            </w:r>
          </w:p>
        </w:tc>
        <w:tc>
          <w:tcPr>
            <w:tcW w:w="5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190,925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2,392,633</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estimated purchase consideration</w:t>
            </w:r>
          </w:p>
        </w:tc>
        <w:tc>
          <w:tcPr>
            <w:tcW w:w="52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15,756,656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40" w:type="dxa"/>
            <w:vAlign w:val="bottom"/>
            <w:vMerge w:val="restart"/>
          </w:tcPr>
          <w:p>
            <w:pPr>
              <w:jc w:val="right"/>
              <w:ind w:right="3590"/>
              <w:spacing w:after="0"/>
              <w:rPr>
                <w:sz w:val="20"/>
                <w:szCs w:val="20"/>
                <w:color w:val="auto"/>
              </w:rPr>
            </w:pPr>
            <w:r>
              <w:rPr>
                <w:rFonts w:ascii="Arial" w:cs="Arial" w:eastAsia="Arial" w:hAnsi="Arial"/>
                <w:sz w:val="18"/>
                <w:szCs w:val="18"/>
                <w:color w:val="auto"/>
              </w:rPr>
              <w:t>73</w:t>
            </w: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____________</w:t>
      </w:r>
    </w:p>
    <w:p>
      <w:pPr>
        <w:spacing w:after="0" w:line="18" w:lineRule="exact"/>
        <w:rPr>
          <w:sz w:val="20"/>
          <w:szCs w:val="20"/>
          <w:color w:val="auto"/>
        </w:rPr>
      </w:pPr>
    </w:p>
    <w:p>
      <w:pPr>
        <w:ind w:left="660" w:right="14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fair value of accounts receivable was $143.5 million, with the gross contractual amount being $145.2 million, of which the Company estimates that $1.7 million is uncollectible.</w:t>
      </w:r>
    </w:p>
    <w:p>
      <w:pPr>
        <w:spacing w:after="0" w:line="13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acquired intangible assets consisted of the following, which are being amortized on a straight-line basis over their estimated useful lives or on an accelerated method of amortization that is expected to reflect the estimated pattern of economic use.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Fair Value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 Useful</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Lives</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6"/>
              <w:spacing w:after="0"/>
              <w:rPr>
                <w:sz w:val="20"/>
                <w:szCs w:val="20"/>
                <w:color w:val="auto"/>
              </w:rPr>
            </w:pPr>
            <w:r>
              <w:rPr>
                <w:rFonts w:ascii="Arial" w:cs="Arial" w:eastAsia="Arial" w:hAnsi="Arial"/>
                <w:sz w:val="18"/>
                <w:szCs w:val="18"/>
                <w:color w:val="auto"/>
              </w:rPr>
              <w:t>1,046,100</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72,200</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21"/>
                <w:szCs w:val="21"/>
                <w:color w:val="auto"/>
              </w:rPr>
            </w:pPr>
          </w:p>
        </w:tc>
        <w:tc>
          <w:tcPr>
            <w:tcW w:w="1640" w:type="dxa"/>
            <w:vAlign w:val="bottom"/>
          </w:tcPr>
          <w:p>
            <w:pPr>
              <w:jc w:val="right"/>
              <w:ind w:right="136"/>
              <w:spacing w:after="0"/>
              <w:rPr>
                <w:sz w:val="20"/>
                <w:szCs w:val="20"/>
                <w:color w:val="auto"/>
              </w:rPr>
            </w:pPr>
            <w:r>
              <w:rPr>
                <w:rFonts w:ascii="Arial" w:cs="Arial" w:eastAsia="Arial" w:hAnsi="Arial"/>
                <w:sz w:val="18"/>
                <w:szCs w:val="18"/>
                <w:color w:val="auto"/>
              </w:rPr>
              <w:t>4,039,000</w:t>
            </w:r>
          </w:p>
        </w:tc>
        <w:tc>
          <w:tcPr>
            <w:tcW w:w="1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amortizable intangible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5,157,300</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goodwill recognized is attributable to synergies which are expected to enhance and expand the Company’s overall product portfolio and opportunities in new and existing markets, future technologies that have yet to be determined and Linear's assembled workforce. Future technologies did not meet the criteria for recognition separately from goodwill because they are part of future development and growth of the business.</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significant contingent obligations assumed as part of the Acquisition.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recognized $47.5 million of transaction-related costs, including legal, accounting and other related fees that were expensed in fiscal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included in the consolidated statements of income within SMG&amp;A expenses.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unaudited pro forma consolidated financial information combines the unaudited results of the Company for the year ended October 28,</w:t>
      </w:r>
    </w:p>
    <w:p>
      <w:pPr>
        <w:spacing w:after="0" w:line="4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2017 and the unaudited results of Linear for the year ended October 28, 2017 and assumes that the Acquisition, which closed on March 10, 2017, was completed on November 1, 2015 (the first day of fiscal 2016). The pro forma consolidated financial information has been calculated after applying the Company’s accounting policies and includes adjustments for amortization expense of acquired intangible assets, transaction-related costs, a step-up in the value of acquired inventory and property, plant and equipment, compensation expense for ongoing share-based compensation arrangements replaced and interest expense for the debt incurred to fund the Acquisition, together with the consequential tax effects. These pro forma results have been prepared for comparative purposes only and do not purport to be indicative of the operating results of the Company that would have been achieved had the Acquisition actually taken place on November 1, 2015.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200" w:type="dxa"/>
            <w:vAlign w:val="bottom"/>
          </w:tcPr>
          <w:p>
            <w:pPr>
              <w:ind w:left="80"/>
              <w:spacing w:after="0"/>
              <w:rPr>
                <w:sz w:val="20"/>
                <w:szCs w:val="20"/>
                <w:color w:val="auto"/>
              </w:rPr>
            </w:pPr>
            <w:r>
              <w:rPr>
                <w:rFonts w:ascii="Arial" w:cs="Arial" w:eastAsia="Arial" w:hAnsi="Arial"/>
                <w:sz w:val="18"/>
                <w:szCs w:val="18"/>
                <w:color w:val="auto"/>
              </w:rPr>
              <w:t>(thousands, except per share data)</w:t>
            </w:r>
          </w:p>
        </w:tc>
        <w:tc>
          <w:tcPr>
            <w:tcW w:w="32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Pro Forma Twelve Months Ended</w:t>
            </w:r>
          </w:p>
        </w:tc>
      </w:tr>
      <w:tr>
        <w:trPr>
          <w:trHeight w:val="264"/>
        </w:trPr>
        <w:tc>
          <w:tcPr>
            <w:tcW w:w="7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October 28, 2017</w:t>
            </w:r>
          </w:p>
        </w:tc>
        <w:tc>
          <w:tcPr>
            <w:tcW w:w="4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October 29, 2016</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5,702,841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4,842,658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1,061,684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360,880</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2.84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0.97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3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has not provided pro forma results of operations for any other acquisitions completed in fiscal 2018, fiscal 2017 or fiscal 2016 herein as they were not material to the Company on either an individual or an aggregate basis. The Company included the results of operations of each acquisition in its consolidated statement of income from the date of each acquisition.</w:t>
      </w:r>
    </w:p>
    <w:p>
      <w:pPr>
        <w:spacing w:after="0" w:line="177"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135"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Other investments consist of interests in venture capital funds and other long-term investments. Investments are accounted for using the equity or cost method of accounting, depending on the nature of the investment, as appropriate. Realized gains and losses from equity method investments are reflected in nonoperating (income) expense based upon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Company's ownership share of the investee's financial results. Realized gains or losses on cost-method investments are determined based on the specific identification basis and are recognized in nonoperating (income) expense.</w:t>
      </w:r>
    </w:p>
    <w:p>
      <w:pPr>
        <w:spacing w:after="0" w:line="7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fiscal 2017 and fiscal 2016, the Company recognized other-than-temporary impairments of $5.0 million and $6.0 million, respectively, recorded in the condensed consolidated statement of income in other, net, within non-operating (income) expense, related to cost method investments that the Company determined were impaired. There were no other-than-temporary impairments recognized in any other of the fiscal periods presented.</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material net realized or unrealized gains or losses from other investments during fiscal 2018, fiscal 2017 and fiscal 2016.</w:t>
      </w:r>
    </w:p>
    <w:p>
      <w:pPr>
        <w:spacing w:after="0" w:line="221"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at November 3, 2018 and October 28, 2017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254,932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271,321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(Note 14)</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64,974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59,400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(Note 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162,021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130,757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497,080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498,826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135"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The Company leases certain facilities, equipment and software under various operating leases that expire at various dates through 2057. The lease agreements frequently include renewal and escalation clauses and require the Company to pay taxes, insurance and maintenance costs. Total rental expense under operating leases was approximately $84.9 million in fiscal 2018, $58.8 million in fiscal 2017 and $58.5 million in fiscal 2016.</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future minimum rental payments required under long-term operating leases at November 3,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r>
      <w:tr>
        <w:trPr>
          <w:trHeight w:val="276"/>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Years</w:t>
            </w:r>
          </w:p>
        </w:tc>
        <w:tc>
          <w:tcPr>
            <w:tcW w:w="280" w:type="dxa"/>
            <w:vAlign w:val="bottom"/>
          </w:tcPr>
          <w:p>
            <w:pPr>
              <w:spacing w:after="0"/>
              <w:rPr>
                <w:sz w:val="24"/>
                <w:szCs w:val="24"/>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Leases</w:t>
            </w:r>
          </w:p>
        </w:tc>
      </w:tr>
      <w:tr>
        <w:trPr>
          <w:trHeight w:val="250"/>
        </w:trPr>
        <w:tc>
          <w:tcPr>
            <w:tcW w:w="9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39,293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49,069</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37,135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32,395</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30,871</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Later Years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201,489</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390,252</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From time to time, in the ordinary course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 The Company does not believe that any current legal matters will have a material adverse effect on the Company’s financial position, results of operations or cash flows.</w:t>
      </w:r>
    </w:p>
    <w:p>
      <w:pPr>
        <w:spacing w:after="0" w:line="150"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its subsidiaries have various savings and retirement plans covering substantially all employees.</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Contribution Plans</w:t>
      </w:r>
    </w:p>
    <w:p>
      <w:pPr>
        <w:spacing w:after="0" w:line="13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Company maintains a defined contribution plan for the benefit of its eligible U.S. employees. This plan provides for Company contributions of up to 5% of each participant’s total eligible compensation. In addition, the Company contributes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amount equal to each participant’s pre-tax contribution, if any, up to a maximum of 3% of each participant’s total eligible compensation. The total expense related to the defined contribution plans for U.S. employees was $41.4 million in fiscal 2018, $35.8 million in fiscal 2017 and $28.3 million in fiscal 2016.</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13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Deferred Compensation Plan (DCP) allows certain members of management and other highly-compensated employees and non-employee directors to defer receipt of all or any portion of their compensation. The DCP was established to provide participants with the opportunity to defer receiving all or a portion of their compensation, which includes salary, bonus, commissions and director fees. Under the DCP, the Company provides all participants (other than non-employee directors) with Company contributions equal to 8% of eligible deferred contributions. The DCP is a non-qualified plan that is maintained in a rabbi trust. The fair value of the investments held in the rabbi trust are presented separately as deferred compensation plan investments, with the current portion of the investment included in prepaid expenses and other current assets in the consolidated balance sheet. See Note 2j.</w:t>
      </w:r>
      <w:r>
        <w:rPr>
          <w:rFonts w:ascii="Arial" w:cs="Arial" w:eastAsia="Arial" w:hAnsi="Arial"/>
          <w:sz w:val="17"/>
          <w:szCs w:val="17"/>
          <w:i w:val="1"/>
          <w:iCs w:val="1"/>
          <w:color w:val="auto"/>
        </w:rPr>
        <w:t>, Fair Value,</w:t>
      </w:r>
      <w:r>
        <w:rPr>
          <w:rFonts w:ascii="Arial" w:cs="Arial" w:eastAsia="Arial" w:hAnsi="Arial"/>
          <w:sz w:val="17"/>
          <w:szCs w:val="17"/>
          <w:color w:val="auto"/>
        </w:rPr>
        <w:t xml:space="preserve"> for further information on these investments. The deferred compensation obligation represents DCP participant accumulated deferrals and earnings thereon since the inception of the DCP net of withdrawals. The deferred compensation obligation is presented separately as Deferred compensation plan liability, with the current portion of the obligation in accrued liabilities in the consolidated balance sheet. The Company’s liability under the DCP is an unsecured general obligation of the Company.</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13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also has various defined benefit pension and other retirement plans for certain non-U.S. employees that are consistent with local statutory requirements and practices. The total expense related to the various defined benefit pension, contribution and other retirement plans for certain non-U.S. employees was $36.3 million in fiscal 2018, $33.0 million in fiscal 2017 and $26.9 million in fiscal 2016.</w:t>
      </w:r>
    </w:p>
    <w:p>
      <w:pPr>
        <w:spacing w:after="0" w:line="87" w:lineRule="exact"/>
        <w:rPr>
          <w:sz w:val="20"/>
          <w:szCs w:val="20"/>
          <w:color w:val="auto"/>
        </w:rPr>
      </w:pPr>
    </w:p>
    <w:p>
      <w:pPr>
        <w:ind w:right="120" w:firstLine="432"/>
        <w:spacing w:after="0" w:line="258" w:lineRule="auto"/>
        <w:rPr>
          <w:sz w:val="20"/>
          <w:szCs w:val="20"/>
          <w:color w:val="auto"/>
        </w:rPr>
      </w:pPr>
      <w:r>
        <w:rPr>
          <w:rFonts w:ascii="Arial" w:cs="Arial" w:eastAsia="Arial" w:hAnsi="Arial"/>
          <w:sz w:val="18"/>
          <w:szCs w:val="18"/>
          <w:color w:val="auto"/>
        </w:rPr>
        <w:t>The Company’s funding policy for its foreign defined benefit pension plans is consistent with the local requirements of each country. The plans’ assets consist primarily of U.S. and non-U.S. equity securities, bonds, property and cash.</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Company has elected to measure defined benefit plan assets and obligations as of October 31, which is the month-end that is closest to its fiscal year-ends, which were November 3, 2018 for fiscal 2018 and October 28, 2017 for fiscal 2017.</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Components of Net Periodic Benefit Cost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annual periodic pension cost of non-U.S. plans for fiscal 2018, fiscal 2017 and fiscal 2016 is presented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3,675</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(4,559)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transition obligation</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679</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Settlement impact</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cost</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7,948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6,278</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Benefit Obligations and Plan Assets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Obligation and asset data of the Company’s non-U.S. plans at November 3, 2018 and October 28, 2017 is presented in the following table: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CCEEFF"/>
            </w:tcBorders>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4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139,516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129,711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amendments</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Actuarial gain</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Exchange rate adjustment</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42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139,516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vMerge w:val="continue"/>
          </w:tcPr>
          <w:p>
            <w:pPr>
              <w:spacing w:after="0"/>
              <w:rPr>
                <w:sz w:val="17"/>
                <w:szCs w:val="17"/>
                <w:color w:val="auto"/>
              </w:rPr>
            </w:pPr>
          </w:p>
        </w:tc>
        <w:tc>
          <w:tcPr>
            <w:tcW w:w="3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42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69,823</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Exchange rate adjustment</w:t>
            </w:r>
          </w:p>
        </w:tc>
        <w:tc>
          <w:tcPr>
            <w:tcW w:w="3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9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84,655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79,616</w:t>
            </w:r>
          </w:p>
        </w:tc>
        <w:tc>
          <w:tcPr>
            <w:tcW w:w="0" w:type="dxa"/>
            <w:vAlign w:val="bottom"/>
          </w:tcPr>
          <w:p>
            <w:pPr>
              <w:spacing w:after="0"/>
              <w:rPr>
                <w:sz w:val="1"/>
                <w:szCs w:val="1"/>
                <w:color w:val="auto"/>
              </w:rPr>
            </w:pPr>
          </w:p>
        </w:tc>
      </w:tr>
      <w:tr>
        <w:trPr>
          <w:trHeight w:val="67"/>
        </w:trPr>
        <w:tc>
          <w:tcPr>
            <w:tcW w:w="4440" w:type="dxa"/>
            <w:vAlign w:val="bottom"/>
            <w:tcBorders>
              <w:bottom w:val="single" w:sz="8" w:color="CCEEFF"/>
            </w:tcBorders>
          </w:tcPr>
          <w:p>
            <w:pPr>
              <w:spacing w:after="0"/>
              <w:rPr>
                <w:sz w:val="5"/>
                <w:szCs w:val="5"/>
                <w:color w:val="auto"/>
              </w:rPr>
            </w:pPr>
          </w:p>
        </w:tc>
        <w:tc>
          <w:tcPr>
            <w:tcW w:w="3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Reconciliation of Funded Status</w:t>
            </w:r>
          </w:p>
        </w:tc>
        <w:tc>
          <w:tcPr>
            <w:tcW w:w="39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Funded status</w:t>
            </w:r>
          </w:p>
        </w:tc>
        <w:tc>
          <w:tcPr>
            <w:tcW w:w="4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(38,883)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(59,900)</w:t>
            </w:r>
          </w:p>
        </w:tc>
        <w:tc>
          <w:tcPr>
            <w:tcW w:w="0" w:type="dxa"/>
            <w:vAlign w:val="bottom"/>
          </w:tcPr>
          <w:p>
            <w:pPr>
              <w:spacing w:after="0"/>
              <w:rPr>
                <w:sz w:val="1"/>
                <w:szCs w:val="1"/>
                <w:color w:val="auto"/>
              </w:rPr>
            </w:pPr>
          </w:p>
        </w:tc>
      </w:tr>
      <w:tr>
        <w:trPr>
          <w:trHeight w:val="67"/>
        </w:trPr>
        <w:tc>
          <w:tcPr>
            <w:tcW w:w="4440" w:type="dxa"/>
            <w:vAlign w:val="bottom"/>
            <w:tcBorders>
              <w:bottom w:val="single" w:sz="8" w:color="CCEEFF"/>
            </w:tcBorders>
          </w:tcPr>
          <w:p>
            <w:pPr>
              <w:spacing w:after="0"/>
              <w:rPr>
                <w:sz w:val="5"/>
                <w:szCs w:val="5"/>
                <w:color w:val="auto"/>
              </w:rPr>
            </w:pPr>
          </w:p>
        </w:tc>
        <w:tc>
          <w:tcPr>
            <w:tcW w:w="3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Amounts Recognized in the Balance Sheet</w:t>
            </w:r>
          </w:p>
        </w:tc>
        <w:tc>
          <w:tcPr>
            <w:tcW w:w="39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4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(59,167)</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amount recognized</w:t>
            </w:r>
          </w:p>
        </w:tc>
        <w:tc>
          <w:tcPr>
            <w:tcW w:w="42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(59,900)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77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Amounts Recognized in the Statement of Financial Position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Initial net obligation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contributions less than net periodic benefit cost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(24,066)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amount recognized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(59,900)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Changes Recognized in Other Comprehensive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Changes in plan assets and benefit obligations recognized in 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loss arising during the year (includes curtailment gains not recognized as a component of net periodic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rates on amounts included in accumulated other comprehensive income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Amounts recognized as a component of net periodic benefit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settlement or curtailment recognition of net transition obligation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or curtailment recognition of prior service credit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or settlement recognition of 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recognized in other comprehensive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recognized in net periodic cost and other comprehensive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2"/>
              </w:rPr>
              <w:t>Estimated amounts that will be amortized from accumulated other comprehensive (loss) income over the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next fiscal year</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Initial net obligation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accumulated benefit obligation for non-U.S. pension plans was $105.8 million and $116.7 million at November 3, 2018 and October 28, 2017, respectively.</w:t>
      </w:r>
    </w:p>
    <w:p>
      <w:pPr>
        <w:spacing w:after="0" w:line="7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Information relating to the Company’s non-U.S. plans with projected benefit obligations in excess of plan assets and accumulated benefit obligations in excess of plan assets at November 3, 2018 and October 28, 2017 is presented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Borders>
              <w:bottom w:val="single" w:sz="8" w:color="CCEEFF"/>
            </w:tcBorders>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Plans with projected benefit obligations in excess of plan assets:</w:t>
            </w:r>
          </w:p>
        </w:tc>
        <w:tc>
          <w:tcPr>
            <w:tcW w:w="2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3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46,626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139,516</w:t>
            </w: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79,616</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w w:val="91"/>
              </w:rPr>
              <w:t>Plans with accumulated benefit obligations in excess of plan assets:</w:t>
            </w:r>
          </w:p>
        </w:tc>
        <w:tc>
          <w:tcPr>
            <w:tcW w:w="2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109,261</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41,701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103,470</w:t>
            </w: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53,747</w:t>
            </w:r>
          </w:p>
        </w:tc>
      </w:tr>
      <w:tr>
        <w:trPr>
          <w:trHeight w:val="459"/>
        </w:trPr>
        <w:tc>
          <w:tcPr>
            <w:tcW w:w="5400" w:type="dxa"/>
            <w:vAlign w:val="bottom"/>
          </w:tcPr>
          <w:p>
            <w:pPr>
              <w:spacing w:after="0"/>
              <w:rPr>
                <w:sz w:val="24"/>
                <w:szCs w:val="24"/>
                <w:color w:val="auto"/>
              </w:rPr>
            </w:pPr>
          </w:p>
        </w:tc>
        <w:tc>
          <w:tcPr>
            <w:tcW w:w="2940" w:type="dxa"/>
            <w:vAlign w:val="bottom"/>
          </w:tcPr>
          <w:p>
            <w:pPr>
              <w:jc w:val="right"/>
              <w:ind w:right="245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range of assumptions used for the non-U.S. defined benefit plans reflects the different economic environments within the various countries as well as the differences in the attributes of the participants. As of October 29, 2016, the Company changed the method utilized to estimate the service cost and interest cost components of net periodic benefit cost for certain of its defined benefit pension plans. Prior to October 29, 2016, the Company estimated the service cost and interest cost components of net periodic benefit costs using a single weighted average discount rate. Beginning October 29, 2016, the Company uses a spot rate approach to estimate the service and interest cost components of net periodic benefit cost for certain of its defined benefit pension plans as the Company believes this approach calculates a better estimate. The change did not, and is not expected to, materially affect the Company's Consolidated Statement of Income.</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projected benefit obligation was determined using the following weighted-average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3.26%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365"/>
        </w:trPr>
        <w:tc>
          <w:tcPr>
            <w:tcW w:w="9200" w:type="dxa"/>
            <w:vAlign w:val="bottom"/>
            <w:gridSpan w:val="2"/>
          </w:tcPr>
          <w:p>
            <w:pPr>
              <w:ind w:left="440"/>
              <w:spacing w:after="0"/>
              <w:rPr>
                <w:sz w:val="20"/>
                <w:szCs w:val="20"/>
                <w:color w:val="auto"/>
              </w:rPr>
            </w:pPr>
            <w:r>
              <w:rPr>
                <w:rFonts w:ascii="Arial" w:cs="Arial" w:eastAsia="Arial" w:hAnsi="Arial"/>
                <w:sz w:val="18"/>
                <w:szCs w:val="18"/>
                <w:color w:val="auto"/>
              </w:rPr>
              <w:t>Net annual periodic pension cost was determined using the following weighted average assumptions: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9"/>
        </w:trPr>
        <w:tc>
          <w:tcPr>
            <w:tcW w:w="82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5.54%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7"/>
        </w:trPr>
        <w:tc>
          <w:tcPr>
            <w:tcW w:w="92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9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3.18%</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7"/>
        </w:trPr>
        <w:tc>
          <w:tcPr>
            <w:tcW w:w="8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expected long-term rate of return on assets is a weighted-average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and/or the trustees of the plans. While the review considered recent fund performance and historical returns, the assumption is primarily a long-term prospective rate.</w:t>
      </w:r>
    </w:p>
    <w:p>
      <w:pPr>
        <w:spacing w:after="0" w:line="6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Company’s investment strategy is based on an expectation that equity securities will outperform debt securities over the long term. Accordingly, in order to maximize the return on assets, a majority of assets are invested in equities. Investments within each asset class are diversified to reduce the impact of losses in single investments. The use of derivative instruments is permitted where appropriate and necessary to achieve overall investment policy objectives and asset class targets.</w:t>
      </w:r>
    </w:p>
    <w:p>
      <w:pPr>
        <w:spacing w:after="0" w:line="9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establishes strategic asset allocation percentage targets and appropriate benchmarks for each significant asset class to obtain a prudent balance between return and risk. The interaction between plan assets and benefit obligations is periodically studied by the Company and its actuaries to assist in the establishment of strategic asset allocation targets.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plan assets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plan assets measured at fair value on a recurring basis by investment categories as of November 3, 2018 and October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2017 using the same three-level hierarchy described in Note 2j,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of these Notes to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November 3, 2018</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October 28, 2017</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Fair Value Measurement at Reporting Date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5"/>
              </w:rPr>
              <w:t>Fair Value Measurement at Reporting Date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center"/>
              <w:ind w:right="22"/>
              <w:spacing w:after="0"/>
              <w:rPr>
                <w:sz w:val="20"/>
                <w:szCs w:val="20"/>
                <w:color w:val="auto"/>
              </w:rPr>
            </w:pPr>
            <w:r>
              <w:rPr>
                <w:rFonts w:ascii="Arial" w:cs="Arial" w:eastAsia="Arial" w:hAnsi="Arial"/>
                <w:sz w:val="14"/>
                <w:szCs w:val="14"/>
                <w:b w:val="1"/>
                <w:bCs w:val="1"/>
                <w:color w:val="auto"/>
                <w:w w:val="91"/>
              </w:rPr>
              <w:t>Using:</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42"/>
              <w:spacing w:after="0"/>
              <w:rPr>
                <w:sz w:val="20"/>
                <w:szCs w:val="20"/>
                <w:color w:val="auto"/>
              </w:rPr>
            </w:pPr>
            <w:r>
              <w:rPr>
                <w:rFonts w:ascii="Arial" w:cs="Arial" w:eastAsia="Arial" w:hAnsi="Arial"/>
                <w:sz w:val="14"/>
                <w:szCs w:val="14"/>
                <w:b w:val="1"/>
                <w:bCs w:val="1"/>
                <w:color w:val="auto"/>
                <w:w w:val="91"/>
              </w:rPr>
              <w:t>Using:</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Unit trust funds(1)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2,549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1,676</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Equities(1)</w:t>
            </w:r>
          </w:p>
        </w:tc>
        <w:tc>
          <w:tcPr>
            <w:tcW w:w="120" w:type="dxa"/>
            <w:vAlign w:val="bottom"/>
          </w:tcPr>
          <w:p>
            <w:pPr>
              <w:spacing w:after="0"/>
              <w:rPr>
                <w:sz w:val="20"/>
                <w:szCs w:val="20"/>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3,437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35,221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38,658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4,701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32,589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37,290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Fixed income securities(2)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42,312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39,442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39,442</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spacing w:after="0"/>
              <w:rPr>
                <w:sz w:val="20"/>
                <w:szCs w:val="20"/>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1,136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measured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4,573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80,082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84,655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5,909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73,707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79,616</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0" w:lineRule="exact"/>
        <w:rPr>
          <w:sz w:val="20"/>
          <w:szCs w:val="20"/>
          <w:color w:val="auto"/>
        </w:rPr>
      </w:pPr>
    </w:p>
    <w:p>
      <w:pPr>
        <w:ind w:left="360" w:right="40" w:hanging="325"/>
        <w:spacing w:after="0" w:line="293" w:lineRule="auto"/>
        <w:tabs>
          <w:tab w:leader="none" w:pos="3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majority of the assets in these categories are invested in a mix of equities, including those from North America, Europe and Asia. The funds are valued using the net asset value method in which an average of the market prices for underlying investments is used to value the fund. Due to the nature of the underlying assets of these funds, changes in market conditions and the economic environment may significantly impact the net asset value of these investments and, consequently, the fair value of the investments. These investments are redeemable at net asset value to the extent provided in the documentation governing the investments. However, these redemption rights may be restricted in accordance with governing documents. Publicly traded securities are valued at the last trade or closing price reported in the active market in which the individual securities are traded.</w:t>
      </w:r>
    </w:p>
    <w:p>
      <w:pPr>
        <w:spacing w:after="0" w:line="2" w:lineRule="exact"/>
        <w:rPr>
          <w:rFonts w:ascii="Arial" w:cs="Arial" w:eastAsia="Arial" w:hAnsi="Arial"/>
          <w:sz w:val="16"/>
          <w:szCs w:val="16"/>
          <w:color w:val="auto"/>
        </w:rPr>
      </w:pPr>
    </w:p>
    <w:p>
      <w:pPr>
        <w:ind w:left="360" w:right="140" w:hanging="325"/>
        <w:spacing w:after="0" w:line="277" w:lineRule="auto"/>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majority of the assets in this category are invested in funds primarily concentrated in non-U.S. debt instruments. The funds are valued using the net asset value method in which an average of the market prices for underlying investments is used to value the fund.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ind w:left="220"/>
              <w:spacing w:after="0"/>
              <w:rPr>
                <w:sz w:val="20"/>
                <w:szCs w:val="20"/>
                <w:color w:val="auto"/>
              </w:rPr>
            </w:pPr>
            <w:r>
              <w:rPr>
                <w:rFonts w:ascii="Arial" w:cs="Arial" w:eastAsia="Arial" w:hAnsi="Arial"/>
                <w:sz w:val="18"/>
                <w:szCs w:val="18"/>
                <w:i w:val="1"/>
                <w:iCs w:val="1"/>
                <w:color w:val="auto"/>
              </w:rPr>
              <w:t>Estimated future cash flows</w:t>
            </w:r>
          </w:p>
        </w:tc>
        <w:tc>
          <w:tcPr>
            <w:tcW w:w="1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8"/>
        </w:trPr>
        <w:tc>
          <w:tcPr>
            <w:tcW w:w="8780" w:type="dxa"/>
            <w:vAlign w:val="bottom"/>
          </w:tcPr>
          <w:p>
            <w:pPr>
              <w:ind w:left="440"/>
              <w:spacing w:after="0"/>
              <w:rPr>
                <w:sz w:val="20"/>
                <w:szCs w:val="20"/>
                <w:color w:val="auto"/>
              </w:rPr>
            </w:pPr>
            <w:r>
              <w:rPr>
                <w:rFonts w:ascii="Arial" w:cs="Arial" w:eastAsia="Arial" w:hAnsi="Arial"/>
                <w:sz w:val="18"/>
                <w:szCs w:val="18"/>
                <w:color w:val="auto"/>
              </w:rPr>
              <w:t>Expected fiscal 2019 Company contributions and estimated future benefit payments are as follows:</w:t>
            </w: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5"/>
        </w:trPr>
        <w:tc>
          <w:tcPr>
            <w:tcW w:w="8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Expected Company Contributions</w:t>
            </w:r>
          </w:p>
        </w:tc>
        <w:tc>
          <w:tcPr>
            <w:tcW w:w="1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2019</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4,149</w:t>
            </w:r>
          </w:p>
        </w:tc>
      </w:tr>
      <w:tr>
        <w:trPr>
          <w:trHeight w:val="27"/>
        </w:trPr>
        <w:tc>
          <w:tcPr>
            <w:tcW w:w="8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Expected Benefit Payments</w:t>
            </w:r>
          </w:p>
        </w:tc>
        <w:tc>
          <w:tcPr>
            <w:tcW w:w="1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2020</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2,580</w:t>
            </w:r>
          </w:p>
        </w:tc>
      </w:tr>
      <w:tr>
        <w:trPr>
          <w:trHeight w:val="27"/>
        </w:trPr>
        <w:tc>
          <w:tcPr>
            <w:tcW w:w="8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2022</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2,212</w:t>
            </w:r>
          </w:p>
        </w:tc>
      </w:tr>
      <w:tr>
        <w:trPr>
          <w:trHeight w:val="27"/>
        </w:trPr>
        <w:tc>
          <w:tcPr>
            <w:tcW w:w="8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2023</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2,792</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2024</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3,247</w:t>
            </w:r>
          </w:p>
        </w:tc>
      </w:tr>
      <w:tr>
        <w:trPr>
          <w:trHeight w:val="27"/>
        </w:trPr>
        <w:tc>
          <w:tcPr>
            <w:tcW w:w="8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2025 through 2028</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21,966</w:t>
            </w:r>
          </w:p>
        </w:tc>
      </w:tr>
      <w:tr>
        <w:trPr>
          <w:trHeight w:val="27"/>
        </w:trPr>
        <w:tc>
          <w:tcPr>
            <w:tcW w:w="87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Tax Cuts and Jobs Act of 2017 (Tax Legislation), enacted on December 22, 2017, contains significant changes to U.S. tax law, including lowering the U.S. corporate income tax rate to 21.0%, implementing a territorial tax system, and imposing a one-time tax on deemed repatriated earnings of foreign subsidiaries.</w:t>
      </w:r>
    </w:p>
    <w:p>
      <w:pPr>
        <w:spacing w:after="0" w:line="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Tax Legislation reduced the U.S. statutory tax rate from 35.0% to 21.0%, effective January 1, 2018, which results in a blended statutory income tax rate for the Company of 23.4% for fiscal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reconciliation of income tax computed at the U.S. federal statutory rates to income tax expense for fiscal 2018, fiscal 2017 and fiscal 2016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Income tax provision reconciliation:</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at statutory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383,413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289,970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334,922</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Net foreign income subject to lower tax rate</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(434,834)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(385,189)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(264,157)</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benefit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(10,821)</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(7,778)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13,658</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research and development tax credits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(16,237)</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Change in uncertain tax positions</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(32,945)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(51,088)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4,797</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213,198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159,466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35,641</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109,040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attributable to the Tax Cuts and Jobs Act of 2017</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70,029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Windfalls (Under ASU 2016-09)</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(26,237)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12,081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(2,546)</w:t>
            </w:r>
          </w:p>
        </w:tc>
      </w:tr>
      <w:tr>
        <w:trPr>
          <w:trHeight w:val="257"/>
        </w:trPr>
        <w:tc>
          <w:tcPr>
            <w:tcW w:w="6580" w:type="dxa"/>
            <w:vAlign w:val="bottom"/>
          </w:tcPr>
          <w:p>
            <w:pPr>
              <w:ind w:left="380"/>
              <w:spacing w:after="0"/>
              <w:rPr>
                <w:sz w:val="20"/>
                <w:szCs w:val="20"/>
                <w:color w:val="auto"/>
              </w:rPr>
            </w:pPr>
            <w:r>
              <w:rPr>
                <w:rFonts w:ascii="Arial" w:cs="Arial" w:eastAsia="Arial" w:hAnsi="Arial"/>
                <w:sz w:val="18"/>
                <w:szCs w:val="18"/>
                <w:color w:val="auto"/>
              </w:rPr>
              <w:t>Total income tax provision</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143,085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101,226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95,257</w:t>
            </w:r>
          </w:p>
        </w:tc>
      </w:tr>
      <w:tr>
        <w:trPr>
          <w:trHeight w:val="20"/>
        </w:trPr>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fiscal 2019, the Company’s U.S. statutory income tax rate will be 21.0%.</w:t>
      </w:r>
    </w:p>
    <w:p>
      <w:pPr>
        <w:spacing w:after="0" w:line="13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Taxes attributable to the Tax Legislation include a tax benefit of $637.0 million for the re-measurement of deferred tax assets and liabilities and a tax expense of $691.0 million for the one-time transition tax as explained further below. For fiscal 2017, acquisition and integration costs includes $98.2 million related to post acquisition integration and $10.8 million related to non-deductible acquisition costs.</w:t>
      </w:r>
    </w:p>
    <w:p>
      <w:pPr>
        <w:spacing w:after="0" w:line="127" w:lineRule="exact"/>
        <w:rPr>
          <w:sz w:val="20"/>
          <w:szCs w:val="20"/>
          <w:color w:val="auto"/>
        </w:rPr>
      </w:pPr>
    </w:p>
    <w:p>
      <w:pPr>
        <w:ind w:right="200" w:firstLine="392"/>
        <w:spacing w:after="0" w:line="264" w:lineRule="auto"/>
        <w:rPr>
          <w:sz w:val="20"/>
          <w:szCs w:val="20"/>
          <w:color w:val="auto"/>
        </w:rPr>
      </w:pPr>
      <w:r>
        <w:rPr>
          <w:rFonts w:ascii="Arial" w:cs="Arial" w:eastAsia="Arial" w:hAnsi="Arial"/>
          <w:sz w:val="18"/>
          <w:szCs w:val="18"/>
          <w:color w:val="auto"/>
        </w:rPr>
        <w:t>As of November 3, 2018, the Company has not completed its accounting for the tax effects of the enactment of the Tax Legislation. However, as described below, the Company has made reasonable estimates of the effects on its existing deferred tax balances and the one-time transition tax in the fiscal 2018.</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financial reporting purposes, income before income taxes for fiscal 2018, fiscal 2017 and fiscal 2016 includes the following components: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Pretax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Domestic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590,190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109,565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2,642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1,048,327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718,920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954,279</w:t>
            </w: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1,638,517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828,485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956,921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provision for income taxes for fiscal 2018, fiscal 2017 and fiscal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Federal tax</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826,294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857,664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27,790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47,633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57,934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879,844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927,095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87,133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Total deferred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(736,759)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(825,869)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8,124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fiscal year 2018, the Company recorded a $637.0 million tax benefit for the re-measurement of deferred tax assets and liabilities based on the rates at which they are expected to reverse in the future, which is generally 21.0%. This provisional benefit is subject to revision based on further analysis and interpretation of the Tax Legislation and to the extent that future results differ from currently available projections.</w:t>
      </w:r>
    </w:p>
    <w:p>
      <w:pPr>
        <w:spacing w:after="0" w:line="127" w:lineRule="exact"/>
        <w:rPr>
          <w:sz w:val="20"/>
          <w:szCs w:val="20"/>
          <w:color w:val="auto"/>
        </w:rPr>
      </w:pPr>
    </w:p>
    <w:p>
      <w:pPr>
        <w:ind w:right="420" w:firstLine="392"/>
        <w:spacing w:after="0" w:line="277" w:lineRule="auto"/>
        <w:rPr>
          <w:sz w:val="20"/>
          <w:szCs w:val="20"/>
          <w:color w:val="auto"/>
        </w:rPr>
      </w:pPr>
      <w:r>
        <w:rPr>
          <w:rFonts w:ascii="Arial" w:cs="Arial" w:eastAsia="Arial" w:hAnsi="Arial"/>
          <w:sz w:val="18"/>
          <w:szCs w:val="18"/>
          <w:color w:val="auto"/>
        </w:rPr>
        <w:t>This provisional benefit is subject to revision based on further analysis and interpretation of the Tax Legislation and to the extent that future results differ from currently available projections.</w:t>
      </w:r>
    </w:p>
    <w:p>
      <w:pPr>
        <w:spacing w:after="0" w:line="116"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The Tax Legislation also implemented a territorial tax system. As part of transitioning to the territorial tax system, the Tax Legislation includes a one-time transition tax based on our total post-1986 undistributed foreign earnings and profits (E&amp;P) that were previously deferred from U.S. income tax. In fiscal year 2018, the Company recorded a provisional tax expense amount for the one-time transition tax of $691.0 million, which is comprised of the $755.0 million transition tax liability less a deferred tax liability of $64.0 million that was recorded in prior years on a portion of the Company's E&amp;P in certain foreign subsidiaries. This provisional estimate may be impacted by a number of additional considerations, including the issuance of final tax regulations that may impact the Company's ongoing analysis of the Tax Legislation and refinements to the Company's earnings and profits and foreign tax credit pools subject to the one-time transition taxes as well as the amount of earnings and profits held in cash or other specified assets. The Company intends to elect to pay this transition tax starting in fiscal 2019 over a period of eight years without incurring interest. As a result, $61.6 million of the transition tax is classified as current income taxes payable and $693.4 million is classified as non-current income taxes payable.</w:t>
      </w:r>
    </w:p>
    <w:p>
      <w:pPr>
        <w:spacing w:after="0" w:line="12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 xml:space="preserve">Additionally, the Tax Legislation subjects a U.S. shareholder to tax on global intangible low-taxed income (GILTI) earned by certain foreign subsidiaries for tax years starting on or after January 1, 2018. The FASB Staff Q&amp;A, Topic 740, No. 5, </w:t>
      </w:r>
      <w:r>
        <w:rPr>
          <w:rFonts w:ascii="Arial" w:cs="Arial" w:eastAsia="Arial" w:hAnsi="Arial"/>
          <w:sz w:val="18"/>
          <w:szCs w:val="18"/>
          <w:i w:val="1"/>
          <w:iCs w:val="1"/>
          <w:color w:val="auto"/>
        </w:rPr>
        <w:t>Accounting for Global Intangible Low-Taxed Income</w:t>
      </w:r>
      <w:r>
        <w:rPr>
          <w:rFonts w:ascii="Arial" w:cs="Arial" w:eastAsia="Arial" w:hAnsi="Arial"/>
          <w:sz w:val="18"/>
          <w:szCs w:val="18"/>
          <w:color w:val="auto"/>
        </w:rPr>
        <w:t>, states that an entity can make an accounting policy election to either recognize deferred taxes for temporary basis differences expected to reverse as GILTI in future years or provide for the tax expense related to GILTI in the year the tax is incurred. The Company is still evaluating the effects of the GILTI provisions and has not yet determined its accounting policy relating to deferred taxes and as such, no deferred tax impacts are included in the Company's financial statements for the fiscal 2018,</w:t>
      </w:r>
    </w:p>
    <w:p>
      <w:pPr>
        <w:spacing w:after="0" w:line="13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Prior to the Tax Legislation, the Company had not provided deferred taxes on certain undistributed earnings and other outside basis differences of its foreign subsidiaries as it was the Company's intention for these basis differences to remain indefinitely reinvested. The Tax Legislation fundamentally changes the U.S. approach to taxation of foreign earnings to a territorial tax system, which generally allows companies to make distributions of non-U.S. earnings to the United States without incurring additional U.S. tax. Additionally, as a result of the transition tax, substantially all of the Company’s undistributed earnings as of December 31, 2017 will not be subject to further U.S. federal income taxation. As a result, as of November 3, 2018, the Company is still in the process of analyzing the impact the Tax Legislation has on its indefinite reinvestment assertion.</w:t>
      </w:r>
    </w:p>
    <w:p>
      <w:pPr>
        <w:spacing w:after="0" w:line="12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Company carries other outside basis differences in its subsidiaries, primarily arising from purchase accounting adjustments and undistributed earnings that are considered indefinitely reinvested. As of November 3, 2018, the Company has not recognized deferred income tax on $4.3 billion of outside basis differences because it has the intent and ability to indefinitely reinvest these basis differences. These basis differences could be reversed through a sale of the subsidiaries or the receipt of dividends from the subsidiaries, as well as various other events, none of which are considered probable at this time. Determination of the amount of unrecognized deferred income tax liability related to these outside basis differences is not practicable.</w:t>
      </w:r>
    </w:p>
    <w:p>
      <w:pPr>
        <w:spacing w:after="0" w:line="104"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 xml:space="preserve">On December 22, 2017, the Securities and Exchange Commission issued guidance under Staff Accounting Bulletin No. 118, </w:t>
      </w:r>
      <w:r>
        <w:rPr>
          <w:rFonts w:ascii="Arial" w:cs="Arial" w:eastAsia="Arial" w:hAnsi="Arial"/>
          <w:sz w:val="16"/>
          <w:szCs w:val="16"/>
          <w:i w:val="1"/>
          <w:iCs w:val="1"/>
          <w:color w:val="auto"/>
        </w:rPr>
        <w:t>Income Tax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Implications of the Tax Cuts and Jobs Act </w:t>
      </w:r>
      <w:r>
        <w:rPr>
          <w:rFonts w:ascii="Arial" w:cs="Arial" w:eastAsia="Arial" w:hAnsi="Arial"/>
          <w:sz w:val="16"/>
          <w:szCs w:val="16"/>
          <w:color w:val="auto"/>
        </w:rPr>
        <w:t>(SAB 118) directing taxpayers to consider the impact of the Tax Legislation as “provisional” when it does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necessary information available, prepared or analyzed (including computations) in reasonable detail to complete its accounting for the change in tax law. Also, in March 2018, the FASB issued ASU 2018-05, </w:t>
      </w:r>
      <w:r>
        <w:rPr>
          <w:rFonts w:ascii="Arial" w:cs="Arial" w:eastAsia="Arial" w:hAnsi="Arial"/>
          <w:sz w:val="16"/>
          <w:szCs w:val="16"/>
          <w:i w:val="1"/>
          <w:iCs w:val="1"/>
          <w:color w:val="auto"/>
        </w:rPr>
        <w:t>Amendments to SEC Paragraphs Pursuant to SEC Staff Accounting Bulletin No. 118</w:t>
      </w:r>
      <w:r>
        <w:rPr>
          <w:rFonts w:ascii="Arial" w:cs="Arial" w:eastAsia="Arial" w:hAnsi="Arial"/>
          <w:sz w:val="16"/>
          <w:szCs w:val="16"/>
          <w:color w:val="auto"/>
        </w:rPr>
        <w:t xml:space="preserve">, to add various SEC paragraphs pursuant to the issuance of SAB 118, to 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In accordance with SAB 118, the amount reported for the tax benefit from re-measuring the Company’s net deferred tax liabilities to the lower 21.0% statutory rate and the amount reported for the additional U.S. income tax resulting from the one-time mandatory deemed repatriation including the ongoing evaluation of the impact on the Company’s indefinite reinvestment assertions regarding undistributed earnings and profits represents the Company's best estimate as it continues to accumulate and process data to finalize its underlying calculations and to review further guidance that regulators are expected to issue. The Company will continue to refine its adjustments through the permissible measurement period, which is not to extend beyond one year after the enactment date.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1"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Many provisions in the Tax Legislation may have U.S. state and local income tax implications. While some states automatically adopt federal tax law changes, others may conform their laws on a specific date or may choose to decouple from the new federal tax law provisions. As such, the amount reported for U.S. state and local income taxes represents the Company’s best estimate as it continues to accumulate and process data to finalize its underlying calculations and to review further guidance. The Company expects to complete its analysis of the effects on state and local income taxes on or before December 22, 2018 as allowed by SAB 118.</w:t>
      </w:r>
    </w:p>
    <w:p>
      <w:pPr>
        <w:spacing w:after="0" w:line="13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During fiscal 2018 the Company also recorded a total of $26.2 million in discrete benefits for excess tax benefits from share-based payments, pursuant to ASU 2016-09, which became effective for fiscal 2018.</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components of the Company’s deferred tax assets and liabilities for fiscal 2018 and fiscal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reserves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22,184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28,137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on shipments to distributors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Reserves for compensation and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84,096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carryovers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68,317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99,815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34,031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34,737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395,226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(53,787)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341,439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(64,868)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Undistributed earnings of foreign subsidiaries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(64,067)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Acquisition-related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(1,851,818)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gross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(1,138,935)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(1,983,800)</w:t>
            </w:r>
          </w:p>
        </w:tc>
      </w:tr>
      <w:tr>
        <w:trPr>
          <w:trHeight w:val="257"/>
        </w:trPr>
        <w:tc>
          <w:tcPr>
            <w:tcW w:w="8340" w:type="dxa"/>
            <w:vAlign w:val="bottom"/>
          </w:tcPr>
          <w:p>
            <w:pPr>
              <w:ind w:left="720"/>
              <w:spacing w:after="0"/>
              <w:rPr>
                <w:sz w:val="20"/>
                <w:szCs w:val="20"/>
                <w:color w:val="auto"/>
              </w:rPr>
            </w:pPr>
            <w:r>
              <w:rPr>
                <w:rFonts w:ascii="Arial" w:cs="Arial" w:eastAsia="Arial" w:hAnsi="Arial"/>
                <w:sz w:val="18"/>
                <w:szCs w:val="18"/>
                <w:color w:val="auto"/>
              </w:rPr>
              <w:t>Net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(905,987)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(1,642,361)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The valuation allowances of $82.3 million and $53.8 million at November 3, 2018 and October 28, 2017, respectively, are valuation allowances primarily for the Company’s state credit carryforwards. The Company believes that it is more-likely-than-not that these credit carryovers will not be realized and as a result has recorded a partial valuation allowance as of November 3, 2018. The state credit carryover of $112.9 million will begin to expire in 2019.</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operating losses relate to the U.S and are not subject to a valuation allowance. These losses will begin to expire in fiscal 2030.</w:t>
      </w:r>
    </w:p>
    <w:p>
      <w:pPr>
        <w:spacing w:after="0" w:line="131"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The Company has provided for potential tax liabilities due in the various jurisdictions in which the Company operates. Judgment is required in determining the worldwide income tax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124"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The Company’s effective tax rate reflects the applicable tax rate in effect in the various tax jurisdictions around the world where the Company's income is earned. The Company's effective tax rate is generally lower than the U.S. federal statutory rate, primarily due to lower statutory tax rates applicable to the Company's operations in jurisdictions in which the Company earns a portion of its income.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of November 3, 2018 and October 28, 2017, the Company had a net liability of $16.8 million and $47.6 million, respectively, for unrealized tax benefits, all of which, if settled in the Company’s favor, would lower the Company’s effective tax rate in the period recorded. As of November 3, 2018 and October 28, 2017, the Company had a liability of approximately $3.5 million and $10.8 million, respectively, for interest and penalties. The Company includes interest and penalties related to unrecognized tax benefits within the provision for taxes in the consolidated statements of income. The total gross liability as of November 3, 2018 and October 28, 2017 of $16.8 million and $49.6 million, respectively, for uncertain tax positions is classified as non-current, and is included in non-current income taxes payable, because the Company believes that the ultimate payment or settlement of these liabilities may not occur within the next twelve months. The consolidated statements of income for fiscal year 2018, fiscal 2017 and fiscal 2016 include $(7.3) million, ($12.3) million and $4.0 million, respectively, of interest and penalties related to these uncertain tax positions. Over the next fiscal year, the Company anticipates the liability may be reduced up to $0.6 million for the possible expiration of an income tax statute of limitations.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changes in the total amounts of unrealized tax benefits for fiscal 2016 through fiscal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Unrealized Tax Benefits</w:t>
            </w: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October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71,782</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2,539</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October 29,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68,535</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1,742</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(43,186)</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Balance, October 28, 2017</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37,857</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(25,640)</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Balance, November 3, 2018</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13,256</w:t>
            </w:r>
          </w:p>
        </w:tc>
      </w:tr>
      <w:tr>
        <w:trPr>
          <w:trHeight w:val="27"/>
        </w:trPr>
        <w:tc>
          <w:tcPr>
            <w:tcW w:w="9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fiscal 2017 the Company released a reserve of $50.5 million, which was comprised of the $41.7 million in accrued tax and $8.8 million of accrued net interest due to favorable settlement with the U.S. Tax Court. The settled issued pertained to Section 965 of the Internal Revenue Code related to the beneficial tax treatment of dividends paid from foreign owned companies under The American Jobs Creation Act.</w:t>
      </w:r>
    </w:p>
    <w:p>
      <w:pPr>
        <w:spacing w:after="0" w:line="12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fiscal 2018, the Company released reserves of $18.1 million relating to certain international transfer pricing matters, $4.2 million relating to worthless stock deductions and $3.3 million relating to other releases in fiscal year 2013 due to the lapse of the statute of limitations. With accrued interest of $9.9 million, the released reserves totaled $35.5 million.</w:t>
      </w:r>
    </w:p>
    <w:p>
      <w:pPr>
        <w:spacing w:after="0" w:line="127"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The Company has numerous audits ongoing at any time throughout the world, including an Internal Revenue Service income tax audit for Linear’s pre-acquisition fiscal 2015 and fiscal 2016, various U.S. state and local tax audits, and transfer pricing audits in Spain, the Philippines and Ireland.</w:t>
      </w:r>
    </w:p>
    <w:p>
      <w:pPr>
        <w:spacing w:after="0" w:line="70"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With the exception of the Linear pre-acquisition audit, the Company’s U.S. federal tax returns prior to fiscal year 2015 are no longer subject to examination.</w:t>
      </w:r>
    </w:p>
    <w:p>
      <w:pPr>
        <w:spacing w:after="0" w:line="116"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All of the Company’s Ireland tax returns prior to fiscal year 2013 are no longer subject to examination. During the fourth quarter of fiscal 2018, the Company’s Irish tax resident subsidiary received an assessment for fiscal 2013 of approximately €43.0 million, or $52.0 million (as of November 3, 2018), from the Irish Revenue Commissioners. This assessment excludes any penalties and interest. The assessment claims that the Company’s Irish entity failed to conform to 2010 OECD Transfer Pricing Guidelines. The Company strongly disagrees with the assessment and maintains that its transfer pricing is appropriate. Therefore, the Company has not recorded any additional tax liability related to the 2013 tax year or any other periods. The Company intends to vigorously defend its originally filed tax return position and has filed an appeal with the Irish Tax Appeals Commission, which is the normal process for the resolution of differences between Irish Revenue and taxpayers. If Irish Revenue were ultimately to prevail with respect to its assessment for the tax year 2013, such assessment and any potential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impact related to years subsequent to 2013 could have a material unfavorable impact on the Company's income tax expense and net earnings in future periods.</w:t>
      </w:r>
    </w:p>
    <w:p>
      <w:pPr>
        <w:spacing w:after="0" w:line="19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tax returns for Linear Technology Pte. Ltd. (Singapore) prior to the fiscal 2018 are no longer subject to examination by the Economic Development Board pursuant to terms of the tax holiday re-negotiation.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tax returns for Linear Semiconductor Sdn. Bhd. (Malaysia) prior to the fiscal year ended June 2012 are no longer subject to examination.</w:t>
      </w:r>
    </w:p>
    <w:p>
      <w:pPr>
        <w:spacing w:after="0" w:line="18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has a partial tax holiday in Malaysia whereby the local statutory rate is significantly reduced, if certain conditions are met. The tax holiday for Malaysia is effective through July 2025. A partial tax holiday in Singapore had been in place through August 2019, but was terminated early effective September 2018 due to negotiations with the Economic Development Board. This was due to the on-going relocation of our test operations from our Singapore facility to our facilities in Malaysia and Philippines as well as certain OSAT partners. The impact of the Singapore and Malaysia tax holidays was to increase net income by approximately $27.7 million in fiscal year 2018 and $27.4 million in fiscal year 2017. The impact of the tax holidays during fiscal 2018 increased the basic and diluted net income per common share by $0.07 each. The impact of the tax holidays during fiscal 2017 increased the basic and diluted net income per common share by $0.08 each.</w:t>
      </w:r>
    </w:p>
    <w:p>
      <w:pPr>
        <w:spacing w:after="0" w:line="135" w:lineRule="exact"/>
        <w:rPr>
          <w:sz w:val="20"/>
          <w:szCs w:val="20"/>
          <w:color w:val="auto"/>
        </w:rPr>
      </w:pPr>
    </w:p>
    <w:p>
      <w:pPr>
        <w:jc w:val="both"/>
        <w:ind w:right="260" w:firstLine="405"/>
        <w:spacing w:after="0" w:line="286" w:lineRule="auto"/>
        <w:rPr>
          <w:sz w:val="20"/>
          <w:szCs w:val="20"/>
          <w:color w:val="auto"/>
        </w:rPr>
      </w:pPr>
      <w:r>
        <w:rPr>
          <w:rFonts w:ascii="Arial" w:cs="Arial" w:eastAsia="Arial" w:hAnsi="Arial"/>
          <w:sz w:val="17"/>
          <w:szCs w:val="17"/>
          <w:color w:val="auto"/>
        </w:rPr>
        <w:t>Although the Company believes its estimates of income taxes payable are reasonable, no assurance can be given that the Company will prevail in the matters raised or that the outcome of one or all of these matters will not be different than that which is reflected in the historical income tax provisions and accruals. The Company believes such differences would not have a material impact on the Company’s financial condition.</w:t>
      </w:r>
    </w:p>
    <w:p>
      <w:pPr>
        <w:spacing w:after="0" w:line="162"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135"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Company has a senior unsecured revolving credit facility with certain institutional lenders that expires on July 10, 2020. The agreement for such revolving credit facility (the Credit Agreement) provides that the Company may borrow up to $1.0 billion. To date, the Company has not borrowed under this revolving credit facility but may borrow in the future and use the proceeds for repayment of existing indebtedness, stock repurchases, acquisitions, capital expenditures, working capital and other lawful corporate purposes. Revolving loans under the Credit Agreement (other than swing line loans) bear interest, at the Company's option, at either a rate equal to (a) the Eurodollar Rate (as defined in the Credit Agreement) plus a margin based on the Company's debt rating or (b) the Base Rate (defined as the highest of (i) the Bank of America prime rate, (ii) the Federal Funds Rate (as defined in the Credit Agreement) plus 0.50% or (iii) one month Eurodollar Rate plus 1%). The Credit Agreement imposes restrictions on the Company’s ability to undertake certain transactions, to create certain liens on assets and to incur certain subsidiary indebtedness. In addition, the Credit Agreement contains a consolidated leverage ratio covenant of total consolidated funded debt to consolidated EBITDA (earnings before interest, taxes, depreciation, and amortization) of not greater than 4.5 to 1.0. The debt covenant will be reduced over time to 3.0 to 1.0, which began in May 2018. As of November 3, 2018, the Company was compliant with these covenants.</w:t>
      </w:r>
    </w:p>
    <w:p>
      <w:pPr>
        <w:spacing w:after="0" w:line="165"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35"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On June 3, 2013, the Company issued $500.0 million aggregate principal amount of 2.875% senior unsecured notes due June 1, 2023 (the 2023 Notes) with semi-annual fixed interest payments due on June 1 and December 1 of each year, commencing December 1, 2013. Prior to issuing the 2023 Notes, on April 24, 2013, the Company entered into a treasury rate lock agreement with Bank of America. This agreement allowed the Company to lock a 10-year US Treasury rate of 1.7845% through June 14, 2013 for its anticipated issuance of the 2023 Notes. The net proceeds of the offering were $493.9 million, after discount and issuance costs. Debt discount and issuance costs will be amortized through interest expense over the term of the 2023 Notes. The indenture governing the 2023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November 3, 2018, the Company was compliant with these covenants. The notes are subordinated to any future secured debt and to the other liabilities of the Company's subsidiaries.</w:t>
      </w:r>
    </w:p>
    <w:p>
      <w:pPr>
        <w:spacing w:after="0" w:line="113"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On December 14, 2015, the Company issued $850.0 million aggregate principal amount of 3.9% senior unsecured notes due December 15, 2025 (the 2025 Notes) and $400.0 million aggregate principal amount of 5.3% senior unsecured notes due December 15, 2045 (the 2045 Notes) with semi-annual fixed interest payments due on June 15 and December 15 of each year, commencing June 15, 2016. The net proceeds of the offering were $1.2 billion, after discount and issuance costs. Debt discount and issuance costs will be amortized through interest expense over the term of the 2025 Notes and 2045 Notes. The indenture governing the 2025 Notes and 2045 Notes contains covenants that may limit the Company's ability to: incur, create, assume or guarantee any debt for borrowed money secured by a lien upon a principal property; enter into sale and lease-back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transactions with respect to a principal property; and consolidate with or merge into, or transfer or lease all or substantially all of its assets to, any other party. As of November 3, 2018, the Company was compliant with these covenants. The 2025 Notes and 2045 Notes are subordinated to any future secured debt and to the other liabilities of the Company's subsidiaries.</w:t>
      </w:r>
    </w:p>
    <w:p>
      <w:pPr>
        <w:spacing w:after="0" w:line="12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On July 26, 2016, the Company entered into a definitive agreement to acquire Linear (the Merger Agreement). In connection with the Acquisition, the Company announced that it had obtained commitment financing in the form of a 364-day senior unsecured bridge facility in an aggregate principal amount of up to $7.5 billion (364-day Bridge Commitment) and a 90-day senior unsecured bridge facility in an aggregate principal amount of up to $4.1 billion (90-day Bridge Commitment). As discussed below, as a result of entering into the term loan facility and the issuance of $2.1 billion senior unsecured notes, the 364-day Bridge Commitment was terminated and $13.7 million and $7.2 million of unamortized bridge fees relating to the 364-day Bridge Commitment were accelerated and amortized into interest expense in fiscal 2016 and first quarter of fiscal 2017, respectively. Total fees incurred by the Company for the 364-day Bridge Commitment were approximately $27.5 million.</w:t>
      </w:r>
    </w:p>
    <w:p>
      <w:pPr>
        <w:spacing w:after="0" w:line="12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On the Acquisition Date, the Company entered into a 90-day Bridge Credit Agreement (the Bridge Credit Agreement). The Bridge Credit Agreement provided for unsecured loans in an aggregate principal amount of up to $4.1 billion. In the third quarter of fiscal 2017, the Company repaid all of the $4.1 billion of outstanding loans under the Bridge Credit Agreement. Total fees incurred by the Company for the 90-day Bridge Commitment and Bridge Credit Agreement were approximately $15.0 million.</w:t>
      </w:r>
    </w:p>
    <w:p>
      <w:pPr>
        <w:spacing w:after="0" w:line="133"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On September 23, 2016, the Company entered into a term loan facility consisting of a 3-year unsecured term loan facility in the principal amount of $2.5 billion and a 5-year unsecured term loan facility in the principal amount of $2.5 billion established pursuant to a credit agreement (Term Loan Agreement). The Term Loan Agreement replaced $5.0 billion of the 364-Bridge Commitment. On the Acquisition Date, the Company borrowed under the Term Loan Agreement, consisting of a 3-year unsecured term loan in the principal amount of $2.5 billion, due March 10, 2020 and a 5-year unsecured term loan in the principal amount of $2.5 billion, due March 10, 2022. The 5-year term loan requires repayment in quarterly installments on the last business day of each March, June, September and December with the first required payment due June 2017. Prepayments of principal on the term loans can be made at any time without penalty. The term loans bear interest at a rate per annum equal to the Eurodollar Rate plus a margin based on the Company’s debt ratings from time to time of between 0.75% and 1.63% in the case of the 3-year term loan, and a margin of between 0.88% and 1.75% in the case of the 5-year term loan. As a result of entering into the Term Loan Agreement and drawing on the available borrowings, the Company incurred fees of approximately $11.5 million. The Company recorded these costs as deferred financing costs and will amortize them on a straight-line basis through interest expense over the expected 3-and 5-year terms of the term loans. In fiscal 2017, the Company repaid $400.0 million of principal on the 5-year term loan, which satisfied the quarterly obligations due through September 2019. In addition, in fiscal 2017, the Company repaid $550.0 million of principal on the 3-year term loan. On November 10, 2017, the Company paid $300.0 million of principal on the 3-year term loan using cash on hand as of October 28, 2017. This amount was not contractually due under the terms of the loan. As such, this amount was classified as current in the condensed consolidated balance sheet as of October 28, 2017. During fiscal 2018, the Company made additional principal payments of $1.2 million on the 3-year term loan and $750.0 million on the 5-year term loan. These amounts were not contractually due under the terms of the loans. As of November 3, 2018, $67.0 million of principal on the 3-year term loan was classified as current debt as the Company intends to utilize cash on hand as of November 3, 2018 to repay this amount of debt within the next twelve months.</w:t>
      </w:r>
    </w:p>
    <w:p>
      <w:pPr>
        <w:spacing w:after="0" w:line="121"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On December 5, 2016, the Company issued $400.0 million aggregate principal amount of 2.5% senior unsecured notes due December 5, 2021 (the 2021 Notes), $550.0 million aggregate principal amount of 3.125% senior unsecured notes due December 5, 2023 (the December 2023 Notes), $900.0 million aggregate principal amount of 3.5% senior unsecured notes due December 5, 2026 (the 2026 Notes) and $250.0 million aggregate principal amount of 4.5% senior unsecured notes due December 5, 2036 (the 2036 Notes, and together with the 2021 Notes, the December 2023 Notes and the 2026 Notes, the Notes) with semi-annual fixed interest payments due on June 5 and December 5 of each year, commencing June 5, 2017. The net proceeds of the offering were $2.1 billion, after discount and issuance costs. Debt discount and issuance costs will be amortized through interest expense over the term of the Notes. The Notes were issued pursuant to an indenture, as supplemented by a supplemental indenture, and the indenture and supplemental indenture contain certain covenants, events of default and other customary provisions. As of November 3, 2018, the Company was compliant with these covenants. The Notes rank without preference or priority among themselves and equally in right of payment with all other existing and future senior unsecured debt and senior in right of payment to all of the Company's future subordinated debt. The issuance of the Notes replaced the remaining $2.5 billion of the 364-day Bridge Commitment.</w:t>
      </w:r>
    </w:p>
    <w:p>
      <w:pPr>
        <w:spacing w:after="0" w:line="115"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On March 12, 2018, in an underwritten public offering</w:t>
      </w:r>
      <w:r>
        <w:rPr>
          <w:rFonts w:ascii="Arial" w:cs="Arial" w:eastAsia="Arial" w:hAnsi="Arial"/>
          <w:sz w:val="18"/>
          <w:szCs w:val="18"/>
          <w:u w:val="single" w:color="auto"/>
          <w:color w:val="auto"/>
        </w:rPr>
        <w:t>,</w:t>
      </w:r>
      <w:r>
        <w:rPr>
          <w:rFonts w:ascii="Arial" w:cs="Arial" w:eastAsia="Arial" w:hAnsi="Arial"/>
          <w:sz w:val="18"/>
          <w:szCs w:val="18"/>
          <w:color w:val="auto"/>
        </w:rPr>
        <w:t xml:space="preserve"> the Company issued $300.0 million aggregate principal amount of 2.850% senior unsecured notes due March 12, 2020 (the 2020 Notes) and $450.0 million aggregate principal amount of 2.950% senior unsecured notes due January 12, 2021 (the January 2021 Notes and, together with the 2020 Notes, the 2018 Note Offerings). Interest on the 2020 Notes is payable on March 12 and September 12 of each year, beginning on September 12,</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2018. Interest on the January 2021 Notes is payable on January 12 and July 12 of each year, beginning on July 12, 2018. The net proceeds of the offering were $743.8 million, after discount and issuance costs, which were used to repay a portion of the Company’s outstanding 5-year term loan. Debt discount and issuance costs will be amortized through interest expense over the term of the 2018 Note Offerings. At any time prior to the applicable maturity date of the 2018 Note Offerings, the Company may, at its option, redeem some or all of the applicable series of the 2018 Note Offerings by paying a make-whole premium, plus accrued and unpaid interest, if any, to the date of redemption. The 2018 Note Offerings are unsecured and rank equally in right of payment with all of the Company’s other unsecured senior indebtedness. The 2018 Note Offerings were issued pursuant to an indenture, as supplemented by a supplemental indenture, and the indenture and supplemental indenture contain certain covenants, events of default and other customary provisions. As of November 3, 2018, the Company was in compliance with these covenants.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debt consisted of the following as of November 3, 2018 and October 28, 2017:</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231"/>
              <w:spacing w:after="0"/>
              <w:rPr>
                <w:sz w:val="20"/>
                <w:szCs w:val="20"/>
                <w:color w:val="auto"/>
              </w:rPr>
            </w:pPr>
            <w:r>
              <w:rPr>
                <w:rFonts w:ascii="Arial" w:cs="Arial" w:eastAsia="Arial" w:hAnsi="Arial"/>
                <w:sz w:val="14"/>
                <w:szCs w:val="14"/>
                <w:b w:val="1"/>
                <w:bCs w:val="1"/>
                <w:color w:val="auto"/>
              </w:rPr>
              <w:t>November 3, 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251"/>
              <w:spacing w:after="0"/>
              <w:rPr>
                <w:sz w:val="20"/>
                <w:szCs w:val="20"/>
                <w:color w:val="auto"/>
              </w:rPr>
            </w:pPr>
            <w:r>
              <w:rPr>
                <w:rFonts w:ascii="Arial" w:cs="Arial" w:eastAsia="Arial" w:hAnsi="Arial"/>
                <w:sz w:val="14"/>
                <w:szCs w:val="14"/>
                <w:b w:val="1"/>
                <w:bCs w:val="1"/>
                <w:color w:val="auto"/>
              </w:rPr>
              <w:t>October 28, 2017</w:t>
            </w: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Principal</w:t>
            </w:r>
          </w:p>
        </w:tc>
        <w:tc>
          <w:tcPr>
            <w:tcW w:w="19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Unamortized discount and</w:t>
            </w:r>
          </w:p>
        </w:tc>
        <w:tc>
          <w:tcPr>
            <w:tcW w:w="360" w:type="dxa"/>
            <w:vAlign w:val="bottom"/>
          </w:tcPr>
          <w:p>
            <w:pPr>
              <w:spacing w:after="0"/>
              <w:rPr>
                <w:sz w:val="13"/>
                <w:szCs w:val="13"/>
                <w:color w:val="auto"/>
              </w:rPr>
            </w:pPr>
          </w:p>
        </w:tc>
        <w:tc>
          <w:tcPr>
            <w:tcW w:w="15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Principal</w:t>
            </w:r>
          </w:p>
        </w:tc>
        <w:tc>
          <w:tcPr>
            <w:tcW w:w="1820" w:type="dxa"/>
            <w:vAlign w:val="bottom"/>
            <w:gridSpan w:val="2"/>
          </w:tcPr>
          <w:p>
            <w:pPr>
              <w:jc w:val="right"/>
              <w:ind w:right="11"/>
              <w:spacing w:after="0" w:line="153" w:lineRule="exact"/>
              <w:rPr>
                <w:sz w:val="20"/>
                <w:szCs w:val="20"/>
                <w:color w:val="auto"/>
              </w:rPr>
            </w:pPr>
            <w:r>
              <w:rPr>
                <w:rFonts w:ascii="Arial" w:cs="Arial" w:eastAsia="Arial" w:hAnsi="Arial"/>
                <w:sz w:val="14"/>
                <w:szCs w:val="14"/>
                <w:b w:val="1"/>
                <w:bCs w:val="1"/>
                <w:color w:val="auto"/>
                <w:w w:val="96"/>
              </w:rPr>
              <w:t>Unamortized discount and</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debt issuance costs</w:t>
            </w:r>
          </w:p>
        </w:tc>
        <w:tc>
          <w:tcPr>
            <w:tcW w:w="3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251"/>
              <w:spacing w:after="0"/>
              <w:rPr>
                <w:sz w:val="20"/>
                <w:szCs w:val="20"/>
                <w:color w:val="auto"/>
              </w:rPr>
            </w:pPr>
            <w:r>
              <w:rPr>
                <w:rFonts w:ascii="Arial" w:cs="Arial" w:eastAsia="Arial" w:hAnsi="Arial"/>
                <w:sz w:val="14"/>
                <w:szCs w:val="14"/>
                <w:b w:val="1"/>
                <w:bCs w:val="1"/>
                <w:color w:val="auto"/>
                <w:w w:val="92"/>
              </w:rPr>
              <w:t>debt issuance costs</w:t>
            </w:r>
          </w:p>
        </w:tc>
        <w:tc>
          <w:tcPr>
            <w:tcW w:w="0" w:type="dxa"/>
            <w:vAlign w:val="bottom"/>
          </w:tcPr>
          <w:p>
            <w:pPr>
              <w:spacing w:after="0"/>
              <w:rPr>
                <w:sz w:val="1"/>
                <w:szCs w:val="1"/>
                <w:color w:val="auto"/>
              </w:rPr>
            </w:pPr>
          </w:p>
        </w:tc>
      </w:tr>
      <w:tr>
        <w:trPr>
          <w:trHeight w:val="250"/>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5-Year term loan</w:t>
            </w:r>
          </w:p>
        </w:tc>
        <w:tc>
          <w:tcPr>
            <w:tcW w:w="3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1,350,000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2,100,000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7"/>
        </w:trPr>
        <w:tc>
          <w:tcPr>
            <w:tcW w:w="37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 Notes, due March 2020</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 w:type="dxa"/>
            <w:vAlign w:val="bottom"/>
          </w:tcPr>
          <w:p>
            <w:pPr>
              <w:ind w:left="20"/>
              <w:spacing w:after="0"/>
              <w:rPr>
                <w:sz w:val="20"/>
                <w:szCs w:val="20"/>
                <w:color w:val="auto"/>
              </w:rPr>
            </w:pPr>
            <w:r>
              <w:rPr>
                <w:rFonts w:ascii="Arial" w:cs="Arial" w:eastAsia="Arial" w:hAnsi="Arial"/>
                <w:sz w:val="18"/>
                <w:szCs w:val="18"/>
                <w:color w:val="auto"/>
                <w:w w:val="94"/>
              </w:rPr>
              <w:t>2021</w:t>
            </w:r>
          </w:p>
        </w:tc>
        <w:tc>
          <w:tcPr>
            <w:tcW w:w="3340" w:type="dxa"/>
            <w:vAlign w:val="bottom"/>
          </w:tcPr>
          <w:p>
            <w:pPr>
              <w:ind w:left="20"/>
              <w:spacing w:after="0"/>
              <w:rPr>
                <w:sz w:val="20"/>
                <w:szCs w:val="20"/>
                <w:color w:val="auto"/>
              </w:rPr>
            </w:pPr>
            <w:r>
              <w:rPr>
                <w:rFonts w:ascii="Arial" w:cs="Arial" w:eastAsia="Arial" w:hAnsi="Arial"/>
                <w:sz w:val="18"/>
                <w:szCs w:val="18"/>
                <w:color w:val="auto"/>
              </w:rPr>
              <w:t>Notes, due January 2021</w:t>
            </w:r>
          </w:p>
        </w:tc>
        <w:tc>
          <w:tcPr>
            <w:tcW w:w="3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2021</w:t>
            </w: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2021</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43"/>
        </w:trPr>
        <w:tc>
          <w:tcPr>
            <w:tcW w:w="420" w:type="dxa"/>
            <w:vAlign w:val="bottom"/>
          </w:tcPr>
          <w:p>
            <w:pPr>
              <w:ind w:left="20"/>
              <w:spacing w:after="0"/>
              <w:rPr>
                <w:sz w:val="20"/>
                <w:szCs w:val="20"/>
                <w:color w:val="auto"/>
              </w:rPr>
            </w:pPr>
            <w:r>
              <w:rPr>
                <w:rFonts w:ascii="Arial" w:cs="Arial" w:eastAsia="Arial" w:hAnsi="Arial"/>
                <w:sz w:val="18"/>
                <w:szCs w:val="18"/>
                <w:color w:val="auto"/>
                <w:w w:val="94"/>
              </w:rPr>
              <w:t>2023</w:t>
            </w:r>
          </w:p>
        </w:tc>
        <w:tc>
          <w:tcPr>
            <w:tcW w:w="3340" w:type="dxa"/>
            <w:vAlign w:val="bottom"/>
          </w:tcPr>
          <w:p>
            <w:pPr>
              <w:ind w:left="20"/>
              <w:spacing w:after="0"/>
              <w:rPr>
                <w:sz w:val="20"/>
                <w:szCs w:val="20"/>
                <w:color w:val="auto"/>
              </w:rPr>
            </w:pPr>
            <w:r>
              <w:rPr>
                <w:rFonts w:ascii="Arial" w:cs="Arial" w:eastAsia="Arial" w:hAnsi="Arial"/>
                <w:sz w:val="18"/>
                <w:szCs w:val="18"/>
                <w:color w:val="auto"/>
              </w:rPr>
              <w:t>Notes, due June 2023</w:t>
            </w:r>
          </w:p>
        </w:tc>
        <w:tc>
          <w:tcPr>
            <w:tcW w:w="3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2023</w:t>
            </w: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2023</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43"/>
        </w:trPr>
        <w:tc>
          <w:tcPr>
            <w:tcW w:w="420" w:type="dxa"/>
            <w:vAlign w:val="bottom"/>
          </w:tcPr>
          <w:p>
            <w:pPr>
              <w:ind w:left="20"/>
              <w:spacing w:after="0"/>
              <w:rPr>
                <w:sz w:val="20"/>
                <w:szCs w:val="20"/>
                <w:color w:val="auto"/>
              </w:rPr>
            </w:pPr>
            <w:r>
              <w:rPr>
                <w:rFonts w:ascii="Arial" w:cs="Arial" w:eastAsia="Arial" w:hAnsi="Arial"/>
                <w:sz w:val="18"/>
                <w:szCs w:val="18"/>
                <w:color w:val="auto"/>
                <w:w w:val="94"/>
              </w:rPr>
              <w:t>2025</w:t>
            </w:r>
          </w:p>
        </w:tc>
        <w:tc>
          <w:tcPr>
            <w:tcW w:w="3340" w:type="dxa"/>
            <w:vAlign w:val="bottom"/>
          </w:tcPr>
          <w:p>
            <w:pPr>
              <w:ind w:left="20"/>
              <w:spacing w:after="0"/>
              <w:rPr>
                <w:sz w:val="20"/>
                <w:szCs w:val="20"/>
                <w:color w:val="auto"/>
              </w:rPr>
            </w:pPr>
            <w:r>
              <w:rPr>
                <w:rFonts w:ascii="Arial" w:cs="Arial" w:eastAsia="Arial" w:hAnsi="Arial"/>
                <w:sz w:val="18"/>
                <w:szCs w:val="18"/>
                <w:color w:val="auto"/>
              </w:rPr>
              <w:t>Notes, due December 2025</w:t>
            </w:r>
          </w:p>
        </w:tc>
        <w:tc>
          <w:tcPr>
            <w:tcW w:w="3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6,262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7,154</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2026</w:t>
            </w: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2026</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11,655</w:t>
            </w:r>
          </w:p>
        </w:tc>
        <w:tc>
          <w:tcPr>
            <w:tcW w:w="0" w:type="dxa"/>
            <w:vAlign w:val="bottom"/>
          </w:tcPr>
          <w:p>
            <w:pPr>
              <w:spacing w:after="0"/>
              <w:rPr>
                <w:sz w:val="1"/>
                <w:szCs w:val="1"/>
                <w:color w:val="auto"/>
              </w:rPr>
            </w:pPr>
          </w:p>
        </w:tc>
      </w:tr>
      <w:tr>
        <w:trPr>
          <w:trHeight w:val="243"/>
        </w:trPr>
        <w:tc>
          <w:tcPr>
            <w:tcW w:w="420" w:type="dxa"/>
            <w:vAlign w:val="bottom"/>
          </w:tcPr>
          <w:p>
            <w:pPr>
              <w:ind w:left="20"/>
              <w:spacing w:after="0"/>
              <w:rPr>
                <w:sz w:val="20"/>
                <w:szCs w:val="20"/>
                <w:color w:val="auto"/>
              </w:rPr>
            </w:pPr>
            <w:r>
              <w:rPr>
                <w:rFonts w:ascii="Arial" w:cs="Arial" w:eastAsia="Arial" w:hAnsi="Arial"/>
                <w:sz w:val="18"/>
                <w:szCs w:val="18"/>
                <w:color w:val="auto"/>
                <w:w w:val="94"/>
              </w:rPr>
              <w:t>2036</w:t>
            </w:r>
          </w:p>
        </w:tc>
        <w:tc>
          <w:tcPr>
            <w:tcW w:w="3340" w:type="dxa"/>
            <w:vAlign w:val="bottom"/>
          </w:tcPr>
          <w:p>
            <w:pPr>
              <w:ind w:left="20"/>
              <w:spacing w:after="0"/>
              <w:rPr>
                <w:sz w:val="20"/>
                <w:szCs w:val="20"/>
                <w:color w:val="auto"/>
              </w:rPr>
            </w:pPr>
            <w:r>
              <w:rPr>
                <w:rFonts w:ascii="Arial" w:cs="Arial" w:eastAsia="Arial" w:hAnsi="Arial"/>
                <w:sz w:val="18"/>
                <w:szCs w:val="18"/>
                <w:color w:val="auto"/>
              </w:rPr>
              <w:t>Notes, due December 2036</w:t>
            </w:r>
          </w:p>
        </w:tc>
        <w:tc>
          <w:tcPr>
            <w:tcW w:w="3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2045</w:t>
            </w: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2045</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37"/>
        </w:trPr>
        <w:tc>
          <w:tcPr>
            <w:tcW w:w="3760" w:type="dxa"/>
            <w:vAlign w:val="bottom"/>
            <w:gridSpan w:val="2"/>
          </w:tcPr>
          <w:p>
            <w:pPr>
              <w:ind w:left="160"/>
              <w:spacing w:after="0"/>
              <w:rPr>
                <w:sz w:val="20"/>
                <w:szCs w:val="20"/>
                <w:color w:val="auto"/>
              </w:rPr>
            </w:pPr>
            <w:r>
              <w:rPr>
                <w:rFonts w:ascii="Arial" w:cs="Arial" w:eastAsia="Arial" w:hAnsi="Arial"/>
                <w:sz w:val="18"/>
                <w:szCs w:val="18"/>
                <w:color w:val="auto"/>
              </w:rPr>
              <w:t>Total Long-Term Debt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6,308,000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7,600,000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48,916</w:t>
            </w:r>
          </w:p>
        </w:tc>
        <w:tc>
          <w:tcPr>
            <w:tcW w:w="0" w:type="dxa"/>
            <w:vAlign w:val="bottom"/>
          </w:tcPr>
          <w:p>
            <w:pPr>
              <w:spacing w:after="0"/>
              <w:rPr>
                <w:sz w:val="1"/>
                <w:szCs w:val="1"/>
                <w:color w:val="auto"/>
              </w:rPr>
            </w:pPr>
          </w:p>
        </w:tc>
      </w:tr>
      <w:tr>
        <w:trPr>
          <w:trHeight w:val="27"/>
        </w:trPr>
        <w:tc>
          <w:tcPr>
            <w:tcW w:w="37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current</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60" w:type="dxa"/>
            <w:vAlign w:val="bottom"/>
            <w:gridSpan w:val="2"/>
          </w:tcPr>
          <w:p>
            <w:pPr>
              <w:ind w:left="200"/>
              <w:spacing w:after="0"/>
              <w:rPr>
                <w:sz w:val="20"/>
                <w:szCs w:val="20"/>
                <w:color w:val="auto"/>
              </w:rPr>
            </w:pPr>
            <w:r>
              <w:rPr>
                <w:rFonts w:ascii="Arial" w:cs="Arial" w:eastAsia="Arial" w:hAnsi="Arial"/>
                <w:sz w:val="18"/>
                <w:szCs w:val="18"/>
                <w:color w:val="auto"/>
              </w:rPr>
              <w:t>Total Current Debt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48,916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November 19, 2018, the Board of Directors of the Company declared a cash dividend of $0.48 per outstanding share of common stock. The dividend will be paid on December 10, 2018 to all shareholders of record at the close of business on November 29, 2018.</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89" w:name="page90"/>
    <w:bookmarkEnd w:id="89"/>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SUPPLEMENTARY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(thousands, except per share amounts and as noted)</w:t>
      </w:r>
    </w:p>
    <w:p>
      <w:pPr>
        <w:spacing w:after="0" w:line="116"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Company’s fiscal year is the 52-week or 53-week period ending on the Saturday closest to the last day in October. Fiscal 2018 is a 53-week fiscal year. Fiscal 2017 was a 52-week fiscal year. The Company's interim periods operate on a 4-4-5 fiscal calendar, where each fiscal quarter is comprised of two 4-week periods and one 5-week period, with each week ending on a Saturday. The additional week in fiscal 2018 was included in the first quarter ended February 3, 2018. Therefore, fiscal 2018 included an additional week of operations as compared to fiscal 2017. The Company's fiscal year quarterly financial information for fiscal 2018 and fiscal 2017 include results of operations of Linear from March 10, 2017:</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1140" w:type="dxa"/>
            <w:vAlign w:val="bottom"/>
            <w:gridSpan w:val="2"/>
          </w:tcPr>
          <w:p>
            <w:pPr>
              <w:ind w:left="360"/>
              <w:spacing w:after="0"/>
              <w:rPr>
                <w:sz w:val="20"/>
                <w:szCs w:val="20"/>
                <w:color w:val="auto"/>
              </w:rPr>
            </w:pPr>
            <w:r>
              <w:rPr>
                <w:rFonts w:ascii="Arial" w:cs="Arial" w:eastAsia="Arial" w:hAnsi="Arial"/>
                <w:sz w:val="13"/>
                <w:szCs w:val="13"/>
                <w:b w:val="1"/>
                <w:bCs w:val="1"/>
                <w:color w:val="auto"/>
              </w:rPr>
              <w:t>4Q18</w:t>
            </w:r>
          </w:p>
        </w:tc>
        <w:tc>
          <w:tcPr>
            <w:tcW w:w="1140" w:type="dxa"/>
            <w:vAlign w:val="bottom"/>
            <w:gridSpan w:val="2"/>
          </w:tcPr>
          <w:p>
            <w:pPr>
              <w:ind w:left="380"/>
              <w:spacing w:after="0"/>
              <w:rPr>
                <w:sz w:val="20"/>
                <w:szCs w:val="20"/>
                <w:color w:val="auto"/>
              </w:rPr>
            </w:pPr>
            <w:r>
              <w:rPr>
                <w:rFonts w:ascii="Arial" w:cs="Arial" w:eastAsia="Arial" w:hAnsi="Arial"/>
                <w:sz w:val="13"/>
                <w:szCs w:val="13"/>
                <w:b w:val="1"/>
                <w:bCs w:val="1"/>
                <w:color w:val="auto"/>
              </w:rPr>
              <w:t>3Q18</w:t>
            </w:r>
          </w:p>
        </w:tc>
        <w:tc>
          <w:tcPr>
            <w:tcW w:w="1060" w:type="dxa"/>
            <w:vAlign w:val="bottom"/>
            <w:gridSpan w:val="2"/>
          </w:tcPr>
          <w:p>
            <w:pPr>
              <w:ind w:left="340"/>
              <w:spacing w:after="0"/>
              <w:rPr>
                <w:sz w:val="20"/>
                <w:szCs w:val="20"/>
                <w:color w:val="auto"/>
              </w:rPr>
            </w:pPr>
            <w:r>
              <w:rPr>
                <w:rFonts w:ascii="Arial" w:cs="Arial" w:eastAsia="Arial" w:hAnsi="Arial"/>
                <w:sz w:val="13"/>
                <w:szCs w:val="13"/>
                <w:b w:val="1"/>
                <w:bCs w:val="1"/>
                <w:color w:val="auto"/>
              </w:rPr>
              <w:t>2Q18</w:t>
            </w:r>
          </w:p>
        </w:tc>
        <w:tc>
          <w:tcPr>
            <w:tcW w:w="1060" w:type="dxa"/>
            <w:vAlign w:val="bottom"/>
            <w:gridSpan w:val="2"/>
          </w:tcPr>
          <w:p>
            <w:pPr>
              <w:ind w:left="320"/>
              <w:spacing w:after="0"/>
              <w:rPr>
                <w:sz w:val="20"/>
                <w:szCs w:val="20"/>
                <w:color w:val="auto"/>
              </w:rPr>
            </w:pPr>
            <w:r>
              <w:rPr>
                <w:rFonts w:ascii="Arial" w:cs="Arial" w:eastAsia="Arial" w:hAnsi="Arial"/>
                <w:sz w:val="13"/>
                <w:szCs w:val="13"/>
                <w:b w:val="1"/>
                <w:bCs w:val="1"/>
                <w:color w:val="auto"/>
              </w:rPr>
              <w:t>1Q18</w:t>
            </w:r>
          </w:p>
        </w:tc>
        <w:tc>
          <w:tcPr>
            <w:tcW w:w="1140" w:type="dxa"/>
            <w:vAlign w:val="bottom"/>
            <w:gridSpan w:val="2"/>
          </w:tcPr>
          <w:p>
            <w:pPr>
              <w:ind w:left="360"/>
              <w:spacing w:after="0"/>
              <w:rPr>
                <w:sz w:val="20"/>
                <w:szCs w:val="20"/>
                <w:color w:val="auto"/>
              </w:rPr>
            </w:pPr>
            <w:r>
              <w:rPr>
                <w:rFonts w:ascii="Arial" w:cs="Arial" w:eastAsia="Arial" w:hAnsi="Arial"/>
                <w:sz w:val="13"/>
                <w:szCs w:val="13"/>
                <w:b w:val="1"/>
                <w:bCs w:val="1"/>
                <w:color w:val="auto"/>
              </w:rPr>
              <w:t>4Q17</w:t>
            </w:r>
          </w:p>
        </w:tc>
        <w:tc>
          <w:tcPr>
            <w:tcW w:w="1060" w:type="dxa"/>
            <w:vAlign w:val="bottom"/>
            <w:gridSpan w:val="2"/>
          </w:tcPr>
          <w:p>
            <w:pPr>
              <w:ind w:left="340"/>
              <w:spacing w:after="0"/>
              <w:rPr>
                <w:sz w:val="20"/>
                <w:szCs w:val="20"/>
                <w:color w:val="auto"/>
              </w:rPr>
            </w:pPr>
            <w:r>
              <w:rPr>
                <w:rFonts w:ascii="Arial" w:cs="Arial" w:eastAsia="Arial" w:hAnsi="Arial"/>
                <w:sz w:val="13"/>
                <w:szCs w:val="13"/>
                <w:b w:val="1"/>
                <w:bCs w:val="1"/>
                <w:color w:val="auto"/>
              </w:rPr>
              <w:t>3Q17</w:t>
            </w:r>
          </w:p>
        </w:tc>
        <w:tc>
          <w:tcPr>
            <w:tcW w:w="1040" w:type="dxa"/>
            <w:vAlign w:val="bottom"/>
            <w:gridSpan w:val="2"/>
          </w:tcPr>
          <w:p>
            <w:pPr>
              <w:ind w:left="320"/>
              <w:spacing w:after="0"/>
              <w:rPr>
                <w:sz w:val="20"/>
                <w:szCs w:val="20"/>
                <w:color w:val="auto"/>
              </w:rPr>
            </w:pPr>
            <w:r>
              <w:rPr>
                <w:rFonts w:ascii="Arial" w:cs="Arial" w:eastAsia="Arial" w:hAnsi="Arial"/>
                <w:sz w:val="13"/>
                <w:szCs w:val="13"/>
                <w:b w:val="1"/>
                <w:bCs w:val="1"/>
                <w:color w:val="auto"/>
              </w:rPr>
              <w:t>2Q17</w:t>
            </w:r>
          </w:p>
        </w:tc>
        <w:tc>
          <w:tcPr>
            <w:tcW w:w="940" w:type="dxa"/>
            <w:vAlign w:val="bottom"/>
          </w:tcPr>
          <w:p>
            <w:pPr>
              <w:jc w:val="right"/>
              <w:ind w:right="249"/>
              <w:spacing w:after="0"/>
              <w:rPr>
                <w:sz w:val="20"/>
                <w:szCs w:val="20"/>
                <w:color w:val="auto"/>
              </w:rPr>
            </w:pPr>
            <w:r>
              <w:rPr>
                <w:rFonts w:ascii="Arial" w:cs="Arial" w:eastAsia="Arial" w:hAnsi="Arial"/>
                <w:sz w:val="13"/>
                <w:szCs w:val="13"/>
                <w:b w:val="1"/>
                <w:bCs w:val="1"/>
                <w:color w:val="auto"/>
              </w:rPr>
              <w:t>1Q17</w:t>
            </w:r>
          </w:p>
        </w:tc>
      </w:tr>
      <w:tr>
        <w:trPr>
          <w:trHeight w:val="257"/>
        </w:trPr>
        <w:tc>
          <w:tcPr>
            <w:tcW w:w="2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1,596,586</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1,572,679</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1,513,053</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1,518,624</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1,541,170</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1,433,902</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1,147,982</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984,449</w:t>
            </w:r>
          </w:p>
        </w:tc>
      </w:tr>
      <w:tr>
        <w:trPr>
          <w:trHeight w:val="264"/>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sales</w:t>
            </w: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502,932</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502,033</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479,241</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483,434</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535,145</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667,278</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507,539</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335,945</w:t>
            </w:r>
          </w:p>
        </w:tc>
      </w:tr>
      <w:tr>
        <w:trPr>
          <w:trHeight w:val="256"/>
        </w:trPr>
        <w:tc>
          <w:tcPr>
            <w:tcW w:w="2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1,093,654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1,070,646</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1,033,812</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1,035,190</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1,006,025</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766,624</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640,443</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648,504</w:t>
            </w:r>
          </w:p>
        </w:tc>
      </w:tr>
      <w:tr>
        <w:trPr>
          <w:trHeight w:val="264"/>
        </w:trPr>
        <w:tc>
          <w:tcPr>
            <w:tcW w:w="284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65.9%</w:t>
            </w:r>
          </w:p>
        </w:tc>
      </w:tr>
      <w:tr>
        <w:trPr>
          <w:trHeight w:val="276"/>
        </w:trPr>
        <w:tc>
          <w:tcPr>
            <w:tcW w:w="2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295,699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291,642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289,472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288,597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273,746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275,670</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235,232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183,954</w:t>
            </w:r>
          </w:p>
        </w:tc>
      </w:tr>
      <w:tr>
        <w:trPr>
          <w:trHeight w:val="220"/>
        </w:trPr>
        <w:tc>
          <w:tcPr>
            <w:tcW w:w="2840" w:type="dxa"/>
            <w:vAlign w:val="bottom"/>
          </w:tcPr>
          <w:p>
            <w:pPr>
              <w:ind w:left="180"/>
              <w:spacing w:after="0"/>
              <w:rPr>
                <w:sz w:val="20"/>
                <w:szCs w:val="20"/>
                <w:color w:val="auto"/>
              </w:rPr>
            </w:pPr>
            <w:r>
              <w:rPr>
                <w:rFonts w:ascii="Arial" w:cs="Arial" w:eastAsia="Arial" w:hAnsi="Arial"/>
                <w:sz w:val="16"/>
                <w:szCs w:val="16"/>
                <w:color w:val="auto"/>
              </w:rPr>
              <w:t>Selling, marketing, general and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3"/>
        </w:trPr>
        <w:tc>
          <w:tcPr>
            <w:tcW w:w="2840" w:type="dxa"/>
            <w:vAlign w:val="bottom"/>
          </w:tcPr>
          <w:p>
            <w:pPr>
              <w:ind w:left="180"/>
              <w:spacing w:after="0"/>
              <w:rPr>
                <w:sz w:val="20"/>
                <w:szCs w:val="20"/>
                <w:color w:val="auto"/>
              </w:rPr>
            </w:pPr>
            <w:r>
              <w:rPr>
                <w:rFonts w:ascii="Arial" w:cs="Arial" w:eastAsia="Arial" w:hAnsi="Arial"/>
                <w:sz w:val="16"/>
                <w:szCs w:val="16"/>
                <w:color w:val="auto"/>
              </w:rPr>
              <w:t>administrative</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175,396</w:t>
            </w:r>
          </w:p>
        </w:tc>
        <w:tc>
          <w:tcPr>
            <w:tcW w:w="100" w:type="dxa"/>
            <w:vAlign w:val="bottom"/>
          </w:tcPr>
          <w:p>
            <w:pPr>
              <w:spacing w:after="0"/>
              <w:rPr>
                <w:sz w:val="20"/>
                <w:szCs w:val="20"/>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171,487</w:t>
            </w:r>
          </w:p>
        </w:tc>
        <w:tc>
          <w:tcPr>
            <w:tcW w:w="100" w:type="dxa"/>
            <w:vAlign w:val="bottom"/>
          </w:tcPr>
          <w:p>
            <w:pPr>
              <w:spacing w:after="0"/>
              <w:rPr>
                <w:sz w:val="20"/>
                <w:szCs w:val="20"/>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172,146</w:t>
            </w:r>
          </w:p>
        </w:tc>
        <w:tc>
          <w:tcPr>
            <w:tcW w:w="100" w:type="dxa"/>
            <w:vAlign w:val="bottom"/>
          </w:tcPr>
          <w:p>
            <w:pPr>
              <w:spacing w:after="0"/>
              <w:rPr>
                <w:sz w:val="20"/>
                <w:szCs w:val="20"/>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176,908</w:t>
            </w:r>
          </w:p>
        </w:tc>
        <w:tc>
          <w:tcPr>
            <w:tcW w:w="120" w:type="dxa"/>
            <w:vAlign w:val="bottom"/>
          </w:tcPr>
          <w:p>
            <w:pPr>
              <w:spacing w:after="0"/>
              <w:rPr>
                <w:sz w:val="20"/>
                <w:szCs w:val="20"/>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185,721</w:t>
            </w:r>
          </w:p>
        </w:tc>
        <w:tc>
          <w:tcPr>
            <w:tcW w:w="100" w:type="dxa"/>
            <w:vAlign w:val="bottom"/>
          </w:tcPr>
          <w:p>
            <w:pPr>
              <w:spacing w:after="0"/>
              <w:rPr>
                <w:sz w:val="20"/>
                <w:szCs w:val="20"/>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183,980</w:t>
            </w:r>
          </w:p>
        </w:tc>
        <w:tc>
          <w:tcPr>
            <w:tcW w:w="120" w:type="dxa"/>
            <w:vAlign w:val="bottom"/>
          </w:tcPr>
          <w:p>
            <w:pPr>
              <w:spacing w:after="0"/>
              <w:rPr>
                <w:sz w:val="20"/>
                <w:szCs w:val="20"/>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190,686</w:t>
            </w:r>
          </w:p>
        </w:tc>
        <w:tc>
          <w:tcPr>
            <w:tcW w:w="100" w:type="dxa"/>
            <w:vAlign w:val="bottom"/>
          </w:tcPr>
          <w:p>
            <w:pPr>
              <w:spacing w:after="0"/>
              <w:rPr>
                <w:sz w:val="20"/>
                <w:szCs w:val="20"/>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130,659</w:t>
            </w:r>
          </w:p>
        </w:tc>
      </w:tr>
      <w:tr>
        <w:trPr>
          <w:trHeight w:val="276"/>
        </w:trPr>
        <w:tc>
          <w:tcPr>
            <w:tcW w:w="2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Special charges (a)</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1,842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1,089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57,318</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49,463</w:t>
            </w:r>
          </w:p>
        </w:tc>
      </w:tr>
      <w:tr>
        <w:trPr>
          <w:trHeight w:val="264"/>
        </w:trPr>
        <w:tc>
          <w:tcPr>
            <w:tcW w:w="2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of intangibles</w:t>
            </w: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107,345</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107,409</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107,129</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107,019</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98,348</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112,153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68,690</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18,160</w:t>
            </w:r>
          </w:p>
        </w:tc>
      </w:tr>
      <w:tr>
        <w:trPr>
          <w:trHeight w:val="256"/>
        </w:trPr>
        <w:tc>
          <w:tcPr>
            <w:tcW w:w="2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580,282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571,607</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569,836</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629,842</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557,815</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571,803</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494,608</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382,236</w:t>
            </w:r>
          </w:p>
        </w:tc>
      </w:tr>
      <w:tr>
        <w:trPr>
          <w:trHeight w:val="264"/>
        </w:trPr>
        <w:tc>
          <w:tcPr>
            <w:tcW w:w="28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513,372</w:t>
            </w:r>
          </w:p>
        </w:tc>
        <w:tc>
          <w:tcPr>
            <w:tcW w:w="10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499,039</w:t>
            </w:r>
          </w:p>
        </w:tc>
        <w:tc>
          <w:tcPr>
            <w:tcW w:w="10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463,976</w:t>
            </w:r>
          </w:p>
        </w:tc>
        <w:tc>
          <w:tcPr>
            <w:tcW w:w="10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405,348</w:t>
            </w:r>
          </w:p>
        </w:tc>
        <w:tc>
          <w:tcPr>
            <w:tcW w:w="120" w:type="dxa"/>
            <w:vAlign w:val="bottom"/>
          </w:tcPr>
          <w:p>
            <w:pPr>
              <w:spacing w:after="0"/>
              <w:rPr>
                <w:sz w:val="22"/>
                <w:szCs w:val="22"/>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448,210</w:t>
            </w:r>
          </w:p>
        </w:tc>
        <w:tc>
          <w:tcPr>
            <w:tcW w:w="10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194,821</w:t>
            </w:r>
          </w:p>
        </w:tc>
        <w:tc>
          <w:tcPr>
            <w:tcW w:w="12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145,835</w:t>
            </w:r>
          </w:p>
        </w:tc>
        <w:tc>
          <w:tcPr>
            <w:tcW w:w="10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266,268</w:t>
            </w:r>
          </w:p>
        </w:tc>
      </w:tr>
      <w:tr>
        <w:trPr>
          <w:trHeight w:val="276"/>
        </w:trPr>
        <w:tc>
          <w:tcPr>
            <w:tcW w:w="2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37"/>
        </w:trPr>
        <w:tc>
          <w:tcPr>
            <w:tcW w:w="2840" w:type="dxa"/>
            <w:vAlign w:val="bottom"/>
          </w:tcPr>
          <w:p>
            <w:pPr>
              <w:ind w:left="40"/>
              <w:spacing w:after="0"/>
              <w:rPr>
                <w:sz w:val="20"/>
                <w:szCs w:val="20"/>
                <w:color w:val="auto"/>
              </w:rPr>
            </w:pPr>
            <w:r>
              <w:rPr>
                <w:rFonts w:ascii="Arial" w:cs="Arial" w:eastAsia="Arial" w:hAnsi="Arial"/>
                <w:sz w:val="16"/>
                <w:szCs w:val="16"/>
                <w:color w:val="auto"/>
              </w:rPr>
              <w:t>Nonoperating (income) expenses: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2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 (b)</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59,102</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61,665</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64,792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68,030</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63,517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73,073</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71,636</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42,614</w:t>
            </w:r>
          </w:p>
        </w:tc>
      </w:tr>
      <w:tr>
        <w:trPr>
          <w:trHeight w:val="264"/>
        </w:trPr>
        <w:tc>
          <w:tcPr>
            <w:tcW w:w="284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(2,791)</w:t>
            </w:r>
          </w:p>
        </w:tc>
        <w:tc>
          <w:tcPr>
            <w:tcW w:w="100" w:type="dxa"/>
            <w:vAlign w:val="bottom"/>
          </w:tcPr>
          <w:p>
            <w:pPr>
              <w:spacing w:after="0"/>
              <w:rPr>
                <w:sz w:val="22"/>
                <w:szCs w:val="22"/>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(2,588)</w:t>
            </w:r>
          </w:p>
        </w:tc>
        <w:tc>
          <w:tcPr>
            <w:tcW w:w="10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(1,912)</w:t>
            </w:r>
          </w:p>
        </w:tc>
        <w:tc>
          <w:tcPr>
            <w:tcW w:w="10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(2,092)</w:t>
            </w:r>
          </w:p>
        </w:tc>
        <w:tc>
          <w:tcPr>
            <w:tcW w:w="120" w:type="dxa"/>
            <w:vAlign w:val="bottom"/>
          </w:tcPr>
          <w:p>
            <w:pPr>
              <w:spacing w:after="0"/>
              <w:rPr>
                <w:sz w:val="22"/>
                <w:szCs w:val="22"/>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(2,388)</w:t>
            </w:r>
          </w:p>
        </w:tc>
        <w:tc>
          <w:tcPr>
            <w:tcW w:w="10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(5,524)</w:t>
            </w:r>
          </w:p>
        </w:tc>
        <w:tc>
          <w:tcPr>
            <w:tcW w:w="12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(12,421)</w:t>
            </w:r>
          </w:p>
        </w:tc>
        <w:tc>
          <w:tcPr>
            <w:tcW w:w="10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(10,000)</w:t>
            </w:r>
          </w:p>
        </w:tc>
      </w:tr>
      <w:tr>
        <w:trPr>
          <w:trHeight w:val="276"/>
        </w:trPr>
        <w:tc>
          <w:tcPr>
            <w:tcW w:w="2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556</w:t>
            </w:r>
          </w:p>
        </w:tc>
        <w:tc>
          <w:tcPr>
            <w:tcW w:w="12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5,417</w:t>
            </w:r>
          </w:p>
        </w:tc>
        <w:tc>
          <w:tcPr>
            <w:tcW w:w="10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345</w:t>
            </w:r>
          </w:p>
        </w:tc>
      </w:tr>
      <w:tr>
        <w:trPr>
          <w:trHeight w:val="244"/>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nonoperating (income) expense</w:t>
            </w: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55,850</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58,445</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62,429</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66,494</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66,546</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68,023</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59,121</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32,959</w:t>
            </w:r>
          </w:p>
        </w:tc>
      </w:tr>
      <w:tr>
        <w:trPr>
          <w:trHeight w:val="256"/>
        </w:trPr>
        <w:tc>
          <w:tcPr>
            <w:tcW w:w="2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457,522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440,594</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401,547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338,854</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381,664</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126,798</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86,714</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233,309</w:t>
            </w:r>
          </w:p>
        </w:tc>
      </w:tr>
    </w:tbl>
    <w:p>
      <w:pPr>
        <w:spacing w:after="0" w:line="31" w:lineRule="exact"/>
        <w:rPr>
          <w:sz w:val="20"/>
          <w:szCs w:val="20"/>
          <w:color w:val="auto"/>
        </w:rPr>
      </w:pPr>
    </w:p>
    <w:p>
      <w:pPr>
        <w:sectPr>
          <w:pgSz w:w="11900" w:h="16838" w:orient="portrait"/>
          <w:cols w:equalWidth="0" w:num="1">
            <w:col w:w="11420"/>
          </w:cols>
          <w:pgMar w:left="240" w:top="580" w:right="239" w:bottom="1440" w:gutter="0" w:footer="0" w:header="0"/>
        </w:sectPr>
      </w:pPr>
    </w:p>
    <w:p>
      <w:pPr>
        <w:ind w:left="180"/>
        <w:spacing w:after="0"/>
        <w:rPr>
          <w:sz w:val="20"/>
          <w:szCs w:val="20"/>
          <w:color w:val="auto"/>
        </w:rPr>
      </w:pPr>
      <w:r>
        <w:rPr>
          <w:rFonts w:ascii="Arial" w:cs="Arial" w:eastAsia="Arial" w:hAnsi="Arial"/>
          <w:sz w:val="16"/>
          <w:szCs w:val="16"/>
          <w:color w:val="auto"/>
        </w:rPr>
        <w:t>% of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(benefit) for income taxes (c)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of Revenue</w:t>
      </w:r>
    </w:p>
    <w:p>
      <w:pPr>
        <w:spacing w:after="0" w:line="73" w:lineRule="exact"/>
        <w:rPr>
          <w:sz w:val="20"/>
          <w:szCs w:val="20"/>
          <w:color w:val="auto"/>
        </w:rPr>
      </w:pPr>
    </w:p>
    <w:p>
      <w:pPr>
        <w:ind w:left="380" w:right="60"/>
        <w:spacing w:after="0" w:line="293" w:lineRule="auto"/>
        <w:rPr>
          <w:sz w:val="20"/>
          <w:szCs w:val="20"/>
          <w:color w:val="auto"/>
        </w:rPr>
      </w:pPr>
      <w:r>
        <w:rPr>
          <w:rFonts w:ascii="Arial" w:cs="Arial" w:eastAsia="Arial" w:hAnsi="Arial"/>
          <w:sz w:val="16"/>
          <w:szCs w:val="16"/>
          <w:color w:val="auto"/>
        </w:rPr>
        <w:t>Net income allocable to common shares (d)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Basic earnings per common share</w:t>
      </w:r>
    </w:p>
    <w:p>
      <w:pPr>
        <w:spacing w:after="0" w:line="96" w:lineRule="exact"/>
        <w:rPr>
          <w:sz w:val="20"/>
          <w:szCs w:val="20"/>
          <w:color w:val="auto"/>
        </w:rPr>
      </w:pPr>
    </w:p>
    <w:p>
      <w:pPr>
        <w:ind w:left="380" w:right="280"/>
        <w:spacing w:after="0" w:line="293" w:lineRule="auto"/>
        <w:rPr>
          <w:sz w:val="20"/>
          <w:szCs w:val="20"/>
          <w:color w:val="auto"/>
        </w:rPr>
      </w:pPr>
      <w:r>
        <w:rPr>
          <w:rFonts w:ascii="Arial" w:cs="Arial" w:eastAsia="Arial" w:hAnsi="Arial"/>
          <w:sz w:val="16"/>
          <w:szCs w:val="16"/>
          <w:color w:val="auto"/>
        </w:rPr>
        <w:t>Diluted earnings per common share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24,557</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26,130</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21,716</w:t>
            </w:r>
          </w:p>
        </w:tc>
        <w:tc>
          <w:tcPr>
            <w:tcW w:w="100" w:type="dxa"/>
            <w:vAlign w:val="bottom"/>
          </w:tcPr>
          <w:p>
            <w:pPr>
              <w:spacing w:after="0"/>
              <w:rPr>
                <w:sz w:val="24"/>
                <w:szCs w:val="2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70,682</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34,014</w:t>
            </w:r>
          </w:p>
        </w:tc>
        <w:tc>
          <w:tcPr>
            <w:tcW w:w="100" w:type="dxa"/>
            <w:vAlign w:val="bottom"/>
          </w:tcPr>
          <w:p>
            <w:pPr>
              <w:spacing w:after="0"/>
              <w:rPr>
                <w:sz w:val="24"/>
                <w:szCs w:val="2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57,882</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(6,850)</w:t>
            </w:r>
          </w:p>
        </w:tc>
        <w:tc>
          <w:tcPr>
            <w:tcW w:w="100" w:type="dxa"/>
            <w:vAlign w:val="bottom"/>
          </w:tcPr>
          <w:p>
            <w:pPr>
              <w:spacing w:after="0"/>
              <w:rPr>
                <w:sz w:val="24"/>
                <w:szCs w:val="2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16,180</w:t>
            </w:r>
          </w:p>
        </w:tc>
      </w:tr>
      <w:tr>
        <w:trPr>
          <w:trHeight w:val="237"/>
        </w:trPr>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432,965</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414,464</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379,831</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268,172</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347,650</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68,916</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93,564</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217,129</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8"/>
        </w:trPr>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459"/>
        </w:trPr>
        <w:tc>
          <w:tcPr>
            <w:tcW w:w="1040" w:type="dxa"/>
            <w:vAlign w:val="bottom"/>
          </w:tcPr>
          <w:p>
            <w:pPr>
              <w:jc w:val="right"/>
              <w:ind w:right="88"/>
              <w:spacing w:after="0"/>
              <w:rPr>
                <w:sz w:val="20"/>
                <w:szCs w:val="20"/>
                <w:color w:val="auto"/>
              </w:rPr>
            </w:pPr>
            <w:r>
              <w:rPr>
                <w:rFonts w:ascii="Arial" w:cs="Arial" w:eastAsia="Arial" w:hAnsi="Arial"/>
                <w:sz w:val="14"/>
                <w:szCs w:val="14"/>
                <w:color w:val="auto"/>
              </w:rPr>
              <w:t>431,621</w:t>
            </w:r>
          </w:p>
        </w:tc>
        <w:tc>
          <w:tcPr>
            <w:tcW w:w="10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412,938</w:t>
            </w:r>
          </w:p>
        </w:tc>
        <w:tc>
          <w:tcPr>
            <w:tcW w:w="100" w:type="dxa"/>
            <w:vAlign w:val="bottom"/>
          </w:tcPr>
          <w:p>
            <w:pPr>
              <w:spacing w:after="0"/>
              <w:rPr>
                <w:sz w:val="24"/>
                <w:szCs w:val="2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378,299</w:t>
            </w:r>
          </w:p>
        </w:tc>
        <w:tc>
          <w:tcPr>
            <w:tcW w:w="10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266,929</w:t>
            </w:r>
          </w:p>
        </w:tc>
        <w:tc>
          <w:tcPr>
            <w:tcW w:w="12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345,876</w:t>
            </w:r>
          </w:p>
        </w:tc>
        <w:tc>
          <w:tcPr>
            <w:tcW w:w="10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67,935</w:t>
            </w:r>
          </w:p>
        </w:tc>
        <w:tc>
          <w:tcPr>
            <w:tcW w:w="12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93,564</w:t>
            </w:r>
          </w:p>
        </w:tc>
        <w:tc>
          <w:tcPr>
            <w:tcW w:w="10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217,129</w:t>
            </w:r>
          </w:p>
        </w:tc>
      </w:tr>
      <w:tr>
        <w:trPr>
          <w:trHeight w:val="270"/>
        </w:trPr>
        <w:tc>
          <w:tcPr>
            <w:tcW w:w="1040" w:type="dxa"/>
            <w:vAlign w:val="bottom"/>
          </w:tcPr>
          <w:p>
            <w:pPr>
              <w:jc w:val="right"/>
              <w:ind w:right="8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0.72</w:t>
            </w:r>
          </w:p>
        </w:tc>
        <w:tc>
          <w:tcPr>
            <w:tcW w:w="120" w:type="dxa"/>
            <w:vAlign w:val="bottom"/>
          </w:tcPr>
          <w:p>
            <w:pPr>
              <w:spacing w:after="0"/>
              <w:rPr>
                <w:sz w:val="23"/>
                <w:szCs w:val="23"/>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0.94</w:t>
            </w:r>
          </w:p>
        </w:tc>
        <w:tc>
          <w:tcPr>
            <w:tcW w:w="10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0.70</w:t>
            </w:r>
          </w:p>
        </w:tc>
      </w:tr>
      <w:tr>
        <w:trPr>
          <w:trHeight w:val="459"/>
        </w:trPr>
        <w:tc>
          <w:tcPr>
            <w:tcW w:w="1040" w:type="dxa"/>
            <w:vAlign w:val="bottom"/>
          </w:tcPr>
          <w:p>
            <w:pPr>
              <w:jc w:val="right"/>
              <w:ind w:right="8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4"/>
                <w:szCs w:val="2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0.71</w:t>
            </w:r>
          </w:p>
        </w:tc>
        <w:tc>
          <w:tcPr>
            <w:tcW w:w="12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0.93</w:t>
            </w:r>
          </w:p>
        </w:tc>
        <w:tc>
          <w:tcPr>
            <w:tcW w:w="10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-1261110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-918210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-454660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7620</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2600" w:space="240"/>
            <w:col w:w="858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Shares used to compute earnings per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840" w:type="dxa"/>
            <w:vAlign w:val="bottom"/>
          </w:tcPr>
          <w:p>
            <w:pPr>
              <w:ind w:left="180"/>
              <w:spacing w:after="0"/>
              <w:rPr>
                <w:sz w:val="20"/>
                <w:szCs w:val="20"/>
                <w:color w:val="auto"/>
              </w:rPr>
            </w:pPr>
            <w:r>
              <w:rPr>
                <w:rFonts w:ascii="Arial" w:cs="Arial" w:eastAsia="Arial" w:hAnsi="Arial"/>
                <w:sz w:val="16"/>
                <w:szCs w:val="16"/>
                <w:color w:val="auto"/>
              </w:rPr>
              <w:t>Basic</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371,074</w:t>
            </w:r>
          </w:p>
        </w:tc>
        <w:tc>
          <w:tcPr>
            <w:tcW w:w="100" w:type="dxa"/>
            <w:vAlign w:val="bottom"/>
          </w:tcPr>
          <w:p>
            <w:pPr>
              <w:spacing w:after="0"/>
              <w:rPr>
                <w:sz w:val="20"/>
                <w:szCs w:val="20"/>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371,315</w:t>
            </w:r>
          </w:p>
        </w:tc>
        <w:tc>
          <w:tcPr>
            <w:tcW w:w="100" w:type="dxa"/>
            <w:vAlign w:val="bottom"/>
          </w:tcPr>
          <w:p>
            <w:pPr>
              <w:spacing w:after="0"/>
              <w:rPr>
                <w:sz w:val="20"/>
                <w:szCs w:val="20"/>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370,384</w:t>
            </w:r>
          </w:p>
        </w:tc>
        <w:tc>
          <w:tcPr>
            <w:tcW w:w="100" w:type="dxa"/>
            <w:vAlign w:val="bottom"/>
          </w:tcPr>
          <w:p>
            <w:pPr>
              <w:spacing w:after="0"/>
              <w:rPr>
                <w:sz w:val="20"/>
                <w:szCs w:val="20"/>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369,093</w:t>
            </w:r>
          </w:p>
        </w:tc>
        <w:tc>
          <w:tcPr>
            <w:tcW w:w="120" w:type="dxa"/>
            <w:vAlign w:val="bottom"/>
          </w:tcPr>
          <w:p>
            <w:pPr>
              <w:spacing w:after="0"/>
              <w:rPr>
                <w:sz w:val="20"/>
                <w:szCs w:val="20"/>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368,043</w:t>
            </w:r>
          </w:p>
        </w:tc>
        <w:tc>
          <w:tcPr>
            <w:tcW w:w="100" w:type="dxa"/>
            <w:vAlign w:val="bottom"/>
          </w:tcPr>
          <w:p>
            <w:pPr>
              <w:spacing w:after="0"/>
              <w:rPr>
                <w:sz w:val="20"/>
                <w:szCs w:val="20"/>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367,315</w:t>
            </w:r>
          </w:p>
        </w:tc>
        <w:tc>
          <w:tcPr>
            <w:tcW w:w="120" w:type="dxa"/>
            <w:vAlign w:val="bottom"/>
          </w:tcPr>
          <w:p>
            <w:pPr>
              <w:spacing w:after="0"/>
              <w:rPr>
                <w:sz w:val="20"/>
                <w:szCs w:val="20"/>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341,316</w:t>
            </w:r>
          </w:p>
        </w:tc>
        <w:tc>
          <w:tcPr>
            <w:tcW w:w="100" w:type="dxa"/>
            <w:vAlign w:val="bottom"/>
          </w:tcPr>
          <w:p>
            <w:pPr>
              <w:spacing w:after="0"/>
              <w:rPr>
                <w:sz w:val="20"/>
                <w:szCs w:val="20"/>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308,786</w:t>
            </w:r>
          </w:p>
        </w:tc>
      </w:tr>
      <w:tr>
        <w:trPr>
          <w:trHeight w:val="276"/>
        </w:trPr>
        <w:tc>
          <w:tcPr>
            <w:tcW w:w="2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375,116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375,815</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374,778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374,189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372,053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371,159</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345,654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313,076</w:t>
            </w:r>
          </w:p>
        </w:tc>
      </w:tr>
      <w:tr>
        <w:trPr>
          <w:trHeight w:val="251"/>
        </w:trPr>
        <w:tc>
          <w:tcPr>
            <w:tcW w:w="284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0.45</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0.45</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0.42</w:t>
            </w:r>
          </w:p>
        </w:tc>
      </w:tr>
      <w:tr>
        <w:trPr>
          <w:trHeight w:val="20"/>
        </w:trPr>
        <w:tc>
          <w:tcPr>
            <w:tcW w:w="2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20" w:firstLine="8"/>
        <w:spacing w:after="0" w:line="258" w:lineRule="auto"/>
        <w:tabs>
          <w:tab w:leader="none" w:pos="1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Represents charges recorded for various restructuring actions. See Note 5,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of the Notes to the Consolidated Financial Statements contained in Item 8 of this Annual Report on Form 10-K.</w:t>
      </w:r>
    </w:p>
    <w:p>
      <w:pPr>
        <w:spacing w:after="0" w:line="1" w:lineRule="exact"/>
        <w:rPr>
          <w:rFonts w:ascii="Arial" w:cs="Arial" w:eastAsia="Arial" w:hAnsi="Arial"/>
          <w:sz w:val="18"/>
          <w:szCs w:val="18"/>
          <w:color w:val="auto"/>
        </w:rPr>
      </w:pPr>
    </w:p>
    <w:p>
      <w:pPr>
        <w:ind w:right="80" w:firstLine="8"/>
        <w:spacing w:after="0" w:line="265" w:lineRule="auto"/>
        <w:tabs>
          <w:tab w:leader="none" w:pos="1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Interest expense in fiscal 2017 and 2018 includes interest and fees associated with financing commitments entered into in connection with the Acquisition. See Note 14, </w:t>
      </w:r>
      <w:r>
        <w:rPr>
          <w:rFonts w:ascii="Arial" w:cs="Arial" w:eastAsia="Arial" w:hAnsi="Arial"/>
          <w:sz w:val="17"/>
          <w:szCs w:val="17"/>
          <w:i w:val="1"/>
          <w:iCs w:val="1"/>
          <w:color w:val="auto"/>
        </w:rPr>
        <w:t>Debt,</w:t>
      </w:r>
      <w:r>
        <w:rPr>
          <w:rFonts w:ascii="Arial" w:cs="Arial" w:eastAsia="Arial" w:hAnsi="Arial"/>
          <w:sz w:val="17"/>
          <w:szCs w:val="17"/>
          <w:color w:val="auto"/>
        </w:rPr>
        <w:t xml:space="preserve"> of the Notes to the Consolidated Financial Statements contained in Item 8 of this Annual Report on Form 10-K.</w:t>
      </w:r>
    </w:p>
    <w:p>
      <w:pPr>
        <w:ind w:right="280" w:firstLine="8"/>
        <w:spacing w:after="0" w:line="261" w:lineRule="auto"/>
        <w:tabs>
          <w:tab w:leader="none" w:pos="1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Provision for income taxes in the first quarter of fiscal 2018 included the impact related to the Tax Cuts and Jobs Act of 2017, enacted on December 22, 2017. Provision for income taxes in the fourth quarter of fiscal 2018 included a release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80" w:right="239" w:bottom="1440" w:gutter="0" w:footer="0" w:header="0"/>
          <w:type w:val="continuous"/>
        </w:sectPr>
      </w:pPr>
    </w:p>
    <w:bookmarkStart w:id="90" w:name="page91"/>
    <w:bookmarkEnd w:id="90"/>
    <w:p>
      <w:pPr>
        <w:spacing w:after="0" w:line="268" w:lineRule="auto"/>
        <w:rPr>
          <w:sz w:val="20"/>
          <w:szCs w:val="20"/>
          <w:color w:val="auto"/>
        </w:rPr>
      </w:pPr>
      <w:r>
        <w:rPr>
          <w:rFonts w:ascii="Arial" w:cs="Arial" w:eastAsia="Arial" w:hAnsi="Arial"/>
          <w:sz w:val="17"/>
          <w:szCs w:val="17"/>
          <w:color w:val="auto"/>
        </w:rPr>
        <w:t xml:space="preserve">reserves relating to certain international transfer pricing matters. Provision for income taxes in the second quarter of fiscal 2017 included a tax benefit of $15.0 million for the release of a state tax credit valuation allowance as a result of the Acquisition. Provision for income taxes in the third quarter of fiscal 2017 included approximately $98.2 million of tax expense incurred during the quarter as part of the post-Acquisition integration, partially offset by a tax benefit of $50.5 million related to the reduction of reserves and related interest resulting from the U.S. Tax Court’s favorable ruling, as well as lower statutory tax rates applicable to our operations in the foreign jurisdictions in which the Company earns income. See Note 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the Notes to the Consolidated Financial Statements contained in Item 8 of this Annual Report on Form 10-K.</w:t>
      </w:r>
    </w:p>
    <w:p>
      <w:pPr>
        <w:spacing w:after="0" w:line="1" w:lineRule="exact"/>
        <w:rPr>
          <w:sz w:val="20"/>
          <w:szCs w:val="20"/>
          <w:color w:val="auto"/>
        </w:rPr>
      </w:pPr>
    </w:p>
    <w:p>
      <w:pPr>
        <w:ind w:right="160" w:firstLine="8"/>
        <w:spacing w:after="0" w:line="261" w:lineRule="auto"/>
        <w:tabs>
          <w:tab w:leader="none" w:pos="1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Under the two-class method, earnings per share is calculated using net earnings allocable to common shares, which is derived by reducing net income by the income allocable to participating securities.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584" w:right="279" w:bottom="1440" w:gutter="0" w:footer="0" w:header="0"/>
        </w:sectPr>
      </w:pPr>
    </w:p>
    <w:bookmarkStart w:id="91" w:name="page92"/>
    <w:bookmarkEnd w:id="91"/>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ind w:right="60" w:firstLine="440"/>
        <w:spacing w:after="0" w:line="269" w:lineRule="auto"/>
        <w:tabs>
          <w:tab w:leader="none" w:pos="677"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Our management, with the participation of our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evaluated the effectiveness of Analog’s disclosure controls and procedures as of November 3, 2018.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November 3, 2018, our Chief Executive Officer and Chief Financial Officer concluded that, as of such date, our disclosure controls and procedures were effective at the reasonable assurance level.</w:t>
      </w:r>
    </w:p>
    <w:p>
      <w:pPr>
        <w:spacing w:after="0" w:line="44" w:lineRule="exact"/>
        <w:rPr>
          <w:rFonts w:ascii="Arial" w:cs="Arial" w:eastAsia="Arial" w:hAnsi="Arial"/>
          <w:sz w:val="17"/>
          <w:szCs w:val="17"/>
          <w:color w:val="auto"/>
        </w:rPr>
      </w:pPr>
    </w:p>
    <w:p>
      <w:pPr>
        <w:ind w:left="700" w:hanging="260"/>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Management’s Report on Internal Control Over Financial Reporting.</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0" w:lineRule="exact"/>
        <w:rPr>
          <w:sz w:val="20"/>
          <w:szCs w:val="20"/>
          <w:color w:val="auto"/>
        </w:rPr>
      </w:pPr>
    </w:p>
    <w:p>
      <w:pPr>
        <w:ind w:left="820" w:right="340" w:hanging="326"/>
        <w:spacing w:after="0" w:line="277"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8" w:lineRule="exact"/>
        <w:rPr>
          <w:rFonts w:ascii="Arial" w:cs="Arial" w:eastAsia="Arial" w:hAnsi="Arial"/>
          <w:sz w:val="18"/>
          <w:szCs w:val="18"/>
          <w:color w:val="auto"/>
        </w:rPr>
      </w:pPr>
    </w:p>
    <w:p>
      <w:pPr>
        <w:ind w:left="820" w:hanging="326"/>
        <w:spacing w:after="0" w:line="264"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9"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3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4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management assessed the effectiveness of our internal control over financial reporting as of November 3, 2018. In making this assessment, the company’s management used the criteria set forth by the Committee of Sponsoring Organizations of the Treadway Commission (COSO) in Internal Control-Integrated 2013 Framework.</w:t>
      </w:r>
    </w:p>
    <w:p>
      <w:pPr>
        <w:spacing w:after="0" w:line="4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Based on this assessment, our management concluded that, as of November 3, 2018, our internal control over financial reporting is effective based on those criteria.</w:t>
      </w:r>
    </w:p>
    <w:p>
      <w:pPr>
        <w:spacing w:after="0" w:line="3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independent registered public accounting firm that audited the financial statements included in this annual report has issued an attestation report on our internal control over financial reporting. This report appears below.</w:t>
      </w:r>
    </w:p>
    <w:p>
      <w:pPr>
        <w:spacing w:after="0" w:line="35" w:lineRule="exact"/>
        <w:rPr>
          <w:sz w:val="20"/>
          <w:szCs w:val="20"/>
          <w:color w:val="auto"/>
        </w:rPr>
      </w:pPr>
    </w:p>
    <w:p>
      <w:pPr>
        <w:ind w:left="680" w:hanging="240"/>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Attestation Report of the Registered Public Accounting Firm</w:t>
      </w:r>
    </w:p>
    <w:p>
      <w:pPr>
        <w:spacing w:after="0" w:line="34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715" w:right="259" w:bottom="1440" w:gutter="0" w:footer="0" w:header="0"/>
        </w:sectPr>
      </w:pPr>
    </w:p>
    <w:bookmarkStart w:id="92" w:name="page93"/>
    <w:bookmarkEnd w:id="92"/>
    <w:p>
      <w:pPr>
        <w:jc w:val="both"/>
        <w:spacing w:after="0" w:line="259" w:lineRule="auto"/>
        <w:rPr>
          <w:sz w:val="20"/>
          <w:szCs w:val="20"/>
          <w:color w:val="auto"/>
        </w:rPr>
      </w:pPr>
      <w:r>
        <w:rPr>
          <w:rFonts w:ascii="Arial" w:cs="Arial" w:eastAsia="Arial" w:hAnsi="Arial"/>
          <w:sz w:val="18"/>
          <w:szCs w:val="18"/>
          <w:color w:val="auto"/>
        </w:rPr>
        <w:t>We have audited Analog Devices, Inc.’s internal control over financial reporting as of November 3, 2018, based on criteria established in Internal Control-Integrated Framework issued by the Committee of Sponsoring Organizations of the Treadway Commission (2013 framework) (the COSO criteria). In our opinion, Analog Devices, Inc. (the Company) maintained, in all material respects, effective internal control over financial reporting as of November 3, 2018, based on the COSO criteria.</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Analog Devices, Inc. as of November 3, 2018 and October 28, 2017, the related consolidated statements of income, comprehensive income, shareholders’ equity and cash flows for each of the three years in the period ended November 3, 2018, and the related notes and financial statement schedule listed in the Index at Item 15(a)(2) and our report dated November 27, 2018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27, 2018</w:t>
      </w:r>
    </w:p>
    <w:p>
      <w:pPr>
        <w:spacing w:after="0" w:line="200" w:lineRule="exact"/>
        <w:rPr>
          <w:sz w:val="20"/>
          <w:szCs w:val="20"/>
          <w:color w:val="auto"/>
        </w:rPr>
      </w:pPr>
    </w:p>
    <w:p>
      <w:pPr>
        <w:spacing w:after="0" w:line="227" w:lineRule="exact"/>
        <w:rPr>
          <w:sz w:val="20"/>
          <w:szCs w:val="20"/>
          <w:color w:val="auto"/>
        </w:rPr>
      </w:pPr>
    </w:p>
    <w:p>
      <w:pPr>
        <w:jc w:val="both"/>
        <w:ind w:right="260" w:firstLine="440"/>
        <w:spacing w:after="0" w:line="264" w:lineRule="auto"/>
        <w:tabs>
          <w:tab w:leader="none" w:pos="687"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w:t>
      </w:r>
      <w:r>
        <w:rPr>
          <w:rFonts w:ascii="Arial" w:cs="Arial" w:eastAsia="Arial" w:hAnsi="Arial"/>
          <w:sz w:val="18"/>
          <w:szCs w:val="18"/>
          <w:i w:val="1"/>
          <w:iCs w:val="1"/>
          <w:color w:val="auto"/>
        </w:rPr>
        <w:t xml:space="preserve"> </w:t>
      </w:r>
      <w:r>
        <w:rPr>
          <w:rFonts w:ascii="Arial" w:cs="Arial" w:eastAsia="Arial" w:hAnsi="Arial"/>
          <w:sz w:val="18"/>
          <w:szCs w:val="18"/>
          <w:color w:val="auto"/>
        </w:rPr>
        <w:t>and 15d-15(f) under the Securities Exchange Act) occurred during the fiscal quarter ended November 3, 2018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84" w:right="239" w:bottom="1440" w:gutter="0" w:footer="0" w:header="0"/>
        </w:sectPr>
      </w:pPr>
    </w:p>
    <w:bookmarkStart w:id="93" w:name="page94"/>
    <w:bookmarkEnd w:id="93"/>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3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Information required by this item relating to our directors and nominees is contained under the caption “Proposal 1 — Election of Directors” contained in our 2019 proxy statement to be filed with the U.S. Securities and Exchange Commission (the SEC) within 120 days after November 3, 2018 and is incorporated herein by reference. Information required by this item relating to our executive officers is contained under the caption “EXECUTIVE OFFICERS OF THE REGISTRANT” in Part I of this Annual Report on Form 10-K and is incorporated herein by reference. Information required by this item relating to compliance with Section 16(a) of the Securities Exchange Act of 1934 is contained under the caption “Section 16(a) Beneficial Ownership Reporting Compliance” in our 2019 proxy statement to be filed with the SEC within 120 days after November 3, 2018 and is incorporated herein by reference.</w:t>
      </w:r>
    </w:p>
    <w:p>
      <w:pPr>
        <w:spacing w:after="0" w:line="95" w:lineRule="exact"/>
        <w:rPr>
          <w:sz w:val="20"/>
          <w:szCs w:val="20"/>
          <w:color w:val="auto"/>
        </w:rPr>
      </w:pPr>
    </w:p>
    <w:p>
      <w:pPr>
        <w:jc w:val="both"/>
        <w:ind w:right="340" w:firstLine="432"/>
        <w:spacing w:after="0" w:line="257" w:lineRule="auto"/>
        <w:rPr>
          <w:sz w:val="20"/>
          <w:szCs w:val="20"/>
          <w:color w:val="auto"/>
        </w:rPr>
      </w:pPr>
      <w:r>
        <w:rPr>
          <w:rFonts w:ascii="Arial" w:cs="Arial" w:eastAsia="Arial" w:hAnsi="Arial"/>
          <w:sz w:val="18"/>
          <w:szCs w:val="18"/>
          <w:color w:val="auto"/>
        </w:rPr>
        <w:t xml:space="preserve">We have adopted a written code of business conduct and ethics that applies to our principal executive officer, principal financial officer, principal accounting officer or controller, or persons performing similar functions and have posted it in the Corporate Governance section of our website which is located at </w:t>
      </w:r>
      <w:r>
        <w:rPr>
          <w:rFonts w:ascii="Arial" w:cs="Arial" w:eastAsia="Arial" w:hAnsi="Arial"/>
          <w:sz w:val="18"/>
          <w:szCs w:val="18"/>
          <w:u w:val="single" w:color="auto"/>
          <w:color w:val="auto"/>
        </w:rPr>
        <w:t>www.analog.com</w:t>
      </w:r>
      <w:r>
        <w:rPr>
          <w:rFonts w:ascii="Arial" w:cs="Arial" w:eastAsia="Arial" w:hAnsi="Arial"/>
          <w:sz w:val="18"/>
          <w:szCs w:val="18"/>
          <w:color w:val="auto"/>
        </w:rPr>
        <w:t xml:space="preserve">. To the extent permitted by Nasdaq and SEC regulations, we intend to satisfy any disclosure requirement under Item 5.05 of Form 8-K regarding any amendments to, or waivers from, our code of business conduct and ethics by posting such information on our website which is located at </w:t>
      </w:r>
      <w:r>
        <w:rPr>
          <w:rFonts w:ascii="Arial" w:cs="Arial" w:eastAsia="Arial" w:hAnsi="Arial"/>
          <w:sz w:val="18"/>
          <w:szCs w:val="18"/>
          <w:u w:val="single" w:color="auto"/>
          <w:color w:val="auto"/>
        </w:rPr>
        <w:t>www.analog.com.</w:t>
      </w:r>
    </w:p>
    <w:p>
      <w:pPr>
        <w:spacing w:after="0" w:line="94" w:lineRule="exact"/>
        <w:rPr>
          <w:sz w:val="20"/>
          <w:szCs w:val="20"/>
          <w:color w:val="auto"/>
        </w:rPr>
      </w:pPr>
    </w:p>
    <w:p>
      <w:pPr>
        <w:jc w:val="both"/>
        <w:ind w:right="340" w:firstLine="432"/>
        <w:spacing w:after="0" w:line="277" w:lineRule="auto"/>
        <w:rPr>
          <w:sz w:val="20"/>
          <w:szCs w:val="20"/>
          <w:color w:val="auto"/>
        </w:rPr>
      </w:pPr>
      <w:r>
        <w:rPr>
          <w:rFonts w:ascii="Arial" w:cs="Arial" w:eastAsia="Arial" w:hAnsi="Arial"/>
          <w:sz w:val="18"/>
          <w:szCs w:val="18"/>
          <w:color w:val="auto"/>
        </w:rPr>
        <w:t>During fiscal 2018, we made no material change to the procedures by which shareholders may recommend nominees to our Board of Directors, as described in our 2018 proxy statement.</w:t>
      </w:r>
    </w:p>
    <w:p>
      <w:pPr>
        <w:spacing w:after="0" w:line="7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Information required by this item relating to the audit committee of our Board of Directors is contained under the caption “Corporate Governance — Board of Directors Meetings and Committees — Audit Committee” in our 2019 proxy statement to be filed with the SEC within 120 days after November 3, 2018 and is incorporated herein by reference.</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35"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Information required by this item is contained under the captions “Corporate Governance — Director Compensation” and “Information About Executive Compensation” in our 2019 proxy statement to be filed with the SEC within 120 days after November 3, 2018 and is incorporated herein by reference.</w:t>
      </w:r>
    </w:p>
    <w:p>
      <w:pPr>
        <w:spacing w:after="0" w:line="177" w:lineRule="exact"/>
        <w:rPr>
          <w:sz w:val="20"/>
          <w:szCs w:val="20"/>
          <w:color w:val="auto"/>
        </w:rPr>
      </w:pPr>
    </w:p>
    <w:p>
      <w:pPr>
        <w:ind w:left="1140" w:right="3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7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Information required by this item relating to security ownership of certain beneficial owners and management is contained under the caption “Security Ownership of Certain Beneficial Owners and Management” in our 2019 proxy statement to be filed with the SEC within 120 days after November 3, 2018 and is incorporated herein by reference. Information required by this item relating to securities authorized for issuance under equity compensation plans is contained under the caption “Information About Executive Compensation — Securities Authorized for Issuance Under Equity Compensation Plans” in our 2019 proxy statement to be filed with the SEC within 120 days after November 3, 2018 and is incorporated herein by reference.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Information required by this item relating to transactions with related persons is contained under the caption “Corporate Governance — Certain Relationships and Related Transactions” in our 2019 proxy statement to be filed with the SEC within 120 days after November 3, 2018 and is incorporated herein by reference. Information required by this item relating to director independence is contained under the caption “Corporate Governance — Determination of Independence” in our 2019 proxy statement to be filed with the SEC within 120 days after November 3, 2018 and is incorporated herein by reference.</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35"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Information required by this item is contained under the caption “Corporate Governance — Independent Registered Public Accounting Firm Fees and Other Matters” in our 2019 proxy statement to be filed with the SEC within 120 days after November 3, 2018 and is incorporated herein by reference.</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20"/>
          </w:cols>
          <w:pgMar w:left="240" w:top="580" w:right="339" w:bottom="1440" w:gutter="0" w:footer="0" w:header="0"/>
        </w:sectPr>
      </w:pPr>
    </w:p>
    <w:bookmarkStart w:id="94" w:name="page95"/>
    <w:bookmarkEnd w:id="94"/>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35"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following are filed as part of this Annual Report on Form 10-K:</w:t>
      </w:r>
    </w:p>
    <w:p>
      <w:pPr>
        <w:spacing w:after="0" w:line="167" w:lineRule="exact"/>
        <w:rPr>
          <w:sz w:val="20"/>
          <w:szCs w:val="20"/>
          <w:color w:val="auto"/>
        </w:rPr>
      </w:pPr>
    </w:p>
    <w:p>
      <w:pPr>
        <w:ind w:left="620" w:hanging="585"/>
        <w:spacing w:after="0"/>
        <w:tabs>
          <w:tab w:leader="none" w:pos="6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consolidated financial statements are included in Item 8 of this Annual Report on Form 10-K:</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Income for the years ended November 3, 2018, October 28, 2017 and October 29, 2016</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Comprehensive Income for the years ended November 3, 2018, October 28, 2017 and October 29, 2016</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Balance Sheets as of November 3, 2018 and October 28, 2017</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Shareholders’ Equity for the years ended November 3, 2018, October 28, 2017 and October 29, 2016</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Cash Flows for the years ended November 3, 2018, October 28, 2017 and October 29, 2016</w:t>
      </w:r>
    </w:p>
    <w:p>
      <w:pPr>
        <w:spacing w:after="0" w:line="248" w:lineRule="exact"/>
        <w:rPr>
          <w:sz w:val="20"/>
          <w:szCs w:val="20"/>
          <w:color w:val="auto"/>
        </w:rPr>
      </w:pPr>
    </w:p>
    <w:p>
      <w:pPr>
        <w:ind w:left="240" w:hanging="178"/>
        <w:spacing w:after="0"/>
        <w:tabs>
          <w:tab w:leader="none" w:pos="2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 II — Valuation and Qualifying Accounts</w:t>
      </w:r>
    </w:p>
    <w:p>
      <w:pPr>
        <w:spacing w:after="0" w:line="23" w:lineRule="exact"/>
        <w:rPr>
          <w:sz w:val="20"/>
          <w:szCs w:val="20"/>
          <w:color w:val="auto"/>
        </w:rPr>
      </w:pPr>
    </w:p>
    <w:p>
      <w:pPr>
        <w:ind w:right="300" w:firstLine="432"/>
        <w:spacing w:after="0" w:line="261"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80"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Exhibit No.</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000" w:type="dxa"/>
            <w:vAlign w:val="bottom"/>
            <w:gridSpan w:val="7"/>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80"/>
        </w:trPr>
        <w:tc>
          <w:tcPr>
            <w:tcW w:w="11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Agreement and Plan of Merger, dated as of July 26, 2016, by and among Analog Devices, Inc., Linear Technology Corporation and Tahoe</w:t>
              </w:r>
            </w:hyperlink>
          </w:p>
        </w:tc>
        <w:tc>
          <w:tcPr>
            <w:tcW w:w="18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w w:val="95"/>
              </w:rPr>
            </w:pPr>
            <w:hyperlink r:id="rId22">
              <w:r>
                <w:rPr>
                  <w:rFonts w:ascii="Arial" w:cs="Arial" w:eastAsia="Arial" w:hAnsi="Arial"/>
                  <w:sz w:val="18"/>
                  <w:szCs w:val="18"/>
                  <w:color w:val="0000FF"/>
                  <w:w w:val="95"/>
                </w:rPr>
                <w:t xml:space="preserve">Acquisition Corp., </w:t>
              </w:r>
              <w:r>
                <w:rPr>
                  <w:rFonts w:ascii="Arial" w:cs="Arial" w:eastAsia="Arial" w:hAnsi="Arial"/>
                  <w:sz w:val="18"/>
                  <w:szCs w:val="18"/>
                  <w:color w:val="000000"/>
                  <w:w w:val="95"/>
                </w:rPr>
                <w:t>filed as exhibit 2.1 to the Company’s Current Report on Form 8-K (File No. 1-7819) as filed with the Commission on</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July 29, 2016 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Restated Articles of Organization of Analog Devices, Inc., as amended</w:t>
              </w:r>
            </w:hyperlink>
            <w:r>
              <w:rPr>
                <w:rFonts w:ascii="Arial" w:cs="Arial" w:eastAsia="Arial" w:hAnsi="Arial"/>
                <w:sz w:val="18"/>
                <w:szCs w:val="18"/>
                <w:color w:val="000000"/>
                <w:w w:val="91"/>
              </w:rPr>
              <w:t>,</w:t>
            </w:r>
            <w:r>
              <w:rPr>
                <w:rFonts w:ascii="Arial" w:cs="Arial" w:eastAsia="Arial" w:hAnsi="Arial"/>
                <w:sz w:val="18"/>
                <w:szCs w:val="18"/>
                <w:color w:val="0000FF"/>
                <w:w w:val="91"/>
              </w:rPr>
              <w:t xml:space="preserve"> </w:t>
            </w:r>
            <w:r>
              <w:rPr>
                <w:rFonts w:ascii="Arial" w:cs="Arial" w:eastAsia="Arial" w:hAnsi="Arial"/>
                <w:sz w:val="18"/>
                <w:szCs w:val="18"/>
                <w:color w:val="000000"/>
                <w:w w:val="91"/>
              </w:rPr>
              <w:t>filed as exhibit 3.1 to the Company's Quarterly Report on Form 10-</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w w:val="94"/>
              </w:rPr>
              <w:t>Q for the fiscal quarter ended May 3, 2008 (File No. 1-7819) as filed with the Commission on May 20, 2008 and incorporated herein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Amendment to Restated Articles of Organization of Analog Devices, Inc.</w:t>
              </w:r>
            </w:hyperlink>
            <w:r>
              <w:rPr>
                <w:rFonts w:ascii="Arial" w:cs="Arial" w:eastAsia="Arial" w:hAnsi="Arial"/>
                <w:sz w:val="18"/>
                <w:szCs w:val="18"/>
                <w:color w:val="000000"/>
                <w:w w:val="92"/>
              </w:rPr>
              <w:t>,</w:t>
            </w:r>
            <w:r>
              <w:rPr>
                <w:rFonts w:ascii="Arial" w:cs="Arial" w:eastAsia="Arial" w:hAnsi="Arial"/>
                <w:sz w:val="18"/>
                <w:szCs w:val="18"/>
                <w:color w:val="0000FF"/>
                <w:w w:val="92"/>
              </w:rPr>
              <w:t xml:space="preserve"> </w:t>
            </w:r>
            <w:r>
              <w:rPr>
                <w:rFonts w:ascii="Arial" w:cs="Arial" w:eastAsia="Arial" w:hAnsi="Arial"/>
                <w:sz w:val="18"/>
                <w:szCs w:val="18"/>
                <w:color w:val="000000"/>
                <w:w w:val="92"/>
              </w:rPr>
              <w:t>filed as exhibit 3.1 to the Company's Current Report on Form 8-</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K (File No. 1-7819) as filed with the Commission on December 8, 2008 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rFonts w:ascii="Arial" w:cs="Arial" w:eastAsia="Arial" w:hAnsi="Arial"/>
                <w:sz w:val="18"/>
                <w:szCs w:val="18"/>
                <w:color w:val="0000FF"/>
                <w:w w:val="94"/>
              </w:rPr>
            </w:pPr>
            <w:hyperlink r:id="rId25">
              <w:r>
                <w:rPr>
                  <w:rFonts w:ascii="Arial" w:cs="Arial" w:eastAsia="Arial" w:hAnsi="Arial"/>
                  <w:sz w:val="18"/>
                  <w:szCs w:val="18"/>
                  <w:color w:val="0000FF"/>
                  <w:w w:val="94"/>
                </w:rPr>
                <w:t>Amended and Restated By-Laws of Analog Devices, Inc.</w:t>
              </w:r>
            </w:hyperlink>
            <w:r>
              <w:rPr>
                <w:rFonts w:ascii="Arial" w:cs="Arial" w:eastAsia="Arial" w:hAnsi="Arial"/>
                <w:sz w:val="18"/>
                <w:szCs w:val="18"/>
                <w:color w:val="000000"/>
                <w:w w:val="94"/>
              </w:rPr>
              <w:t>,</w:t>
            </w:r>
            <w:r>
              <w:rPr>
                <w:rFonts w:ascii="Arial" w:cs="Arial" w:eastAsia="Arial" w:hAnsi="Arial"/>
                <w:sz w:val="18"/>
                <w:szCs w:val="18"/>
                <w:color w:val="0000FF"/>
                <w:w w:val="94"/>
              </w:rPr>
              <w:t xml:space="preserve"> </w:t>
            </w:r>
            <w:r>
              <w:rPr>
                <w:rFonts w:ascii="Arial" w:cs="Arial" w:eastAsia="Arial" w:hAnsi="Arial"/>
                <w:sz w:val="18"/>
                <w:szCs w:val="18"/>
                <w:color w:val="000000"/>
                <w:w w:val="94"/>
              </w:rPr>
              <w:t>filed as exhibit 3.1 to the Company's Current Report on Form 8-K (File No. 1-</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7819) as filed with the Commission on January 28, 2010 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rFonts w:ascii="Arial" w:cs="Arial" w:eastAsia="Arial" w:hAnsi="Arial"/>
                <w:sz w:val="18"/>
                <w:szCs w:val="18"/>
                <w:color w:val="0000FF"/>
                <w:w w:val="94"/>
              </w:rPr>
            </w:pPr>
            <w:hyperlink r:id="rId26">
              <w:r>
                <w:rPr>
                  <w:rFonts w:ascii="Arial" w:cs="Arial" w:eastAsia="Arial" w:hAnsi="Arial"/>
                  <w:sz w:val="18"/>
                  <w:szCs w:val="18"/>
                  <w:color w:val="0000FF"/>
                  <w:w w:val="94"/>
                </w:rPr>
                <w:t>Indenture, dated as of June 3, 2013, by and between Analog Devices, Inc. and The Bank of New York Mellon Trust Company, N.A., as</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460" w:type="dxa"/>
            <w:vAlign w:val="bottom"/>
            <w:gridSpan w:val="4"/>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trustee</w:t>
              </w:r>
              <w:r>
                <w:rPr>
                  <w:rFonts w:ascii="Arial" w:cs="Arial" w:eastAsia="Arial" w:hAnsi="Arial"/>
                  <w:sz w:val="18"/>
                  <w:szCs w:val="18"/>
                  <w:color w:val="000000"/>
                  <w:w w:val="92"/>
                </w:rPr>
                <w:t xml:space="preserve">, filed as exhibit 4.1 to the Company's Current Report on Form 8-K (File No. 1-7819) as filed with the Commission on June 3, </w:t>
              </w:r>
            </w:hyperlink>
            <w:r>
              <w:rPr>
                <w:rFonts w:ascii="Arial" w:cs="Arial" w:eastAsia="Arial" w:hAnsi="Arial"/>
                <w:sz w:val="18"/>
                <w:szCs w:val="18"/>
                <w:color w:val="0000FF"/>
                <w:w w:val="92"/>
              </w:rPr>
              <w:t>2013</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rFonts w:ascii="Arial" w:cs="Arial" w:eastAsia="Arial" w:hAnsi="Arial"/>
                <w:sz w:val="18"/>
                <w:szCs w:val="18"/>
                <w:color w:val="0000FF"/>
                <w:w w:val="98"/>
              </w:rPr>
            </w:pPr>
            <w:hyperlink r:id="rId27">
              <w:r>
                <w:rPr>
                  <w:rFonts w:ascii="Arial" w:cs="Arial" w:eastAsia="Arial" w:hAnsi="Arial"/>
                  <w:sz w:val="18"/>
                  <w:szCs w:val="18"/>
                  <w:color w:val="0000FF"/>
                  <w:w w:val="98"/>
                </w:rPr>
                <w:t>Supplemental Indenture, dated as of June 3, 2013, by and between Analog Devices, Inc. and The Bank of New York Mellon Trust</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tcBorders>
              <w:top w:val="single" w:sz="8" w:color="0000FF"/>
            </w:tcBorders>
            <w:gridSpan w:val="9"/>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Company, N.A., as trustee</w:t>
              </w:r>
              <w:r>
                <w:rPr>
                  <w:rFonts w:ascii="Arial" w:cs="Arial" w:eastAsia="Arial" w:hAnsi="Arial"/>
                  <w:sz w:val="18"/>
                  <w:szCs w:val="18"/>
                  <w:color w:val="000000"/>
                  <w:w w:val="92"/>
                </w:rPr>
                <w:t>, filed as exhibit 4.2 to the Company's Current Report on Form 8-K (File No. 1-7819) as filed with the</w:t>
              </w:r>
            </w:hyperlink>
          </w:p>
        </w:tc>
        <w:tc>
          <w:tcPr>
            <w:tcW w:w="780" w:type="dxa"/>
            <w:vAlign w:val="bottom"/>
            <w:gridSpan w:val="4"/>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Commission on June 3, 2013 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rFonts w:ascii="Arial" w:cs="Arial" w:eastAsia="Arial" w:hAnsi="Arial"/>
                <w:sz w:val="18"/>
                <w:szCs w:val="18"/>
                <w:color w:val="0000FF"/>
                <w:w w:val="94"/>
              </w:rPr>
            </w:pPr>
            <w:hyperlink r:id="rId28">
              <w:r>
                <w:rPr>
                  <w:rFonts w:ascii="Arial" w:cs="Arial" w:eastAsia="Arial" w:hAnsi="Arial"/>
                  <w:sz w:val="18"/>
                  <w:szCs w:val="18"/>
                  <w:color w:val="0000FF"/>
                  <w:w w:val="94"/>
                </w:rPr>
                <w:t>Supplemental Indenture, dated December 14, 2015, between Analog Devices, Inc. and The Bank of New York Mellon Trust Company,</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top w:val="single" w:sz="8" w:color="0000FF"/>
            </w:tcBorders>
            <w:gridSpan w:val="10"/>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N.A., as trustee</w:t>
              </w:r>
              <w:r>
                <w:rPr>
                  <w:rFonts w:ascii="Arial" w:cs="Arial" w:eastAsia="Arial" w:hAnsi="Arial"/>
                  <w:sz w:val="18"/>
                  <w:szCs w:val="18"/>
                  <w:color w:val="000000"/>
                  <w:w w:val="92"/>
                </w:rPr>
                <w:t>, filed as exhibit 4.2 to the Company's Current Report on Form 8-K (File No. 1-7819) as filed with the Commission on</w:t>
              </w:r>
            </w:hyperlink>
          </w:p>
        </w:tc>
        <w:tc>
          <w:tcPr>
            <w:tcW w:w="400" w:type="dxa"/>
            <w:vAlign w:val="bottom"/>
            <w:gridSpan w:val="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9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December 14, 2015 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tcBorders>
              <w:bottom w:val="single" w:sz="8" w:color="0000FF"/>
            </w:tcBorders>
            <w:gridSpan w:val="12"/>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Supplemental Indenture, dated December 5, 2016, between Analog Devices, Inc. and The Bank of New York Mellon Trust Company, N.A.,</w:t>
              </w:r>
            </w:hyperlink>
          </w:p>
        </w:tc>
        <w:tc>
          <w:tcPr>
            <w:tcW w:w="60" w:type="dxa"/>
            <w:vAlign w:val="bottom"/>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as trustee</w:t>
              </w:r>
              <w:r>
                <w:rPr>
                  <w:rFonts w:ascii="Arial" w:cs="Arial" w:eastAsia="Arial" w:hAnsi="Arial"/>
                  <w:sz w:val="18"/>
                  <w:szCs w:val="18"/>
                  <w:color w:val="000000"/>
                  <w:w w:val="92"/>
                </w:rPr>
                <w:t>, filed as exhibit 4.2 to the Company's Current Report on Form 8-K (File No. 1-7819) as filed with the Commission on December</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4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5, 2016 and incorporated herein by reference.</w:t>
            </w:r>
          </w:p>
        </w:tc>
      </w:tr>
      <w:tr>
        <w:trPr>
          <w:trHeight w:val="25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20" w:type="dxa"/>
            <w:vAlign w:val="bottom"/>
            <w:gridSpan w:val="13"/>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Supplemental Indenture, dated March 12, 2018, between Analog Devices, Inc. and The Bank of New York Mellon Trust Company, N.A., as</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12"/>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trustee</w:t>
              </w:r>
              <w:r>
                <w:rPr>
                  <w:rFonts w:ascii="Arial" w:cs="Arial" w:eastAsia="Arial" w:hAnsi="Arial"/>
                  <w:sz w:val="18"/>
                  <w:szCs w:val="18"/>
                  <w:color w:val="000000"/>
                  <w:w w:val="94"/>
                </w:rPr>
                <w:t>, filed as exhibit 4.2 to the Company's Current Report on Form 8-K (File No. 1-7819) as filed with the Commission on March 12,</w:t>
              </w:r>
            </w:hyperlink>
          </w:p>
        </w:tc>
        <w:tc>
          <w:tcPr>
            <w:tcW w:w="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40" w:type="dxa"/>
            <w:vAlign w:val="bottom"/>
            <w:gridSpan w:val="12"/>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2018 and incorporated herein by reference.</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580" w:right="239" w:bottom="1440" w:gutter="0" w:footer="0" w:header="0"/>
          <w:type w:val="continuous"/>
        </w:sectPr>
      </w:pPr>
    </w:p>
    <w:bookmarkStart w:id="95" w:name="page96"/>
    <w:bookmarkEnd w:id="95"/>
    <w:p>
      <w:pPr>
        <w:spacing w:after="0"/>
        <w:tabs>
          <w:tab w:leader="none" w:pos="57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1" w:lineRule="exact"/>
        <w:rPr>
          <w:sz w:val="20"/>
          <w:szCs w:val="20"/>
          <w:color w:val="auto"/>
        </w:rPr>
      </w:pPr>
    </w:p>
    <w:p>
      <w:pPr>
        <w:ind w:left="140"/>
        <w:spacing w:after="0"/>
        <w:tabs>
          <w:tab w:leader="none" w:pos="10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32">
        <w:r>
          <w:rPr>
            <w:rFonts w:ascii="Arial" w:cs="Arial" w:eastAsia="Arial" w:hAnsi="Arial"/>
            <w:sz w:val="16"/>
            <w:szCs w:val="16"/>
            <w:u w:val="single" w:color="auto"/>
            <w:color w:val="0000FF"/>
          </w:rPr>
          <w:t>Analog Devices, Inc. Amended and Restated Deferred Compensation Plan</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 exhibit 10.1 to the Company's Current Report on Form</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8-K as filed with the Commission on December 8, 2008 (File No. 1-7819) and incorporated herein by reference.</w:t>
      </w:r>
    </w:p>
    <w:p>
      <w:pPr>
        <w:spacing w:after="0" w:line="49" w:lineRule="exact"/>
        <w:rPr>
          <w:sz w:val="20"/>
          <w:szCs w:val="20"/>
          <w:color w:val="auto"/>
        </w:rPr>
      </w:pPr>
    </w:p>
    <w:p>
      <w:pPr>
        <w:ind w:left="1020" w:right="200" w:hanging="863"/>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33">
        <w:r>
          <w:rPr>
            <w:rFonts w:ascii="Arial" w:cs="Arial" w:eastAsia="Arial" w:hAnsi="Arial"/>
            <w:sz w:val="18"/>
            <w:szCs w:val="18"/>
            <w:u w:val="single" w:color="auto"/>
            <w:color w:val="0000FF"/>
          </w:rPr>
          <w:t>First Amendment to the Analog Devices, Inc. Amended and Restated Deferred Compensation Plan</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10.1 to the Company's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Quarterly Report on Form 10-Q for the fiscal quarter ended July 30, 2011 (File No. 1-7819) as filed with the Commission on August 16, 2011 and incorporated herein by reference.</w:t>
      </w:r>
    </w:p>
    <w:p>
      <w:pPr>
        <w:spacing w:after="0" w:line="19" w:lineRule="exact"/>
        <w:rPr>
          <w:sz w:val="20"/>
          <w:szCs w:val="20"/>
          <w:color w:val="auto"/>
        </w:rPr>
      </w:pPr>
    </w:p>
    <w:p>
      <w:pPr>
        <w:ind w:left="1020" w:hanging="863"/>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34">
        <w:r>
          <w:rPr>
            <w:rFonts w:ascii="Arial" w:cs="Arial" w:eastAsia="Arial" w:hAnsi="Arial"/>
            <w:sz w:val="18"/>
            <w:szCs w:val="18"/>
            <w:u w:val="single" w:color="auto"/>
            <w:color w:val="0000FF"/>
          </w:rPr>
          <w:t>Second Amendment to the Analog Devices, Inc. Amended and Restated Deferred Compensation Plan</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10.1 to the Company's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Quarterly Report on Form 10-Q for the fiscal quarter ended August 1, 2015 (File No. 1-7819) as filed with the Commission on August 18, 2015 and incorporated herein by reference.</w:t>
      </w:r>
    </w:p>
    <w:p>
      <w:pPr>
        <w:spacing w:after="0" w:line="19" w:lineRule="exact"/>
        <w:rPr>
          <w:sz w:val="20"/>
          <w:szCs w:val="20"/>
          <w:color w:val="auto"/>
        </w:rPr>
      </w:pPr>
    </w:p>
    <w:p>
      <w:pPr>
        <w:ind w:left="1020" w:right="140" w:hanging="863"/>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35">
        <w:r>
          <w:rPr>
            <w:rFonts w:ascii="Arial" w:cs="Arial" w:eastAsia="Arial" w:hAnsi="Arial"/>
            <w:sz w:val="18"/>
            <w:szCs w:val="18"/>
            <w:u w:val="single" w:color="auto"/>
            <w:color w:val="0000FF"/>
          </w:rPr>
          <w:t>Third Amendment to the Analog Devices, Inc. Amended and Restated Deferred Compensation Plan</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10.6 to the Company's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Quarterly Report on Form 10-Q for the fiscal quarter ended July 29, 2017 (File No. 1-7819) as filed with the Commission on August 30, 2017 and incorporated herein by reference.</w:t>
      </w:r>
    </w:p>
    <w:p>
      <w:pPr>
        <w:spacing w:after="0" w:line="19" w:lineRule="exact"/>
        <w:rPr>
          <w:sz w:val="20"/>
          <w:szCs w:val="20"/>
          <w:color w:val="auto"/>
        </w:rPr>
      </w:pPr>
    </w:p>
    <w:p>
      <w:pPr>
        <w:ind w:left="1020" w:right="80" w:hanging="863"/>
        <w:spacing w:after="0" w:line="286" w:lineRule="auto"/>
        <w:tabs>
          <w:tab w:leader="none" w:pos="1000" w:val="left"/>
        </w:tabs>
        <w:rPr>
          <w:rFonts w:ascii="Arial" w:cs="Arial" w:eastAsia="Arial" w:hAnsi="Arial"/>
          <w:sz w:val="17"/>
          <w:szCs w:val="17"/>
          <w:color w:val="0000FF"/>
        </w:rPr>
      </w:pPr>
      <w:r>
        <w:rPr>
          <w:rFonts w:ascii="Arial" w:cs="Arial" w:eastAsia="Arial" w:hAnsi="Arial"/>
          <w:sz w:val="18"/>
          <w:szCs w:val="18"/>
          <w:color w:val="auto"/>
        </w:rPr>
        <w:t>*10.5</w:t>
      </w:r>
      <w:r>
        <w:rPr>
          <w:sz w:val="20"/>
          <w:szCs w:val="20"/>
          <w:color w:val="auto"/>
        </w:rPr>
        <w:tab/>
      </w:r>
      <w:hyperlink r:id="rId36">
        <w:r>
          <w:rPr>
            <w:rFonts w:ascii="Arial" w:cs="Arial" w:eastAsia="Arial" w:hAnsi="Arial"/>
            <w:sz w:val="17"/>
            <w:szCs w:val="17"/>
            <w:u w:val="single" w:color="auto"/>
            <w:color w:val="0000FF"/>
          </w:rPr>
          <w:t>Trust Agreement for Deferred Compensation Plan dated as of October 1, 2003 between Analog Devices, Inc. and Fidelity Management</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Trust Company</w:t>
        </w:r>
        <w:r>
          <w:rPr>
            <w:rFonts w:ascii="Arial" w:cs="Arial" w:eastAsia="Arial" w:hAnsi="Arial"/>
            <w:sz w:val="17"/>
            <w:szCs w:val="17"/>
            <w:color w:val="000000"/>
          </w:rPr>
          <w:t xml:space="preserve">, filed as exhibit 10.28 to the Company's Annual Report on Form 10-K for the fiscal year ended November 1, 2003 (File </w:t>
        </w:r>
      </w:hyperlink>
      <w:r>
        <w:rPr>
          <w:rFonts w:ascii="Arial" w:cs="Arial" w:eastAsia="Arial" w:hAnsi="Arial"/>
          <w:sz w:val="17"/>
          <w:szCs w:val="17"/>
          <w:color w:val="0000FF"/>
        </w:rPr>
        <w:t xml:space="preserve">No. </w:t>
      </w:r>
      <w:r>
        <w:rPr>
          <w:rFonts w:ascii="Arial" w:cs="Arial" w:eastAsia="Arial" w:hAnsi="Arial"/>
          <w:sz w:val="17"/>
          <w:szCs w:val="17"/>
          <w:color w:val="000000"/>
        </w:rPr>
        <w:t>1-7819) as filed with the Commission on December 23, 2003 and incorporated herein by reference.</w:t>
      </w:r>
    </w:p>
    <w:p>
      <w:pPr>
        <w:spacing w:after="0" w:line="3" w:lineRule="exact"/>
        <w:rPr>
          <w:sz w:val="20"/>
          <w:szCs w:val="20"/>
          <w:color w:val="auto"/>
        </w:rPr>
      </w:pPr>
    </w:p>
    <w:p>
      <w:pPr>
        <w:ind w:left="1020" w:right="20" w:hanging="863"/>
        <w:spacing w:after="0" w:line="286" w:lineRule="auto"/>
        <w:tabs>
          <w:tab w:leader="none" w:pos="1000" w:val="left"/>
        </w:tabs>
        <w:rPr>
          <w:rFonts w:ascii="Arial" w:cs="Arial" w:eastAsia="Arial" w:hAnsi="Arial"/>
          <w:sz w:val="17"/>
          <w:szCs w:val="17"/>
          <w:color w:val="0000FF"/>
        </w:rPr>
      </w:pPr>
      <w:r>
        <w:rPr>
          <w:rFonts w:ascii="Arial" w:cs="Arial" w:eastAsia="Arial" w:hAnsi="Arial"/>
          <w:sz w:val="18"/>
          <w:szCs w:val="18"/>
          <w:color w:val="auto"/>
        </w:rPr>
        <w:t>*10.6</w:t>
      </w:r>
      <w:r>
        <w:rPr>
          <w:sz w:val="20"/>
          <w:szCs w:val="20"/>
          <w:color w:val="auto"/>
        </w:rPr>
        <w:tab/>
      </w:r>
      <w:hyperlink r:id="rId37">
        <w:r>
          <w:rPr>
            <w:rFonts w:ascii="Arial" w:cs="Arial" w:eastAsia="Arial" w:hAnsi="Arial"/>
            <w:sz w:val="17"/>
            <w:szCs w:val="17"/>
            <w:u w:val="single" w:color="auto"/>
            <w:color w:val="0000FF"/>
          </w:rPr>
          <w:t>First Amendment to Trust Agreement for Deferred Compensation Plan between Analog Devices, Inc. and Fidelity Management Trust</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Company dated as of January 1, 2005</w:t>
        </w:r>
        <w:r>
          <w:rPr>
            <w:rFonts w:ascii="Arial" w:cs="Arial" w:eastAsia="Arial" w:hAnsi="Arial"/>
            <w:sz w:val="17"/>
            <w:szCs w:val="17"/>
            <w:color w:val="000000"/>
          </w:rPr>
          <w:t xml:space="preserve">, filed as exhibit 10.3 to the Company's Annual Report on Form 10-K for the fiscal year ended </w:t>
        </w:r>
      </w:hyperlink>
      <w:r>
        <w:rPr>
          <w:rFonts w:ascii="Arial" w:cs="Arial" w:eastAsia="Arial" w:hAnsi="Arial"/>
          <w:sz w:val="17"/>
          <w:szCs w:val="17"/>
          <w:color w:val="0000FF"/>
        </w:rPr>
        <w:t xml:space="preserve">October </w:t>
      </w:r>
      <w:r>
        <w:rPr>
          <w:rFonts w:ascii="Arial" w:cs="Arial" w:eastAsia="Arial" w:hAnsi="Arial"/>
          <w:sz w:val="17"/>
          <w:szCs w:val="17"/>
          <w:color w:val="000000"/>
        </w:rPr>
        <w:t>28, 2006 (File No. 1-7819) as filed with the Commission on November 20, 2006 and incorporated herein by reference.</w:t>
      </w:r>
    </w:p>
    <w:p>
      <w:pPr>
        <w:spacing w:after="0" w:line="3" w:lineRule="exact"/>
        <w:rPr>
          <w:sz w:val="20"/>
          <w:szCs w:val="20"/>
          <w:color w:val="auto"/>
        </w:rPr>
      </w:pPr>
    </w:p>
    <w:p>
      <w:pPr>
        <w:jc w:val="both"/>
        <w:ind w:left="1020" w:right="280" w:hanging="863"/>
        <w:spacing w:after="0" w:line="305" w:lineRule="auto"/>
        <w:tabs>
          <w:tab w:leader="none" w:pos="1000" w:val="left"/>
        </w:tabs>
        <w:rPr>
          <w:rFonts w:ascii="Arial" w:cs="Arial" w:eastAsia="Arial" w:hAnsi="Arial"/>
          <w:sz w:val="16"/>
          <w:szCs w:val="16"/>
          <w:color w:val="0000FF"/>
        </w:rPr>
      </w:pPr>
      <w:r>
        <w:rPr>
          <w:rFonts w:ascii="Arial" w:cs="Arial" w:eastAsia="Arial" w:hAnsi="Arial"/>
          <w:sz w:val="18"/>
          <w:szCs w:val="18"/>
          <w:color w:val="auto"/>
        </w:rPr>
        <w:t>*10.7</w:t>
      </w:r>
      <w:r>
        <w:rPr>
          <w:sz w:val="20"/>
          <w:szCs w:val="20"/>
          <w:color w:val="auto"/>
        </w:rPr>
        <w:tab/>
      </w:r>
      <w:hyperlink r:id="rId38">
        <w:r>
          <w:rPr>
            <w:rFonts w:ascii="Arial" w:cs="Arial" w:eastAsia="Arial" w:hAnsi="Arial"/>
            <w:sz w:val="16"/>
            <w:szCs w:val="16"/>
            <w:u w:val="single" w:color="auto"/>
            <w:color w:val="0000FF"/>
          </w:rPr>
          <w:t>Second Amendment to Trust Agreement for Deferred Compensation Plan between Analog Devices, Inc. and Fidelity Management Trust</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Company dated as of December 10, 2007</w:t>
        </w:r>
        <w:r>
          <w:rPr>
            <w:rFonts w:ascii="Arial" w:cs="Arial" w:eastAsia="Arial" w:hAnsi="Arial"/>
            <w:sz w:val="16"/>
            <w:szCs w:val="16"/>
            <w:color w:val="000000"/>
          </w:rPr>
          <w:t>, filed as exhibit 10.41 to the Company's Annual Report on Form 10-K for the fiscal year ended</w:t>
        </w:r>
      </w:hyperlink>
      <w:r>
        <w:rPr>
          <w:rFonts w:ascii="Arial" w:cs="Arial" w:eastAsia="Arial" w:hAnsi="Arial"/>
          <w:sz w:val="16"/>
          <w:szCs w:val="16"/>
          <w:color w:val="0000FF"/>
        </w:rPr>
        <w:t xml:space="preserve"> </w:t>
      </w:r>
      <w:r>
        <w:rPr>
          <w:rFonts w:ascii="Arial" w:cs="Arial" w:eastAsia="Arial" w:hAnsi="Arial"/>
          <w:sz w:val="16"/>
          <w:szCs w:val="16"/>
          <w:color w:val="000000"/>
        </w:rPr>
        <w:t>November 1, 2008 (File No. 1-7819) as filed with the Commission on November 25, 2008 and incorporated herein by reference.</w:t>
      </w:r>
    </w:p>
    <w:p>
      <w:pPr>
        <w:spacing w:after="0" w:line="1" w:lineRule="exact"/>
        <w:rPr>
          <w:sz w:val="20"/>
          <w:szCs w:val="20"/>
          <w:color w:val="auto"/>
        </w:rPr>
      </w:pPr>
    </w:p>
    <w:p>
      <w:pPr>
        <w:ind w:left="1020" w:right="40" w:hanging="863"/>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39">
        <w:r>
          <w:rPr>
            <w:rFonts w:ascii="Arial" w:cs="Arial" w:eastAsia="Arial" w:hAnsi="Arial"/>
            <w:sz w:val="18"/>
            <w:szCs w:val="18"/>
            <w:u w:val="single" w:color="auto"/>
            <w:color w:val="0000FF"/>
          </w:rPr>
          <w:t>Amended and Restated 2006 Stock Incentive Plan of Analog Devices, Inc.</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10.1 to the Company's Quarterly Report on Form</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10-Q for the fiscal quarter ended February 1, 2014 (File No. 1-7819) as filed with the Commission on February 18, 2014 and incorporated herein by reference.</w:t>
      </w:r>
    </w:p>
    <w:p>
      <w:pPr>
        <w:spacing w:after="0" w:line="19" w:lineRule="exact"/>
        <w:rPr>
          <w:sz w:val="20"/>
          <w:szCs w:val="20"/>
          <w:color w:val="auto"/>
        </w:rPr>
      </w:pPr>
    </w:p>
    <w:p>
      <w:pPr>
        <w:ind w:left="1020" w:right="20" w:hanging="863"/>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0">
        <w:r>
          <w:rPr>
            <w:rFonts w:ascii="Arial" w:cs="Arial" w:eastAsia="Arial" w:hAnsi="Arial"/>
            <w:sz w:val="18"/>
            <w:szCs w:val="18"/>
            <w:u w:val="single" w:color="auto"/>
            <w:color w:val="0000FF"/>
          </w:rPr>
          <w:t>Linear Technology Corporation Amended and Restated 2005 Equity Incentive Plan</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4.1 to the Post-Effective Amendment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No. 1 on Form S-8 to the Company's Registration Statement on Form S-4 (File No. 333-213454) as filed with the Commission on March 15, 2017 and incorporated herein by reference.</w:t>
      </w:r>
    </w:p>
    <w:p>
      <w:pPr>
        <w:spacing w:after="0" w:line="19" w:lineRule="exact"/>
        <w:rPr>
          <w:sz w:val="20"/>
          <w:szCs w:val="20"/>
          <w:color w:val="auto"/>
        </w:rPr>
      </w:pPr>
    </w:p>
    <w:p>
      <w:pPr>
        <w:jc w:val="both"/>
        <w:ind w:left="1020" w:right="280" w:hanging="908"/>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41">
        <w:r>
          <w:rPr>
            <w:rFonts w:ascii="Arial" w:cs="Arial" w:eastAsia="Arial" w:hAnsi="Arial"/>
            <w:sz w:val="18"/>
            <w:szCs w:val="18"/>
            <w:u w:val="single" w:color="auto"/>
            <w:color w:val="0000FF"/>
          </w:rPr>
          <w:t>Analog Devices, Inc. Amended and Restated 2010 Equity Incentive Plan</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4.2 to the Post-Effective Amendment No. 1 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Form S-8 to the Company's Registration Statement on Form S-4 (File No. 333-213454) as filed with the Commission on March 15, 2017 and incorporated herein by reference.</w:t>
      </w:r>
    </w:p>
    <w:p>
      <w:pPr>
        <w:spacing w:after="0" w:line="19" w:lineRule="exact"/>
        <w:rPr>
          <w:sz w:val="20"/>
          <w:szCs w:val="20"/>
          <w:color w:val="auto"/>
        </w:rPr>
      </w:pPr>
    </w:p>
    <w:p>
      <w:pPr>
        <w:ind w:left="1020" w:right="140" w:hanging="905"/>
        <w:spacing w:after="0" w:line="291" w:lineRule="auto"/>
        <w:tabs>
          <w:tab w:leader="none" w:pos="1000" w:val="left"/>
        </w:tabs>
        <w:rPr>
          <w:rFonts w:ascii="Arial" w:cs="Arial" w:eastAsia="Arial" w:hAnsi="Arial"/>
          <w:sz w:val="16"/>
          <w:szCs w:val="16"/>
          <w:color w:val="0000FF"/>
        </w:rPr>
      </w:pPr>
      <w:r>
        <w:rPr>
          <w:rFonts w:ascii="Arial" w:cs="Arial" w:eastAsia="Arial" w:hAnsi="Arial"/>
          <w:sz w:val="18"/>
          <w:szCs w:val="18"/>
          <w:color w:val="auto"/>
        </w:rPr>
        <w:t>*10.11</w:t>
      </w:r>
      <w:r>
        <w:rPr>
          <w:sz w:val="20"/>
          <w:szCs w:val="20"/>
          <w:color w:val="auto"/>
        </w:rPr>
        <w:tab/>
      </w:r>
      <w:hyperlink r:id="rId42">
        <w:r>
          <w:rPr>
            <w:rFonts w:ascii="Arial" w:cs="Arial" w:eastAsia="Arial" w:hAnsi="Arial"/>
            <w:sz w:val="16"/>
            <w:szCs w:val="16"/>
            <w:u w:val="single" w:color="auto"/>
            <w:color w:val="0000FF"/>
          </w:rPr>
          <w:t>Form of Global Non-Qualified Stock Option Agreement for Employees for usage under the Company's Amended and Restated 2006 Stock</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Incentive Plan</w:t>
        </w:r>
        <w:r>
          <w:rPr>
            <w:rFonts w:ascii="Arial" w:cs="Arial" w:eastAsia="Arial" w:hAnsi="Arial"/>
            <w:sz w:val="16"/>
            <w:szCs w:val="16"/>
            <w:color w:val="000000"/>
          </w:rPr>
          <w:t>, filed as exhibit 10.5 to the Company's Quarterly Report on Form 10-Q for the fiscal quarter ended February 3, 2018</w:t>
        </w:r>
      </w:hyperlink>
    </w:p>
    <w:p>
      <w:pPr>
        <w:ind w:left="1020"/>
        <w:spacing w:after="0"/>
        <w:rPr>
          <w:sz w:val="20"/>
          <w:szCs w:val="20"/>
          <w:color w:val="auto"/>
        </w:rPr>
      </w:pPr>
      <w:r>
        <w:rPr>
          <w:rFonts w:ascii="Arial" w:cs="Arial" w:eastAsia="Arial" w:hAnsi="Arial"/>
          <w:sz w:val="18"/>
          <w:szCs w:val="18"/>
          <w:color w:val="auto"/>
        </w:rPr>
        <w:t>(File No. 1-7819) as filed with the Commission on February 28, 2018 and incorporated herein by reference.</w:t>
      </w:r>
    </w:p>
    <w:p>
      <w:pPr>
        <w:spacing w:after="0" w:line="49" w:lineRule="exact"/>
        <w:rPr>
          <w:sz w:val="20"/>
          <w:szCs w:val="20"/>
          <w:color w:val="auto"/>
        </w:rPr>
      </w:pPr>
    </w:p>
    <w:p>
      <w:pPr>
        <w:jc w:val="both"/>
        <w:ind w:left="1020" w:right="80" w:hanging="908"/>
        <w:spacing w:after="0" w:line="264" w:lineRule="auto"/>
        <w:tabs>
          <w:tab w:leader="none" w:pos="1000" w:val="left"/>
        </w:tabs>
        <w:rPr>
          <w:rFonts w:ascii="Arial" w:cs="Arial" w:eastAsia="Arial" w:hAnsi="Arial"/>
          <w:sz w:val="18"/>
          <w:szCs w:val="18"/>
          <w:color w:val="0000FF"/>
        </w:rPr>
      </w:pPr>
      <w:r>
        <w:rPr>
          <w:rFonts w:ascii="Arial" w:cs="Arial" w:eastAsia="Arial" w:hAnsi="Arial"/>
          <w:sz w:val="18"/>
          <w:szCs w:val="18"/>
          <w:color w:val="auto"/>
        </w:rPr>
        <w:t>*10.12</w:t>
      </w:r>
      <w:r>
        <w:rPr>
          <w:sz w:val="20"/>
          <w:szCs w:val="20"/>
          <w:color w:val="auto"/>
        </w:rPr>
        <w:tab/>
      </w:r>
      <w:hyperlink r:id="rId43">
        <w:r>
          <w:rPr>
            <w:rFonts w:ascii="Arial" w:cs="Arial" w:eastAsia="Arial" w:hAnsi="Arial"/>
            <w:sz w:val="18"/>
            <w:szCs w:val="18"/>
            <w:u w:val="single" w:color="auto"/>
            <w:color w:val="0000FF"/>
          </w:rPr>
          <w:t>Form of Non-Qualified Stock Option Agreement for Directors for usage under the Company's Amended and Restated 2006 Stock Incentive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Plan</w:t>
        </w:r>
        <w:r>
          <w:rPr>
            <w:rFonts w:ascii="Arial" w:cs="Arial" w:eastAsia="Arial" w:hAnsi="Arial"/>
            <w:sz w:val="18"/>
            <w:szCs w:val="18"/>
            <w:color w:val="000000"/>
          </w:rPr>
          <w:t>, filed as exhibit 10.4 to the Company's Quarterly Report on Form 10-Q for the fiscal quarter ended January 28, 2017 (File No. 1-7819)</w:t>
        </w:r>
      </w:hyperlink>
      <w:r>
        <w:rPr>
          <w:rFonts w:ascii="Arial" w:cs="Arial" w:eastAsia="Arial" w:hAnsi="Arial"/>
          <w:sz w:val="18"/>
          <w:szCs w:val="18"/>
          <w:color w:val="0000FF"/>
        </w:rPr>
        <w:t xml:space="preserve"> </w:t>
      </w:r>
      <w:r>
        <w:rPr>
          <w:rFonts w:ascii="Arial" w:cs="Arial" w:eastAsia="Arial" w:hAnsi="Arial"/>
          <w:sz w:val="18"/>
          <w:szCs w:val="18"/>
          <w:color w:val="000000"/>
        </w:rPr>
        <w:t>as filed with the Commission on February 15, 2017 and incorporated herein by reference.</w:t>
      </w:r>
    </w:p>
    <w:p>
      <w:pPr>
        <w:spacing w:after="0" w:line="19" w:lineRule="exact"/>
        <w:rPr>
          <w:sz w:val="20"/>
          <w:szCs w:val="20"/>
          <w:color w:val="auto"/>
        </w:rPr>
      </w:pPr>
    </w:p>
    <w:p>
      <w:pPr>
        <w:jc w:val="both"/>
        <w:ind w:left="1020" w:right="640" w:hanging="908"/>
        <w:spacing w:after="0" w:line="286" w:lineRule="auto"/>
        <w:tabs>
          <w:tab w:leader="none" w:pos="1000" w:val="left"/>
        </w:tabs>
        <w:rPr>
          <w:rFonts w:ascii="Arial" w:cs="Arial" w:eastAsia="Arial" w:hAnsi="Arial"/>
          <w:sz w:val="17"/>
          <w:szCs w:val="17"/>
          <w:color w:val="0000FF"/>
        </w:rPr>
      </w:pPr>
      <w:r>
        <w:rPr>
          <w:rFonts w:ascii="Arial" w:cs="Arial" w:eastAsia="Arial" w:hAnsi="Arial"/>
          <w:sz w:val="18"/>
          <w:szCs w:val="18"/>
          <w:color w:val="auto"/>
        </w:rPr>
        <w:t>*10.13</w:t>
      </w:r>
      <w:r>
        <w:rPr>
          <w:sz w:val="20"/>
          <w:szCs w:val="20"/>
          <w:color w:val="auto"/>
        </w:rPr>
        <w:tab/>
      </w:r>
      <w:hyperlink r:id="rId44">
        <w:r>
          <w:rPr>
            <w:rFonts w:ascii="Arial" w:cs="Arial" w:eastAsia="Arial" w:hAnsi="Arial"/>
            <w:sz w:val="17"/>
            <w:szCs w:val="17"/>
            <w:u w:val="single" w:color="auto"/>
            <w:color w:val="0000FF"/>
          </w:rPr>
          <w:t>Form of Global Restricted Stock Unit Agreement for Employees for usage under the Company's Amended and Restated 2006 Stock</w:t>
        </w:r>
      </w:hyperlink>
      <w:r>
        <w:rPr>
          <w:rFonts w:ascii="Arial" w:cs="Arial" w:eastAsia="Arial" w:hAnsi="Arial"/>
          <w:sz w:val="17"/>
          <w:szCs w:val="17"/>
          <w:u w:val="single" w:color="auto"/>
          <w:color w:val="0000FF"/>
        </w:rPr>
        <w:t xml:space="preserve"> </w:t>
      </w:r>
      <w:hyperlink r:id="rId44">
        <w:r>
          <w:rPr>
            <w:rFonts w:ascii="Arial" w:cs="Arial" w:eastAsia="Arial" w:hAnsi="Arial"/>
            <w:sz w:val="17"/>
            <w:szCs w:val="17"/>
            <w:u w:val="single" w:color="auto"/>
            <w:color w:val="0000FF"/>
          </w:rPr>
          <w:t>Incentive Plan</w:t>
        </w:r>
        <w:r>
          <w:rPr>
            <w:rFonts w:ascii="Arial" w:cs="Arial" w:eastAsia="Arial" w:hAnsi="Arial"/>
            <w:sz w:val="17"/>
            <w:szCs w:val="17"/>
            <w:color w:val="000000"/>
          </w:rPr>
          <w:t>, filed as exhibit 10.6 to the Company's Quarterly Report on Form 10-Q for the fiscal quarter ended February 3, 2018</w:t>
        </w:r>
      </w:hyperlink>
      <w:r>
        <w:rPr>
          <w:rFonts w:ascii="Arial" w:cs="Arial" w:eastAsia="Arial" w:hAnsi="Arial"/>
          <w:sz w:val="17"/>
          <w:szCs w:val="17"/>
          <w:color w:val="0000FF"/>
        </w:rPr>
        <w:t xml:space="preserve"> </w:t>
      </w:r>
      <w:r>
        <w:rPr>
          <w:rFonts w:ascii="Arial" w:cs="Arial" w:eastAsia="Arial" w:hAnsi="Arial"/>
          <w:sz w:val="17"/>
          <w:szCs w:val="17"/>
          <w:color w:val="000000"/>
        </w:rPr>
        <w:t>(File No. 1-7819) as filed with the Commission on February 28, 2018 and incorporated herein by reference.</w:t>
      </w:r>
    </w:p>
    <w:p>
      <w:pPr>
        <w:spacing w:after="0" w:line="3" w:lineRule="exact"/>
        <w:rPr>
          <w:sz w:val="20"/>
          <w:szCs w:val="20"/>
          <w:color w:val="auto"/>
        </w:rPr>
      </w:pPr>
    </w:p>
    <w:p>
      <w:pPr>
        <w:ind w:left="1020" w:right="200" w:hanging="908"/>
        <w:spacing w:after="0" w:line="286" w:lineRule="auto"/>
        <w:tabs>
          <w:tab w:leader="none" w:pos="1000" w:val="left"/>
        </w:tabs>
        <w:rPr>
          <w:rFonts w:ascii="Arial" w:cs="Arial" w:eastAsia="Arial" w:hAnsi="Arial"/>
          <w:sz w:val="17"/>
          <w:szCs w:val="17"/>
          <w:color w:val="0000FF"/>
        </w:rPr>
      </w:pPr>
      <w:r>
        <w:rPr>
          <w:rFonts w:ascii="Arial" w:cs="Arial" w:eastAsia="Arial" w:hAnsi="Arial"/>
          <w:sz w:val="18"/>
          <w:szCs w:val="18"/>
          <w:color w:val="auto"/>
        </w:rPr>
        <w:t>*10.14</w:t>
      </w:r>
      <w:r>
        <w:rPr>
          <w:sz w:val="20"/>
          <w:szCs w:val="20"/>
          <w:color w:val="auto"/>
        </w:rPr>
        <w:tab/>
      </w:r>
      <w:hyperlink r:id="rId45">
        <w:r>
          <w:rPr>
            <w:rFonts w:ascii="Arial" w:cs="Arial" w:eastAsia="Arial" w:hAnsi="Arial"/>
            <w:sz w:val="17"/>
            <w:szCs w:val="17"/>
            <w:u w:val="single" w:color="auto"/>
            <w:color w:val="0000FF"/>
          </w:rPr>
          <w:t>Form of Performance Restricted Stock Unit Agreement for Employees for usage under the Company's Amended and Restated 2006 Stock</w:t>
        </w:r>
      </w:hyperlink>
      <w:r>
        <w:rPr>
          <w:rFonts w:ascii="Arial" w:cs="Arial" w:eastAsia="Arial" w:hAnsi="Arial"/>
          <w:sz w:val="17"/>
          <w:szCs w:val="17"/>
          <w:u w:val="single" w:color="auto"/>
          <w:color w:val="0000FF"/>
        </w:rPr>
        <w:t xml:space="preserve"> </w:t>
      </w:r>
      <w:hyperlink r:id="rId45">
        <w:r>
          <w:rPr>
            <w:rFonts w:ascii="Arial" w:cs="Arial" w:eastAsia="Arial" w:hAnsi="Arial"/>
            <w:sz w:val="17"/>
            <w:szCs w:val="17"/>
            <w:u w:val="single" w:color="auto"/>
            <w:color w:val="0000FF"/>
          </w:rPr>
          <w:t>Incentive Plan</w:t>
        </w:r>
        <w:r>
          <w:rPr>
            <w:rFonts w:ascii="Arial" w:cs="Arial" w:eastAsia="Arial" w:hAnsi="Arial"/>
            <w:sz w:val="17"/>
            <w:szCs w:val="17"/>
            <w:color w:val="000000"/>
          </w:rPr>
          <w:t>, filed as exhibit 10.7 to the Company's Quarterly Report on Form 10-Q for the fiscal quarter ended February 3, 2018</w:t>
        </w:r>
      </w:hyperlink>
      <w:r>
        <w:rPr>
          <w:rFonts w:ascii="Arial" w:cs="Arial" w:eastAsia="Arial" w:hAnsi="Arial"/>
          <w:sz w:val="17"/>
          <w:szCs w:val="17"/>
          <w:color w:val="0000FF"/>
        </w:rPr>
        <w:t xml:space="preserve"> </w:t>
      </w:r>
      <w:r>
        <w:rPr>
          <w:rFonts w:ascii="Arial" w:cs="Arial" w:eastAsia="Arial" w:hAnsi="Arial"/>
          <w:sz w:val="17"/>
          <w:szCs w:val="17"/>
          <w:color w:val="000000"/>
        </w:rPr>
        <w:t>(File No. 1-7819) as filed with the Commission on February 28, 2018 and incorporated herein by reference.</w:t>
      </w:r>
    </w:p>
    <w:p>
      <w:pPr>
        <w:spacing w:after="0" w:line="3" w:lineRule="exact"/>
        <w:rPr>
          <w:sz w:val="20"/>
          <w:szCs w:val="20"/>
          <w:color w:val="auto"/>
        </w:rPr>
      </w:pPr>
    </w:p>
    <w:p>
      <w:pPr>
        <w:ind w:left="1020" w:right="180" w:hanging="908"/>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46">
        <w:r>
          <w:rPr>
            <w:rFonts w:ascii="Arial" w:cs="Arial" w:eastAsia="Arial" w:hAnsi="Arial"/>
            <w:sz w:val="18"/>
            <w:szCs w:val="18"/>
            <w:u w:val="single" w:color="auto"/>
            <w:color w:val="0000FF"/>
          </w:rPr>
          <w:t>Form of Restricted Stock Unit Agreement for Directors for usage under the Company's Amended and Restated 2006 Stock Incentive Plan</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10.4 to the Company's Quarterly Report on Form 10-Q for the fiscal quarter ended February 3, 2018 (File No. 1-7819) as filed with the Commission on February 28, 2018 and incorporated herein by reference.</w:t>
      </w:r>
    </w:p>
    <w:p>
      <w:pPr>
        <w:spacing w:after="0" w:line="19" w:lineRule="exact"/>
        <w:rPr>
          <w:sz w:val="20"/>
          <w:szCs w:val="20"/>
          <w:color w:val="auto"/>
        </w:rPr>
      </w:pPr>
    </w:p>
    <w:p>
      <w:pPr>
        <w:jc w:val="both"/>
        <w:ind w:left="1020" w:right="460" w:hanging="908"/>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47">
        <w:r>
          <w:rPr>
            <w:rFonts w:ascii="Arial" w:cs="Arial" w:eastAsia="Arial" w:hAnsi="Arial"/>
            <w:sz w:val="18"/>
            <w:szCs w:val="18"/>
            <w:u w:val="single" w:color="auto"/>
            <w:color w:val="0000FF"/>
          </w:rPr>
          <w:t>Form of Analog Devices, Inc. Equity Award Conversion Notice to Linear employees</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10.1 to the Company's Quarterly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Report on Form 10-Q for the fiscal quarter ended April 29, 2017 (File No. 1-7819) as filed with the Commission on May 31, 2017 and incorporated herein by reference.</w:t>
      </w:r>
    </w:p>
    <w:p>
      <w:pPr>
        <w:sectPr>
          <w:pgSz w:w="11900" w:h="16838" w:orient="portrait"/>
          <w:cols w:equalWidth="0" w:num="1">
            <w:col w:w="11160"/>
          </w:cols>
          <w:pgMar w:left="440" w:top="954" w:right="299" w:bottom="1440" w:gutter="0" w:footer="0" w:header="0"/>
        </w:sectPr>
      </w:pPr>
    </w:p>
    <w:bookmarkStart w:id="96" w:name="page97"/>
    <w:bookmarkEnd w:id="96"/>
    <w:p>
      <w:pPr>
        <w:spacing w:after="0"/>
        <w:tabs>
          <w:tab w:leader="none" w:pos="57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66675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p>
      <w:pPr>
        <w:ind w:left="1060" w:right="40" w:hanging="956"/>
        <w:spacing w:after="0" w:line="264" w:lineRule="auto"/>
        <w:tabs>
          <w:tab w:leader="none" w:pos="1040" w:val="left"/>
        </w:tabs>
        <w:rPr>
          <w:rFonts w:ascii="Arial" w:cs="Arial" w:eastAsia="Arial" w:hAnsi="Arial"/>
          <w:sz w:val="18"/>
          <w:szCs w:val="18"/>
          <w:color w:val="0000FF"/>
        </w:rPr>
      </w:pPr>
      <w:r>
        <w:rPr>
          <w:rFonts w:ascii="Arial" w:cs="Arial" w:eastAsia="Arial" w:hAnsi="Arial"/>
          <w:sz w:val="18"/>
          <w:szCs w:val="18"/>
          <w:color w:val="auto"/>
        </w:rPr>
        <w:t>*10.17</w:t>
      </w:r>
      <w:r>
        <w:rPr>
          <w:sz w:val="20"/>
          <w:szCs w:val="20"/>
          <w:color w:val="auto"/>
        </w:rPr>
        <w:tab/>
      </w:r>
      <w:hyperlink r:id="rId49">
        <w:r>
          <w:rPr>
            <w:rFonts w:ascii="Arial" w:cs="Arial" w:eastAsia="Arial" w:hAnsi="Arial"/>
            <w:sz w:val="18"/>
            <w:szCs w:val="18"/>
            <w:u w:val="single" w:color="auto"/>
            <w:color w:val="0000FF"/>
          </w:rPr>
          <w:t>Form of Linear Integration Performance Restricted Stock Unit Agreement for Employees for usage under the Analog Devices, Inc.</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Amended and Restated 2006 Stock Incentive Plan</w:t>
        </w:r>
        <w:r>
          <w:rPr>
            <w:rFonts w:ascii="Arial" w:cs="Arial" w:eastAsia="Arial" w:hAnsi="Arial"/>
            <w:sz w:val="18"/>
            <w:szCs w:val="18"/>
            <w:color w:val="000000"/>
          </w:rPr>
          <w:t>, filed as Exhibit 10.1 to the Company's Current Report on Form 8-K (File No. 1</w:t>
        </w:r>
      </w:hyperlink>
      <w:r>
        <w:rPr>
          <w:rFonts w:ascii="Arial" w:cs="Arial" w:eastAsia="Arial" w:hAnsi="Arial"/>
          <w:sz w:val="18"/>
          <w:szCs w:val="18"/>
          <w:color w:val="0000FF"/>
        </w:rPr>
        <w:t>-</w:t>
      </w:r>
      <w:r>
        <w:rPr>
          <w:rFonts w:ascii="Arial" w:cs="Arial" w:eastAsia="Arial" w:hAnsi="Arial"/>
          <w:sz w:val="18"/>
          <w:szCs w:val="18"/>
          <w:color w:val="000000"/>
        </w:rPr>
        <w:t>7819) as</w:t>
      </w:r>
      <w:r>
        <w:rPr>
          <w:rFonts w:ascii="Arial" w:cs="Arial" w:eastAsia="Arial" w:hAnsi="Arial"/>
          <w:sz w:val="18"/>
          <w:szCs w:val="18"/>
          <w:color w:val="0000FF"/>
        </w:rPr>
        <w:t xml:space="preserve"> </w:t>
      </w:r>
      <w:r>
        <w:rPr>
          <w:rFonts w:ascii="Arial" w:cs="Arial" w:eastAsia="Arial" w:hAnsi="Arial"/>
          <w:sz w:val="18"/>
          <w:szCs w:val="18"/>
          <w:color w:val="000000"/>
        </w:rPr>
        <w:t>filed with the Commission on July 11, 2017 and incorporated by reference herein.</w:t>
      </w:r>
    </w:p>
    <w:p>
      <w:pPr>
        <w:spacing w:after="0" w:line="19" w:lineRule="exact"/>
        <w:rPr>
          <w:sz w:val="20"/>
          <w:szCs w:val="20"/>
          <w:color w:val="auto"/>
        </w:rPr>
      </w:pPr>
    </w:p>
    <w:p>
      <w:pPr>
        <w:jc w:val="both"/>
        <w:ind w:left="1060" w:right="22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50">
        <w:r>
          <w:rPr>
            <w:rFonts w:ascii="Arial" w:cs="Arial" w:eastAsia="Arial" w:hAnsi="Arial"/>
            <w:sz w:val="18"/>
            <w:szCs w:val="18"/>
            <w:u w:val="single" w:color="auto"/>
            <w:color w:val="0000FF"/>
          </w:rPr>
          <w:t>Executive Performance Incentive Plan for the Third and Fourth Quarters of Fiscal 2018</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10.3 to the Company's Quarterly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Report on Form 10-Q for the fiscal quarter ended February 3, 2018 (File No. 1-7819) as filed with the Commission on February 28, 2018 and incorporated herein by reference.</w:t>
      </w:r>
    </w:p>
    <w:p>
      <w:pPr>
        <w:spacing w:after="0" w:line="19" w:lineRule="exact"/>
        <w:rPr>
          <w:sz w:val="20"/>
          <w:szCs w:val="20"/>
          <w:color w:val="auto"/>
        </w:rPr>
      </w:pPr>
    </w:p>
    <w:p>
      <w:pPr>
        <w:ind w:left="40"/>
        <w:spacing w:after="0"/>
        <w:tabs>
          <w:tab w:leader="none" w:pos="1040" w:val="left"/>
        </w:tabs>
        <w:rPr>
          <w:rFonts w:ascii="Arial" w:cs="Arial" w:eastAsia="Arial" w:hAnsi="Arial"/>
          <w:sz w:val="18"/>
          <w:szCs w:val="18"/>
          <w:color w:val="0000FF"/>
        </w:rPr>
      </w:pPr>
      <w:r>
        <w:rPr>
          <w:rFonts w:ascii="Arial" w:cs="Arial" w:eastAsia="Arial" w:hAnsi="Arial"/>
          <w:sz w:val="18"/>
          <w:szCs w:val="18"/>
          <w:color w:val="auto"/>
        </w:rPr>
        <w:t>†*10.19</w:t>
      </w:r>
      <w:r>
        <w:rPr>
          <w:sz w:val="20"/>
          <w:szCs w:val="20"/>
          <w:color w:val="auto"/>
        </w:rPr>
        <w:tab/>
      </w:r>
      <w:hyperlink w:anchor="page104">
        <w:r>
          <w:rPr>
            <w:rFonts w:ascii="Arial" w:cs="Arial" w:eastAsia="Arial" w:hAnsi="Arial"/>
            <w:sz w:val="18"/>
            <w:szCs w:val="18"/>
            <w:u w:val="single" w:color="auto"/>
            <w:color w:val="0000FF"/>
          </w:rPr>
          <w:t>2019 Executive Performance Incentive Plan</w:t>
        </w:r>
      </w:hyperlink>
      <w:r>
        <w:rPr>
          <w:rFonts w:ascii="Arial" w:cs="Arial" w:eastAsia="Arial" w:hAnsi="Arial"/>
          <w:sz w:val="18"/>
          <w:szCs w:val="18"/>
          <w:color w:val="000000"/>
        </w:rPr>
        <w:t>.</w:t>
      </w:r>
    </w:p>
    <w:p>
      <w:pPr>
        <w:spacing w:after="0" w:line="63" w:lineRule="exact"/>
        <w:rPr>
          <w:sz w:val="20"/>
          <w:szCs w:val="20"/>
          <w:color w:val="auto"/>
        </w:rPr>
      </w:pPr>
    </w:p>
    <w:p>
      <w:pPr>
        <w:ind w:left="1060" w:right="22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51">
        <w:r>
          <w:rPr>
            <w:rFonts w:ascii="Arial" w:cs="Arial" w:eastAsia="Arial" w:hAnsi="Arial"/>
            <w:sz w:val="18"/>
            <w:szCs w:val="18"/>
            <w:u w:val="single" w:color="auto"/>
            <w:color w:val="0000FF"/>
          </w:rPr>
          <w:t>Analog Devices, Inc. Executive Section 162(m) plan, as amended</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10.1 to the Company's Quarterly Report on Form 10-Q</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for the fiscal quarter ended May 4, 2013 (File No. 1-7819) as filed with the Commission on May 21, 2013 and incorporated herein by reference.</w:t>
      </w:r>
    </w:p>
    <w:p>
      <w:pPr>
        <w:spacing w:after="0" w:line="19" w:lineRule="exact"/>
        <w:rPr>
          <w:sz w:val="20"/>
          <w:szCs w:val="20"/>
          <w:color w:val="auto"/>
        </w:rPr>
      </w:pPr>
    </w:p>
    <w:p>
      <w:pPr>
        <w:ind w:left="1060" w:right="20" w:hanging="956"/>
        <w:spacing w:after="0" w:line="298" w:lineRule="auto"/>
        <w:tabs>
          <w:tab w:leader="none" w:pos="1040" w:val="left"/>
        </w:tabs>
        <w:rPr>
          <w:rFonts w:ascii="Arial" w:cs="Arial" w:eastAsia="Arial" w:hAnsi="Arial"/>
          <w:sz w:val="17"/>
          <w:szCs w:val="17"/>
          <w:u w:val="single" w:color="auto"/>
          <w:color w:val="0000FF"/>
        </w:rPr>
      </w:pPr>
      <w:r>
        <w:rPr>
          <w:rFonts w:ascii="Arial" w:cs="Arial" w:eastAsia="Arial" w:hAnsi="Arial"/>
          <w:sz w:val="18"/>
          <w:szCs w:val="18"/>
          <w:color w:val="auto"/>
        </w:rPr>
        <w:t>*10.21</w:t>
      </w:r>
      <w:r>
        <w:rPr>
          <w:sz w:val="20"/>
          <w:szCs w:val="20"/>
          <w:color w:val="auto"/>
        </w:rPr>
        <w:tab/>
      </w:r>
      <w:hyperlink r:id="rId52">
        <w:r>
          <w:rPr>
            <w:rFonts w:ascii="Arial" w:cs="Arial" w:eastAsia="Arial" w:hAnsi="Arial"/>
            <w:sz w:val="17"/>
            <w:szCs w:val="17"/>
            <w:u w:val="single" w:color="auto"/>
            <w:color w:val="0000FF"/>
          </w:rPr>
          <w:t>Form of Employee Retention Agreement</w:t>
        </w:r>
      </w:hyperlink>
      <w:r>
        <w:rPr>
          <w:rFonts w:ascii="Arial" w:cs="Arial" w:eastAsia="Arial" w:hAnsi="Arial"/>
          <w:sz w:val="17"/>
          <w:szCs w:val="17"/>
          <w:color w:val="000000"/>
        </w:rPr>
        <w:t>,</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filed as exhibit 10.1 to the Company's Quarterly Report on Form 10-Q for the fiscal quarter ended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May 5, 2012 (File No. 1-7819) as filed with the Commission on May 22, 2012 and incorporated herein by reference.</w:t>
      </w:r>
    </w:p>
    <w:p>
      <w:pPr>
        <w:spacing w:after="0" w:line="1" w:lineRule="exact"/>
        <w:rPr>
          <w:sz w:val="20"/>
          <w:szCs w:val="20"/>
          <w:color w:val="auto"/>
        </w:rPr>
      </w:pPr>
    </w:p>
    <w:p>
      <w:pPr>
        <w:ind w:left="1060" w:right="10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53">
        <w:r>
          <w:rPr>
            <w:rFonts w:ascii="Arial" w:cs="Arial" w:eastAsia="Arial" w:hAnsi="Arial"/>
            <w:sz w:val="18"/>
            <w:szCs w:val="18"/>
            <w:u w:val="single" w:color="auto"/>
            <w:color w:val="0000FF"/>
          </w:rPr>
          <w:t>Change of Control Severance Agreement between Linear Technology Corporation and Steve Pietkiewicz, dated July 25, 2017</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10.2 to the Company's Quarterly Report on Form 10-Q for the fiscal quarter ended July 29, 2017 (File No. 1-7819) as filed with the Commission on August 30, 2017 and incorporated herein by reference.</w:t>
      </w:r>
    </w:p>
    <w:p>
      <w:pPr>
        <w:spacing w:after="0" w:line="19" w:lineRule="exact"/>
        <w:rPr>
          <w:sz w:val="20"/>
          <w:szCs w:val="20"/>
          <w:color w:val="auto"/>
        </w:rPr>
      </w:pPr>
    </w:p>
    <w:p>
      <w:pPr>
        <w:ind w:left="1060" w:right="18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54">
        <w:r>
          <w:rPr>
            <w:rFonts w:ascii="Arial" w:cs="Arial" w:eastAsia="Arial" w:hAnsi="Arial"/>
            <w:sz w:val="18"/>
            <w:szCs w:val="18"/>
            <w:u w:val="single" w:color="auto"/>
            <w:color w:val="0000FF"/>
          </w:rPr>
          <w:t>Employee Retention Agreement between the Company and Steve Pietkiewicz, dated July 25, 2017</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10.3 to the Company's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Quarterly Report on Form 10-Q for the fiscal quarter ended July 29, 2017 (File No. 1-7819) as filed with the Commission on August 30, 2017 and incorporated herein by reference.</w:t>
      </w:r>
    </w:p>
    <w:p>
      <w:pPr>
        <w:spacing w:after="0" w:line="19" w:lineRule="exact"/>
        <w:rPr>
          <w:sz w:val="20"/>
          <w:szCs w:val="20"/>
          <w:color w:val="auto"/>
        </w:rPr>
      </w:pPr>
    </w:p>
    <w:p>
      <w:pPr>
        <w:ind w:left="1060" w:right="200"/>
        <w:spacing w:after="0" w:line="291" w:lineRule="auto"/>
        <w:rPr>
          <w:rFonts w:ascii="Arial" w:cs="Arial" w:eastAsia="Arial" w:hAnsi="Arial"/>
          <w:sz w:val="16"/>
          <w:szCs w:val="16"/>
          <w:color w:val="0000FF"/>
        </w:rPr>
      </w:pPr>
      <w:hyperlink r:id="rId52">
        <w:r>
          <w:rPr>
            <w:rFonts w:ascii="Arial" w:cs="Arial" w:eastAsia="Arial" w:hAnsi="Arial"/>
            <w:sz w:val="16"/>
            <w:szCs w:val="16"/>
            <w:u w:val="single" w:color="auto"/>
            <w:color w:val="0000FF"/>
          </w:rPr>
          <w:t>Award Letter to Steve Pietkiewicz</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dated January 15, 2018, filed as exhibit 10.1 to the Company's Quarterly Report on Form 10-Q for the</w:t>
      </w:r>
      <w:r>
        <w:rPr>
          <w:rFonts w:ascii="Arial" w:cs="Arial" w:eastAsia="Arial" w:hAnsi="Arial"/>
          <w:sz w:val="16"/>
          <w:szCs w:val="16"/>
          <w:color w:val="0000FF"/>
        </w:rPr>
        <w:t xml:space="preserve"> </w:t>
      </w:r>
      <w:r>
        <w:rPr>
          <w:rFonts w:ascii="Arial" w:cs="Arial" w:eastAsia="Arial" w:hAnsi="Arial"/>
          <w:sz w:val="16"/>
          <w:szCs w:val="16"/>
          <w:color w:val="000000"/>
        </w:rPr>
        <w:t>fiscal quarter ended February 3, 2018 (File No. 1-7819) as filed with the Commission on February 28, 2018 and incorporated herein by</w:t>
      </w:r>
    </w:p>
    <w:p>
      <w:pPr>
        <w:ind w:left="100"/>
        <w:spacing w:after="0"/>
        <w:tabs>
          <w:tab w:leader="none" w:pos="10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5"/>
          <w:szCs w:val="15"/>
          <w:color w:val="auto"/>
        </w:rPr>
        <w:t>reference.</w:t>
      </w:r>
    </w:p>
    <w:p>
      <w:pPr>
        <w:spacing w:after="0" w:line="49" w:lineRule="exact"/>
        <w:rPr>
          <w:sz w:val="20"/>
          <w:szCs w:val="20"/>
          <w:color w:val="auto"/>
        </w:rPr>
      </w:pPr>
    </w:p>
    <w:p>
      <w:pPr>
        <w:ind w:left="1060" w:right="18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55">
        <w:r>
          <w:rPr>
            <w:rFonts w:ascii="Arial" w:cs="Arial" w:eastAsia="Arial" w:hAnsi="Arial"/>
            <w:sz w:val="18"/>
            <w:szCs w:val="18"/>
            <w:u w:val="single" w:color="auto"/>
            <w:color w:val="0000FF"/>
          </w:rPr>
          <w:t>Employee Change in Control Severance Policy of Analog Devices, Inc., as amended</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10.20 to the Company's Annual</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Report on Form 10-K for the fiscal year ended October 30, 1999 (File No. 1-7819) as filed with the Commission on January 28, 2000 and incorporated herein by reference.</w:t>
      </w:r>
    </w:p>
    <w:p>
      <w:pPr>
        <w:spacing w:after="0" w:line="19" w:lineRule="exact"/>
        <w:rPr>
          <w:sz w:val="20"/>
          <w:szCs w:val="20"/>
          <w:color w:val="auto"/>
        </w:rPr>
      </w:pPr>
    </w:p>
    <w:p>
      <w:pPr>
        <w:jc w:val="both"/>
        <w:ind w:left="1060" w:right="32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55">
        <w:r>
          <w:rPr>
            <w:rFonts w:ascii="Arial" w:cs="Arial" w:eastAsia="Arial" w:hAnsi="Arial"/>
            <w:sz w:val="18"/>
            <w:szCs w:val="18"/>
            <w:u w:val="single" w:color="auto"/>
            <w:color w:val="0000FF"/>
          </w:rPr>
          <w:t>Senior Management Change in Control Severance Policy of Analog Devices, Inc., as amended</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10.21 to the Company's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Report on Form 10-K for the fiscal year ended October 30, 1999 (File No. 1-7819) as filed with the Commission on January 28, 2000 and incorporated herein by reference.</w:t>
      </w:r>
    </w:p>
    <w:p>
      <w:pPr>
        <w:spacing w:after="0" w:line="19" w:lineRule="exact"/>
        <w:rPr>
          <w:sz w:val="20"/>
          <w:szCs w:val="20"/>
          <w:color w:val="auto"/>
        </w:rPr>
      </w:pPr>
    </w:p>
    <w:p>
      <w:pPr>
        <w:ind w:left="106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56">
        <w:r>
          <w:rPr>
            <w:rFonts w:ascii="Arial" w:cs="Arial" w:eastAsia="Arial" w:hAnsi="Arial"/>
            <w:sz w:val="18"/>
            <w:szCs w:val="18"/>
            <w:u w:val="single" w:color="auto"/>
            <w:color w:val="0000FF"/>
          </w:rPr>
          <w:t xml:space="preserve">Offer Letter for Prashanth Mahendra-Rajah, dated August 4, 2017, </w:t>
        </w:r>
      </w:hyperlink>
      <w:r>
        <w:rPr>
          <w:rFonts w:ascii="Arial" w:cs="Arial" w:eastAsia="Arial" w:hAnsi="Arial"/>
          <w:sz w:val="18"/>
          <w:szCs w:val="18"/>
          <w:color w:val="000000"/>
        </w:rPr>
        <w:t>filed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as exhibit 10.28 to the Company's Annual Report on Form 10-K for</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the fiscal year ended October 28, 2017 (File No. 1-7819) as filed with the Commission on November 22, 2017 and incorporated herein by reference.</w:t>
      </w:r>
    </w:p>
    <w:p>
      <w:pPr>
        <w:spacing w:after="0" w:line="19" w:lineRule="exact"/>
        <w:rPr>
          <w:sz w:val="20"/>
          <w:szCs w:val="20"/>
          <w:color w:val="auto"/>
        </w:rPr>
      </w:pPr>
    </w:p>
    <w:p>
      <w:pPr>
        <w:ind w:left="1060" w:right="8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57">
        <w:r>
          <w:rPr>
            <w:rFonts w:ascii="Arial" w:cs="Arial" w:eastAsia="Arial" w:hAnsi="Arial"/>
            <w:sz w:val="18"/>
            <w:szCs w:val="18"/>
            <w:u w:val="single" w:color="auto"/>
            <w:color w:val="0000FF"/>
          </w:rPr>
          <w:t>Form of Indemnification Agreement for Directors and Officers</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10.30 to the Company's Annual Report on Form 10-K for</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the fiscal year ended November 1, 2008 (File No. 1-7819) as filed with the Commission on November 25, 2008 and incorporated herein by reference.</w:t>
      </w:r>
    </w:p>
    <w:p>
      <w:pPr>
        <w:sectPr>
          <w:pgSz w:w="11900" w:h="16838" w:orient="portrait"/>
          <w:cols w:equalWidth="0" w:num="1">
            <w:col w:w="11160"/>
          </w:cols>
          <w:pgMar w:left="480" w:top="738" w:right="2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92"/>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40" w:type="dxa"/>
            <w:vAlign w:val="bottom"/>
            <w:tcBorders>
              <w:bottom w:val="single" w:sz="8" w:color="auto"/>
            </w:tcBorders>
            <w:gridSpan w:val="10"/>
          </w:tcPr>
          <w:p>
            <w:pPr>
              <w:ind w:left="220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2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6"/>
              </w:rPr>
              <w:t>†*10.29</w:t>
            </w:r>
          </w:p>
        </w:tc>
        <w:tc>
          <w:tcPr>
            <w:tcW w:w="40" w:type="dxa"/>
            <w:vAlign w:val="bottom"/>
          </w:tcPr>
          <w:p>
            <w:pPr>
              <w:spacing w:after="0"/>
              <w:rPr>
                <w:sz w:val="17"/>
                <w:szCs w:val="17"/>
                <w:color w:val="auto"/>
              </w:rPr>
            </w:pPr>
          </w:p>
        </w:tc>
        <w:tc>
          <w:tcPr>
            <w:tcW w:w="7680" w:type="dxa"/>
            <w:vAlign w:val="bottom"/>
            <w:tcBorders>
              <w:bottom w:val="single" w:sz="8" w:color="0000FF"/>
            </w:tcBorders>
            <w:gridSpan w:val="7"/>
          </w:tcPr>
          <w:p>
            <w:pPr>
              <w:spacing w:after="0" w:line="202" w:lineRule="exact"/>
              <w:rPr>
                <w:rFonts w:ascii="Arial" w:cs="Arial" w:eastAsia="Arial" w:hAnsi="Arial"/>
                <w:sz w:val="18"/>
                <w:szCs w:val="18"/>
                <w:color w:val="0000FF"/>
                <w:w w:val="89"/>
              </w:rPr>
            </w:pPr>
            <w:hyperlink w:anchor="page106">
              <w:r>
                <w:rPr>
                  <w:rFonts w:ascii="Arial" w:cs="Arial" w:eastAsia="Arial" w:hAnsi="Arial"/>
                  <w:sz w:val="18"/>
                  <w:szCs w:val="18"/>
                  <w:color w:val="0000FF"/>
                  <w:w w:val="89"/>
                </w:rPr>
                <w:t>Severance and Release Agreement between Analog Devices, Inc. and Rick D. Hess, dated August 4, 2018.</w:t>
              </w:r>
            </w:hyperlink>
          </w:p>
        </w:tc>
        <w:tc>
          <w:tcPr>
            <w:tcW w:w="2440" w:type="dxa"/>
            <w:vAlign w:val="bottom"/>
            <w:gridSpan w:val="5"/>
          </w:tcPr>
          <w:p>
            <w:pPr>
              <w:spacing w:after="0"/>
              <w:rPr>
                <w:sz w:val="17"/>
                <w:szCs w:val="17"/>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2"/>
              </w:rPr>
              <w:t>*10.30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20" w:type="dxa"/>
            <w:vAlign w:val="bottom"/>
            <w:gridSpan w:val="12"/>
          </w:tcPr>
          <w:p>
            <w:pPr>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Credit Agreement, dated as of September 23, 2016, among Analog Devices, Inc., as Borrower, JPMorgan Chase Bank, N.A. as</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2"/>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Administrative Agent and each lender from time to time party thereto</w:t>
              </w:r>
              <w:r>
                <w:rPr>
                  <w:rFonts w:ascii="Arial" w:cs="Arial" w:eastAsia="Arial" w:hAnsi="Arial"/>
                  <w:sz w:val="18"/>
                  <w:szCs w:val="18"/>
                  <w:color w:val="000000"/>
                  <w:w w:val="93"/>
                </w:rPr>
                <w:t xml:space="preserve">, filed as exhibit 10.1 to the Company's Current Report on </w:t>
              </w:r>
            </w:hyperlink>
            <w:r>
              <w:rPr>
                <w:rFonts w:ascii="Arial" w:cs="Arial" w:eastAsia="Arial" w:hAnsi="Arial"/>
                <w:sz w:val="18"/>
                <w:szCs w:val="18"/>
                <w:color w:val="0000FF"/>
                <w:w w:val="93"/>
              </w:rPr>
              <w:t xml:space="preserve">Form </w:t>
            </w:r>
            <w:r>
              <w:rPr>
                <w:rFonts w:ascii="Arial" w:cs="Arial" w:eastAsia="Arial" w:hAnsi="Arial"/>
                <w:sz w:val="18"/>
                <w:szCs w:val="18"/>
                <w:color w:val="000000"/>
                <w:w w:val="93"/>
              </w:rPr>
              <w:t>8-K</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2"/>
          </w:tcPr>
          <w:p>
            <w:pPr>
              <w:spacing w:after="0"/>
              <w:rPr>
                <w:sz w:val="20"/>
                <w:szCs w:val="20"/>
                <w:color w:val="auto"/>
              </w:rPr>
            </w:pPr>
            <w:r>
              <w:rPr>
                <w:rFonts w:ascii="Arial" w:cs="Arial" w:eastAsia="Arial" w:hAnsi="Arial"/>
                <w:sz w:val="18"/>
                <w:szCs w:val="18"/>
                <w:color w:val="auto"/>
              </w:rPr>
              <w:t>(File No. 1-7819) as filed with the Commission on September 26, 2016 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2"/>
              </w:rPr>
              <w:t>*10.31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20" w:type="dxa"/>
            <w:vAlign w:val="bottom"/>
            <w:tcBorders>
              <w:bottom w:val="single" w:sz="8" w:color="0000FF"/>
            </w:tcBorders>
            <w:gridSpan w:val="10"/>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Amendment and Restatement Agreement, dated as of September 23, 2016, among Analog Devices, Inc., as Borrower, Bank of America,</w:t>
              </w:r>
            </w:hyperlink>
          </w:p>
        </w:tc>
        <w:tc>
          <w:tcPr>
            <w:tcW w:w="300" w:type="dxa"/>
            <w:vAlign w:val="bottom"/>
            <w:gridSpan w:val="2"/>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2"/>
          </w:tcPr>
          <w:p>
            <w:pPr>
              <w:spacing w:after="0" w:line="196" w:lineRule="exact"/>
              <w:rPr>
                <w:rFonts w:ascii="Arial" w:cs="Arial" w:eastAsia="Arial" w:hAnsi="Arial"/>
                <w:sz w:val="18"/>
                <w:szCs w:val="18"/>
                <w:color w:val="0000FF"/>
                <w:w w:val="94"/>
              </w:rPr>
            </w:pPr>
            <w:hyperlink r:id="rId59">
              <w:r>
                <w:rPr>
                  <w:rFonts w:ascii="Arial" w:cs="Arial" w:eastAsia="Arial" w:hAnsi="Arial"/>
                  <w:sz w:val="18"/>
                  <w:szCs w:val="18"/>
                  <w:color w:val="0000FF"/>
                  <w:w w:val="94"/>
                </w:rPr>
                <w:t>N.A. as Administrative Agent, Swing Line Lender and L/C Issuer and each lender from time to time party thereto</w:t>
              </w:r>
              <w:r>
                <w:rPr>
                  <w:rFonts w:ascii="Arial" w:cs="Arial" w:eastAsia="Arial" w:hAnsi="Arial"/>
                  <w:sz w:val="18"/>
                  <w:szCs w:val="18"/>
                  <w:color w:val="000000"/>
                  <w:w w:val="94"/>
                </w:rPr>
                <w:t xml:space="preserve">, filed as exhibit 10.2 </w:t>
              </w:r>
            </w:hyperlink>
            <w:r>
              <w:rPr>
                <w:rFonts w:ascii="Arial" w:cs="Arial" w:eastAsia="Arial" w:hAnsi="Arial"/>
                <w:sz w:val="18"/>
                <w:szCs w:val="18"/>
                <w:color w:val="0000FF"/>
                <w:w w:val="94"/>
              </w:rPr>
              <w:t>to</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2"/>
          </w:tcPr>
          <w:p>
            <w:pPr>
              <w:spacing w:after="0"/>
              <w:rPr>
                <w:sz w:val="20"/>
                <w:szCs w:val="20"/>
                <w:color w:val="auto"/>
              </w:rPr>
            </w:pPr>
            <w:r>
              <w:rPr>
                <w:rFonts w:ascii="Arial" w:cs="Arial" w:eastAsia="Arial" w:hAnsi="Arial"/>
                <w:sz w:val="18"/>
                <w:szCs w:val="18"/>
                <w:color w:val="auto"/>
                <w:w w:val="95"/>
              </w:rPr>
              <w:t>the Company's Current Report on Form 8-K (File No. 1-7819) as filed with the Commission on September 26, 2016 and incorporated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2"/>
          </w:tcPr>
          <w:p>
            <w:pPr>
              <w:spacing w:after="0"/>
              <w:rPr>
                <w:sz w:val="20"/>
                <w:szCs w:val="20"/>
                <w:color w:val="auto"/>
              </w:rPr>
            </w:pPr>
            <w:r>
              <w:rPr>
                <w:rFonts w:ascii="Arial" w:cs="Arial" w:eastAsia="Arial" w:hAnsi="Arial"/>
                <w:sz w:val="18"/>
                <w:szCs w:val="18"/>
                <w:color w:val="auto"/>
              </w:rPr>
              <w:t>herein by reference.</w:t>
            </w:r>
          </w:p>
        </w:tc>
      </w:tr>
      <w:tr>
        <w:trPr>
          <w:trHeight w:val="23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†21</w:t>
            </w:r>
          </w:p>
        </w:tc>
        <w:tc>
          <w:tcPr>
            <w:tcW w:w="40" w:type="dxa"/>
            <w:vAlign w:val="bottom"/>
          </w:tcPr>
          <w:p>
            <w:pPr>
              <w:spacing w:after="0"/>
              <w:rPr>
                <w:sz w:val="19"/>
                <w:szCs w:val="19"/>
                <w:color w:val="auto"/>
              </w:rPr>
            </w:pPr>
          </w:p>
        </w:tc>
        <w:tc>
          <w:tcPr>
            <w:tcW w:w="10120" w:type="dxa"/>
            <w:vAlign w:val="bottom"/>
            <w:gridSpan w:val="12"/>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Subsidiaries of the Company.</w:t>
              </w:r>
            </w:hyperlink>
          </w:p>
        </w:tc>
      </w:tr>
      <w:tr>
        <w:trPr>
          <w:trHeight w:val="20"/>
        </w:trPr>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†23</w:t>
            </w:r>
          </w:p>
        </w:tc>
        <w:tc>
          <w:tcPr>
            <w:tcW w:w="40" w:type="dxa"/>
            <w:vAlign w:val="bottom"/>
          </w:tcPr>
          <w:p>
            <w:pPr>
              <w:spacing w:after="0"/>
              <w:rPr>
                <w:sz w:val="21"/>
                <w:szCs w:val="21"/>
                <w:color w:val="auto"/>
              </w:rPr>
            </w:pPr>
          </w:p>
        </w:tc>
        <w:tc>
          <w:tcPr>
            <w:tcW w:w="58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15">
              <w:r>
                <w:rPr>
                  <w:rFonts w:ascii="Arial" w:cs="Arial" w:eastAsia="Arial" w:hAnsi="Arial"/>
                  <w:sz w:val="18"/>
                  <w:szCs w:val="18"/>
                  <w:color w:val="0000FF"/>
                  <w:w w:val="91"/>
                </w:rPr>
                <w:t>Consent of Ernst &amp; Young LLP, Independent Registered Public Accounting Firm.</w:t>
              </w:r>
            </w:hyperlink>
          </w:p>
        </w:tc>
        <w:tc>
          <w:tcPr>
            <w:tcW w:w="4240" w:type="dxa"/>
            <w:vAlign w:val="bottom"/>
            <w:gridSpan w:val="6"/>
          </w:tcPr>
          <w:p>
            <w:pPr>
              <w:spacing w:after="0"/>
              <w:rPr>
                <w:sz w:val="21"/>
                <w:szCs w:val="21"/>
                <w:color w:val="auto"/>
              </w:rPr>
            </w:pPr>
          </w:p>
        </w:tc>
      </w:tr>
      <w:tr>
        <w:trPr>
          <w:trHeight w:val="25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†31.1</w:t>
            </w:r>
          </w:p>
        </w:tc>
        <w:tc>
          <w:tcPr>
            <w:tcW w:w="40" w:type="dxa"/>
            <w:vAlign w:val="bottom"/>
          </w:tcPr>
          <w:p>
            <w:pPr>
              <w:spacing w:after="0"/>
              <w:rPr>
                <w:sz w:val="21"/>
                <w:szCs w:val="21"/>
                <w:color w:val="auto"/>
              </w:rPr>
            </w:pPr>
          </w:p>
        </w:tc>
        <w:tc>
          <w:tcPr>
            <w:tcW w:w="1010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16">
              <w:r>
                <w:rPr>
                  <w:rFonts w:ascii="Arial" w:cs="Arial" w:eastAsia="Arial" w:hAnsi="Arial"/>
                  <w:sz w:val="18"/>
                  <w:szCs w:val="18"/>
                  <w:color w:val="0000FF"/>
                  <w:w w:val="90"/>
                </w:rPr>
                <w:t>Certification Pursuant to Rule 13a-14(a) and 15d-14(a) of the Exchange Act, as Adopted Pursuant to Section 302 of the Sarbanes-Oxley Act</w:t>
              </w:r>
            </w:hyperlink>
          </w:p>
        </w:tc>
        <w:tc>
          <w:tcPr>
            <w:tcW w:w="20" w:type="dxa"/>
            <w:vAlign w:val="bottom"/>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2"/>
          </w:tcPr>
          <w:p>
            <w:pPr>
              <w:spacing w:after="0" w:line="196" w:lineRule="exact"/>
              <w:rPr>
                <w:rFonts w:ascii="Arial" w:cs="Arial" w:eastAsia="Arial" w:hAnsi="Arial"/>
                <w:sz w:val="18"/>
                <w:szCs w:val="18"/>
                <w:color w:val="0000FF"/>
              </w:rPr>
            </w:pPr>
            <w:hyperlink w:anchor="page116">
              <w:r>
                <w:rPr>
                  <w:rFonts w:ascii="Arial" w:cs="Arial" w:eastAsia="Arial" w:hAnsi="Arial"/>
                  <w:sz w:val="18"/>
                  <w:szCs w:val="18"/>
                  <w:color w:val="0000FF"/>
                </w:rPr>
                <w:t>of 2002 (Chief Executive Officer).</w:t>
              </w:r>
            </w:hyperlink>
          </w:p>
        </w:tc>
      </w:tr>
      <w:tr>
        <w:trPr>
          <w:trHeight w:val="20"/>
        </w:trPr>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r>
      <w:tr>
        <w:trPr>
          <w:trHeight w:val="25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†31.2</w:t>
            </w:r>
          </w:p>
        </w:tc>
        <w:tc>
          <w:tcPr>
            <w:tcW w:w="40" w:type="dxa"/>
            <w:vAlign w:val="bottom"/>
          </w:tcPr>
          <w:p>
            <w:pPr>
              <w:spacing w:after="0"/>
              <w:rPr>
                <w:sz w:val="21"/>
                <w:szCs w:val="21"/>
                <w:color w:val="auto"/>
              </w:rPr>
            </w:pPr>
          </w:p>
        </w:tc>
        <w:tc>
          <w:tcPr>
            <w:tcW w:w="1010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17">
              <w:r>
                <w:rPr>
                  <w:rFonts w:ascii="Arial" w:cs="Arial" w:eastAsia="Arial" w:hAnsi="Arial"/>
                  <w:sz w:val="18"/>
                  <w:szCs w:val="18"/>
                  <w:color w:val="0000FF"/>
                  <w:w w:val="90"/>
                </w:rPr>
                <w:t>Certification Pursuant to Rule 13a-14(a) and 15d-14(a) of the Exchange Act, as Adopted Pursuant to Section 302 of the Sarbanes-Oxley Act</w:t>
              </w:r>
            </w:hyperlink>
          </w:p>
        </w:tc>
        <w:tc>
          <w:tcPr>
            <w:tcW w:w="20" w:type="dxa"/>
            <w:vAlign w:val="bottom"/>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w:anchor="page117">
              <w:r>
                <w:rPr>
                  <w:rFonts w:ascii="Arial" w:cs="Arial" w:eastAsia="Arial" w:hAnsi="Arial"/>
                  <w:sz w:val="18"/>
                  <w:szCs w:val="18"/>
                  <w:color w:val="0000FF"/>
                  <w:w w:val="94"/>
                </w:rPr>
                <w:t>of 2002 (Chief Financial Officer).</w:t>
              </w:r>
            </w:hyperlink>
          </w:p>
        </w:tc>
        <w:tc>
          <w:tcPr>
            <w:tcW w:w="7640" w:type="dxa"/>
            <w:vAlign w:val="bottom"/>
            <w:gridSpan w:val="10"/>
          </w:tcPr>
          <w:p>
            <w:pPr>
              <w:spacing w:after="0"/>
              <w:rPr>
                <w:sz w:val="17"/>
                <w:szCs w:val="17"/>
                <w:color w:val="auto"/>
              </w:rPr>
            </w:pPr>
          </w:p>
        </w:tc>
      </w:tr>
      <w:tr>
        <w:trPr>
          <w:trHeight w:val="25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†32.1</w:t>
            </w:r>
          </w:p>
        </w:tc>
        <w:tc>
          <w:tcPr>
            <w:tcW w:w="40" w:type="dxa"/>
            <w:vAlign w:val="bottom"/>
          </w:tcPr>
          <w:p>
            <w:pPr>
              <w:spacing w:after="0"/>
              <w:rPr>
                <w:sz w:val="21"/>
                <w:szCs w:val="21"/>
                <w:color w:val="auto"/>
              </w:rPr>
            </w:pPr>
          </w:p>
        </w:tc>
        <w:tc>
          <w:tcPr>
            <w:tcW w:w="10120" w:type="dxa"/>
            <w:vAlign w:val="bottom"/>
            <w:gridSpan w:val="12"/>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Certification Pursuant to 18 U.S.C. Section 1350 (Chief Executive Officer)</w:t>
              </w:r>
            </w:hyperlink>
            <w:r>
              <w:rPr>
                <w:rFonts w:ascii="Arial" w:cs="Arial" w:eastAsia="Arial" w:hAnsi="Arial"/>
                <w:sz w:val="18"/>
                <w:szCs w:val="18"/>
                <w:color w:val="000000"/>
              </w:rPr>
              <w:t>.</w:t>
            </w:r>
          </w:p>
        </w:tc>
      </w:tr>
      <w:tr>
        <w:trPr>
          <w:trHeight w:val="25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†32.2</w:t>
            </w:r>
          </w:p>
        </w:tc>
        <w:tc>
          <w:tcPr>
            <w:tcW w:w="40" w:type="dxa"/>
            <w:vAlign w:val="bottom"/>
          </w:tcPr>
          <w:p>
            <w:pPr>
              <w:spacing w:after="0"/>
              <w:rPr>
                <w:sz w:val="21"/>
                <w:szCs w:val="21"/>
                <w:color w:val="auto"/>
              </w:rPr>
            </w:pPr>
          </w:p>
        </w:tc>
        <w:tc>
          <w:tcPr>
            <w:tcW w:w="5400" w:type="dxa"/>
            <w:vAlign w:val="bottom"/>
            <w:tcBorders>
              <w:top w:val="single" w:sz="8" w:color="0000FF"/>
            </w:tcBorders>
            <w:gridSpan w:val="5"/>
          </w:tcPr>
          <w:p>
            <w:pPr>
              <w:spacing w:after="0"/>
              <w:rPr>
                <w:rFonts w:ascii="Arial" w:cs="Arial" w:eastAsia="Arial" w:hAnsi="Arial"/>
                <w:sz w:val="18"/>
                <w:szCs w:val="18"/>
                <w:color w:val="0000FF"/>
                <w:w w:val="92"/>
              </w:rPr>
            </w:pPr>
            <w:hyperlink w:anchor="page119">
              <w:r>
                <w:rPr>
                  <w:rFonts w:ascii="Arial" w:cs="Arial" w:eastAsia="Arial" w:hAnsi="Arial"/>
                  <w:sz w:val="18"/>
                  <w:szCs w:val="18"/>
                  <w:color w:val="0000FF"/>
                  <w:w w:val="92"/>
                </w:rPr>
                <w:t>Certification Pursuant to 18 U.S.C. Section 1350 (Chief Financial Officer)</w:t>
              </w:r>
            </w:hyperlink>
            <w:r>
              <w:rPr>
                <w:rFonts w:ascii="Arial" w:cs="Arial" w:eastAsia="Arial" w:hAnsi="Arial"/>
                <w:sz w:val="18"/>
                <w:szCs w:val="18"/>
                <w:color w:val="000000"/>
                <w:w w:val="92"/>
              </w:rPr>
              <w:t>.</w:t>
            </w:r>
          </w:p>
        </w:tc>
        <w:tc>
          <w:tcPr>
            <w:tcW w:w="4720" w:type="dxa"/>
            <w:vAlign w:val="bottom"/>
            <w:gridSpan w:val="7"/>
          </w:tcPr>
          <w:p>
            <w:pPr>
              <w:spacing w:after="0"/>
              <w:rPr>
                <w:sz w:val="21"/>
                <w:szCs w:val="21"/>
                <w:color w:val="auto"/>
              </w:rPr>
            </w:pPr>
          </w:p>
        </w:tc>
      </w:tr>
      <w:tr>
        <w:trPr>
          <w:trHeight w:val="291"/>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 INS</w:t>
            </w:r>
          </w:p>
        </w:tc>
        <w:tc>
          <w:tcPr>
            <w:tcW w:w="40" w:type="dxa"/>
            <w:vAlign w:val="bottom"/>
          </w:tcPr>
          <w:p>
            <w:pPr>
              <w:spacing w:after="0"/>
              <w:rPr>
                <w:sz w:val="24"/>
                <w:szCs w:val="24"/>
                <w:color w:val="auto"/>
              </w:rPr>
            </w:pPr>
          </w:p>
        </w:tc>
        <w:tc>
          <w:tcPr>
            <w:tcW w:w="53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4780" w:type="dxa"/>
            <w:vAlign w:val="bottom"/>
            <w:gridSpan w:val="8"/>
          </w:tcPr>
          <w:p>
            <w:pPr>
              <w:spacing w:after="0"/>
              <w:rPr>
                <w:sz w:val="24"/>
                <w:szCs w:val="24"/>
                <w:color w:val="auto"/>
              </w:rPr>
            </w:pP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 SCH</w:t>
            </w:r>
          </w:p>
        </w:tc>
        <w:tc>
          <w:tcPr>
            <w:tcW w:w="40" w:type="dxa"/>
            <w:vAlign w:val="bottom"/>
          </w:tcPr>
          <w:p>
            <w:pPr>
              <w:spacing w:after="0"/>
              <w:rPr>
                <w:sz w:val="23"/>
                <w:szCs w:val="23"/>
                <w:color w:val="auto"/>
              </w:rPr>
            </w:pPr>
          </w:p>
        </w:tc>
        <w:tc>
          <w:tcPr>
            <w:tcW w:w="10120" w:type="dxa"/>
            <w:vAlign w:val="bottom"/>
            <w:gridSpan w:val="12"/>
          </w:tcPr>
          <w:p>
            <w:pPr>
              <w:spacing w:after="0"/>
              <w:rPr>
                <w:sz w:val="20"/>
                <w:szCs w:val="20"/>
                <w:color w:val="auto"/>
              </w:rPr>
            </w:pPr>
            <w:r>
              <w:rPr>
                <w:rFonts w:ascii="Arial" w:cs="Arial" w:eastAsia="Arial" w:hAnsi="Arial"/>
                <w:sz w:val="18"/>
                <w:szCs w:val="18"/>
                <w:color w:val="auto"/>
              </w:rPr>
              <w:t>XBRL Schema Document.</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 CAL</w:t>
            </w:r>
          </w:p>
        </w:tc>
        <w:tc>
          <w:tcPr>
            <w:tcW w:w="40" w:type="dxa"/>
            <w:vAlign w:val="bottom"/>
          </w:tcPr>
          <w:p>
            <w:pPr>
              <w:spacing w:after="0"/>
              <w:rPr>
                <w:sz w:val="23"/>
                <w:szCs w:val="23"/>
                <w:color w:val="auto"/>
              </w:rPr>
            </w:pPr>
          </w:p>
        </w:tc>
        <w:tc>
          <w:tcPr>
            <w:tcW w:w="10120" w:type="dxa"/>
            <w:vAlign w:val="bottom"/>
            <w:gridSpan w:val="12"/>
          </w:tcPr>
          <w:p>
            <w:pPr>
              <w:spacing w:after="0"/>
              <w:rPr>
                <w:sz w:val="20"/>
                <w:szCs w:val="20"/>
                <w:color w:val="auto"/>
              </w:rPr>
            </w:pPr>
            <w:r>
              <w:rPr>
                <w:rFonts w:ascii="Arial" w:cs="Arial" w:eastAsia="Arial" w:hAnsi="Arial"/>
                <w:sz w:val="18"/>
                <w:szCs w:val="18"/>
                <w:color w:val="auto"/>
              </w:rPr>
              <w:t>XBRL Calculation Linkbase Document.</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 LAB</w:t>
            </w:r>
          </w:p>
        </w:tc>
        <w:tc>
          <w:tcPr>
            <w:tcW w:w="40" w:type="dxa"/>
            <w:vAlign w:val="bottom"/>
          </w:tcPr>
          <w:p>
            <w:pPr>
              <w:spacing w:after="0"/>
              <w:rPr>
                <w:sz w:val="23"/>
                <w:szCs w:val="23"/>
                <w:color w:val="auto"/>
              </w:rPr>
            </w:pPr>
          </w:p>
        </w:tc>
        <w:tc>
          <w:tcPr>
            <w:tcW w:w="10120" w:type="dxa"/>
            <w:vAlign w:val="bottom"/>
            <w:gridSpan w:val="12"/>
          </w:tcPr>
          <w:p>
            <w:pPr>
              <w:spacing w:after="0"/>
              <w:rPr>
                <w:sz w:val="20"/>
                <w:szCs w:val="20"/>
                <w:color w:val="auto"/>
              </w:rPr>
            </w:pPr>
            <w:r>
              <w:rPr>
                <w:rFonts w:ascii="Arial" w:cs="Arial" w:eastAsia="Arial" w:hAnsi="Arial"/>
                <w:sz w:val="18"/>
                <w:szCs w:val="18"/>
                <w:color w:val="auto"/>
              </w:rPr>
              <w:t>XBRL Labels Linkbase Document.</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 PRE</w:t>
            </w:r>
          </w:p>
        </w:tc>
        <w:tc>
          <w:tcPr>
            <w:tcW w:w="40" w:type="dxa"/>
            <w:vAlign w:val="bottom"/>
          </w:tcPr>
          <w:p>
            <w:pPr>
              <w:spacing w:after="0"/>
              <w:rPr>
                <w:sz w:val="23"/>
                <w:szCs w:val="23"/>
                <w:color w:val="auto"/>
              </w:rPr>
            </w:pPr>
          </w:p>
        </w:tc>
        <w:tc>
          <w:tcPr>
            <w:tcW w:w="10120" w:type="dxa"/>
            <w:vAlign w:val="bottom"/>
            <w:gridSpan w:val="12"/>
          </w:tcPr>
          <w:p>
            <w:pPr>
              <w:spacing w:after="0"/>
              <w:rPr>
                <w:sz w:val="20"/>
                <w:szCs w:val="20"/>
                <w:color w:val="auto"/>
              </w:rPr>
            </w:pPr>
            <w:r>
              <w:rPr>
                <w:rFonts w:ascii="Arial" w:cs="Arial" w:eastAsia="Arial" w:hAnsi="Arial"/>
                <w:sz w:val="18"/>
                <w:szCs w:val="18"/>
                <w:color w:val="auto"/>
              </w:rPr>
              <w:t>XBRL Presentation Linkbase Document.</w:t>
            </w:r>
          </w:p>
        </w:tc>
      </w:tr>
      <w:tr>
        <w:trPr>
          <w:trHeight w:val="270"/>
        </w:trPr>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 DEF</w:t>
            </w:r>
          </w:p>
        </w:tc>
        <w:tc>
          <w:tcPr>
            <w:tcW w:w="40" w:type="dxa"/>
            <w:vAlign w:val="bottom"/>
          </w:tcPr>
          <w:p>
            <w:pPr>
              <w:spacing w:after="0"/>
              <w:rPr>
                <w:sz w:val="23"/>
                <w:szCs w:val="23"/>
                <w:color w:val="auto"/>
              </w:rPr>
            </w:pPr>
          </w:p>
        </w:tc>
        <w:tc>
          <w:tcPr>
            <w:tcW w:w="10120" w:type="dxa"/>
            <w:vAlign w:val="bottom"/>
            <w:gridSpan w:val="12"/>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68" w:lineRule="exact"/>
        <w:rPr>
          <w:sz w:val="20"/>
          <w:szCs w:val="20"/>
          <w:color w:val="auto"/>
        </w:rPr>
      </w:pPr>
    </w:p>
    <w:p>
      <w:pPr>
        <w:ind w:left="620" w:hanging="585"/>
        <w:spacing w:after="0"/>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80" w:hanging="545"/>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Management contracts and compensatory plan or arrangements required to be filed as an Exhibit pursuant to Item 15(b) of Form 10-K.</w:t>
      </w:r>
    </w:p>
    <w:p>
      <w:pPr>
        <w:spacing w:after="0" w:line="158" w:lineRule="exact"/>
        <w:rPr>
          <w:sz w:val="20"/>
          <w:szCs w:val="20"/>
          <w:color w:val="auto"/>
        </w:rPr>
      </w:pPr>
    </w:p>
    <w:p>
      <w:pPr>
        <w:ind w:right="140" w:firstLine="432"/>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Consolidated Statements of Income for the years ended November 3, 2018, October 28, 2017 and October 29, 2016, (ii) Consolidated Balance Sheets as of November 3, 2018 and October 28, 2017, (iii) Consolidated Statements of Shareholders’ Equity for the years ended November 3, 2018, October 28, 2017 and October 29, 2016,</w:t>
      </w:r>
    </w:p>
    <w:p>
      <w:pPr>
        <w:ind w:right="240" w:firstLine="8"/>
        <w:spacing w:after="0" w:line="255" w:lineRule="auto"/>
        <w:tabs>
          <w:tab w:leader="none" w:pos="3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November 3, 2018, October 28, 2017 and October 29, 2016, (v) Consolidated Statements of Cash Flows for the years ended November 3, 2018, October 28, 2017 and October 29, 2016, (vi) Notes to Consolidated Financial Statements for the years ended November 3, 2018, October 28, 2017 and October 29, 2016.</w:t>
      </w:r>
    </w:p>
    <w:p>
      <w:pPr>
        <w:sectPr>
          <w:pgSz w:w="11900" w:h="16838" w:orient="portrait"/>
          <w:cols w:equalWidth="0" w:num="1">
            <w:col w:w="11420"/>
          </w:cols>
          <w:pgMar w:left="240" w:top="806" w:right="2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NOVEMBER 3, 2018</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 SCHEDULE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9019"/>
          </w:cols>
          <w:pgMar w:left="1440" w:top="1440"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3, 2018, October 28, 2017 and October 29, 2016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Additions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Balance at Beginning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(Reductions)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Charged to Income</w:t>
            </w:r>
          </w:p>
        </w:tc>
        <w:tc>
          <w:tcPr>
            <w:tcW w:w="300" w:type="dxa"/>
            <w:vAlign w:val="bottom"/>
          </w:tcPr>
          <w:p>
            <w:pPr>
              <w:spacing w:after="0"/>
              <w:rPr>
                <w:sz w:val="12"/>
                <w:szCs w:val="12"/>
                <w:color w:val="auto"/>
              </w:rPr>
            </w:pPr>
          </w:p>
        </w:tc>
        <w:tc>
          <w:tcPr>
            <w:tcW w:w="10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9"/>
              </w:rPr>
              <w:t>Deductions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of Period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1"/>
              </w:rPr>
              <w:t>Statement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End of Period</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Accounts Receivable Reserves and Allowances: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October 29, 2016</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Year ended October 28, 2017</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5,117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12,284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10,188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51"/>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November 3, 2018</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7,213</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2,313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Valuation Reserve for Deferred Tax Asset: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October 29, 2016</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52,675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13,658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67,094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Year ended October 28, 2017</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67,094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5,529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53,787</w:t>
            </w:r>
          </w:p>
        </w:tc>
        <w:tc>
          <w:tcPr>
            <w:tcW w:w="0" w:type="dxa"/>
            <w:vAlign w:val="bottom"/>
          </w:tcPr>
          <w:p>
            <w:pPr>
              <w:spacing w:after="0"/>
              <w:rPr>
                <w:sz w:val="1"/>
                <w:szCs w:val="1"/>
                <w:color w:val="auto"/>
              </w:rPr>
            </w:pPr>
          </w:p>
        </w:tc>
      </w:tr>
      <w:tr>
        <w:trPr>
          <w:trHeight w:val="251"/>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November 3, 2018</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53,787</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30,254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82,280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98</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0" w:name="page101"/>
    <w:bookmarkEnd w:id="100"/>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219"/>
          </w:cols>
          <w:pgMar w:left="240" w:top="580" w:right="1440"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ANALOG DEVICES, INC.</w:t>
      </w:r>
    </w:p>
    <w:p>
      <w:pPr>
        <w:spacing w:after="0" w:line="185" w:lineRule="exact"/>
        <w:rPr>
          <w:sz w:val="20"/>
          <w:szCs w:val="20"/>
          <w:color w:val="auto"/>
        </w:rPr>
      </w:pPr>
    </w:p>
    <w:p>
      <w:pPr>
        <w:ind w:left="552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31750</wp:posOffset>
            </wp:positionV>
            <wp:extent cx="3439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Vincent Roche</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27, 2018</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918" w:right="299" w:bottom="1440" w:gutter="0" w:footer="0" w:header="0"/>
        </w:sectPr>
      </w:pPr>
    </w:p>
    <w:bookmarkStart w:id="102" w:name="page103"/>
    <w:bookmarkEnd w:id="102"/>
    <w:p>
      <w:pPr>
        <w:ind w:right="66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spacing w:after="0"/>
              <w:rPr>
                <w:sz w:val="16"/>
                <w:szCs w:val="16"/>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46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59"/>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Ray Stata</w:t>
            </w:r>
          </w:p>
        </w:tc>
        <w:tc>
          <w:tcPr>
            <w:tcW w:w="460" w:type="dxa"/>
            <w:vAlign w:val="bottom"/>
          </w:tcPr>
          <w:p>
            <w:pPr>
              <w:spacing w:after="0"/>
              <w:rPr>
                <w:sz w:val="24"/>
                <w:szCs w:val="24"/>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Chairman of the Board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27, 2018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Ray Stata</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Vincent Roche</w:t>
            </w:r>
          </w:p>
        </w:tc>
        <w:tc>
          <w:tcPr>
            <w:tcW w:w="460" w:type="dxa"/>
            <w:vAlign w:val="bottom"/>
          </w:tcPr>
          <w:p>
            <w:pPr>
              <w:spacing w:after="0"/>
              <w:rPr>
                <w:sz w:val="24"/>
                <w:szCs w:val="24"/>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President and Chief Executive Officer and 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27, 2018</w:t>
            </w:r>
          </w:p>
        </w:tc>
        <w:tc>
          <w:tcPr>
            <w:tcW w:w="0" w:type="dxa"/>
            <w:vAlign w:val="bottom"/>
          </w:tcPr>
          <w:p>
            <w:pPr>
              <w:spacing w:after="0"/>
              <w:rPr>
                <w:sz w:val="1"/>
                <w:szCs w:val="1"/>
                <w:color w:val="auto"/>
              </w:rPr>
            </w:pPr>
          </w:p>
        </w:tc>
      </w:tr>
      <w:tr>
        <w:trPr>
          <w:trHeight w:val="41"/>
        </w:trPr>
        <w:tc>
          <w:tcPr>
            <w:tcW w:w="4800" w:type="dxa"/>
            <w:vAlign w:val="bottom"/>
            <w:tcBorders>
              <w:bottom w:val="single" w:sz="8" w:color="auto"/>
            </w:tcBorders>
          </w:tcPr>
          <w:p>
            <w:pPr>
              <w:spacing w:after="0"/>
              <w:rPr>
                <w:sz w:val="3"/>
                <w:szCs w:val="3"/>
                <w:color w:val="auto"/>
              </w:rPr>
            </w:pPr>
          </w:p>
        </w:tc>
        <w:tc>
          <w:tcPr>
            <w:tcW w:w="460" w:type="dxa"/>
            <w:vAlign w:val="bottom"/>
            <w:vMerge w:val="restart"/>
          </w:tcPr>
          <w:p>
            <w:pPr>
              <w:spacing w:after="0"/>
              <w:rPr>
                <w:sz w:val="3"/>
                <w:szCs w:val="3"/>
                <w:color w:val="auto"/>
              </w:rPr>
            </w:pPr>
          </w:p>
        </w:tc>
        <w:tc>
          <w:tcPr>
            <w:tcW w:w="422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4"/>
              </w:rPr>
              <w:t>(Principal Executive Officer)</w:t>
            </w: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0"/>
              </w:rPr>
              <w:t>Vincent Roche</w:t>
            </w:r>
          </w:p>
        </w:tc>
        <w:tc>
          <w:tcPr>
            <w:tcW w:w="460" w:type="dxa"/>
            <w:vAlign w:val="bottom"/>
            <w:vMerge w:val="continue"/>
          </w:tcPr>
          <w:p>
            <w:pPr>
              <w:spacing w:after="0"/>
              <w:rPr>
                <w:sz w:val="14"/>
                <w:szCs w:val="14"/>
                <w:color w:val="auto"/>
              </w:rPr>
            </w:pPr>
          </w:p>
        </w:tc>
        <w:tc>
          <w:tcPr>
            <w:tcW w:w="422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8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0"/>
              </w:rPr>
              <w:t>/s/ Prashanth Mahendra-Rajah</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Senior Vice President, Finance and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27, 2018</w:t>
            </w:r>
          </w:p>
        </w:tc>
        <w:tc>
          <w:tcPr>
            <w:tcW w:w="0" w:type="dxa"/>
            <w:vAlign w:val="bottom"/>
          </w:tcPr>
          <w:p>
            <w:pPr>
              <w:spacing w:after="0"/>
              <w:rPr>
                <w:sz w:val="1"/>
                <w:szCs w:val="1"/>
                <w:color w:val="auto"/>
              </w:rPr>
            </w:pPr>
          </w:p>
        </w:tc>
      </w:tr>
      <w:tr>
        <w:trPr>
          <w:trHeight w:val="82"/>
        </w:trPr>
        <w:tc>
          <w:tcPr>
            <w:tcW w:w="48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22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vMerge w:val="restart"/>
          </w:tcPr>
          <w:p>
            <w:pPr>
              <w:spacing w:after="0"/>
              <w:rPr>
                <w:sz w:val="2"/>
                <w:szCs w:val="2"/>
                <w:color w:val="auto"/>
              </w:rPr>
            </w:pPr>
          </w:p>
        </w:tc>
        <w:tc>
          <w:tcPr>
            <w:tcW w:w="4220" w:type="dxa"/>
            <w:vAlign w:val="bottom"/>
            <w:gridSpan w:val="2"/>
            <w:vMerge w:val="continue"/>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8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220" w:type="dxa"/>
            <w:vAlign w:val="bottom"/>
            <w:gridSpan w:val="2"/>
            <w:vMerge w:val="continue"/>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88"/>
              </w:rPr>
              <w:t>Prashanth Mahendra-Rajah</w:t>
            </w:r>
          </w:p>
        </w:tc>
        <w:tc>
          <w:tcPr>
            <w:tcW w:w="460" w:type="dxa"/>
            <w:vAlign w:val="bottom"/>
          </w:tcPr>
          <w:p>
            <w:pPr>
              <w:spacing w:after="0"/>
              <w:rPr>
                <w:sz w:val="20"/>
                <w:szCs w:val="20"/>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(Principal Financial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4"/>
              </w:rPr>
              <w:t>/s/ Eileen Wynne</w:t>
            </w:r>
          </w:p>
        </w:tc>
        <w:tc>
          <w:tcPr>
            <w:tcW w:w="460" w:type="dxa"/>
            <w:vAlign w:val="bottom"/>
          </w:tcPr>
          <w:p>
            <w:pPr>
              <w:spacing w:after="0"/>
              <w:rPr>
                <w:sz w:val="24"/>
                <w:szCs w:val="24"/>
                <w:color w:val="auto"/>
              </w:rPr>
            </w:pPr>
          </w:p>
        </w:tc>
        <w:tc>
          <w:tcPr>
            <w:tcW w:w="422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2"/>
              </w:rPr>
              <w:t>Vice President and Chief Accounting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27, 2018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220" w:type="dxa"/>
            <w:vAlign w:val="bottom"/>
            <w:gridSpan w:val="2"/>
            <w:vMerge w:val="continue"/>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Eileen Wynne</w:t>
            </w:r>
          </w:p>
        </w:tc>
        <w:tc>
          <w:tcPr>
            <w:tcW w:w="460" w:type="dxa"/>
            <w:vAlign w:val="bottom"/>
          </w:tcPr>
          <w:p>
            <w:pPr>
              <w:spacing w:after="0"/>
              <w:rPr>
                <w:sz w:val="20"/>
                <w:szCs w:val="20"/>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(Principal Accounting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2"/>
              </w:rPr>
              <w:t>/s/ James A. Champy</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27, 2018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James A. Champy</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2"/>
              </w:rPr>
              <w:t>/s/ Bruce R. Evans</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27, 2018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Bruce R. Evans</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4"/>
              </w:rPr>
              <w:t>/s/ Edward H. Frank</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27, 2018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Edward H. Frank</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6"/>
              </w:rPr>
              <w:t>/s/ Karen Golz</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27, 2018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3"/>
              </w:rPr>
              <w:t>Karen Golz</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rPr>
              <w:t>/s/ Mark M. Little</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27, 2018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9"/>
              </w:rPr>
              <w:t>Mark M. Little</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9"/>
              </w:rPr>
              <w:t>/s/ Neil Novich</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27, 2018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6"/>
              </w:rPr>
              <w:t>Neil Novich</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Kenton J. Sicchitano</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27, 2018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Kenton J. Sicchitano</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5"/>
              </w:rPr>
              <w:t>/s/ Lisa T. Su</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27, 2018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Lisa T. Su</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8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10.19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2019 Executive Performance Incentive Plan</w:t>
      </w:r>
    </w:p>
    <w:p>
      <w:pPr>
        <w:spacing w:after="0" w:line="235" w:lineRule="exact"/>
        <w:rPr>
          <w:sz w:val="20"/>
          <w:szCs w:val="20"/>
          <w:color w:val="auto"/>
        </w:rPr>
      </w:pPr>
    </w:p>
    <w:p>
      <w:pPr>
        <w:ind w:right="20" w:firstLine="878"/>
        <w:spacing w:after="0" w:line="263" w:lineRule="auto"/>
        <w:rPr>
          <w:sz w:val="20"/>
          <w:szCs w:val="20"/>
          <w:color w:val="auto"/>
        </w:rPr>
      </w:pPr>
      <w:r>
        <w:rPr>
          <w:rFonts w:ascii="Arial" w:cs="Arial" w:eastAsia="Arial" w:hAnsi="Arial"/>
          <w:sz w:val="19"/>
          <w:szCs w:val="19"/>
          <w:color w:val="auto"/>
        </w:rPr>
        <w:t>On September 11, 2018, the Compensation Committee of the Board of Directors of Analog Devices, Inc. (the “Company”) approved the terms of the 2019 Executive Performance Incentive Plan (the “2019 Executive Performance Incentive Plan”). All executive officers and other senior management selected by the Chief Executive Officer will participate in the 2019 Executive Performance Incentive Plan. Bonus payments under the 2019 Executive Performance Incentive Plan are calculated and paid as follows:</w:t>
      </w:r>
    </w:p>
    <w:p>
      <w:pPr>
        <w:spacing w:after="0" w:line="190" w:lineRule="exact"/>
        <w:rPr>
          <w:sz w:val="20"/>
          <w:szCs w:val="20"/>
          <w:color w:val="auto"/>
        </w:rPr>
      </w:pPr>
    </w:p>
    <w:p>
      <w:pPr>
        <w:ind w:left="620" w:hanging="207"/>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participant’s Bonus Target is obtained by multiplying his or her Base Salary by his or her Individual Target Bonus Percentage:</w:t>
      </w:r>
    </w:p>
    <w:p>
      <w:pPr>
        <w:spacing w:after="0" w:line="263" w:lineRule="exact"/>
        <w:rPr>
          <w:rFonts w:ascii="Arial" w:cs="Arial" w:eastAsia="Arial" w:hAnsi="Arial"/>
          <w:sz w:val="18"/>
          <w:szCs w:val="18"/>
          <w:color w:val="auto"/>
        </w:rPr>
      </w:pPr>
    </w:p>
    <w:p>
      <w:pPr>
        <w:ind w:left="1100" w:hanging="322"/>
        <w:spacing w:after="0"/>
        <w:tabs>
          <w:tab w:leader="none" w:pos="1100" w:val="left"/>
        </w:tabs>
        <w:numPr>
          <w:ilvl w:val="1"/>
          <w:numId w:val="69"/>
        </w:numPr>
        <w:rPr>
          <w:rFonts w:ascii="Arial" w:cs="Arial" w:eastAsia="Arial" w:hAnsi="Arial"/>
          <w:sz w:val="22"/>
          <w:szCs w:val="22"/>
          <w:color w:val="auto"/>
        </w:rPr>
      </w:pPr>
      <w:r>
        <w:rPr>
          <w:rFonts w:ascii="Arial" w:cs="Arial" w:eastAsia="Arial" w:hAnsi="Arial"/>
          <w:sz w:val="20"/>
          <w:szCs w:val="20"/>
          <w:color w:val="auto"/>
        </w:rPr>
        <w:t>Base Salary – the individual’s base pay during the applicable bonus period.</w:t>
      </w:r>
    </w:p>
    <w:p>
      <w:pPr>
        <w:spacing w:after="0" w:line="235" w:lineRule="exact"/>
        <w:rPr>
          <w:rFonts w:ascii="Arial" w:cs="Arial" w:eastAsia="Arial" w:hAnsi="Arial"/>
          <w:sz w:val="22"/>
          <w:szCs w:val="22"/>
          <w:color w:val="auto"/>
        </w:rPr>
      </w:pPr>
    </w:p>
    <w:p>
      <w:pPr>
        <w:ind w:left="1100" w:right="140" w:hanging="322"/>
        <w:spacing w:after="0" w:line="265" w:lineRule="auto"/>
        <w:tabs>
          <w:tab w:leader="none" w:pos="1100" w:val="left"/>
        </w:tabs>
        <w:numPr>
          <w:ilvl w:val="1"/>
          <w:numId w:val="69"/>
        </w:numPr>
        <w:rPr>
          <w:rFonts w:ascii="Arial" w:cs="Arial" w:eastAsia="Arial" w:hAnsi="Arial"/>
          <w:sz w:val="22"/>
          <w:szCs w:val="22"/>
          <w:color w:val="auto"/>
        </w:rPr>
      </w:pPr>
      <w:r>
        <w:rPr>
          <w:rFonts w:ascii="Arial" w:cs="Arial" w:eastAsia="Arial" w:hAnsi="Arial"/>
          <w:sz w:val="20"/>
          <w:szCs w:val="20"/>
          <w:color w:val="auto"/>
        </w:rPr>
        <w:t>Individual Target Bonus Percentage — a percentage of the individual’s Base Salary, determined individually for each participant by the Compensation Committee and ranging from 50% to 160%.</w:t>
      </w:r>
    </w:p>
    <w:p>
      <w:pPr>
        <w:spacing w:after="0" w:line="223" w:lineRule="exact"/>
        <w:rPr>
          <w:rFonts w:ascii="Arial" w:cs="Arial" w:eastAsia="Arial" w:hAnsi="Arial"/>
          <w:sz w:val="22"/>
          <w:szCs w:val="22"/>
          <w:color w:val="auto"/>
        </w:rPr>
      </w:pPr>
    </w:p>
    <w:p>
      <w:pPr>
        <w:ind w:right="140" w:firstLine="413"/>
        <w:spacing w:after="0" w:line="248" w:lineRule="auto"/>
        <w:tabs>
          <w:tab w:leader="none" w:pos="603" w:val="left"/>
        </w:tabs>
        <w:numPr>
          <w:ilvl w:val="0"/>
          <w:numId w:val="69"/>
        </w:numPr>
        <w:rPr>
          <w:rFonts w:ascii="Arial" w:cs="Arial" w:eastAsia="Arial" w:hAnsi="Arial"/>
          <w:sz w:val="19"/>
          <w:szCs w:val="19"/>
          <w:color w:val="auto"/>
        </w:rPr>
      </w:pPr>
      <w:r>
        <w:rPr>
          <w:rFonts w:ascii="Arial" w:cs="Arial" w:eastAsia="Arial" w:hAnsi="Arial"/>
          <w:sz w:val="19"/>
          <w:szCs w:val="19"/>
          <w:color w:val="auto"/>
        </w:rPr>
        <w:t>Each participant’s Bonus Target is then multiplied by the Bonus Payout Factor. The Bonus Payout Factor is equal to (A) 50% of the Bonus Payout Factor (as shown in the table below) based on the Company’s operating profit before tax (OPBT) as a percentage of revenue for the applicable quarter plus (B) 50% of the Bonus Payout Factor (as shown in the table below) based on the Company’s revenue growth for the applicable quarter compared to the same quarter in the prior fiscal year.</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For purposes of the 2019 Executive Performance Incentive Plan, revenue and OPBT as a percentage of revenue will be measured on a sell-through basis (commonly referred to as POS). The calculations of revenue growth and OPBT as a percentage of revenue are adjustable by the Compensation Committee in its sole discretion to take account of special items, including but not limited to: restructuring-related expense, acquisition- or disposition-related items, non-recurring royalty payments or receipts, and other similar non-cash or non-recurring items. If OPBT is equal to or less than 36% of revenue for the applicable quarter, the Bonus Payout Factor shall be zero for that quarter, even if the Company has revenue growth for that quarter. The Bonus Payout Factor can range from 0% to 300%.</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following Bonus Payout Factor tables apply under the 2019 Executive Performance Incentive Plan:</w:t>
      </w:r>
    </w:p>
    <w:p>
      <w:pPr>
        <w:spacing w:after="0" w:line="391"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3020" w:type="dxa"/>
            <w:vAlign w:val="bottom"/>
          </w:tcPr>
          <w:p>
            <w:pPr>
              <w:jc w:val="center"/>
              <w:spacing w:after="0"/>
              <w:rPr>
                <w:sz w:val="20"/>
                <w:szCs w:val="20"/>
                <w:color w:val="auto"/>
              </w:rPr>
            </w:pPr>
            <w:r>
              <w:rPr>
                <w:rFonts w:ascii="Arial" w:cs="Arial" w:eastAsia="Arial" w:hAnsi="Arial"/>
                <w:sz w:val="20"/>
                <w:szCs w:val="20"/>
                <w:color w:val="auto"/>
                <w:w w:val="89"/>
              </w:rPr>
              <w:t>50% of Bonus Based on</w:t>
            </w:r>
          </w:p>
        </w:tc>
        <w:tc>
          <w:tcPr>
            <w:tcW w:w="128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50"/>
        </w:trPr>
        <w:tc>
          <w:tcPr>
            <w:tcW w:w="3020" w:type="dxa"/>
            <w:vAlign w:val="bottom"/>
          </w:tcPr>
          <w:p>
            <w:pPr>
              <w:jc w:val="center"/>
              <w:spacing w:after="0"/>
              <w:rPr>
                <w:sz w:val="20"/>
                <w:szCs w:val="20"/>
                <w:color w:val="auto"/>
              </w:rPr>
            </w:pPr>
            <w:r>
              <w:rPr>
                <w:rFonts w:ascii="Arial" w:cs="Arial" w:eastAsia="Arial" w:hAnsi="Arial"/>
                <w:sz w:val="20"/>
                <w:szCs w:val="20"/>
                <w:color w:val="auto"/>
                <w:w w:val="88"/>
              </w:rPr>
              <w:t>OPBT/Revenue</w:t>
            </w:r>
          </w:p>
        </w:tc>
        <w:tc>
          <w:tcPr>
            <w:tcW w:w="1280" w:type="dxa"/>
            <w:vAlign w:val="bottom"/>
          </w:tcPr>
          <w:p>
            <w:pPr>
              <w:spacing w:after="0"/>
              <w:rPr>
                <w:sz w:val="21"/>
                <w:szCs w:val="21"/>
                <w:color w:val="auto"/>
              </w:rPr>
            </w:pPr>
          </w:p>
        </w:tc>
        <w:tc>
          <w:tcPr>
            <w:tcW w:w="3020" w:type="dxa"/>
            <w:vAlign w:val="bottom"/>
          </w:tcPr>
          <w:p>
            <w:pPr>
              <w:ind w:left="680"/>
              <w:spacing w:after="0"/>
              <w:rPr>
                <w:sz w:val="20"/>
                <w:szCs w:val="20"/>
                <w:color w:val="auto"/>
              </w:rPr>
            </w:pPr>
            <w:r>
              <w:rPr>
                <w:rFonts w:ascii="Arial" w:cs="Arial" w:eastAsia="Arial" w:hAnsi="Arial"/>
                <w:sz w:val="20"/>
                <w:szCs w:val="20"/>
                <w:color w:val="auto"/>
              </w:rPr>
              <w:t>Bonus Payout Factor</w:t>
            </w:r>
          </w:p>
        </w:tc>
      </w:tr>
      <w:tr>
        <w:trPr>
          <w:trHeight w:val="23"/>
        </w:trPr>
        <w:tc>
          <w:tcPr>
            <w:tcW w:w="302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311"/>
        </w:trPr>
        <w:tc>
          <w:tcPr>
            <w:tcW w:w="3020" w:type="dxa"/>
            <w:vAlign w:val="bottom"/>
            <w:tcBorders>
              <w:bottom w:val="single" w:sz="8" w:color="CCEEFF"/>
            </w:tcBorders>
            <w:shd w:val="clear" w:color="auto" w:fill="CCEEFF"/>
          </w:tcPr>
          <w:p>
            <w:pPr>
              <w:jc w:val="center"/>
              <w:ind w:left="61"/>
              <w:spacing w:after="0"/>
              <w:rPr>
                <w:sz w:val="20"/>
                <w:szCs w:val="20"/>
                <w:color w:val="auto"/>
              </w:rPr>
            </w:pPr>
            <w:r>
              <w:rPr>
                <w:rFonts w:ascii="Arial" w:cs="Arial" w:eastAsia="Arial" w:hAnsi="Arial"/>
                <w:sz w:val="20"/>
                <w:szCs w:val="20"/>
                <w:color w:val="auto"/>
                <w:w w:val="90"/>
              </w:rPr>
              <w:t>≤36%</w:t>
            </w:r>
          </w:p>
        </w:tc>
        <w:tc>
          <w:tcPr>
            <w:tcW w:w="1280" w:type="dxa"/>
            <w:vAlign w:val="bottom"/>
          </w:tcPr>
          <w:p>
            <w:pPr>
              <w:spacing w:after="0"/>
              <w:rPr>
                <w:sz w:val="24"/>
                <w:szCs w:val="24"/>
                <w:color w:val="auto"/>
              </w:rPr>
            </w:pP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0%</w:t>
            </w:r>
          </w:p>
        </w:tc>
      </w:tr>
      <w:tr>
        <w:trPr>
          <w:trHeight w:val="315"/>
        </w:trPr>
        <w:tc>
          <w:tcPr>
            <w:tcW w:w="3020" w:type="dxa"/>
            <w:vAlign w:val="bottom"/>
          </w:tcPr>
          <w:p>
            <w:pPr>
              <w:jc w:val="center"/>
              <w:ind w:left="81"/>
              <w:spacing w:after="0"/>
              <w:rPr>
                <w:sz w:val="20"/>
                <w:szCs w:val="20"/>
                <w:color w:val="auto"/>
              </w:rPr>
            </w:pPr>
            <w:r>
              <w:rPr>
                <w:rFonts w:ascii="Arial" w:cs="Arial" w:eastAsia="Arial" w:hAnsi="Arial"/>
                <w:sz w:val="20"/>
                <w:szCs w:val="20"/>
                <w:color w:val="auto"/>
                <w:w w:val="89"/>
              </w:rPr>
              <w:t>39%</w:t>
            </w:r>
          </w:p>
        </w:tc>
        <w:tc>
          <w:tcPr>
            <w:tcW w:w="4300" w:type="dxa"/>
            <w:vAlign w:val="bottom"/>
            <w:gridSpan w:val="2"/>
          </w:tcPr>
          <w:p>
            <w:pPr>
              <w:jc w:val="center"/>
              <w:ind w:left="1181"/>
              <w:spacing w:after="0"/>
              <w:rPr>
                <w:sz w:val="20"/>
                <w:szCs w:val="20"/>
                <w:color w:val="auto"/>
              </w:rPr>
            </w:pPr>
            <w:r>
              <w:rPr>
                <w:rFonts w:ascii="Arial" w:cs="Arial" w:eastAsia="Arial" w:hAnsi="Arial"/>
                <w:sz w:val="20"/>
                <w:szCs w:val="20"/>
                <w:color w:val="auto"/>
                <w:w w:val="89"/>
              </w:rPr>
              <w:t>100%</w:t>
            </w:r>
          </w:p>
        </w:tc>
      </w:tr>
      <w:tr>
        <w:trPr>
          <w:trHeight w:val="23"/>
        </w:trPr>
        <w:tc>
          <w:tcPr>
            <w:tcW w:w="302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r>
      <w:tr>
        <w:trPr>
          <w:trHeight w:val="318"/>
        </w:trPr>
        <w:tc>
          <w:tcPr>
            <w:tcW w:w="3020" w:type="dxa"/>
            <w:vAlign w:val="bottom"/>
            <w:tcBorders>
              <w:bottom w:val="single" w:sz="8" w:color="CCEEFF"/>
            </w:tcBorders>
            <w:shd w:val="clear" w:color="auto" w:fill="CCEEFF"/>
          </w:tcPr>
          <w:p>
            <w:pPr>
              <w:jc w:val="center"/>
              <w:ind w:left="81"/>
              <w:spacing w:after="0"/>
              <w:rPr>
                <w:sz w:val="20"/>
                <w:szCs w:val="20"/>
                <w:color w:val="auto"/>
              </w:rPr>
            </w:pPr>
            <w:r>
              <w:rPr>
                <w:rFonts w:ascii="Arial" w:cs="Arial" w:eastAsia="Arial" w:hAnsi="Arial"/>
                <w:sz w:val="20"/>
                <w:szCs w:val="20"/>
                <w:color w:val="auto"/>
                <w:w w:val="89"/>
              </w:rPr>
              <w:t>42%</w:t>
            </w:r>
          </w:p>
        </w:tc>
        <w:tc>
          <w:tcPr>
            <w:tcW w:w="1280" w:type="dxa"/>
            <w:vAlign w:val="bottom"/>
          </w:tcPr>
          <w:p>
            <w:pPr>
              <w:spacing w:after="0"/>
              <w:rPr>
                <w:sz w:val="24"/>
                <w:szCs w:val="24"/>
                <w:color w:val="auto"/>
              </w:rPr>
            </w:pP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200%</w:t>
            </w:r>
          </w:p>
        </w:tc>
      </w:tr>
      <w:tr>
        <w:trPr>
          <w:trHeight w:val="315"/>
        </w:trPr>
        <w:tc>
          <w:tcPr>
            <w:tcW w:w="3020" w:type="dxa"/>
            <w:vAlign w:val="bottom"/>
          </w:tcPr>
          <w:p>
            <w:pPr>
              <w:jc w:val="center"/>
              <w:ind w:left="61"/>
              <w:spacing w:after="0"/>
              <w:rPr>
                <w:sz w:val="20"/>
                <w:szCs w:val="20"/>
                <w:color w:val="auto"/>
              </w:rPr>
            </w:pPr>
            <w:r>
              <w:rPr>
                <w:rFonts w:ascii="Arial" w:cs="Arial" w:eastAsia="Arial" w:hAnsi="Arial"/>
                <w:sz w:val="20"/>
                <w:szCs w:val="20"/>
                <w:color w:val="auto"/>
                <w:w w:val="90"/>
              </w:rPr>
              <w:t>≥45%</w:t>
            </w:r>
          </w:p>
        </w:tc>
        <w:tc>
          <w:tcPr>
            <w:tcW w:w="4300" w:type="dxa"/>
            <w:vAlign w:val="bottom"/>
            <w:gridSpan w:val="2"/>
          </w:tcPr>
          <w:p>
            <w:pPr>
              <w:jc w:val="center"/>
              <w:ind w:left="1181"/>
              <w:spacing w:after="0"/>
              <w:rPr>
                <w:sz w:val="20"/>
                <w:szCs w:val="20"/>
                <w:color w:val="auto"/>
              </w:rPr>
            </w:pPr>
            <w:r>
              <w:rPr>
                <w:rFonts w:ascii="Arial" w:cs="Arial" w:eastAsia="Arial" w:hAnsi="Arial"/>
                <w:sz w:val="20"/>
                <w:szCs w:val="20"/>
                <w:color w:val="auto"/>
                <w:w w:val="89"/>
              </w:rPr>
              <w:t>300%</w:t>
            </w:r>
          </w:p>
        </w:tc>
      </w:tr>
    </w:tbl>
    <w:p>
      <w:pPr>
        <w:sectPr>
          <w:pgSz w:w="11900" w:h="16838" w:orient="portrait"/>
          <w:cols w:equalWidth="0" w:num="1">
            <w:col w:w="11420"/>
          </w:cols>
          <w:pgMar w:left="240" w:top="337" w:right="239" w:bottom="1440" w:gutter="0" w:footer="0" w:header="0"/>
        </w:sectPr>
      </w:pPr>
    </w:p>
    <w:bookmarkStart w:id="104" w:name="page105"/>
    <w:bookmarkEnd w:id="104"/>
    <w:p>
      <w:pPr>
        <w:spacing w:after="0" w:line="1"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3020" w:type="dxa"/>
            <w:vAlign w:val="bottom"/>
          </w:tcPr>
          <w:p>
            <w:pPr>
              <w:jc w:val="center"/>
              <w:spacing w:after="0"/>
              <w:rPr>
                <w:sz w:val="20"/>
                <w:szCs w:val="20"/>
                <w:color w:val="auto"/>
              </w:rPr>
            </w:pPr>
            <w:r>
              <w:rPr>
                <w:rFonts w:ascii="Arial" w:cs="Arial" w:eastAsia="Arial" w:hAnsi="Arial"/>
                <w:sz w:val="20"/>
                <w:szCs w:val="20"/>
                <w:color w:val="auto"/>
                <w:w w:val="87"/>
              </w:rPr>
              <w:t>50% of Bonus Based on Revenue</w:t>
            </w:r>
          </w:p>
        </w:tc>
        <w:tc>
          <w:tcPr>
            <w:tcW w:w="128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50"/>
        </w:trPr>
        <w:tc>
          <w:tcPr>
            <w:tcW w:w="3020" w:type="dxa"/>
            <w:vAlign w:val="bottom"/>
          </w:tcPr>
          <w:p>
            <w:pPr>
              <w:jc w:val="center"/>
              <w:spacing w:after="0"/>
              <w:rPr>
                <w:sz w:val="20"/>
                <w:szCs w:val="20"/>
                <w:color w:val="auto"/>
              </w:rPr>
            </w:pPr>
            <w:r>
              <w:rPr>
                <w:rFonts w:ascii="Arial" w:cs="Arial" w:eastAsia="Arial" w:hAnsi="Arial"/>
                <w:sz w:val="20"/>
                <w:szCs w:val="20"/>
                <w:color w:val="auto"/>
                <w:w w:val="93"/>
              </w:rPr>
              <w:t>Growth</w:t>
            </w:r>
          </w:p>
        </w:tc>
        <w:tc>
          <w:tcPr>
            <w:tcW w:w="1280" w:type="dxa"/>
            <w:vAlign w:val="bottom"/>
          </w:tcPr>
          <w:p>
            <w:pPr>
              <w:spacing w:after="0"/>
              <w:rPr>
                <w:sz w:val="21"/>
                <w:szCs w:val="21"/>
                <w:color w:val="auto"/>
              </w:rPr>
            </w:pPr>
          </w:p>
        </w:tc>
        <w:tc>
          <w:tcPr>
            <w:tcW w:w="3020" w:type="dxa"/>
            <w:vAlign w:val="bottom"/>
          </w:tcPr>
          <w:p>
            <w:pPr>
              <w:ind w:left="680"/>
              <w:spacing w:after="0"/>
              <w:rPr>
                <w:sz w:val="20"/>
                <w:szCs w:val="20"/>
                <w:color w:val="auto"/>
              </w:rPr>
            </w:pPr>
            <w:r>
              <w:rPr>
                <w:rFonts w:ascii="Arial" w:cs="Arial" w:eastAsia="Arial" w:hAnsi="Arial"/>
                <w:sz w:val="20"/>
                <w:szCs w:val="20"/>
                <w:color w:val="auto"/>
              </w:rPr>
              <w:t>Bonus Payout Factor</w:t>
            </w:r>
          </w:p>
        </w:tc>
      </w:tr>
      <w:tr>
        <w:trPr>
          <w:trHeight w:val="23"/>
        </w:trPr>
        <w:tc>
          <w:tcPr>
            <w:tcW w:w="302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311"/>
        </w:trPr>
        <w:tc>
          <w:tcPr>
            <w:tcW w:w="3020" w:type="dxa"/>
            <w:vAlign w:val="bottom"/>
            <w:tcBorders>
              <w:bottom w:val="single" w:sz="8" w:color="CCEEFF"/>
            </w:tcBorders>
            <w:shd w:val="clear" w:color="auto" w:fill="CCEEFF"/>
          </w:tcPr>
          <w:p>
            <w:pPr>
              <w:jc w:val="center"/>
              <w:ind w:left="61"/>
              <w:spacing w:after="0"/>
              <w:rPr>
                <w:sz w:val="20"/>
                <w:szCs w:val="20"/>
                <w:color w:val="auto"/>
              </w:rPr>
            </w:pPr>
            <w:r>
              <w:rPr>
                <w:rFonts w:ascii="Arial" w:cs="Arial" w:eastAsia="Arial" w:hAnsi="Arial"/>
                <w:sz w:val="20"/>
                <w:szCs w:val="20"/>
                <w:color w:val="auto"/>
                <w:w w:val="95"/>
              </w:rPr>
              <w:t>≤0%</w:t>
            </w:r>
          </w:p>
        </w:tc>
        <w:tc>
          <w:tcPr>
            <w:tcW w:w="1280" w:type="dxa"/>
            <w:vAlign w:val="bottom"/>
          </w:tcPr>
          <w:p>
            <w:pPr>
              <w:spacing w:after="0"/>
              <w:rPr>
                <w:sz w:val="24"/>
                <w:szCs w:val="24"/>
                <w:color w:val="auto"/>
              </w:rPr>
            </w:pP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0%</w:t>
            </w:r>
          </w:p>
        </w:tc>
      </w:tr>
      <w:tr>
        <w:trPr>
          <w:trHeight w:val="315"/>
        </w:trPr>
        <w:tc>
          <w:tcPr>
            <w:tcW w:w="3020" w:type="dxa"/>
            <w:vAlign w:val="bottom"/>
          </w:tcPr>
          <w:p>
            <w:pPr>
              <w:jc w:val="center"/>
              <w:ind w:left="61"/>
              <w:spacing w:after="0"/>
              <w:rPr>
                <w:sz w:val="20"/>
                <w:szCs w:val="20"/>
                <w:color w:val="auto"/>
              </w:rPr>
            </w:pPr>
            <w:r>
              <w:rPr>
                <w:rFonts w:ascii="Arial" w:cs="Arial" w:eastAsia="Arial" w:hAnsi="Arial"/>
                <w:sz w:val="20"/>
                <w:szCs w:val="20"/>
                <w:color w:val="auto"/>
                <w:w w:val="89"/>
              </w:rPr>
              <w:t>5%</w:t>
            </w:r>
          </w:p>
        </w:tc>
        <w:tc>
          <w:tcPr>
            <w:tcW w:w="4300" w:type="dxa"/>
            <w:vAlign w:val="bottom"/>
            <w:gridSpan w:val="2"/>
          </w:tcPr>
          <w:p>
            <w:pPr>
              <w:jc w:val="center"/>
              <w:ind w:left="1181"/>
              <w:spacing w:after="0"/>
              <w:rPr>
                <w:sz w:val="20"/>
                <w:szCs w:val="20"/>
                <w:color w:val="auto"/>
              </w:rPr>
            </w:pPr>
            <w:r>
              <w:rPr>
                <w:rFonts w:ascii="Arial" w:cs="Arial" w:eastAsia="Arial" w:hAnsi="Arial"/>
                <w:sz w:val="20"/>
                <w:szCs w:val="20"/>
                <w:color w:val="auto"/>
                <w:w w:val="89"/>
              </w:rPr>
              <w:t>100%</w:t>
            </w:r>
          </w:p>
        </w:tc>
      </w:tr>
      <w:tr>
        <w:trPr>
          <w:trHeight w:val="23"/>
        </w:trPr>
        <w:tc>
          <w:tcPr>
            <w:tcW w:w="302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r>
      <w:tr>
        <w:trPr>
          <w:trHeight w:val="318"/>
        </w:trPr>
        <w:tc>
          <w:tcPr>
            <w:tcW w:w="3020" w:type="dxa"/>
            <w:vAlign w:val="bottom"/>
            <w:tcBorders>
              <w:bottom w:val="single" w:sz="8" w:color="CCEEFF"/>
            </w:tcBorders>
            <w:shd w:val="clear" w:color="auto" w:fill="CCEEFF"/>
          </w:tcPr>
          <w:p>
            <w:pPr>
              <w:jc w:val="center"/>
              <w:ind w:left="81"/>
              <w:spacing w:after="0"/>
              <w:rPr>
                <w:sz w:val="20"/>
                <w:szCs w:val="20"/>
                <w:color w:val="auto"/>
              </w:rPr>
            </w:pPr>
            <w:r>
              <w:rPr>
                <w:rFonts w:ascii="Arial" w:cs="Arial" w:eastAsia="Arial" w:hAnsi="Arial"/>
                <w:sz w:val="20"/>
                <w:szCs w:val="20"/>
                <w:color w:val="auto"/>
                <w:w w:val="89"/>
              </w:rPr>
              <w:t>10%</w:t>
            </w:r>
          </w:p>
        </w:tc>
        <w:tc>
          <w:tcPr>
            <w:tcW w:w="1280" w:type="dxa"/>
            <w:vAlign w:val="bottom"/>
          </w:tcPr>
          <w:p>
            <w:pPr>
              <w:spacing w:after="0"/>
              <w:rPr>
                <w:sz w:val="24"/>
                <w:szCs w:val="24"/>
                <w:color w:val="auto"/>
              </w:rPr>
            </w:pP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200%</w:t>
            </w:r>
          </w:p>
        </w:tc>
      </w:tr>
      <w:tr>
        <w:trPr>
          <w:trHeight w:val="315"/>
        </w:trPr>
        <w:tc>
          <w:tcPr>
            <w:tcW w:w="3020" w:type="dxa"/>
            <w:vAlign w:val="bottom"/>
          </w:tcPr>
          <w:p>
            <w:pPr>
              <w:jc w:val="center"/>
              <w:ind w:left="61"/>
              <w:spacing w:after="0"/>
              <w:rPr>
                <w:sz w:val="20"/>
                <w:szCs w:val="20"/>
                <w:color w:val="auto"/>
              </w:rPr>
            </w:pPr>
            <w:r>
              <w:rPr>
                <w:rFonts w:ascii="Arial" w:cs="Arial" w:eastAsia="Arial" w:hAnsi="Arial"/>
                <w:sz w:val="20"/>
                <w:szCs w:val="20"/>
                <w:color w:val="auto"/>
                <w:w w:val="90"/>
              </w:rPr>
              <w:t>≥15%</w:t>
            </w:r>
          </w:p>
        </w:tc>
        <w:tc>
          <w:tcPr>
            <w:tcW w:w="4300" w:type="dxa"/>
            <w:vAlign w:val="bottom"/>
            <w:gridSpan w:val="2"/>
          </w:tcPr>
          <w:p>
            <w:pPr>
              <w:jc w:val="center"/>
              <w:ind w:left="1181"/>
              <w:spacing w:after="0"/>
              <w:rPr>
                <w:sz w:val="20"/>
                <w:szCs w:val="20"/>
                <w:color w:val="auto"/>
              </w:rPr>
            </w:pPr>
            <w:r>
              <w:rPr>
                <w:rFonts w:ascii="Arial" w:cs="Arial" w:eastAsia="Arial" w:hAnsi="Arial"/>
                <w:sz w:val="20"/>
                <w:szCs w:val="20"/>
                <w:color w:val="auto"/>
                <w:w w:val="89"/>
              </w:rPr>
              <w:t>300%</w:t>
            </w:r>
          </w:p>
        </w:tc>
      </w:tr>
    </w:tbl>
    <w:p>
      <w:pPr>
        <w:spacing w:after="0" w:line="6" w:lineRule="exact"/>
        <w:rPr>
          <w:sz w:val="20"/>
          <w:szCs w:val="20"/>
          <w:color w:val="auto"/>
        </w:rPr>
      </w:pPr>
    </w:p>
    <w:p>
      <w:pPr>
        <w:ind w:right="240" w:firstLine="886"/>
        <w:spacing w:after="0" w:line="249" w:lineRule="auto"/>
        <w:tabs>
          <w:tab w:leader="none" w:pos="972"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In order to facilitate a comparison of fiscal quarters for purposes of the revenue growth element of the plan, all 14-week quarters will be normalized to a 13-week quarter.</w:t>
      </w:r>
    </w:p>
    <w:p>
      <w:pPr>
        <w:spacing w:after="0" w:line="200" w:lineRule="exact"/>
        <w:rPr>
          <w:sz w:val="20"/>
          <w:szCs w:val="20"/>
          <w:color w:val="auto"/>
        </w:rPr>
      </w:pPr>
    </w:p>
    <w:p>
      <w:pPr>
        <w:ind w:right="60" w:firstLine="878"/>
        <w:spacing w:after="0" w:line="259" w:lineRule="auto"/>
        <w:rPr>
          <w:sz w:val="20"/>
          <w:szCs w:val="20"/>
          <w:color w:val="auto"/>
        </w:rPr>
      </w:pPr>
      <w:r>
        <w:rPr>
          <w:rFonts w:ascii="Arial" w:cs="Arial" w:eastAsia="Arial" w:hAnsi="Arial"/>
          <w:sz w:val="19"/>
          <w:szCs w:val="19"/>
          <w:color w:val="auto"/>
        </w:rPr>
        <w:t>The Bonus Payout Factor is determined quarterly and will be linearly interpolated between the values specified in the tables above. For example, if OPBT for a quarter is 40.5% of revenue (which would result in a Bonus Payout Factor of 150% for that element) and revenue growth for the quarter compared to the same quarter in the prior fiscal year was 2.5% (which would result in a Bonus Payout Factor of 50% for that element), then the Bonus Payout Factor for the quarter would be 100% which is the sum of 50% of the OPBT factor of 150% and 50% of the revenue growth factor of 50%. The Bonus Payout Factor is also used to determine the bonuses paid to all eligible employees under the Company’s 2019 Analog Devices Performance Incentive Plan.</w:t>
      </w:r>
    </w:p>
    <w:p>
      <w:pPr>
        <w:spacing w:after="0" w:line="192" w:lineRule="exact"/>
        <w:rPr>
          <w:sz w:val="20"/>
          <w:szCs w:val="20"/>
          <w:color w:val="auto"/>
        </w:rPr>
      </w:pPr>
    </w:p>
    <w:p>
      <w:pPr>
        <w:ind w:right="100" w:firstLine="878"/>
        <w:spacing w:after="0" w:line="316" w:lineRule="auto"/>
        <w:rPr>
          <w:sz w:val="20"/>
          <w:szCs w:val="20"/>
          <w:color w:val="auto"/>
        </w:rPr>
      </w:pPr>
      <w:r>
        <w:rPr>
          <w:rFonts w:ascii="Arial" w:cs="Arial" w:eastAsia="Arial" w:hAnsi="Arial"/>
          <w:sz w:val="18"/>
          <w:szCs w:val="18"/>
          <w:color w:val="auto"/>
        </w:rPr>
        <w:t>A participant’s bonus for a quarter shall be equal to the product obtained by multiplying a participant’s Bonus Target for the quarter by the Bonus Payout Factor for that quarter. Each participant’s Bonus Payment can range from zero to three times his or her Bonus Target.</w:t>
      </w:r>
    </w:p>
    <w:p>
      <w:pPr>
        <w:spacing w:after="0" w:line="144" w:lineRule="exact"/>
        <w:rPr>
          <w:sz w:val="20"/>
          <w:szCs w:val="20"/>
          <w:color w:val="auto"/>
        </w:rPr>
      </w:pPr>
    </w:p>
    <w:p>
      <w:pPr>
        <w:ind w:right="20" w:firstLine="413"/>
        <w:spacing w:after="0" w:line="291" w:lineRule="auto"/>
        <w:tabs>
          <w:tab w:leader="none" w:pos="6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Fiscal 2019 bonus payments, if any, under the 2019 Executive Performance Incentive Plan will be calculated at the end of each fiscal quarter and distributed after the first half and second half of fiscal year 2019. The bonus payment for the first half of fiscal 2019 will be paid on or before June 30, 2019 and the bonus payment for the second half of fiscal 2019 will be paid on or before December 31, 2019.</w:t>
      </w:r>
    </w:p>
    <w:p>
      <w:pPr>
        <w:spacing w:after="0" w:line="165" w:lineRule="exact"/>
        <w:rPr>
          <w:rFonts w:ascii="Arial" w:cs="Arial" w:eastAsia="Arial" w:hAnsi="Arial"/>
          <w:sz w:val="18"/>
          <w:szCs w:val="18"/>
          <w:color w:val="auto"/>
        </w:rPr>
      </w:pPr>
    </w:p>
    <w:p>
      <w:pPr>
        <w:ind w:firstLine="413"/>
        <w:spacing w:after="0" w:line="260" w:lineRule="auto"/>
        <w:tabs>
          <w:tab w:leader="none" w:pos="603" w:val="left"/>
        </w:tabs>
        <w:numPr>
          <w:ilvl w:val="0"/>
          <w:numId w:val="71"/>
        </w:numPr>
        <w:rPr>
          <w:rFonts w:ascii="Arial" w:cs="Arial" w:eastAsia="Arial" w:hAnsi="Arial"/>
          <w:sz w:val="20"/>
          <w:szCs w:val="20"/>
          <w:color w:val="auto"/>
        </w:rPr>
      </w:pPr>
      <w:r>
        <w:rPr>
          <w:rFonts w:ascii="Arial" w:cs="Arial" w:eastAsia="Arial" w:hAnsi="Arial"/>
          <w:sz w:val="20"/>
          <w:szCs w:val="20"/>
          <w:color w:val="auto"/>
        </w:rPr>
        <w:t>Executives are eligible for a bonus payment beginning with their first full day of employment, so long as they remain actively employed by the Company on the applicable bonus payment date in December.</w:t>
      </w:r>
    </w:p>
    <w:p>
      <w:pPr>
        <w:spacing w:after="0" w:line="203" w:lineRule="exact"/>
        <w:rPr>
          <w:rFonts w:ascii="Arial" w:cs="Arial" w:eastAsia="Arial" w:hAnsi="Arial"/>
          <w:sz w:val="20"/>
          <w:szCs w:val="20"/>
          <w:color w:val="auto"/>
        </w:rPr>
      </w:pPr>
    </w:p>
    <w:p>
      <w:pPr>
        <w:ind w:right="120" w:firstLine="413"/>
        <w:spacing w:after="0" w:line="274" w:lineRule="auto"/>
        <w:tabs>
          <w:tab w:leader="none" w:pos="603" w:val="left"/>
        </w:tabs>
        <w:numPr>
          <w:ilvl w:val="0"/>
          <w:numId w:val="71"/>
        </w:numPr>
        <w:rPr>
          <w:rFonts w:ascii="Arial" w:cs="Arial" w:eastAsia="Arial" w:hAnsi="Arial"/>
          <w:sz w:val="20"/>
          <w:szCs w:val="20"/>
          <w:color w:val="auto"/>
        </w:rPr>
      </w:pPr>
      <w:r>
        <w:rPr>
          <w:rFonts w:ascii="Arial" w:cs="Arial" w:eastAsia="Arial" w:hAnsi="Arial"/>
          <w:sz w:val="20"/>
          <w:szCs w:val="20"/>
          <w:color w:val="auto"/>
        </w:rPr>
        <w:t>If the Company is required pursuant to the listing standards of any national securities exchange or association on which the Company's securities are listed or otherwise by applicable law or regulation to develop and implement a policy providing for the recovery from a participant of any payment under the 2019 Executive Performance Incentive Plan, the payment will be subject to recovery in accordance with such clawback policy.</w:t>
      </w:r>
    </w:p>
    <w:p>
      <w:pPr>
        <w:sectPr>
          <w:pgSz w:w="11900" w:h="16838" w:orient="portrait"/>
          <w:cols w:equalWidth="0" w:num="1">
            <w:col w:w="11400"/>
          </w:cols>
          <w:pgMar w:left="240" w:top="527" w:right="25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August 4, 2018</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VIA ELECTRONIC MAIL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Rick Hess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65 Village View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Westford, MA 01886</w:t>
      </w:r>
    </w:p>
    <w:p>
      <w:pPr>
        <w:spacing w:after="0" w:line="24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Severance Agreement and Release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Rick:</w:t>
      </w:r>
    </w:p>
    <w:p>
      <w:pPr>
        <w:spacing w:after="0" w:line="260" w:lineRule="exact"/>
        <w:rPr>
          <w:sz w:val="20"/>
          <w:szCs w:val="20"/>
          <w:color w:val="auto"/>
        </w:rPr>
      </w:pPr>
    </w:p>
    <w:p>
      <w:pPr>
        <w:ind w:right="80"/>
        <w:spacing w:after="0" w:line="312" w:lineRule="auto"/>
        <w:rPr>
          <w:sz w:val="20"/>
          <w:szCs w:val="20"/>
          <w:color w:val="auto"/>
        </w:rPr>
      </w:pPr>
      <w:r>
        <w:rPr>
          <w:rFonts w:ascii="Arial" w:cs="Arial" w:eastAsia="Arial" w:hAnsi="Arial"/>
          <w:sz w:val="19"/>
          <w:szCs w:val="19"/>
          <w:color w:val="auto"/>
        </w:rPr>
        <w:t>This letter summarizes the terms of your separation from employment with Analog Devices, Inc. (the “Company”). The purpose of this letter (also referred to as the “Agreement”) is to establish an amicable arrangement for ending your employment relationship, to release the Company from all legally waivable claims, and to permit you to receive severance pay and related benefits.</w:t>
      </w:r>
    </w:p>
    <w:p>
      <w:pPr>
        <w:spacing w:after="0" w:line="168" w:lineRule="exact"/>
        <w:rPr>
          <w:sz w:val="20"/>
          <w:szCs w:val="20"/>
          <w:color w:val="auto"/>
        </w:rPr>
      </w:pPr>
    </w:p>
    <w:p>
      <w:pPr>
        <w:ind w:right="180"/>
        <w:spacing w:after="0" w:line="295" w:lineRule="auto"/>
        <w:rPr>
          <w:sz w:val="20"/>
          <w:szCs w:val="20"/>
          <w:color w:val="auto"/>
        </w:rPr>
      </w:pPr>
      <w:r>
        <w:rPr>
          <w:rFonts w:ascii="Arial" w:cs="Arial" w:eastAsia="Arial" w:hAnsi="Arial"/>
          <w:sz w:val="19"/>
          <w:szCs w:val="19"/>
          <w:b w:val="1"/>
          <w:bCs w:val="1"/>
          <w:color w:val="auto"/>
        </w:rPr>
        <w:t>By signing this Agreement, you will be giving up valuable legal rights. For this reason, it is very important that you carefully review and understand the Agreement before signing it. The deadline for accepting this Agreement is twenty-one</w:t>
      </w:r>
    </w:p>
    <w:p>
      <w:pPr>
        <w:ind w:right="60" w:firstLine="8"/>
        <w:spacing w:after="0" w:line="246" w:lineRule="auto"/>
        <w:tabs>
          <w:tab w:leader="none" w:pos="414"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days from the date of receipt. The Company encourages you to take advantage of this period of time by consulting with a lawyer, or other trusted advisor, before signing the document.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terms of your separation are as follows:</w:t>
      </w:r>
    </w:p>
    <w:p>
      <w:pPr>
        <w:spacing w:after="0" w:line="254" w:lineRule="exact"/>
        <w:rPr>
          <w:sz w:val="20"/>
          <w:szCs w:val="20"/>
          <w:color w:val="auto"/>
        </w:rPr>
      </w:pPr>
    </w:p>
    <w:p>
      <w:pPr>
        <w:ind w:left="820" w:hanging="812"/>
        <w:spacing w:after="0"/>
        <w:tabs>
          <w:tab w:leader="none" w:pos="82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 Status and Final Payments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left="1080" w:hanging="424"/>
        <w:spacing w:after="0"/>
        <w:tabs>
          <w:tab w:leader="none" w:pos="1080" w:val="left"/>
        </w:tabs>
        <w:numPr>
          <w:ilvl w:val="1"/>
          <w:numId w:val="73"/>
        </w:numPr>
        <w:rPr>
          <w:rFonts w:ascii="Arial" w:cs="Arial" w:eastAsia="Arial" w:hAnsi="Arial"/>
          <w:sz w:val="19"/>
          <w:szCs w:val="19"/>
          <w:color w:val="auto"/>
        </w:rPr>
      </w:pPr>
      <w:r>
        <w:rPr>
          <w:rFonts w:ascii="Arial" w:cs="Arial" w:eastAsia="Arial" w:hAnsi="Arial"/>
          <w:sz w:val="19"/>
          <w:szCs w:val="19"/>
          <w:color w:val="auto"/>
        </w:rPr>
        <w:t>Your retirement from employment with the Company will be effective as of August 4, 2018 (the “Retirement Date”).</w:t>
      </w:r>
    </w:p>
    <w:p>
      <w:pPr>
        <w:spacing w:after="0" w:line="267" w:lineRule="exact"/>
        <w:rPr>
          <w:rFonts w:ascii="Arial" w:cs="Arial" w:eastAsia="Arial" w:hAnsi="Arial"/>
          <w:sz w:val="19"/>
          <w:szCs w:val="19"/>
          <w:color w:val="auto"/>
        </w:rPr>
      </w:pPr>
    </w:p>
    <w:p>
      <w:pPr>
        <w:ind w:right="80" w:firstLine="656"/>
        <w:spacing w:after="0" w:line="276" w:lineRule="auto"/>
        <w:tabs>
          <w:tab w:leader="none" w:pos="10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Following the Retirement Date, you will receive payment for all earned salary or wages and for all accrued but unused vacation time.</w:t>
      </w:r>
    </w:p>
    <w:p>
      <w:pPr>
        <w:spacing w:after="0" w:line="160" w:lineRule="exact"/>
        <w:rPr>
          <w:rFonts w:ascii="Arial" w:cs="Arial" w:eastAsia="Arial" w:hAnsi="Arial"/>
          <w:sz w:val="22"/>
          <w:szCs w:val="22"/>
          <w:color w:val="auto"/>
        </w:rPr>
      </w:pPr>
    </w:p>
    <w:p>
      <w:pPr>
        <w:ind w:right="540" w:firstLine="656"/>
        <w:spacing w:after="0" w:line="276" w:lineRule="auto"/>
        <w:tabs>
          <w:tab w:leader="none" w:pos="1068" w:val="left"/>
        </w:tabs>
        <w:numPr>
          <w:ilvl w:val="1"/>
          <w:numId w:val="73"/>
        </w:numPr>
        <w:rPr>
          <w:rFonts w:ascii="Arial" w:cs="Arial" w:eastAsia="Arial" w:hAnsi="Arial"/>
          <w:sz w:val="22"/>
          <w:szCs w:val="22"/>
          <w:color w:val="auto"/>
        </w:rPr>
      </w:pPr>
      <w:r>
        <w:rPr>
          <w:rFonts w:ascii="Arial" w:cs="Arial" w:eastAsia="Arial" w:hAnsi="Arial"/>
          <w:sz w:val="22"/>
          <w:szCs w:val="22"/>
          <w:color w:val="auto"/>
        </w:rPr>
        <w:t>All outstanding stock options, RSUs or other equity awards that you have been granted and currently hold will be governed by and subject to the terms of the applicable plan and your specific grant documents.</w:t>
      </w:r>
    </w:p>
    <w:p>
      <w:pPr>
        <w:spacing w:after="0" w:line="154" w:lineRule="exact"/>
        <w:rPr>
          <w:rFonts w:ascii="Arial" w:cs="Arial" w:eastAsia="Arial" w:hAnsi="Arial"/>
          <w:sz w:val="22"/>
          <w:szCs w:val="22"/>
          <w:color w:val="auto"/>
        </w:rPr>
      </w:pPr>
    </w:p>
    <w:p>
      <w:pPr>
        <w:ind w:right="760" w:firstLine="8"/>
        <w:spacing w:after="0" w:line="275" w:lineRule="exact"/>
        <w:tabs>
          <w:tab w:leader="none" w:pos="342"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Consideration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exchange for, and in consideration of, your full execution of this Agreement and after the seven</w:t>
      </w:r>
      <w:r>
        <w:rPr>
          <w:rFonts w:ascii="MS PGothic" w:cs="MS PGothic" w:eastAsia="MS PGothic" w:hAnsi="MS PGothic"/>
          <w:sz w:val="19"/>
          <w:szCs w:val="19"/>
          <w:color w:val="auto"/>
        </w:rPr>
        <w:t>‑</w:t>
      </w:r>
      <w:r>
        <w:rPr>
          <w:rFonts w:ascii="Arial" w:cs="Arial" w:eastAsia="Arial" w:hAnsi="Arial"/>
          <w:sz w:val="19"/>
          <w:szCs w:val="19"/>
          <w:color w:val="auto"/>
        </w:rPr>
        <w:t>day</w:t>
      </w:r>
      <w:r>
        <w:rPr>
          <w:rFonts w:ascii="Arial" w:cs="Arial" w:eastAsia="Arial" w:hAnsi="Arial"/>
          <w:sz w:val="19"/>
          <w:szCs w:val="19"/>
          <w:b w:val="1"/>
          <w:bCs w:val="1"/>
          <w:color w:val="auto"/>
        </w:rPr>
        <w:t xml:space="preserve"> </w:t>
      </w:r>
      <w:r>
        <w:rPr>
          <w:rFonts w:ascii="Arial" w:cs="Arial" w:eastAsia="Arial" w:hAnsi="Arial"/>
          <w:sz w:val="19"/>
          <w:szCs w:val="19"/>
          <w:color w:val="auto"/>
        </w:rPr>
        <w:t>revocation period set forth in Section 10 has expired without being exercised, the Company agrees as follows:</w:t>
      </w:r>
    </w:p>
    <w:p>
      <w:pPr>
        <w:spacing w:after="0" w:line="198" w:lineRule="exact"/>
        <w:rPr>
          <w:rFonts w:ascii="Arial" w:cs="Arial" w:eastAsia="Arial" w:hAnsi="Arial"/>
          <w:sz w:val="19"/>
          <w:szCs w:val="19"/>
          <w:b w:val="1"/>
          <w:bCs w:val="1"/>
          <w:color w:val="auto"/>
        </w:rPr>
      </w:pPr>
    </w:p>
    <w:p>
      <w:pPr>
        <w:ind w:right="220" w:firstLine="656"/>
        <w:spacing w:after="0" w:line="260" w:lineRule="auto"/>
        <w:tabs>
          <w:tab w:leader="none" w:pos="1068"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Severance Pay</w:t>
      </w:r>
      <w:r>
        <w:rPr>
          <w:rFonts w:ascii="Arial" w:cs="Arial" w:eastAsia="Arial" w:hAnsi="Arial"/>
          <w:sz w:val="22"/>
          <w:szCs w:val="22"/>
          <w:color w:val="auto"/>
        </w:rPr>
        <w:t>: The Company will pay you severance in the amount of $1,787,500 (consisting of $650,000 (salary component), $650,000 (target bonus component), and $487,500 (pro-rated bonus component)) in a single lump sum payment less applicable taxes.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288" w:right="239" w:bottom="1440" w:gutter="0" w:footer="0" w:header="0"/>
        </w:sectPr>
      </w:pPr>
    </w:p>
    <w:bookmarkStart w:id="106" w:name="page107"/>
    <w:bookmarkEnd w:id="106"/>
    <w:p>
      <w:pPr>
        <w:jc w:val="both"/>
        <w:ind w:right="40"/>
        <w:spacing w:after="0" w:line="294" w:lineRule="auto"/>
        <w:rPr>
          <w:sz w:val="20"/>
          <w:szCs w:val="20"/>
          <w:color w:val="auto"/>
        </w:rPr>
      </w:pPr>
      <w:r>
        <w:rPr>
          <w:rFonts w:ascii="Arial" w:cs="Arial" w:eastAsia="Arial" w:hAnsi="Arial"/>
          <w:sz w:val="19"/>
          <w:szCs w:val="19"/>
          <w:color w:val="auto"/>
        </w:rPr>
        <w:t>Such payment will be made on or shortly after February 5, 2019 in compliance with the six-month delay requirements applicable in certain circumstances to “specified employees,” all as determined pursuant to Section 409A of the Internal Revenue Code of 1986, as amended (“Section 409A”). The Company will also pay you your bonus payment under the Company’s Employee Performance Incentive Plan for the quarter ending August 4, 2018, and waive the requirement that you be employed in December 2018 in order to receive the bonus. It will make that bonus payment, less applicable taxes, in the first payroll following the later of the expiration of the seven-day revocation period and the date as of which the bonus is calculated.</w:t>
      </w:r>
    </w:p>
    <w:p>
      <w:pPr>
        <w:spacing w:after="0" w:line="150" w:lineRule="exact"/>
        <w:rPr>
          <w:sz w:val="20"/>
          <w:szCs w:val="20"/>
          <w:color w:val="auto"/>
        </w:rPr>
      </w:pPr>
    </w:p>
    <w:p>
      <w:pPr>
        <w:ind w:firstLine="656"/>
        <w:spacing w:after="0" w:line="278" w:lineRule="auto"/>
        <w:tabs>
          <w:tab w:leader="none" w:pos="1080"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Benefits</w:t>
      </w:r>
      <w:r>
        <w:rPr>
          <w:rFonts w:ascii="Arial" w:cs="Arial" w:eastAsia="Arial" w:hAnsi="Arial"/>
          <w:sz w:val="21"/>
          <w:szCs w:val="21"/>
          <w:color w:val="auto"/>
        </w:rPr>
        <w:t>: You will be eligible for continuation health coverage under COBRA. The Company will only charge you the portion of premiums charged active employees with respect to you and your covered dependents during the first 12 months after the Retirement Date. (The paid coverage will end with respect to anyone whose COBRA eligibility ends.)</w:t>
      </w:r>
    </w:p>
    <w:p>
      <w:pPr>
        <w:spacing w:after="0" w:line="160" w:lineRule="exact"/>
        <w:rPr>
          <w:rFonts w:ascii="Arial" w:cs="Arial" w:eastAsia="Arial" w:hAnsi="Arial"/>
          <w:sz w:val="21"/>
          <w:szCs w:val="21"/>
          <w:color w:val="auto"/>
        </w:rPr>
      </w:pPr>
    </w:p>
    <w:p>
      <w:pPr>
        <w:ind w:right="20" w:firstLine="656"/>
        <w:spacing w:after="0" w:line="260" w:lineRule="auto"/>
        <w:tabs>
          <w:tab w:leader="none" w:pos="1068"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The payments set forth in this Section 2 will be subject to all applicable federal, state and/or local withholding and/or payroll taxes. Any payment due to you under this Section 2 will be paid to your estate in the event of your death prior to receiving such payment.</w:t>
      </w:r>
    </w:p>
    <w:p>
      <w:pPr>
        <w:spacing w:after="0" w:line="171" w:lineRule="exact"/>
        <w:rPr>
          <w:rFonts w:ascii="Arial" w:cs="Arial" w:eastAsia="Arial" w:hAnsi="Arial"/>
          <w:sz w:val="22"/>
          <w:szCs w:val="22"/>
          <w:color w:val="auto"/>
        </w:rPr>
      </w:pPr>
    </w:p>
    <w:p>
      <w:pPr>
        <w:ind w:right="860" w:firstLine="8"/>
        <w:spacing w:after="0" w:line="364" w:lineRule="auto"/>
        <w:tabs>
          <w:tab w:leader="none" w:pos="342"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Release</w:t>
      </w:r>
      <w:r>
        <w:rPr>
          <w:rFonts w:ascii="Arial" w:cs="Arial" w:eastAsia="Arial" w:hAnsi="Arial"/>
          <w:sz w:val="19"/>
          <w:szCs w:val="19"/>
          <w:b w:val="1"/>
          <w:bCs w:val="1"/>
          <w:color w:val="auto"/>
        </w:rPr>
        <w:t>: This section of the Agreement is a release of legal claims. Please carefully review this section with your attorney, or other trusted advisor, and do not sign this document unless you understand what this section says.</w:t>
      </w:r>
    </w:p>
    <w:p>
      <w:pPr>
        <w:spacing w:after="0" w:line="86" w:lineRule="exact"/>
        <w:rPr>
          <w:rFonts w:ascii="Arial" w:cs="Arial" w:eastAsia="Arial" w:hAnsi="Arial"/>
          <w:sz w:val="19"/>
          <w:szCs w:val="19"/>
          <w:b w:val="1"/>
          <w:bCs w:val="1"/>
          <w:color w:val="auto"/>
        </w:rPr>
      </w:pPr>
    </w:p>
    <w:p>
      <w:pPr>
        <w:ind w:right="40" w:firstLine="656"/>
        <w:spacing w:after="0" w:line="291" w:lineRule="auto"/>
        <w:tabs>
          <w:tab w:leader="none" w:pos="1068" w:val="left"/>
        </w:tabs>
        <w:numPr>
          <w:ilvl w:val="1"/>
          <w:numId w:val="75"/>
        </w:numPr>
        <w:rPr>
          <w:rFonts w:ascii="Arial" w:cs="Arial" w:eastAsia="Arial" w:hAnsi="Arial"/>
          <w:sz w:val="19"/>
          <w:szCs w:val="19"/>
          <w:color w:val="auto"/>
        </w:rPr>
      </w:pPr>
      <w:r>
        <w:rPr>
          <w:rFonts w:ascii="Arial" w:cs="Arial" w:eastAsia="Arial" w:hAnsi="Arial"/>
          <w:sz w:val="19"/>
          <w:szCs w:val="19"/>
          <w:color w:val="auto"/>
        </w:rPr>
        <w:t>In exchange for the amounts and benefits described in Section 2, which are in addition to anything of value to which you are entitled to receive, you and your representatives, agents, estate, heirs, successors and assigns, absolutely and unconditionally release, discharge, indemnify and hold harmless the Company Releasees from any and all legally waivable claims that you have against the Company Releasees. Other than as permitted in Section 3(e) below, this means that by signing this Agreement, you are agreeing not to bring a legal action against the Company Releasees for any type of waivable claim arising from conduct that occurred any time in the past and up to and through the date you sign this document. “Company Releasees” is defined to include the Company and/or any of its parents, subsidiaries or affiliates, predecessors, successors or assigns, and its and their respective current and/or former directors, shareholders/stockholders, officers, employees, attorneys and/or agents, all both individually and in their official capacities.</w:t>
      </w:r>
    </w:p>
    <w:p>
      <w:pPr>
        <w:spacing w:after="0" w:line="154" w:lineRule="exact"/>
        <w:rPr>
          <w:rFonts w:ascii="Arial" w:cs="Arial" w:eastAsia="Arial" w:hAnsi="Arial"/>
          <w:sz w:val="19"/>
          <w:szCs w:val="19"/>
          <w:color w:val="auto"/>
        </w:rPr>
      </w:pPr>
    </w:p>
    <w:p>
      <w:pPr>
        <w:ind w:right="140" w:firstLine="656"/>
        <w:spacing w:after="0" w:line="261" w:lineRule="auto"/>
        <w:tabs>
          <w:tab w:leader="none" w:pos="1080" w:val="left"/>
        </w:tabs>
        <w:numPr>
          <w:ilvl w:val="1"/>
          <w:numId w:val="75"/>
        </w:numPr>
        <w:rPr>
          <w:rFonts w:ascii="Arial" w:cs="Arial" w:eastAsia="Arial" w:hAnsi="Arial"/>
          <w:sz w:val="21"/>
          <w:szCs w:val="21"/>
          <w:color w:val="auto"/>
        </w:rPr>
      </w:pPr>
      <w:r>
        <w:rPr>
          <w:rFonts w:ascii="Arial" w:cs="Arial" w:eastAsia="Arial" w:hAnsi="Arial"/>
          <w:sz w:val="21"/>
          <w:szCs w:val="21"/>
          <w:color w:val="auto"/>
        </w:rPr>
        <w:t>This release includes, but is not limited to, any waivable claims you have against the Company Releasees that arise from any federal, state or local law, regulation, ordinance or constitution dealing with either employment, employment benefits, or employment discrimination. By way of example, this release includes claims against the Company Releasees under the laws or regulations concerning discrimination on the basis of race, color, creed, religion, age, sex, sex harassment, sexual orientation, gender identity, national origin, ancestry, genetic carrier status, handicap or disability, veteran status, any military service or application for military service, or any other category protected under federal, state or local law. This release also includes any claim you may have against the Company Releasees for breach of contract, whether oral or written, express or implied; any tort claims (such as wrongful discharge, tortious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107" w:name="page108"/>
    <w:bookmarkEnd w:id="107"/>
    <w:p>
      <w:pPr>
        <w:spacing w:after="0" w:line="263" w:lineRule="auto"/>
        <w:rPr>
          <w:sz w:val="20"/>
          <w:szCs w:val="20"/>
          <w:color w:val="auto"/>
        </w:rPr>
      </w:pPr>
      <w:r>
        <w:rPr>
          <w:rFonts w:ascii="Arial" w:cs="Arial" w:eastAsia="Arial" w:hAnsi="Arial"/>
          <w:sz w:val="22"/>
          <w:szCs w:val="22"/>
          <w:color w:val="auto"/>
        </w:rPr>
        <w:t>interference with advantageous relationships, emotional distress and defamation); any claims for equity or employee benefits of any other kind; or any other legally waivable statutory and/or common law claims.</w:t>
      </w:r>
    </w:p>
    <w:p>
      <w:pPr>
        <w:spacing w:after="0" w:line="175" w:lineRule="exact"/>
        <w:rPr>
          <w:sz w:val="20"/>
          <w:szCs w:val="20"/>
          <w:color w:val="auto"/>
        </w:rPr>
      </w:pPr>
    </w:p>
    <w:p>
      <w:pPr>
        <w:ind w:firstLine="656"/>
        <w:spacing w:after="0" w:line="284" w:lineRule="auto"/>
        <w:tabs>
          <w:tab w:leader="none" w:pos="1068" w:val="left"/>
        </w:tabs>
        <w:numPr>
          <w:ilvl w:val="0"/>
          <w:numId w:val="76"/>
        </w:numPr>
        <w:rPr>
          <w:rFonts w:ascii="Arial" w:cs="Arial" w:eastAsia="Arial" w:hAnsi="Arial"/>
          <w:sz w:val="19"/>
          <w:szCs w:val="19"/>
          <w:color w:val="auto"/>
        </w:rPr>
      </w:pPr>
      <w:r>
        <w:rPr>
          <w:rFonts w:ascii="Arial" w:cs="Arial" w:eastAsia="Arial" w:hAnsi="Arial"/>
          <w:sz w:val="19"/>
          <w:szCs w:val="19"/>
          <w:color w:val="auto"/>
        </w:rPr>
        <w:t>For avoidance of doubt, by signing this Agreement, you agree not to bring any waivable claims against the Company Releasees under the following nonexclusive list of discrimination and employment statutes: The Age Discrimination in Employment Act (ADEA), Title VII of the Civil Rights Act of 1964, The Americans With Disabilities Act, The ADA Amendments Act, The Equal Pay Act, The Lilly Ledbetter Fair Pay Act, the Family and Medical Leave Act, The Worker Adjustment and Retraining Notification Act, the Employee Retirement Income Security Act (ERISA), The Genetic Information Nondiscrimination Act, the National Labor Relations Act (NLRA), the California Fair Employment and Housing Act, the Colorado Anti-Discrimination Act, the Illinois Human Rights Act, the Massachusetts Fair Employment Practices Law (MA Gen. Law Ch. 151B), the Massachusetts Equal Rights Act, the Massachusetts Equal Pay Act, the Massachusetts Sick Leave Act, the Massachusetts Privacy Statute and/or the Massachusetts Civil Rights Act, the Minnesota Human Rights Act, the New Jersey Conscientious Employee Protection Act and the New Jersey Law Against Discrimination, the New Mexico Human Rights Act, the North Carolina Equal Employment Practices Act, the North Carolina Persons with Disabilities Act, The North Carolina Retaliatory Employment Discrimination Act, the Oregon Revised Statutes chapter 659A, the Oregon Family Medical Leave Act, the Oregon Military Family Leave Act, Chapters 21 and 451 of the Texas Labor Code, the Utah Anti-Discrimination Act of 1965, all as amended, as well as any other federal, state and local discrimination and employment statutes that apply to me. You are releasing all rights under section</w:t>
      </w:r>
    </w:p>
    <w:p>
      <w:pPr>
        <w:spacing w:after="0" w:line="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1542 of the California Civil Code. Section 1542 provides as follows:</w:t>
      </w:r>
    </w:p>
    <w:p>
      <w:pPr>
        <w:spacing w:after="0" w:line="196" w:lineRule="exact"/>
        <w:rPr>
          <w:sz w:val="20"/>
          <w:szCs w:val="20"/>
          <w:color w:val="auto"/>
        </w:rPr>
      </w:pPr>
    </w:p>
    <w:p>
      <w:pPr>
        <w:ind w:left="660" w:right="60"/>
        <w:spacing w:after="0" w:line="256" w:lineRule="auto"/>
        <w:rPr>
          <w:sz w:val="20"/>
          <w:szCs w:val="20"/>
          <w:color w:val="auto"/>
        </w:rPr>
      </w:pPr>
      <w:r>
        <w:rPr>
          <w:rFonts w:ascii="Arial" w:cs="Arial" w:eastAsia="Arial" w:hAnsi="Arial"/>
          <w:sz w:val="22"/>
          <w:szCs w:val="22"/>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2" w:lineRule="exact"/>
        <w:rPr>
          <w:sz w:val="20"/>
          <w:szCs w:val="20"/>
          <w:color w:val="auto"/>
        </w:rPr>
      </w:pPr>
    </w:p>
    <w:p>
      <w:pPr>
        <w:ind w:right="140" w:firstLine="656"/>
        <w:spacing w:after="0" w:line="297" w:lineRule="auto"/>
        <w:tabs>
          <w:tab w:leader="none" w:pos="10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You release the Company Releasees from any and all wage and hour related claims to the maximum extent permitted by federal and state law. This release of legal claims includes but is not limited to claims under the Fair Labor Standards Act, the Massachusetts Payment of Wages Act, the Massachusetts Overtime regulations, the Massachusetts meal break regulations and any other claims under any other federal or state law for unpaid or delayed payment of wages, overtime, vacation pay, bonuses, commissions, incentive payments or severance, missed or interrupted meal periods, interest, attorneys’ fees, costs, expenses, liquidated damages, treble damages or damages of any kind to the maximum extent permitted by law.</w:t>
      </w:r>
    </w:p>
    <w:p>
      <w:pPr>
        <w:spacing w:after="0" w:line="146" w:lineRule="exact"/>
        <w:rPr>
          <w:rFonts w:ascii="Arial" w:cs="Arial" w:eastAsia="Arial" w:hAnsi="Arial"/>
          <w:sz w:val="19"/>
          <w:szCs w:val="19"/>
          <w:color w:val="auto"/>
        </w:rPr>
      </w:pPr>
    </w:p>
    <w:p>
      <w:pPr>
        <w:jc w:val="both"/>
        <w:ind w:right="220" w:firstLine="656"/>
        <w:spacing w:after="0" w:line="270" w:lineRule="auto"/>
        <w:tabs>
          <w:tab w:leader="none" w:pos="1068" w:val="left"/>
        </w:tabs>
        <w:numPr>
          <w:ilvl w:val="0"/>
          <w:numId w:val="77"/>
        </w:numPr>
        <w:rPr>
          <w:rFonts w:ascii="Arial" w:cs="Arial" w:eastAsia="Arial" w:hAnsi="Arial"/>
          <w:sz w:val="21"/>
          <w:szCs w:val="21"/>
          <w:color w:val="auto"/>
        </w:rPr>
      </w:pPr>
      <w:r>
        <w:rPr>
          <w:rFonts w:ascii="Arial" w:cs="Arial" w:eastAsia="Arial" w:hAnsi="Arial"/>
          <w:sz w:val="21"/>
          <w:szCs w:val="21"/>
          <w:color w:val="auto"/>
        </w:rPr>
        <w:t>Nothing in this Section 3 or elsewhere in this Agreement (including but not limited to, the accord &amp; satisfaction, confidentiality, non-disparagement, and return of property provisions) (i) prevents you from filing a claim under the workers compensation or unemployment compensation statutes; (ii) limits or affects your right to challenge the validity of this Agreement under the ADEA or the Older Worker Benefits Protection Act; or (iii) prevents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108" w:name="page109"/>
    <w:bookmarkEnd w:id="108"/>
    <w:p>
      <w:pPr>
        <w:ind w:right="60"/>
        <w:spacing w:after="0" w:line="259" w:lineRule="auto"/>
        <w:rPr>
          <w:sz w:val="20"/>
          <w:szCs w:val="20"/>
          <w:color w:val="auto"/>
        </w:rPr>
      </w:pPr>
      <w:r>
        <w:rPr>
          <w:rFonts w:ascii="Arial" w:cs="Arial" w:eastAsia="Arial" w:hAnsi="Arial"/>
          <w:sz w:val="21"/>
          <w:szCs w:val="21"/>
          <w:color w:val="auto"/>
        </w:rPr>
        <w:t>you from filing a charge or complaint with or from participating in an investigation or proceeding conducted by the Equal Employment Opportunity Commission, the National Labor Relations Board, the Occupational Safety &amp; Health Commission, the Securities and Exchange Commission, any other federal, state or local agency charged with the enforcement of any laws, including providing documents or other information to such agencies or (iv) prevents you from exercising your rights under Section 7 of the National Labor Relations Act to engage in protected, concerted activity with other employees; although, by signing this Agreement you are waiving your right to recover any individual relief (including any back pay, front pay, reinstatement or other legal or equitable relief) in any charge, complaint, or lawsuit or other proceeding brought by you or on your behalf by any third party, except for any right you may have to receive an award from a government agency (and not the Company) for information provided to the government agency.</w:t>
      </w:r>
    </w:p>
    <w:p>
      <w:pPr>
        <w:spacing w:after="0" w:line="174" w:lineRule="exact"/>
        <w:rPr>
          <w:sz w:val="20"/>
          <w:szCs w:val="20"/>
          <w:color w:val="auto"/>
        </w:rPr>
      </w:pPr>
    </w:p>
    <w:p>
      <w:pPr>
        <w:ind w:right="620" w:firstLine="8"/>
        <w:spacing w:after="0" w:line="309" w:lineRule="auto"/>
        <w:tabs>
          <w:tab w:leader="none" w:pos="342"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Accord and Satisfaction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amounts set forth above in Sections 1 and 2 will be complete and unconditional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accord and/or satisfaction with respect to all obligations and liabilities of the Company Releasees to you, including, without limitation, all claims for back wages, salary, vacation pay, draws, incentive pay, bonuses, commissions, severance pay, reimbursement of expenses, any and all other forms of compensation or benefits, attorney's fees, or other costs or sums.</w:t>
      </w:r>
    </w:p>
    <w:p>
      <w:pPr>
        <w:spacing w:after="0" w:line="130" w:lineRule="exact"/>
        <w:rPr>
          <w:rFonts w:ascii="Arial" w:cs="Arial" w:eastAsia="Arial" w:hAnsi="Arial"/>
          <w:sz w:val="19"/>
          <w:szCs w:val="19"/>
          <w:b w:val="1"/>
          <w:bCs w:val="1"/>
          <w:color w:val="auto"/>
        </w:rPr>
      </w:pPr>
    </w:p>
    <w:p>
      <w:pPr>
        <w:ind w:right="100" w:firstLine="8"/>
        <w:spacing w:after="0" w:line="262" w:lineRule="auto"/>
        <w:tabs>
          <w:tab w:leader="none" w:pos="342"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Rights and Claims Under the Age Discrimination in Employment Act of 1967</w:t>
      </w:r>
      <w:r>
        <w:rPr>
          <w:rFonts w:ascii="Arial" w:cs="Arial" w:eastAsia="Arial" w:hAnsi="Arial"/>
          <w:sz w:val="22"/>
          <w:szCs w:val="22"/>
          <w:b w:val="1"/>
          <w:bCs w:val="1"/>
          <w:color w:val="auto"/>
        </w:rPr>
        <w:t xml:space="preserve">: </w:t>
      </w:r>
      <w:r>
        <w:rPr>
          <w:rFonts w:ascii="Arial" w:cs="Arial" w:eastAsia="Arial" w:hAnsi="Arial"/>
          <w:sz w:val="22"/>
          <w:szCs w:val="22"/>
          <w:color w:val="auto"/>
        </w:rPr>
        <w:t>Since you are 40 years of age or</w:t>
      </w:r>
      <w:r>
        <w:rPr>
          <w:rFonts w:ascii="Arial" w:cs="Arial" w:eastAsia="Arial" w:hAnsi="Arial"/>
          <w:sz w:val="22"/>
          <w:szCs w:val="22"/>
          <w:b w:val="1"/>
          <w:bCs w:val="1"/>
          <w:color w:val="auto"/>
        </w:rPr>
        <w:t xml:space="preserve"> </w:t>
      </w:r>
      <w:r>
        <w:rPr>
          <w:rFonts w:ascii="Arial" w:cs="Arial" w:eastAsia="Arial" w:hAnsi="Arial"/>
          <w:sz w:val="22"/>
          <w:szCs w:val="22"/>
          <w:color w:val="auto"/>
        </w:rPr>
        <w:t>older, you are being informed that you have or may have specific rights and/or claims under the Age Discrimination in Employment Act of 1967 (“ADEA”) and you agree that:</w:t>
      </w:r>
    </w:p>
    <w:p>
      <w:pPr>
        <w:spacing w:after="0" w:line="176" w:lineRule="exact"/>
        <w:rPr>
          <w:rFonts w:ascii="Arial" w:cs="Arial" w:eastAsia="Arial" w:hAnsi="Arial"/>
          <w:sz w:val="22"/>
          <w:szCs w:val="22"/>
          <w:b w:val="1"/>
          <w:bCs w:val="1"/>
          <w:color w:val="auto"/>
        </w:rPr>
      </w:pPr>
    </w:p>
    <w:p>
      <w:pPr>
        <w:jc w:val="both"/>
        <w:ind w:right="300" w:firstLine="656"/>
        <w:spacing w:after="0" w:line="320" w:lineRule="auto"/>
        <w:tabs>
          <w:tab w:leader="none" w:pos="1068" w:val="left"/>
        </w:tabs>
        <w:numPr>
          <w:ilvl w:val="1"/>
          <w:numId w:val="78"/>
        </w:numPr>
        <w:rPr>
          <w:rFonts w:ascii="Arial" w:cs="Arial" w:eastAsia="Arial" w:hAnsi="Arial"/>
          <w:sz w:val="19"/>
          <w:szCs w:val="19"/>
          <w:color w:val="auto"/>
        </w:rPr>
      </w:pPr>
      <w:r>
        <w:rPr>
          <w:rFonts w:ascii="Arial" w:cs="Arial" w:eastAsia="Arial" w:hAnsi="Arial"/>
          <w:sz w:val="19"/>
          <w:szCs w:val="19"/>
          <w:color w:val="auto"/>
        </w:rPr>
        <w:t>in consideration for the amounts and benefits described in Section 2 of this Agreement, which you are not otherwise entitled to receive, you specifically and voluntarily waive such rights and/or claims under the ADEA you might have against the Company Releasees to the extent such rights and/or claims arose prior to the date this Agreement was executed;</w:t>
      </w:r>
    </w:p>
    <w:p>
      <w:pPr>
        <w:spacing w:after="0" w:line="125" w:lineRule="exact"/>
        <w:rPr>
          <w:rFonts w:ascii="Arial" w:cs="Arial" w:eastAsia="Arial" w:hAnsi="Arial"/>
          <w:sz w:val="19"/>
          <w:szCs w:val="19"/>
          <w:color w:val="auto"/>
        </w:rPr>
      </w:pPr>
    </w:p>
    <w:p>
      <w:pPr>
        <w:ind w:firstLine="656"/>
        <w:spacing w:after="0" w:line="276" w:lineRule="auto"/>
        <w:tabs>
          <w:tab w:leader="none" w:pos="10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you understand that rights or claims under the ADEA which may arise after the date this Agreement is executed are not waived by you;</w:t>
      </w:r>
    </w:p>
    <w:p>
      <w:pPr>
        <w:spacing w:after="0" w:line="160" w:lineRule="exact"/>
        <w:rPr>
          <w:rFonts w:ascii="Arial" w:cs="Arial" w:eastAsia="Arial" w:hAnsi="Arial"/>
          <w:sz w:val="22"/>
          <w:szCs w:val="22"/>
          <w:color w:val="auto"/>
        </w:rPr>
      </w:pPr>
    </w:p>
    <w:p>
      <w:pPr>
        <w:ind w:right="200" w:firstLine="656"/>
        <w:spacing w:after="0" w:line="276" w:lineRule="auto"/>
        <w:tabs>
          <w:tab w:leader="none" w:pos="1068" w:val="left"/>
        </w:tabs>
        <w:numPr>
          <w:ilvl w:val="1"/>
          <w:numId w:val="78"/>
        </w:numPr>
        <w:rPr>
          <w:rFonts w:ascii="Arial" w:cs="Arial" w:eastAsia="Arial" w:hAnsi="Arial"/>
          <w:sz w:val="22"/>
          <w:szCs w:val="22"/>
          <w:color w:val="auto"/>
        </w:rPr>
      </w:pPr>
      <w:r>
        <w:rPr>
          <w:rFonts w:ascii="Arial" w:cs="Arial" w:eastAsia="Arial" w:hAnsi="Arial"/>
          <w:sz w:val="22"/>
          <w:szCs w:val="22"/>
          <w:color w:val="auto"/>
        </w:rPr>
        <w:t>you are advised to consider the terms of this Agreement carefully and consult with or seek advice from an attorney of your choice or any other person of your choosing prior to executing this Agreement; and</w:t>
      </w:r>
    </w:p>
    <w:p>
      <w:pPr>
        <w:spacing w:after="0" w:line="160" w:lineRule="exact"/>
        <w:rPr>
          <w:rFonts w:ascii="Arial" w:cs="Arial" w:eastAsia="Arial" w:hAnsi="Arial"/>
          <w:sz w:val="22"/>
          <w:szCs w:val="22"/>
          <w:color w:val="auto"/>
        </w:rPr>
      </w:pPr>
    </w:p>
    <w:p>
      <w:pPr>
        <w:ind w:right="940" w:firstLine="656"/>
        <w:spacing w:after="0" w:line="276" w:lineRule="auto"/>
        <w:tabs>
          <w:tab w:leader="none" w:pos="10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you have carefully read and fully understand all of the provisions of this Agreement, and you knowingly and voluntarily agree to all of the terms set forth in this Agreement.</w:t>
      </w:r>
    </w:p>
    <w:p>
      <w:pPr>
        <w:spacing w:after="0" w:line="154" w:lineRule="exact"/>
        <w:rPr>
          <w:rFonts w:ascii="Arial" w:cs="Arial" w:eastAsia="Arial" w:hAnsi="Arial"/>
          <w:sz w:val="22"/>
          <w:szCs w:val="22"/>
          <w:color w:val="auto"/>
        </w:rPr>
      </w:pPr>
    </w:p>
    <w:p>
      <w:pPr>
        <w:ind w:left="360" w:hanging="352"/>
        <w:spacing w:after="0"/>
        <w:tabs>
          <w:tab w:leader="none" w:pos="36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Period for Review and Consideration of Agreement</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b w:val="1"/>
          <w:bCs w:val="1"/>
          <w:color w:val="auto"/>
        </w:rPr>
      </w:pPr>
    </w:p>
    <w:p>
      <w:pPr>
        <w:ind w:firstLine="656"/>
        <w:spacing w:after="0" w:line="276" w:lineRule="auto"/>
        <w:tabs>
          <w:tab w:leader="none" w:pos="1068" w:val="left"/>
        </w:tabs>
        <w:numPr>
          <w:ilvl w:val="1"/>
          <w:numId w:val="78"/>
        </w:numPr>
        <w:rPr>
          <w:rFonts w:ascii="Arial" w:cs="Arial" w:eastAsia="Arial" w:hAnsi="Arial"/>
          <w:sz w:val="22"/>
          <w:szCs w:val="22"/>
          <w:color w:val="auto"/>
        </w:rPr>
      </w:pPr>
      <w:r>
        <w:rPr>
          <w:rFonts w:ascii="Arial" w:cs="Arial" w:eastAsia="Arial" w:hAnsi="Arial"/>
          <w:sz w:val="22"/>
          <w:szCs w:val="22"/>
          <w:color w:val="auto"/>
        </w:rPr>
        <w:t>You acknowledge that you were informed and understand that you have twenty-one (21) days to review this Agreement and consider its terms before signing it (the “Review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109" w:name="page110"/>
    <w:bookmarkEnd w:id="109"/>
    <w:p>
      <w:pPr>
        <w:ind w:right="340" w:firstLine="656"/>
        <w:spacing w:after="0" w:line="276" w:lineRule="auto"/>
        <w:tabs>
          <w:tab w:leader="none" w:pos="10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Review Period will not be affected or extended by any revisions, whether material or immaterial, that might be made to this Agreement.</w:t>
      </w:r>
    </w:p>
    <w:p>
      <w:pPr>
        <w:spacing w:after="0" w:line="154" w:lineRule="exact"/>
        <w:rPr>
          <w:rFonts w:ascii="Arial" w:cs="Arial" w:eastAsia="Arial" w:hAnsi="Arial"/>
          <w:sz w:val="22"/>
          <w:szCs w:val="22"/>
          <w:color w:val="auto"/>
        </w:rPr>
      </w:pPr>
    </w:p>
    <w:p>
      <w:pPr>
        <w:ind w:firstLine="8"/>
        <w:spacing w:after="0" w:line="292" w:lineRule="auto"/>
        <w:tabs>
          <w:tab w:leader="none" w:pos="342"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Return of Company Property; Reaffirmation of Post-Employment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that on or before the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Date you have returned all Company owned equipment, materials, confidential information and any other property. You have signed one or more agreements with the Company and Hittite Microwave Corporation containing confidentiality and assignment of invention obligations and other restrictive covenants (collectively the “Employee Confidentiality and Developments Agreement”). You agree to abide by the agreement(s) that you signed and further agree that you will not use or disclose the Company’s confidential or proprietary information after the Retirement Date. For avoidance of doubt, and as set forth in Section 3(e) above, nothing in this Agreement or any other agreement prohibits you from reporting possible violations of state or federal law or regulation to any government agency or entity, or making other disclosures that are protected under the whistleblower provisions of state or federal law or regulation. You are not required to notify ADI that you have made any such reports or disclosures.</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Other than as permitted in Section 3(e), you agree that if the Company determines that you have misappropriated confidential or proprietary information, it is a material breach of this Agreement and the Company has the right to cease paying you any and all severance or severance-related benefits, but that, nonetheless, you will remain bound by the release provisions set out in Sections 3, 4 and 5 of this Agreement.</w:t>
      </w:r>
    </w:p>
    <w:p>
      <w:pPr>
        <w:spacing w:after="0" w:line="182"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Future Conduct</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b w:val="1"/>
          <w:bCs w:val="1"/>
          <w:color w:val="auto"/>
        </w:rPr>
      </w:pPr>
    </w:p>
    <w:p>
      <w:pPr>
        <w:ind w:right="220" w:firstLine="656"/>
        <w:spacing w:after="0" w:line="260" w:lineRule="auto"/>
        <w:tabs>
          <w:tab w:leader="none" w:pos="1068"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Other than as permitted in Section 3(e), you agree not to make disparaging, critical or otherwise detrimental comments to any person or entity concerning the products, services or programs provided by the Company or under development by the Company at the time of your departure.</w:t>
      </w:r>
    </w:p>
    <w:p>
      <w:pPr>
        <w:spacing w:after="0" w:line="177" w:lineRule="exact"/>
        <w:rPr>
          <w:rFonts w:ascii="Arial" w:cs="Arial" w:eastAsia="Arial" w:hAnsi="Arial"/>
          <w:sz w:val="22"/>
          <w:szCs w:val="22"/>
          <w:color w:val="auto"/>
        </w:rPr>
      </w:pPr>
    </w:p>
    <w:p>
      <w:pPr>
        <w:ind w:right="500" w:firstLine="656"/>
        <w:spacing w:after="0" w:line="251" w:lineRule="auto"/>
        <w:tabs>
          <w:tab w:leader="none" w:pos="1080"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Confidentiality of this Agreement</w:t>
      </w:r>
      <w:r>
        <w:rPr>
          <w:rFonts w:ascii="Arial" w:cs="Arial" w:eastAsia="Arial" w:hAnsi="Arial"/>
          <w:sz w:val="22"/>
          <w:szCs w:val="22"/>
          <w:color w:val="auto"/>
        </w:rPr>
        <w:t>: Other than as permitted in Section 3(e), you agree that you will not disclose, divulge or publish, directly or indirectly, any information regarding the financial terms of this Agreement to any person or organization other than (i) your immediate family, (ii) your accountants or attorneys when such disclosure is necessary for the accountants or attorneys to render professional services, (iii) the taxing authorities, (iv) the state unemployment compensation agency; or (v) when otherwise compelled by law.</w:t>
      </w:r>
    </w:p>
    <w:p>
      <w:pPr>
        <w:spacing w:after="0" w:line="183" w:lineRule="exact"/>
        <w:rPr>
          <w:rFonts w:ascii="Arial" w:cs="Arial" w:eastAsia="Arial" w:hAnsi="Arial"/>
          <w:sz w:val="22"/>
          <w:szCs w:val="22"/>
          <w:color w:val="auto"/>
        </w:rPr>
      </w:pPr>
    </w:p>
    <w:p>
      <w:pPr>
        <w:ind w:left="360" w:hanging="352"/>
        <w:spacing w:after="0"/>
        <w:tabs>
          <w:tab w:leader="none" w:pos="3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b w:val="1"/>
          <w:bCs w:val="1"/>
          <w:color w:val="auto"/>
        </w:rPr>
      </w:pPr>
    </w:p>
    <w:p>
      <w:pPr>
        <w:ind w:right="20" w:firstLine="656"/>
        <w:spacing w:after="0" w:line="300" w:lineRule="auto"/>
        <w:tabs>
          <w:tab w:leader="none" w:pos="1068" w:val="left"/>
        </w:tabs>
        <w:numPr>
          <w:ilvl w:val="1"/>
          <w:numId w:val="81"/>
        </w:numPr>
        <w:rPr>
          <w:rFonts w:ascii="Arial" w:cs="Arial" w:eastAsia="Arial" w:hAnsi="Arial"/>
          <w:sz w:val="19"/>
          <w:szCs w:val="19"/>
          <w:color w:val="auto"/>
        </w:rPr>
      </w:pPr>
      <w:r>
        <w:rPr>
          <w:rFonts w:ascii="Arial" w:cs="Arial" w:eastAsia="Arial" w:hAnsi="Arial"/>
          <w:sz w:val="19"/>
          <w:szCs w:val="19"/>
          <w:color w:val="auto"/>
        </w:rPr>
        <w:t>You agree that this Agreement satisfies any and all obligations to you under the letter agreement between the Company and you dated June 13, 2017 and the Employment Agreement (as amended to date and defined in that letter agreement), and you agree that such agreements no longer have force and effect other than any restrictive covenants and the requirements of compliance with Section 409A as contained therein. This Agreement sets forth the complete and sole agreement between the parties regarding the subject matter addressed in this document and supersedes any and all other agreements or understandings whether oral or</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375" w:right="259" w:bottom="1440" w:gutter="0" w:footer="0" w:header="0"/>
        </w:sectPr>
      </w:pPr>
    </w:p>
    <w:bookmarkStart w:id="110" w:name="page111"/>
    <w:bookmarkEnd w:id="110"/>
    <w:p>
      <w:pPr>
        <w:ind w:right="40"/>
        <w:spacing w:after="0" w:line="248" w:lineRule="auto"/>
        <w:rPr>
          <w:sz w:val="20"/>
          <w:szCs w:val="20"/>
          <w:color w:val="auto"/>
        </w:rPr>
      </w:pPr>
      <w:r>
        <w:rPr>
          <w:rFonts w:ascii="Arial" w:cs="Arial" w:eastAsia="Arial" w:hAnsi="Arial"/>
          <w:sz w:val="22"/>
          <w:szCs w:val="22"/>
          <w:color w:val="auto"/>
        </w:rPr>
        <w:t>written, regarding the subject matter addressed in this document, except as referenced in the preceding sentence or the Employee Confidentiality and Developments Agreement and any stock award agreements between you and the Company, each of which will remain in full force and effect in accordance with their respective terms. This Agreement may not be changed, amended, modified, altered or rescinded except upon the express written consent of either the Company’s Chief Financial Officer or the Company’s Chief Legal Officer and you.</w:t>
      </w:r>
    </w:p>
    <w:p>
      <w:pPr>
        <w:spacing w:after="0" w:line="192" w:lineRule="exact"/>
        <w:rPr>
          <w:sz w:val="20"/>
          <w:szCs w:val="20"/>
          <w:color w:val="auto"/>
        </w:rPr>
      </w:pPr>
    </w:p>
    <w:p>
      <w:pPr>
        <w:ind w:firstLine="656"/>
        <w:spacing w:after="0" w:line="254" w:lineRule="auto"/>
        <w:tabs>
          <w:tab w:leader="none" w:pos="10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If any provision of this Agreement is held invalid, void or voidable as against public policy or otherwise, the invalidity will not affect other provisions which may be given effect without the invalid provision. To this extent, the provisions of this Agreement are declared to be severable. The language of all parts of this Agreement will in all cases be construed according to its fair meaning and not strictly for or against either of the parties.</w:t>
      </w:r>
    </w:p>
    <w:p>
      <w:pPr>
        <w:spacing w:after="0" w:line="185" w:lineRule="exact"/>
        <w:rPr>
          <w:rFonts w:ascii="Arial" w:cs="Arial" w:eastAsia="Arial" w:hAnsi="Arial"/>
          <w:sz w:val="22"/>
          <w:szCs w:val="22"/>
          <w:color w:val="auto"/>
        </w:rPr>
      </w:pPr>
    </w:p>
    <w:p>
      <w:pPr>
        <w:ind w:right="60" w:firstLine="656"/>
        <w:spacing w:after="0" w:line="276" w:lineRule="auto"/>
        <w:tabs>
          <w:tab w:leader="none" w:pos="1068" w:val="left"/>
        </w:tabs>
        <w:numPr>
          <w:ilvl w:val="1"/>
          <w:numId w:val="82"/>
        </w:numPr>
        <w:rPr>
          <w:rFonts w:ascii="Arial" w:cs="Arial" w:eastAsia="Arial" w:hAnsi="Arial"/>
          <w:sz w:val="22"/>
          <w:szCs w:val="22"/>
          <w:color w:val="auto"/>
        </w:rPr>
      </w:pPr>
      <w:r>
        <w:rPr>
          <w:rFonts w:ascii="Arial" w:cs="Arial" w:eastAsia="Arial" w:hAnsi="Arial"/>
          <w:sz w:val="22"/>
          <w:szCs w:val="22"/>
          <w:color w:val="auto"/>
        </w:rPr>
        <w:t>You may not assign any of your rights or delegate any of your duties under this Agreement. The rights and obligations of the Company will inure to the benefit of the Company’s successors and assigns.</w:t>
      </w:r>
    </w:p>
    <w:p>
      <w:pPr>
        <w:spacing w:after="0" w:line="154" w:lineRule="exact"/>
        <w:rPr>
          <w:rFonts w:ascii="Arial" w:cs="Arial" w:eastAsia="Arial" w:hAnsi="Arial"/>
          <w:sz w:val="22"/>
          <w:szCs w:val="22"/>
          <w:color w:val="auto"/>
        </w:rPr>
      </w:pPr>
    </w:p>
    <w:p>
      <w:pPr>
        <w:ind w:right="20" w:firstLine="8"/>
        <w:spacing w:after="0" w:line="309" w:lineRule="auto"/>
        <w:tabs>
          <w:tab w:leader="none" w:pos="450"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You may revoke this Agreement for a period of seven (7) days after signing it. In order to revoke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you must submit a written notice of revocation to Kevin Lanouette, Assistant General Counsel, Analog Devices, Inc., One Technology Way, Norwood, MA 02062 (email: kevin.lanouette@analog.com). This written notice may be sent by mail, email, overnight mail or hand-delivery but must be received no later than the close of business on the seventh day.</w:t>
      </w:r>
    </w:p>
    <w:p>
      <w:pPr>
        <w:spacing w:after="0" w:line="130" w:lineRule="exact"/>
        <w:rPr>
          <w:rFonts w:ascii="Arial" w:cs="Arial" w:eastAsia="Arial" w:hAnsi="Arial"/>
          <w:sz w:val="19"/>
          <w:szCs w:val="19"/>
          <w:b w:val="1"/>
          <w:bCs w:val="1"/>
          <w:color w:val="auto"/>
        </w:rPr>
      </w:pPr>
    </w:p>
    <w:p>
      <w:pPr>
        <w:ind w:left="5340"/>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 * * * *</w:t>
      </w: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60"/>
          </w:cols>
          <w:pgMar w:left="240" w:top="375" w:right="299" w:bottom="1440" w:gutter="0" w:footer="0" w:header="0"/>
        </w:sectPr>
      </w:pPr>
    </w:p>
    <w:bookmarkStart w:id="111" w:name="page112"/>
    <w:bookmarkEnd w:id="111"/>
    <w:p>
      <w:pPr>
        <w:spacing w:after="0" w:line="343" w:lineRule="auto"/>
        <w:rPr>
          <w:sz w:val="20"/>
          <w:szCs w:val="20"/>
          <w:color w:val="auto"/>
        </w:rPr>
      </w:pPr>
      <w:r>
        <w:rPr>
          <w:rFonts w:ascii="Arial" w:cs="Arial" w:eastAsia="Arial" w:hAnsi="Arial"/>
          <w:sz w:val="19"/>
          <w:szCs w:val="19"/>
          <w:color w:val="auto"/>
        </w:rPr>
        <w:t xml:space="preserve">If this letter correctly states the agreement and understanding we have reached, please indicate your acceptance by signing and returning to me. </w:t>
      </w:r>
      <w:r>
        <w:rPr>
          <w:rFonts w:ascii="Arial" w:cs="Arial" w:eastAsia="Arial" w:hAnsi="Arial"/>
          <w:sz w:val="19"/>
          <w:szCs w:val="19"/>
          <w:b w:val="1"/>
          <w:bCs w:val="1"/>
          <w:color w:val="auto"/>
        </w:rPr>
        <w:t>Please remember that you are not to sign or return this Agreement prior to your Retirement Date.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Inc.</w:t>
      </w:r>
    </w:p>
    <w:p>
      <w:pPr>
        <w:spacing w:after="0" w:line="200" w:lineRule="exact"/>
        <w:rPr>
          <w:sz w:val="20"/>
          <w:szCs w:val="20"/>
          <w:color w:val="auto"/>
        </w:rPr>
      </w:pPr>
    </w:p>
    <w:p>
      <w:pPr>
        <w:spacing w:after="0" w:line="31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7735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1">
                      <a:extLst>
                        <a:ext uri="{28A0092B-C50C-407E-A947-70E740481C1C}"/>
                      </a:extLst>
                    </a:blip>
                    <a:srcRect/>
                    <a:stretch>
                      <a:fillRect/>
                    </a:stretch>
                  </pic:blipFill>
                  <pic:spPr bwMode="auto">
                    <a:xfrm>
                      <a:off x="0" y="0"/>
                      <a:ext cx="1773555" cy="8890"/>
                    </a:xfrm>
                    <a:prstGeom prst="rect">
                      <a:avLst/>
                    </a:prstGeom>
                    <a:noFill/>
                  </pic:spPr>
                </pic:pic>
              </a:graphicData>
            </a:graphic>
          </wp:anchor>
        </w:drawing>
      </w:r>
    </w:p>
    <w:p>
      <w:pPr>
        <w:spacing w:after="0" w:line="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Margaret K. Seif</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Senior Vice President and Chief Legal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I REPRESENT THAT I HAVE READ THIS AGREEMENT, THAT I FULLY UNDERSTAND THE TERMS AND CONDITIONS OF THE AGREEMENT AND THAT I AM KNOWINGLY AND VOLUNTARILY EXECUTING THE AGREEMENT.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Rick D. Hess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Rick D. Hess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August 13, 2018</w:t>
      </w:r>
    </w:p>
    <w:p>
      <w:pPr>
        <w:spacing w:after="0" w:line="200" w:lineRule="exact"/>
        <w:rPr>
          <w:sz w:val="20"/>
          <w:szCs w:val="20"/>
          <w:color w:val="auto"/>
        </w:rPr>
      </w:pPr>
    </w:p>
    <w:p>
      <w:pPr>
        <w:spacing w:after="0" w:line="236"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940"/>
          </w:cols>
          <w:pgMar w:left="240" w:top="591" w:right="719" w:bottom="1440" w:gutter="0" w:footer="0" w:header="0"/>
        </w:sectPr>
      </w:pPr>
    </w:p>
    <w:bookmarkStart w:id="112" w:name="page113"/>
    <w:bookmarkEnd w:id="112"/>
    <w:p>
      <w:pPr>
        <w:spacing w:after="0" w:line="5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60" w:type="dxa"/>
            <w:vAlign w:val="bottom"/>
            <w:gridSpan w:val="3"/>
          </w:tcPr>
          <w:p>
            <w:pPr>
              <w:ind w:left="2160"/>
              <w:spacing w:after="0"/>
              <w:rPr>
                <w:sz w:val="20"/>
                <w:szCs w:val="20"/>
                <w:color w:val="auto"/>
              </w:rPr>
            </w:pPr>
            <w:r>
              <w:rPr>
                <w:rFonts w:ascii="Arial" w:cs="Arial" w:eastAsia="Arial" w:hAnsi="Arial"/>
                <w:sz w:val="20"/>
                <w:szCs w:val="20"/>
                <w:b w:val="1"/>
                <w:bCs w:val="1"/>
                <w:color w:val="auto"/>
                <w:w w:val="90"/>
              </w:rPr>
              <w:t>Exhibit 21</w:t>
            </w:r>
          </w:p>
        </w:tc>
      </w:tr>
      <w:tr>
        <w:trPr>
          <w:trHeight w:val="432"/>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40" w:type="dxa"/>
            <w:vAlign w:val="bottom"/>
          </w:tcPr>
          <w:p>
            <w:pPr>
              <w:jc w:val="center"/>
              <w:ind w:left="1261"/>
              <w:spacing w:after="0"/>
              <w:rPr>
                <w:sz w:val="20"/>
                <w:szCs w:val="20"/>
                <w:color w:val="auto"/>
              </w:rPr>
            </w:pPr>
            <w:r>
              <w:rPr>
                <w:rFonts w:ascii="Arial" w:cs="Arial" w:eastAsia="Arial" w:hAnsi="Arial"/>
                <w:sz w:val="20"/>
                <w:szCs w:val="20"/>
                <w:b w:val="1"/>
                <w:bCs w:val="1"/>
                <w:color w:val="auto"/>
                <w:w w:val="98"/>
              </w:rPr>
              <w:t>SUBSIDIARIES OF ANALOG DEVICES, INC.</w:t>
            </w: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40" w:type="dxa"/>
            <w:vAlign w:val="bottom"/>
          </w:tcPr>
          <w:p>
            <w:pPr>
              <w:jc w:val="center"/>
              <w:ind w:left="1261"/>
              <w:spacing w:after="0"/>
              <w:rPr>
                <w:sz w:val="20"/>
                <w:szCs w:val="20"/>
                <w:color w:val="auto"/>
              </w:rPr>
            </w:pPr>
            <w:r>
              <w:rPr>
                <w:rFonts w:ascii="Arial" w:cs="Arial" w:eastAsia="Arial" w:hAnsi="Arial"/>
                <w:sz w:val="20"/>
                <w:szCs w:val="20"/>
                <w:b w:val="1"/>
                <w:bCs w:val="1"/>
                <w:color w:val="auto"/>
                <w:w w:val="88"/>
              </w:rPr>
              <w:t>As of November 3, 2018</w:t>
            </w:r>
          </w:p>
        </w:tc>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590"/>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b w:val="1"/>
                <w:bCs w:val="1"/>
                <w:color w:val="auto"/>
              </w:rPr>
              <w:t>Name of Subsidiary</w:t>
            </w:r>
          </w:p>
        </w:tc>
        <w:tc>
          <w:tcPr>
            <w:tcW w:w="3080" w:type="dxa"/>
            <w:vAlign w:val="bottom"/>
            <w:tcBorders>
              <w:right w:val="single" w:sz="8" w:color="auto"/>
            </w:tcBorders>
            <w:gridSpan w:val="4"/>
          </w:tcPr>
          <w:p>
            <w:pPr>
              <w:ind w:left="20"/>
              <w:spacing w:after="0" w:line="209" w:lineRule="exact"/>
              <w:rPr>
                <w:sz w:val="20"/>
                <w:szCs w:val="20"/>
                <w:color w:val="auto"/>
              </w:rPr>
            </w:pPr>
            <w:r>
              <w:rPr>
                <w:rFonts w:ascii="Arial" w:cs="Arial" w:eastAsia="Arial" w:hAnsi="Arial"/>
                <w:sz w:val="20"/>
                <w:szCs w:val="20"/>
                <w:b w:val="1"/>
                <w:bCs w:val="1"/>
                <w:color w:val="auto"/>
              </w:rPr>
              <w:t>State or Other Jurisdiction of</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Borders>
              <w:right w:val="single" w:sz="8" w:color="auto"/>
            </w:tcBorders>
            <w:gridSpan w:val="3"/>
          </w:tcPr>
          <w:p>
            <w:pPr>
              <w:spacing w:after="0" w:line="209" w:lineRule="exact"/>
              <w:rPr>
                <w:sz w:val="20"/>
                <w:szCs w:val="20"/>
                <w:color w:val="auto"/>
              </w:rPr>
            </w:pPr>
            <w:r>
              <w:rPr>
                <w:rFonts w:ascii="Arial" w:cs="Arial" w:eastAsia="Arial" w:hAnsi="Arial"/>
                <w:sz w:val="20"/>
                <w:szCs w:val="20"/>
                <w:b w:val="1"/>
                <w:bCs w:val="1"/>
                <w:color w:val="auto"/>
              </w:rPr>
              <w:t>Incorporation or Organization</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66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5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Australia Pty.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Pty,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GMBH</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Bermuda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Bermuda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Canada,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Canada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(China) Co.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(Shanghai) Co.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A/S</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Denmark</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Limited Egypt LLC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Egypt</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(Finland) OY</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Finland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SAS</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GmbH</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India Private Limited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International U.C.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Global U.C.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Technology U.C.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Israel,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SRL</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Italy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K.K.</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Korea,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Korea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Sdn Bhd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Malaysia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Coöperatief, U.A.</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Holdings, B.V.</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Nederland, B.V.</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Norway AS</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(Philippines),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Gen. Trias,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Realty Holdings,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S.L.U.</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Spain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A.B.</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Sweden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Taiwan,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Taiwan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Mikroelektronik Sanayi Ve Ticaret Ltd. Sirketi</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Turkey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Limited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International,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Massachusetts,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Federal LLC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ADI Micromachines,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Hittite Microwave SARL</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Hittite Microwave India Pvt.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Hittite Microwave Norway AS</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Hittite Microwave LLC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HMC Netherlands, C.V.</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Innovasic,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Linear Technology Canada Corp.</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Canada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Linear Technology (Hangzhou) Analog IC Design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Linear Technology SARL</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Linear Technology GmbH</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Linear Technology Corporation Limited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Hong Kong</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Linear Technology Semiconductor India PTE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-8255</wp:posOffset>
            </wp:positionV>
            <wp:extent cx="8890" cy="10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10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-8255</wp:posOffset>
            </wp:positionV>
            <wp:extent cx="8890" cy="10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4">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ectPr>
          <w:pgSz w:w="11900" w:h="16897" w:orient="portrait"/>
          <w:cols w:equalWidth="0" w:num="1">
            <w:col w:w="11440"/>
          </w:cols>
          <w:pgMar w:left="240" w:top="360" w:right="219" w:bottom="0" w:gutter="0" w:footer="0" w:header="0"/>
        </w:sectPr>
      </w:pPr>
    </w:p>
    <w:bookmarkStart w:id="113" w:name="page114"/>
    <w:bookmarkEnd w:id="113"/>
    <w:tbl>
      <w:tblPr>
        <w:tblLayout w:type="fixed"/>
        <w:tblInd w:w="10" w:type="dxa"/>
        <w:tblCellMar>
          <w:top w:w="0" w:type="dxa"/>
          <w:left w:w="0" w:type="dxa"/>
          <w:bottom w:w="0" w:type="dxa"/>
          <w:right w:w="0" w:type="dxa"/>
        </w:tblCellMar>
      </w:tblPr>
      <w:tr>
        <w:trPr>
          <w:trHeight w:val="270"/>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(Israel) Ltd.</w:t>
            </w:r>
          </w:p>
        </w:tc>
        <w:tc>
          <w:tcPr>
            <w:tcW w:w="3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Israel</w:t>
            </w: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(Italy) Srl</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Italy</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GK</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KK</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Korea Co. Ltd.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Korea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Semiconductor Mexico S. de R.L. de C.V.</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Mexico</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PTE LTD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Singapore</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A.B.</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Sweden</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Taiwan Corporation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Taiwan</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(U.K.) Limited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LLC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Lyric Semiconductor, Inc.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Holding Company</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Holding LLC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Multigig, Inc.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OneTree Microdevices, Inc.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OtoSense Inc.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SNAP Sensor SA</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Symeo GmbH</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Symeo Sp. Z o.o.</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Poland</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140" w:right="21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23</w:t>
      </w:r>
    </w:p>
    <w:p>
      <w:pPr>
        <w:spacing w:after="0" w:line="260"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260" w:lineRule="exact"/>
        <w:rPr>
          <w:sz w:val="20"/>
          <w:szCs w:val="20"/>
          <w:color w:val="auto"/>
        </w:rPr>
      </w:pPr>
    </w:p>
    <w:p>
      <w:pPr>
        <w:jc w:val="both"/>
        <w:ind w:left="660" w:hanging="328"/>
        <w:spacing w:after="0" w:line="248" w:lineRule="auto"/>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Registration Statements on Form S-8 (Nos. 2-63561, 2-90023, 33-4067, 33-22604, 33-22605, 33-29484, 33-39851, 33-39852, 33-46521, 33-60642, 33-60696, 33-61427, 33-64849, 333-04771, 333-04819, 333-04821, 333-47787, 333-47789, 333-48243, 333-57444, 333-69359, 333-79551, 333-87055, 333-40224, 333-40222, 333-50092, 333-53314, 333-53828, 333-75170, 333-113510, 333-132409, 333-156309, 333-163653, 333-181951, 333-194556, 333-213454 and 333-216696) of Analog Devices, Inc.,</w:t>
      </w:r>
    </w:p>
    <w:p>
      <w:pPr>
        <w:spacing w:after="0" w:line="232"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Registration Statements on Form S-3 (Nos. 333-08505, 333-08509, 333-17651, 333-87053, 333-48928, 333-51530, 333-53660, 333-160215, 333-183490, 333-207043 and 333-225652) of Analog Devices, Inc., and</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Registration Statement on Form S-4 (No. 333-213454) of Analog Devices, Inc. and in the related Prospectus;</w:t>
      </w:r>
    </w:p>
    <w:p>
      <w:pPr>
        <w:spacing w:after="0" w:line="200" w:lineRule="exact"/>
        <w:rPr>
          <w:sz w:val="20"/>
          <w:szCs w:val="20"/>
          <w:color w:val="auto"/>
        </w:rPr>
      </w:pPr>
    </w:p>
    <w:p>
      <w:pPr>
        <w:spacing w:after="0" w:line="276"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of our reports dated November 27, 2018, with respect to the consolidated financial statements and schedule of Analog Devices, Inc. and the effectiveness of internal control over financial reporting of Analog Devices, Inc. included in this Annual Report (Form 10-</w:t>
      </w:r>
    </w:p>
    <w:p>
      <w:pPr>
        <w:spacing w:after="0" w:line="1" w:lineRule="exact"/>
        <w:rPr>
          <w:sz w:val="20"/>
          <w:szCs w:val="20"/>
          <w:color w:val="auto"/>
        </w:rPr>
      </w:pPr>
    </w:p>
    <w:p>
      <w:pPr>
        <w:ind w:right="5720" w:firstLine="8"/>
        <w:spacing w:after="0" w:line="478" w:lineRule="auto"/>
        <w:tabs>
          <w:tab w:leader="none" w:pos="282" w:val="left"/>
        </w:tabs>
        <w:numPr>
          <w:ilvl w:val="0"/>
          <w:numId w:val="85"/>
        </w:numPr>
        <w:rPr>
          <w:rFonts w:ascii="Arial" w:cs="Arial" w:eastAsia="Arial" w:hAnsi="Arial"/>
          <w:sz w:val="22"/>
          <w:szCs w:val="22"/>
          <w:color w:val="auto"/>
        </w:rPr>
      </w:pPr>
      <w:r>
        <w:rPr>
          <w:rFonts w:ascii="Arial" w:cs="Arial" w:eastAsia="Arial" w:hAnsi="Arial"/>
          <w:sz w:val="22"/>
          <w:szCs w:val="22"/>
          <w:color w:val="auto"/>
        </w:rPr>
        <w:t>of Analog Devices, Inc. for the year ended November 3, 2018. /s/ Ernst &amp; Young LLP</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November 27, 2018</w:t>
      </w:r>
    </w:p>
    <w:p>
      <w:pPr>
        <w:sectPr>
          <w:pgSz w:w="11900" w:h="16838" w:orient="portrait"/>
          <w:cols w:equalWidth="0" w:num="1">
            <w:col w:w="11420"/>
          </w:cols>
          <w:pgMar w:left="240" w:top="369"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171" w:lineRule="exact"/>
        <w:rPr>
          <w:sz w:val="20"/>
          <w:szCs w:val="20"/>
          <w:color w:val="auto"/>
        </w:rPr>
      </w:pPr>
    </w:p>
    <w:p>
      <w:pPr>
        <w:ind w:left="520" w:hanging="188"/>
        <w:spacing w:after="0"/>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500" w:right="180" w:firstLine="318"/>
        <w:spacing w:after="0" w:line="264" w:lineRule="auto"/>
        <w:tabs>
          <w:tab w:leader="none" w:pos="100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500" w:right="400" w:firstLine="318"/>
        <w:spacing w:after="0" w:line="264" w:lineRule="auto"/>
        <w:tabs>
          <w:tab w:leader="none" w:pos="101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500" w:right="720" w:firstLine="318"/>
        <w:spacing w:after="0" w:line="342" w:lineRule="auto"/>
        <w:tabs>
          <w:tab w:leader="none" w:pos="1009"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500" w:right="180" w:firstLine="318"/>
        <w:spacing w:after="0" w:line="264" w:lineRule="auto"/>
        <w:tabs>
          <w:tab w:leader="none" w:pos="101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500" w:right="100" w:firstLine="318"/>
        <w:spacing w:after="0" w:line="277" w:lineRule="auto"/>
        <w:tabs>
          <w:tab w:leader="none" w:pos="100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500" w:right="60" w:firstLine="318"/>
        <w:spacing w:after="0" w:line="277" w:lineRule="auto"/>
        <w:tabs>
          <w:tab w:leader="none" w:pos="101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83185</wp:posOffset>
            </wp:positionV>
            <wp:extent cx="40563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5">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Vincent Roche</w:t>
      </w:r>
    </w:p>
    <w:p>
      <w:pPr>
        <w:spacing w:after="0" w:line="14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27, 2018</w:t>
      </w:r>
    </w:p>
    <w:p>
      <w:pPr>
        <w:sectPr>
          <w:pgSz w:w="11900" w:h="16838" w:orient="portrait"/>
          <w:cols w:equalWidth="0" w:num="1">
            <w:col w:w="11420"/>
          </w:cols>
          <w:pgMar w:left="240" w:top="202"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171" w:lineRule="exact"/>
        <w:rPr>
          <w:sz w:val="20"/>
          <w:szCs w:val="20"/>
          <w:color w:val="auto"/>
        </w:rPr>
      </w:pPr>
    </w:p>
    <w:p>
      <w:pPr>
        <w:ind w:left="520" w:hanging="188"/>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500" w:right="180" w:firstLine="318"/>
        <w:spacing w:after="0" w:line="264" w:lineRule="auto"/>
        <w:tabs>
          <w:tab w:leader="none" w:pos="1009"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500" w:right="400" w:firstLine="318"/>
        <w:spacing w:after="0" w:line="264" w:lineRule="auto"/>
        <w:tabs>
          <w:tab w:leader="none" w:pos="1019"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500" w:right="720" w:firstLine="318"/>
        <w:spacing w:after="0" w:line="342" w:lineRule="auto"/>
        <w:tabs>
          <w:tab w:leader="none" w:pos="1009"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500" w:right="180" w:firstLine="318"/>
        <w:spacing w:after="0" w:line="264" w:lineRule="auto"/>
        <w:tabs>
          <w:tab w:leader="none" w:pos="1019"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500" w:right="100" w:firstLine="318"/>
        <w:spacing w:after="0" w:line="277" w:lineRule="auto"/>
        <w:tabs>
          <w:tab w:leader="none" w:pos="1009"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500" w:right="60" w:firstLine="318"/>
        <w:spacing w:after="0" w:line="277" w:lineRule="auto"/>
        <w:tabs>
          <w:tab w:leader="none" w:pos="1019"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83185</wp:posOffset>
            </wp:positionV>
            <wp:extent cx="40563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6">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3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Senior Vice President, Finance</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Financial Officer)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27, 2018</w:t>
      </w:r>
    </w:p>
    <w:p>
      <w:pPr>
        <w:sectPr>
          <w:pgSz w:w="11900" w:h="16838" w:orient="portrait"/>
          <w:cols w:equalWidth="0" w:num="1">
            <w:col w:w="11420"/>
          </w:cols>
          <w:pgMar w:left="240" w:top="202"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November 3, 2018 as filed with the Securities and Exchange Commission on the date hereof (the “Report”), the undersigned, Vincent Roche, Chief Executive Officer of the Company, hereby certifies, pursuant to 18 U.S.C. Section 1350, that:</w:t>
      </w:r>
    </w:p>
    <w:p>
      <w:pPr>
        <w:spacing w:after="0" w:line="127" w:lineRule="exact"/>
        <w:rPr>
          <w:sz w:val="20"/>
          <w:szCs w:val="20"/>
          <w:color w:val="auto"/>
        </w:rPr>
      </w:pPr>
    </w:p>
    <w:p>
      <w:pPr>
        <w:ind w:left="920" w:hanging="264"/>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83185</wp:posOffset>
            </wp:positionV>
            <wp:extent cx="3910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Vincent Roche</w:t>
      </w:r>
    </w:p>
    <w:p>
      <w:pPr>
        <w:spacing w:after="0" w:line="1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27, 2018</w:t>
      </w:r>
    </w:p>
    <w:p>
      <w:pPr>
        <w:sectPr>
          <w:pgSz w:w="11900" w:h="16838" w:orient="portrait"/>
          <w:cols w:equalWidth="0" w:num="1">
            <w:col w:w="11420"/>
          </w:cols>
          <w:pgMar w:left="240" w:top="202"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November 3, 2018 as filed with the Securities and Exchange Commission on the date hereof (the “Report”), the undersigned, Prashanth Mahendra-Rajah, Chief Financial Officer of the Company, hereby certifies, pursuant to 18 U.S.C. Section 1350, that:</w:t>
      </w:r>
    </w:p>
    <w:p>
      <w:pPr>
        <w:spacing w:after="0" w:line="127" w:lineRule="exact"/>
        <w:rPr>
          <w:sz w:val="20"/>
          <w:szCs w:val="20"/>
          <w:color w:val="auto"/>
        </w:rPr>
      </w:pPr>
    </w:p>
    <w:p>
      <w:pPr>
        <w:ind w:left="920" w:hanging="264"/>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83185</wp:posOffset>
            </wp:positionV>
            <wp:extent cx="3910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Prashanth Mahendra-Rajah</w:t>
      </w:r>
    </w:p>
    <w:p>
      <w:pPr>
        <w:spacing w:after="0" w:line="1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27, 2018</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o"/>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1)"/>
      <w:numFmt w:val="lowerLetter"/>
      <w:start w:val="1"/>
    </w:lvl>
  </w:abstractNum>
  <w:abstractNum w:abstractNumId="11">
    <w:nsid w:val="3DC240FB"/>
    <w:multiLevelType w:val="hybridMultilevel"/>
    <w:lvl w:ilvl="0">
      <w:lvlJc w:val="left"/>
      <w:lvlText w:val="(%1)"/>
      <w:numFmt w:val="lowerLetter"/>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1)"/>
      <w:numFmt w:val="lowerLetter"/>
      <w:start w:val="1"/>
    </w:lvl>
  </w:abstractNum>
  <w:abstractNum w:abstractNumId="14">
    <w:nsid w:val="75C6C33A"/>
    <w:multiLevelType w:val="hybridMultilevel"/>
    <w:lvl w:ilvl="0">
      <w:lvlJc w:val="left"/>
      <w:lvlText w:val="\endash "/>
      <w:numFmt w:val="bullet"/>
      <w:start w:val="1"/>
    </w:lvl>
  </w:abstractNum>
  <w:abstractNum w:abstractNumId="15">
    <w:nsid w:val="12E685FB"/>
    <w:multiLevelType w:val="hybridMultilevel"/>
    <w:lvl w:ilvl="0">
      <w:lvlJc w:val="left"/>
      <w:lvlText w:val="(%1)"/>
      <w:numFmt w:val="decimal"/>
      <w:start w:val="1"/>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1."/>
      <w:numFmt w:val="lowerLetter"/>
      <w:start w:val="1"/>
    </w:lvl>
  </w:abstractNum>
  <w:abstractNum w:abstractNumId="18">
    <w:nsid w:val="374A3FE6"/>
    <w:multiLevelType w:val="hybridMultilevel"/>
    <w:lvl w:ilvl="0">
      <w:lvlJc w:val="left"/>
      <w:lvlText w:val="%1."/>
      <w:numFmt w:val="lowerLetter"/>
      <w:start w:val="2"/>
    </w:lvl>
  </w:abstractNum>
  <w:abstractNum w:abstractNumId="19">
    <w:nsid w:val="4F4EF005"/>
    <w:multiLevelType w:val="hybridMultilevel"/>
    <w:lvl w:ilvl="0">
      <w:lvlJc w:val="left"/>
      <w:lvlText w:val="%1."/>
      <w:numFmt w:val="lowerLetter"/>
      <w:start w:val="3"/>
    </w:lvl>
  </w:abstractNum>
  <w:abstractNum w:abstractNumId="20">
    <w:nsid w:val="23F9C13C"/>
    <w:multiLevelType w:val="hybridMultilevel"/>
    <w:lvl w:ilvl="0">
      <w:lvlJc w:val="left"/>
      <w:lvlText w:val="%1."/>
      <w:numFmt w:val="lowerLetter"/>
      <w:start w:val="4"/>
    </w:lvl>
  </w:abstractNum>
  <w:abstractNum w:abstractNumId="21">
    <w:nsid w:val="649BB77C"/>
    <w:multiLevelType w:val="hybridMultilevel"/>
    <w:lvl w:ilvl="0">
      <w:lvlJc w:val="left"/>
      <w:lvlText w:val="%1."/>
      <w:numFmt w:val="lowerLetter"/>
      <w:start w:val="5"/>
    </w:lvl>
  </w:abstractNum>
  <w:abstractNum w:abstractNumId="22">
    <w:nsid w:val="275AC794"/>
    <w:multiLevelType w:val="hybridMultilevel"/>
    <w:lvl w:ilvl="0">
      <w:lvlJc w:val="left"/>
      <w:lvlText w:val="%1."/>
      <w:numFmt w:val="lowerLetter"/>
      <w:start w:val="6"/>
    </w:lvl>
  </w:abstractNum>
  <w:abstractNum w:abstractNumId="23">
    <w:nsid w:val="39386575"/>
    <w:multiLevelType w:val="hybridMultilevel"/>
    <w:lvl w:ilvl="0">
      <w:lvlJc w:val="left"/>
      <w:lvlText w:val="\endash "/>
      <w:numFmt w:val="bullet"/>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lowerLetter"/>
      <w:start w:val="7"/>
    </w:lvl>
  </w:abstractNum>
  <w:abstractNum w:abstractNumId="26">
    <w:nsid w:val="235BA861"/>
    <w:multiLevelType w:val="hybridMultilevel"/>
    <w:lvl w:ilvl="0">
      <w:lvlJc w:val="left"/>
      <w:lvlText w:val="%1."/>
      <w:numFmt w:val="lowerRoman"/>
      <w:start w:val="1"/>
    </w:lvl>
  </w:abstractNum>
  <w:abstractNum w:abstractNumId="27">
    <w:nsid w:val="47398C89"/>
    <w:multiLevelType w:val="hybridMultilevel"/>
    <w:lvl w:ilvl="0">
      <w:lvlJc w:val="left"/>
      <w:lvlText w:val="%1."/>
      <w:numFmt w:val="lowerLetter"/>
      <w:start w:val="10"/>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decimal"/>
      <w:start w:val="1"/>
    </w:lvl>
  </w:abstractNum>
  <w:abstractNum w:abstractNumId="30">
    <w:nsid w:val="741226BB"/>
    <w:multiLevelType w:val="hybridMultilevel"/>
    <w:lvl w:ilvl="0">
      <w:lvlJc w:val="left"/>
      <w:lvlText w:val="%1."/>
      <w:numFmt w:val="lowerLetter"/>
      <w:start w:val="11"/>
    </w:lvl>
  </w:abstractNum>
  <w:abstractNum w:abstractNumId="31">
    <w:nsid w:val="D34B6A8"/>
    <w:multiLevelType w:val="hybridMultilevel"/>
    <w:lvl w:ilvl="0">
      <w:lvlJc w:val="left"/>
      <w:lvlText w:val="%1."/>
      <w:numFmt w:val="lowerLetter"/>
      <w:start w:val="12"/>
    </w:lvl>
  </w:abstractNum>
  <w:abstractNum w:abstractNumId="32">
    <w:nsid w:val="10233C99"/>
    <w:multiLevelType w:val="hybridMultilevel"/>
    <w:lvl w:ilvl="0">
      <w:lvlJc w:val="left"/>
      <w:lvlText w:val="%1."/>
      <w:numFmt w:val="lowerLetter"/>
      <w:start w:val="15"/>
    </w:lvl>
  </w:abstractNum>
  <w:abstractNum w:abstractNumId="33">
    <w:nsid w:val="3F6AB60F"/>
    <w:multiLevelType w:val="hybridMultilevel"/>
    <w:lvl w:ilvl="0">
      <w:lvlJc w:val="left"/>
      <w:lvlText w:val="%1."/>
      <w:numFmt w:val="lowerLetter"/>
      <w:start w:val="16"/>
    </w:lvl>
  </w:abstractNum>
  <w:abstractNum w:abstractNumId="34">
    <w:nsid w:val="61574095"/>
    <w:multiLevelType w:val="hybridMultilevel"/>
    <w:lvl w:ilvl="0">
      <w:lvlJc w:val="left"/>
      <w:lvlText w:val="%1."/>
      <w:numFmt w:val="lowerLetter"/>
      <w:start w:val="17"/>
    </w:lvl>
  </w:abstractNum>
  <w:abstractNum w:abstractNumId="35">
    <w:nsid w:val="7E0C57B1"/>
    <w:multiLevelType w:val="hybridMultilevel"/>
    <w:lvl w:ilvl="0">
      <w:lvlJc w:val="left"/>
      <w:lvlText w:val="%1."/>
      <w:numFmt w:val="lowerLetter"/>
      <w:start w:val="18"/>
    </w:lvl>
  </w:abstractNum>
  <w:abstractNum w:abstractNumId="36">
    <w:nsid w:val="77AE35EB"/>
    <w:multiLevelType w:val="hybridMultilevel"/>
    <w:lvl w:ilvl="0">
      <w:lvlJc w:val="left"/>
      <w:lvlText w:val="%1."/>
      <w:numFmt w:val="lowerLetter"/>
      <w:start w:val="19"/>
    </w:lvl>
  </w:abstractNum>
  <w:abstractNum w:abstractNumId="37">
    <w:nsid w:val="579BE4F1"/>
    <w:multiLevelType w:val="hybridMultilevel"/>
    <w:lvl w:ilvl="0">
      <w:lvlJc w:val="left"/>
      <w:lvlText w:val="%1."/>
      <w:numFmt w:val="lowerLetter"/>
      <w:start w:val="20"/>
    </w:lvl>
  </w:abstractNum>
  <w:abstractNum w:abstractNumId="38">
    <w:nsid w:val="310C50B3"/>
    <w:multiLevelType w:val="hybridMultilevel"/>
    <w:lvl w:ilvl="0">
      <w:lvlJc w:val="left"/>
      <w:lvlText w:val="%1."/>
      <w:numFmt w:val="decimal"/>
      <w:start w:val="3"/>
    </w:lvl>
  </w:abstractNum>
  <w:abstractNum w:abstractNumId="39">
    <w:nsid w:val="5FF87E05"/>
    <w:multiLevelType w:val="hybridMultilevel"/>
    <w:lvl w:ilvl="0">
      <w:lvlJc w:val="left"/>
      <w:lvlText w:val="(%1)"/>
      <w:numFmt w:val="decimal"/>
      <w:start w:val="1"/>
    </w:lvl>
  </w:abstractNum>
  <w:abstractNum w:abstractNumId="40">
    <w:nsid w:val="2F305DEF"/>
    <w:multiLevelType w:val="hybridMultilevel"/>
    <w:lvl w:ilvl="0">
      <w:lvlJc w:val="left"/>
      <w:lvlText w:val="%1."/>
      <w:numFmt w:val="decimal"/>
      <w:start w:val="4"/>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1."/>
      <w:numFmt w:val="decimal"/>
      <w:start w:val="6"/>
    </w:lvl>
  </w:abstractNum>
  <w:abstractNum w:abstractNumId="43">
    <w:nsid w:val="4AD084E9"/>
    <w:multiLevelType w:val="hybridMultilevel"/>
    <w:lvl w:ilvl="0">
      <w:lvlJc w:val="left"/>
      <w:lvlText w:val="(%1)"/>
      <w:numFmt w:val="lowerLetter"/>
      <w:start w:val="2"/>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decimal"/>
      <w:start w:val="7"/>
    </w:lvl>
  </w:abstractNum>
  <w:abstractNum w:abstractNumId="46">
    <w:nsid w:val="5DB70AE5"/>
    <w:multiLevelType w:val="hybridMultilevel"/>
    <w:lvl w:ilvl="0">
      <w:lvlJc w:val="left"/>
      <w:lvlText w:val="%1."/>
      <w:numFmt w:val="decimal"/>
      <w:start w:val="8"/>
    </w:lvl>
  </w:abstractNum>
  <w:abstractNum w:abstractNumId="47">
    <w:nsid w:val="100F8FCA"/>
    <w:multiLevelType w:val="hybridMultilevel"/>
    <w:lvl w:ilvl="0">
      <w:lvlJc w:val="left"/>
      <w:lvlText w:val="%1."/>
      <w:numFmt w:val="decimal"/>
      <w:start w:val="9"/>
    </w:lvl>
  </w:abstractNum>
  <w:abstractNum w:abstractNumId="48">
    <w:nsid w:val="6590700B"/>
    <w:multiLevelType w:val="hybridMultilevel"/>
    <w:lvl w:ilvl="0">
      <w:lvlJc w:val="left"/>
      <w:lvlText w:val="%1."/>
      <w:numFmt w:val="decimal"/>
      <w:start w:val="10"/>
    </w:lvl>
  </w:abstractNum>
  <w:abstractNum w:abstractNumId="49">
    <w:nsid w:val="15014ACB"/>
    <w:multiLevelType w:val="hybridMultilevel"/>
    <w:lvl w:ilvl="0">
      <w:lvlJc w:val="left"/>
      <w:lvlText w:val="%1."/>
      <w:numFmt w:val="decimal"/>
      <w:start w:val="1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12"/>
    </w:lvl>
  </w:abstractNum>
  <w:abstractNum w:abstractNumId="52">
    <w:nsid w:val="799D0247"/>
    <w:multiLevelType w:val="hybridMultilevel"/>
    <w:lvl w:ilvl="0">
      <w:lvlJc w:val="left"/>
      <w:lvlText w:val="%1."/>
      <w:numFmt w:val="decimal"/>
      <w:start w:val="13"/>
    </w:lvl>
  </w:abstractNum>
  <w:abstractNum w:abstractNumId="53">
    <w:nsid w:val="6B94764"/>
    <w:multiLevelType w:val="hybridMultilevel"/>
    <w:lvl w:ilvl="0">
      <w:lvlJc w:val="left"/>
      <w:lvlText w:val="%1."/>
      <w:numFmt w:val="decimal"/>
      <w:start w:val="14"/>
    </w:lvl>
  </w:abstractNum>
  <w:abstractNum w:abstractNumId="54">
    <w:nsid w:val="42C296BD"/>
    <w:multiLevelType w:val="hybridMultilevel"/>
    <w:lvl w:ilvl="0">
      <w:lvlJc w:val="left"/>
      <w:lvlText w:val="%1."/>
      <w:numFmt w:val="decimal"/>
      <w:start w:val="15"/>
    </w:lvl>
  </w:abstractNum>
  <w:abstractNum w:abstractNumId="55">
    <w:nsid w:val="168E121F"/>
    <w:multiLevelType w:val="hybridMultilevel"/>
    <w:lvl w:ilvl="0">
      <w:lvlJc w:val="left"/>
      <w:lvlText w:val="%1)"/>
      <w:numFmt w:val="lowerLetter"/>
      <w:start w:val="1"/>
    </w:lvl>
  </w:abstractNum>
  <w:abstractNum w:abstractNumId="56">
    <w:nsid w:val="1EBA5D23"/>
    <w:multiLevelType w:val="hybridMultilevel"/>
    <w:lvl w:ilvl="0">
      <w:lvlJc w:val="left"/>
      <w:lvlText w:val="%1)"/>
      <w:numFmt w:val="lowerLetter"/>
      <w:start w:val="4"/>
    </w:lvl>
  </w:abstractNum>
  <w:abstractNum w:abstractNumId="57">
    <w:nsid w:val="661E3F1E"/>
    <w:multiLevelType w:val="hybridMultilevel"/>
    <w:lvl w:ilvl="0">
      <w:lvlJc w:val="left"/>
      <w:lvlText w:val="(%1)"/>
      <w:numFmt w:val="lowerLetter"/>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1)"/>
      <w:numFmt w:val="lowerLetter"/>
      <w:start w:val="3"/>
    </w:lvl>
  </w:abstractNum>
  <w:abstractNum w:abstractNumId="60">
    <w:nsid w:val="7BD3EE7B"/>
    <w:multiLevelType w:val="hybridMultilevel"/>
    <w:lvl w:ilvl="0">
      <w:lvlJc w:val="left"/>
      <w:lvlText w:val="(%1)"/>
      <w:numFmt w:val="lowerLetter"/>
      <w:start w:val="4"/>
    </w:lvl>
  </w:abstractNum>
  <w:abstractNum w:abstractNumId="61">
    <w:nsid w:val="51D9C564"/>
    <w:multiLevelType w:val="hybridMultilevel"/>
    <w:lvl w:ilvl="0">
      <w:lvlJc w:val="left"/>
      <w:lvlText w:val="(%1)"/>
      <w:numFmt w:val="lowerLetter"/>
      <w:start w:val="1"/>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1."/>
      <w:numFmt w:val="decimal"/>
      <w:start w:val="2"/>
    </w:lvl>
    <w:lvl w:ilvl="1">
      <w:lvlJc w:val="left"/>
      <w:lvlText w:val="\emdash "/>
      <w:numFmt w:val="bullet"/>
      <w:start w:val="1"/>
    </w:lvl>
  </w:abstractNum>
  <w:abstractNum w:abstractNumId="64">
    <w:nsid w:val="11447B73"/>
    <w:multiLevelType w:val="hybridMultilevel"/>
    <w:lvl w:ilvl="0">
      <w:lvlJc w:val="left"/>
      <w:lvlText w:val="%1."/>
      <w:numFmt w:val="decimal"/>
      <w:start w:val="3"/>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1)"/>
      <w:numFmt w:val="lowerRoman"/>
      <w:start w:val="4"/>
    </w:lvl>
  </w:abstractNum>
  <w:abstractNum w:abstractNumId="68">
    <w:nsid w:val="1A32234B"/>
    <w:multiLevelType w:val="hybridMultilevel"/>
    <w:lvl w:ilvl="0">
      <w:lvlJc w:val="left"/>
      <w:lvlText w:val="%1."/>
      <w:numFmt w:val="decimal"/>
      <w:start w:val="1"/>
    </w:lvl>
    <w:lvl w:ilvl="1">
      <w:lvlJc w:val="left"/>
      <w:lvlText w:val="•"/>
      <w:numFmt w:val="bullet"/>
      <w:start w:val="1"/>
    </w:lvl>
  </w:abstractNum>
  <w:abstractNum w:abstractNumId="69">
    <w:nsid w:val="3B0FD379"/>
    <w:multiLevelType w:val="hybridMultilevel"/>
    <w:lvl w:ilvl="0">
      <w:lvlJc w:val="left"/>
      <w:lvlText w:val="1"/>
      <w:numFmt w:val="bullet"/>
      <w:start w:val="1"/>
    </w:lvl>
  </w:abstractNum>
  <w:abstractNum w:abstractNumId="70">
    <w:nsid w:val="68EB2F63"/>
    <w:multiLevelType w:val="hybridMultilevel"/>
    <w:lvl w:ilvl="0">
      <w:lvlJc w:val="left"/>
      <w:lvlText w:val="%1."/>
      <w:numFmt w:val="decimal"/>
      <w:start w:val="3"/>
    </w:lvl>
  </w:abstractNum>
  <w:abstractNum w:abstractNumId="71">
    <w:nsid w:val="4962813B"/>
    <w:multiLevelType w:val="hybridMultilevel"/>
    <w:lvl w:ilvl="0">
      <w:lvlJc w:val="left"/>
      <w:lvlText w:val="(%1)"/>
      <w:numFmt w:val="decimal"/>
      <w:start w:val="21"/>
    </w:lvl>
  </w:abstractNum>
  <w:abstractNum w:abstractNumId="72">
    <w:nsid w:val="60B6DF70"/>
    <w:multiLevelType w:val="hybridMultilevel"/>
    <w:lvl w:ilvl="0">
      <w:lvlJc w:val="left"/>
      <w:lvlText w:val="%1."/>
      <w:numFmt w:val="decimal"/>
      <w:start w:val="1"/>
    </w:lvl>
    <w:lvl w:ilvl="1">
      <w:lvlJc w:val="left"/>
      <w:lvlText w:val="(%2)"/>
      <w:numFmt w:val="lowerLetter"/>
      <w:start w:val="1"/>
    </w:lvl>
  </w:abstractNum>
  <w:abstractNum w:abstractNumId="73">
    <w:nsid w:val="6A5EE64"/>
    <w:multiLevelType w:val="hybridMultilevel"/>
    <w:lvl w:ilvl="0">
      <w:lvlJc w:val="left"/>
      <w:lvlText w:val="%1"/>
      <w:numFmt w:val="decimal"/>
      <w:start w:val="1"/>
    </w:lvl>
    <w:lvl w:ilvl="1">
      <w:lvlJc w:val="left"/>
      <w:lvlText w:val="(%2)"/>
      <w:numFmt w:val="lowerLetter"/>
      <w:start w:val="2"/>
    </w:lvl>
  </w:abstractNum>
  <w:abstractNum w:abstractNumId="74">
    <w:nsid w:val="14330624"/>
    <w:multiLevelType w:val="hybridMultilevel"/>
    <w:lvl w:ilvl="0">
      <w:lvlJc w:val="left"/>
      <w:lvlText w:val="%1."/>
      <w:numFmt w:val="decimal"/>
      <w:start w:val="3"/>
    </w:lvl>
    <w:lvl w:ilvl="1">
      <w:lvlJc w:val="left"/>
      <w:lvlText w:val="(%2)"/>
      <w:numFmt w:val="lowerLetter"/>
      <w:start w:val="1"/>
    </w:lvl>
  </w:abstractNum>
  <w:abstractNum w:abstractNumId="75">
    <w:nsid w:val="7FFFCA11"/>
    <w:multiLevelType w:val="hybridMultilevel"/>
    <w:lvl w:ilvl="0">
      <w:lvlJc w:val="left"/>
      <w:lvlText w:val="(%1)"/>
      <w:numFmt w:val="lowerLetter"/>
      <w:start w:val="3"/>
    </w:lvl>
  </w:abstractNum>
  <w:abstractNum w:abstractNumId="76">
    <w:nsid w:val="1A27709E"/>
    <w:multiLevelType w:val="hybridMultilevel"/>
    <w:lvl w:ilvl="0">
      <w:lvlJc w:val="left"/>
      <w:lvlText w:val="(%1)"/>
      <w:numFmt w:val="lowerLetter"/>
      <w:start w:val="4"/>
    </w:lvl>
  </w:abstractNum>
  <w:abstractNum w:abstractNumId="77">
    <w:nsid w:val="71EA1109"/>
    <w:multiLevelType w:val="hybridMultilevel"/>
    <w:lvl w:ilvl="0">
      <w:lvlJc w:val="left"/>
      <w:lvlText w:val="%1."/>
      <w:numFmt w:val="decimal"/>
      <w:start w:val="4"/>
    </w:lvl>
    <w:lvl w:ilvl="1">
      <w:lvlJc w:val="left"/>
      <w:lvlText w:val="(%2)"/>
      <w:numFmt w:val="lowerLetter"/>
      <w:start w:val="1"/>
    </w:lvl>
  </w:abstractNum>
  <w:abstractNum w:abstractNumId="78">
    <w:nsid w:val="100F59DC"/>
    <w:multiLevelType w:val="hybridMultilevel"/>
    <w:lvl w:ilvl="0">
      <w:lvlJc w:val="left"/>
      <w:lvlText w:val="%1"/>
      <w:numFmt w:val="decimal"/>
      <w:start w:val="1"/>
    </w:lvl>
    <w:lvl w:ilvl="1">
      <w:lvlJc w:val="left"/>
      <w:lvlText w:val="(%2)"/>
      <w:numFmt w:val="lowerLetter"/>
      <w:start w:val="2"/>
    </w:lvl>
  </w:abstractNum>
  <w:abstractNum w:abstractNumId="79">
    <w:nsid w:val="7FB7E0AA"/>
    <w:multiLevelType w:val="hybridMultilevel"/>
    <w:lvl w:ilvl="0">
      <w:lvlJc w:val="left"/>
      <w:lvlText w:val="%1."/>
      <w:numFmt w:val="decimal"/>
      <w:start w:val="7"/>
    </w:lvl>
    <w:lvl w:ilvl="1">
      <w:lvlJc w:val="left"/>
      <w:lvlText w:val="%2"/>
      <w:numFmt w:val="lowerLetter"/>
      <w:start w:val="1"/>
    </w:lvl>
  </w:abstractNum>
  <w:abstractNum w:abstractNumId="80">
    <w:nsid w:val="6EB5BD4"/>
    <w:multiLevelType w:val="hybridMultilevel"/>
    <w:lvl w:ilvl="0">
      <w:lvlJc w:val="left"/>
      <w:lvlText w:val="%1."/>
      <w:numFmt w:val="decimal"/>
      <w:start w:val="8"/>
    </w:lvl>
    <w:lvl w:ilvl="1">
      <w:lvlJc w:val="left"/>
      <w:lvlText w:val="(%2)"/>
      <w:numFmt w:val="lowerLetter"/>
      <w:start w:val="1"/>
    </w:lvl>
  </w:abstractNum>
  <w:abstractNum w:abstractNumId="81">
    <w:nsid w:val="6F6DD9A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82">
    <w:nsid w:val="94211F2"/>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upperLetter"/>
      <w:start w:val="1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31" Type="http://schemas.openxmlformats.org/officeDocument/2006/relationships/image" Target="media/image15.png"/><Relationship Id="rId48" Type="http://schemas.openxmlformats.org/officeDocument/2006/relationships/image" Target="media/image16.png"/><Relationship Id="rId60" Type="http://schemas.openxmlformats.org/officeDocument/2006/relationships/image" Target="media/image17.png"/><Relationship Id="rId61" Type="http://schemas.openxmlformats.org/officeDocument/2006/relationships/image" Target="media/image18.png"/><Relationship Id="rId62" Type="http://schemas.openxmlformats.org/officeDocument/2006/relationships/image" Target="media/image19.png"/><Relationship Id="rId63" Type="http://schemas.openxmlformats.org/officeDocument/2006/relationships/image" Target="media/image20.png"/><Relationship Id="rId64" Type="http://schemas.openxmlformats.org/officeDocument/2006/relationships/image" Target="media/image21.png"/><Relationship Id="rId65" Type="http://schemas.openxmlformats.org/officeDocument/2006/relationships/image" Target="media/image22.png"/><Relationship Id="rId66" Type="http://schemas.openxmlformats.org/officeDocument/2006/relationships/image" Target="media/image23.png"/><Relationship Id="rId67" Type="http://schemas.openxmlformats.org/officeDocument/2006/relationships/image" Target="media/image24.png"/><Relationship Id="rId68" Type="http://schemas.openxmlformats.org/officeDocument/2006/relationships/image" Target="media/image25.png"/><Relationship Id="rId22" Type="http://schemas.openxmlformats.org/officeDocument/2006/relationships/hyperlink" Target="http://www.sec.gov/Archives/edgar/data/6281/000119312516664807/d202922dex21.htm" TargetMode="External"/><Relationship Id="rId23" Type="http://schemas.openxmlformats.org/officeDocument/2006/relationships/hyperlink" Target="http://www.sec.gov/Archives/edgar/data/6281/000095013508003842/b69749adexv3w1.htm" TargetMode="External"/><Relationship Id="rId24" Type="http://schemas.openxmlformats.org/officeDocument/2006/relationships/hyperlink" Target="http://www.sec.gov/Archives/edgar/data/6281/000095013508007881/b73171adexv3w1.htm" TargetMode="External"/><Relationship Id="rId25" Type="http://schemas.openxmlformats.org/officeDocument/2006/relationships/hyperlink" Target="http://www.sec.gov/Archives/edgar/data/6281/000095012310005988/b79098exv3w1.htm" TargetMode="External"/><Relationship Id="rId26" Type="http://schemas.openxmlformats.org/officeDocument/2006/relationships/hyperlink" Target="http://www.sec.gov/Archives/edgar/data/6281/000119312513245264/d548763dex41.htm" TargetMode="External"/><Relationship Id="rId27" Type="http://schemas.openxmlformats.org/officeDocument/2006/relationships/hyperlink" Target="http://www.sec.gov/Archives/edgar/data/6281/000119312513245264/d548763dex42.htm" TargetMode="External"/><Relationship Id="rId28" Type="http://schemas.openxmlformats.org/officeDocument/2006/relationships/hyperlink" Target="http://www.sec.gov/Archives/edgar/data/6281/000119312515402658/d105027dex42.htm" TargetMode="External"/><Relationship Id="rId29" Type="http://schemas.openxmlformats.org/officeDocument/2006/relationships/hyperlink" Target="http://www.sec.gov/Archives/edgar/data/6281/000119312516785105/d304855dex42.htm" TargetMode="External"/><Relationship Id="rId30" Type="http://schemas.openxmlformats.org/officeDocument/2006/relationships/hyperlink" Target="http://www.sec.gov/Archives/edgar/data/6281/000119312518079269/d501485dex42.htm" TargetMode="External"/><Relationship Id="rId32" Type="http://schemas.openxmlformats.org/officeDocument/2006/relationships/hyperlink" Target="http://www.sec.gov/Archives/edgar/data/6281/000095013508007881/b73171adexv10w1.htm" TargetMode="External"/><Relationship Id="rId33" Type="http://schemas.openxmlformats.org/officeDocument/2006/relationships/hyperlink" Target="http://www.sec.gov/Archives/edgar/data/6281/000095012311077973/b86716aexv10w1.htm" TargetMode="External"/><Relationship Id="rId34" Type="http://schemas.openxmlformats.org/officeDocument/2006/relationships/hyperlink" Target="http://www.sec.gov/Archives/edgar/data/6281/000000628115000027/exhibit101.htm" TargetMode="External"/><Relationship Id="rId35" Type="http://schemas.openxmlformats.org/officeDocument/2006/relationships/hyperlink" Target="http://www.sec.gov/Archives/edgar/data/6281/000000628117000114/exhibit106-3rdamendmenttod.htm" TargetMode="External"/><Relationship Id="rId36" Type="http://schemas.openxmlformats.org/officeDocument/2006/relationships/hyperlink" Target="http://www.sec.gov/Archives/edgar/data/6281/000095013503006138/b48618aiexv10w28.txt" TargetMode="External"/><Relationship Id="rId37" Type="http://schemas.openxmlformats.org/officeDocument/2006/relationships/hyperlink" Target="http://www.sec.gov/Archives/edgar/data/6281/000095013506007047/b63086adexv10w3.txt" TargetMode="External"/><Relationship Id="rId38" Type="http://schemas.openxmlformats.org/officeDocument/2006/relationships/hyperlink" Target="http://www.sec.gov/Archives/edgar/data/6281/000095013508007596/b72976adexv10w41.htm" TargetMode="External"/><Relationship Id="rId39" Type="http://schemas.openxmlformats.org/officeDocument/2006/relationships/hyperlink" Target="http://www.sec.gov/Archives/edgar/data/6281/000000628114000003/ex-101.htm" TargetMode="External"/><Relationship Id="rId40" Type="http://schemas.openxmlformats.org/officeDocument/2006/relationships/hyperlink" Target="http://www.sec.gov/Archives/edgar/data/6281/000119312517082344/d356229dex41.htm" TargetMode="External"/><Relationship Id="rId41" Type="http://schemas.openxmlformats.org/officeDocument/2006/relationships/hyperlink" Target="http://www.sec.gov/Archives/edgar/data/6281/000119312517082344/d356229dex42.htm" TargetMode="External"/><Relationship Id="rId42" Type="http://schemas.openxmlformats.org/officeDocument/2006/relationships/hyperlink" Target="http://www.sec.gov/Archives/edgar/data/6281/000000628118000018/q118exhibit105.htm" TargetMode="External"/><Relationship Id="rId43" Type="http://schemas.openxmlformats.org/officeDocument/2006/relationships/hyperlink" Target="http://www.sec.gov/Archives/edgar/data/6281/000000628117000008/q117exhibit104.htm" TargetMode="External"/><Relationship Id="rId44" Type="http://schemas.openxmlformats.org/officeDocument/2006/relationships/hyperlink" Target="http://www.sec.gov/Archives/edgar/data/6281/000000628118000018/q118exhibit106.htm" TargetMode="External"/><Relationship Id="rId45" Type="http://schemas.openxmlformats.org/officeDocument/2006/relationships/hyperlink" Target="http://www.sec.gov/Archives/edgar/data/6281/000000628118000018/q118exhibit107.htm" TargetMode="External"/><Relationship Id="rId46" Type="http://schemas.openxmlformats.org/officeDocument/2006/relationships/hyperlink" Target="http://www.sec.gov/Archives/edgar/data/6281/000000628118000018/q118exhibit104.htm" TargetMode="External"/><Relationship Id="rId47" Type="http://schemas.openxmlformats.org/officeDocument/2006/relationships/hyperlink" Target="http://www.sec.gov/Archives/edgar/data/6281/000000628117000086/q217exhibit101.htm" TargetMode="External"/><Relationship Id="rId49" Type="http://schemas.openxmlformats.org/officeDocument/2006/relationships/hyperlink" Target="http://www.sec.gov/Archives/edgar/data/6281/000000628117000104/exhibit101-analogxperforma.htm" TargetMode="External"/><Relationship Id="rId50" Type="http://schemas.openxmlformats.org/officeDocument/2006/relationships/hyperlink" Target="http://www.sec.gov/Archives/edgar/data/6281/000000628117000008/q117exhibit103.htm" TargetMode="External"/><Relationship Id="rId51" Type="http://schemas.openxmlformats.org/officeDocument/2006/relationships/hyperlink" Target="http://www.sec.gov/Archives/edgar/data/6281/000000628113000021/ex-101.htm" TargetMode="External"/><Relationship Id="rId52" Type="http://schemas.openxmlformats.org/officeDocument/2006/relationships/hyperlink" Target="http://www.sec.gov/Archives/edgar/data/6281/000119312512243459/d308637dex101.htm" TargetMode="External"/><Relationship Id="rId53" Type="http://schemas.openxmlformats.org/officeDocument/2006/relationships/hyperlink" Target="http://www.sec.gov/Archives/edgar/data/6281/000000628117000114/exhibit102-pietkiewiczcoca.htm" TargetMode="External"/><Relationship Id="rId54" Type="http://schemas.openxmlformats.org/officeDocument/2006/relationships/hyperlink" Target="http://www.sec.gov/Archives/edgar/data/6281/000000628117000114/exhibit103-pietkiewiczrete.htm" TargetMode="External"/><Relationship Id="rId55" Type="http://schemas.openxmlformats.org/officeDocument/2006/relationships/hyperlink" Target="http://www.sec.gov/Archives/edgar/data/6281/000095013500000300/0000950135-00-000300.txt" TargetMode="External"/><Relationship Id="rId56" Type="http://schemas.openxmlformats.org/officeDocument/2006/relationships/hyperlink" Target="http://www.sec.gov/Archives/edgar/data/6281/000000628117000144/adi-10282017xex1028.htm" TargetMode="External"/><Relationship Id="rId57" Type="http://schemas.openxmlformats.org/officeDocument/2006/relationships/hyperlink" Target="http://www.sec.gov/Archives/edgar/data/6281/000095013508007596/b72976adexv10w30.htm" TargetMode="External"/><Relationship Id="rId58" Type="http://schemas.openxmlformats.org/officeDocument/2006/relationships/hyperlink" Target="http://www.sec.gov/Archives/edgar/data/6281/000119312516719117/d266727dex101.htm" TargetMode="External"/><Relationship Id="rId59" Type="http://schemas.openxmlformats.org/officeDocument/2006/relationships/hyperlink" Target="http://www.sec.gov/Archives/edgar/data/6281/000119312516719117/d26672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2019-12-28T17:31:33Z</dcterms:created>
  <dcterms:modified xsi:type="dcterms:W3CDTF">2019-12-28T17:31:33Z</dcterms:modified>
</cp:coreProperties>
</file>