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jc w:val="center"/>
        <w:ind w:left="2220" w:right="3359" w:hanging="2001"/>
        <w:spacing w:after="0" w:line="309" w:lineRule="auto"/>
        <w:tabs>
          <w:tab w:leader="none" w:pos="95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 (d) OF THE SECURITIES EXCHANGE ACT OF 1934</w:t>
      </w:r>
    </w:p>
    <w:p>
      <w:pPr>
        <w:spacing w:after="0" w:line="5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 the quarterly period ended May 1, 1999</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960" w:right="3259" w:hanging="741"/>
        <w:spacing w:after="0" w:line="347" w:lineRule="auto"/>
        <w:tabs>
          <w:tab w:leader="none" w:pos="-83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 (d) OF THE SECURITIES EXCHANGE ACT OF 1934</w:t>
      </w:r>
    </w:p>
    <w:p>
      <w:pPr>
        <w:spacing w:after="0" w:line="18"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For the Transition period from_______________ to ________________</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Commission File No. 1-7819</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Analog Devices, Inc.</w:t>
      </w:r>
    </w:p>
    <w:p>
      <w:pPr>
        <w:spacing w:after="0" w:line="3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(State or</w:t>
            </w:r>
          </w:p>
        </w:tc>
        <w:tc>
          <w:tcPr>
            <w:tcW w:w="4000" w:type="dxa"/>
            <w:vAlign w:val="bottom"/>
          </w:tcPr>
          <w:p>
            <w:pPr>
              <w:jc w:val="right"/>
              <w:ind w:right="2532"/>
              <w:spacing w:after="0"/>
              <w:rPr>
                <w:sz w:val="20"/>
                <w:szCs w:val="20"/>
                <w:color w:val="auto"/>
              </w:rPr>
            </w:pPr>
            <w:r>
              <w:rPr>
                <w:rFonts w:ascii="Courier New" w:cs="Courier New" w:eastAsia="Courier New" w:hAnsi="Courier New"/>
                <w:sz w:val="18"/>
                <w:szCs w:val="18"/>
                <w:color w:val="auto"/>
                <w:w w:val="96"/>
              </w:rPr>
              <w:t>Massachusetts</w:t>
            </w:r>
          </w:p>
        </w:tc>
        <w:tc>
          <w:tcPr>
            <w:tcW w:w="29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04-2348234</w:t>
            </w:r>
          </w:p>
        </w:tc>
        <w:tc>
          <w:tcPr>
            <w:tcW w:w="0" w:type="dxa"/>
            <w:vAlign w:val="bottom"/>
          </w:tcPr>
          <w:p>
            <w:pPr>
              <w:spacing w:after="0"/>
              <w:rPr>
                <w:sz w:val="1"/>
                <w:szCs w:val="1"/>
                <w:color w:val="auto"/>
              </w:rPr>
            </w:pPr>
          </w:p>
        </w:tc>
      </w:tr>
      <w:tr>
        <w:trPr>
          <w:trHeight w:val="203"/>
        </w:trPr>
        <w:tc>
          <w:tcPr>
            <w:tcW w:w="1160" w:type="dxa"/>
            <w:vAlign w:val="bottom"/>
            <w:vMerge w:val="continue"/>
          </w:tcPr>
          <w:p>
            <w:pPr>
              <w:spacing w:after="0"/>
              <w:rPr>
                <w:sz w:val="17"/>
                <w:szCs w:val="17"/>
                <w:color w:val="auto"/>
              </w:rPr>
            </w:pPr>
          </w:p>
        </w:tc>
        <w:tc>
          <w:tcPr>
            <w:tcW w:w="400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other jurisdiction of</w:t>
            </w:r>
          </w:p>
        </w:tc>
        <w:tc>
          <w:tcPr>
            <w:tcW w:w="296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7"/>
              </w:rPr>
              <w:t>(I.R.S. Employer</w:t>
            </w:r>
          </w:p>
        </w:tc>
        <w:tc>
          <w:tcPr>
            <w:tcW w:w="0" w:type="dxa"/>
            <w:vAlign w:val="bottom"/>
          </w:tcPr>
          <w:p>
            <w:pPr>
              <w:spacing w:after="0"/>
              <w:rPr>
                <w:sz w:val="1"/>
                <w:szCs w:val="1"/>
                <w:color w:val="auto"/>
              </w:rPr>
            </w:pPr>
          </w:p>
        </w:tc>
      </w:tr>
      <w:tr>
        <w:trPr>
          <w:trHeight w:val="296"/>
        </w:trPr>
        <w:tc>
          <w:tcPr>
            <w:tcW w:w="5160" w:type="dxa"/>
            <w:vAlign w:val="bottom"/>
            <w:gridSpan w:val="2"/>
          </w:tcPr>
          <w:p>
            <w:pPr>
              <w:jc w:val="right"/>
              <w:ind w:right="1592"/>
              <w:spacing w:after="0"/>
              <w:rPr>
                <w:sz w:val="20"/>
                <w:szCs w:val="20"/>
                <w:color w:val="auto"/>
              </w:rPr>
            </w:pPr>
            <w:r>
              <w:rPr>
                <w:rFonts w:ascii="Courier New" w:cs="Courier New" w:eastAsia="Courier New" w:hAnsi="Courier New"/>
                <w:sz w:val="18"/>
                <w:szCs w:val="18"/>
                <w:color w:val="auto"/>
              </w:rPr>
              <w:t>incorporation or organization)</w:t>
            </w:r>
          </w:p>
        </w:tc>
        <w:tc>
          <w:tcPr>
            <w:tcW w:w="2960" w:type="dxa"/>
            <w:vAlign w:val="bottom"/>
          </w:tcPr>
          <w:p>
            <w:pPr>
              <w:ind w:left="960"/>
              <w:spacing w:after="0"/>
              <w:rPr>
                <w:sz w:val="20"/>
                <w:szCs w:val="20"/>
                <w:color w:val="auto"/>
              </w:rPr>
            </w:pPr>
            <w:r>
              <w:rPr>
                <w:rFonts w:ascii="Courier New" w:cs="Courier New" w:eastAsia="Courier New" w:hAnsi="Courier New"/>
                <w:sz w:val="18"/>
                <w:szCs w:val="18"/>
                <w:color w:val="auto"/>
                <w:w w:val="96"/>
              </w:rPr>
              <w:t>Identification No.)</w:t>
            </w:r>
          </w:p>
        </w:tc>
        <w:tc>
          <w:tcPr>
            <w:tcW w:w="0" w:type="dxa"/>
            <w:vAlign w:val="bottom"/>
          </w:tcPr>
          <w:p>
            <w:pPr>
              <w:spacing w:after="0"/>
              <w:rPr>
                <w:sz w:val="1"/>
                <w:szCs w:val="1"/>
                <w:color w:val="auto"/>
              </w:rPr>
            </w:pPr>
          </w:p>
        </w:tc>
      </w:tr>
      <w:tr>
        <w:trPr>
          <w:trHeight w:val="311"/>
        </w:trPr>
        <w:tc>
          <w:tcPr>
            <w:tcW w:w="5160" w:type="dxa"/>
            <w:vAlign w:val="bottom"/>
            <w:gridSpan w:val="2"/>
          </w:tcPr>
          <w:p>
            <w:pPr>
              <w:jc w:val="right"/>
              <w:ind w:right="1372"/>
              <w:spacing w:after="0"/>
              <w:rPr>
                <w:sz w:val="20"/>
                <w:szCs w:val="20"/>
                <w:color w:val="auto"/>
              </w:rPr>
            </w:pPr>
            <w:r>
              <w:rPr>
                <w:rFonts w:ascii="Courier New" w:cs="Courier New" w:eastAsia="Courier New" w:hAnsi="Courier New"/>
                <w:sz w:val="18"/>
                <w:szCs w:val="18"/>
                <w:color w:val="auto"/>
              </w:rPr>
              <w:t>One Technology Way, Norwood, MA</w:t>
            </w:r>
          </w:p>
        </w:tc>
        <w:tc>
          <w:tcPr>
            <w:tcW w:w="2960" w:type="dxa"/>
            <w:vAlign w:val="bottom"/>
          </w:tcPr>
          <w:p>
            <w:pPr>
              <w:ind w:left="1480"/>
              <w:spacing w:after="0"/>
              <w:rPr>
                <w:sz w:val="20"/>
                <w:szCs w:val="20"/>
                <w:color w:val="auto"/>
              </w:rPr>
            </w:pPr>
            <w:r>
              <w:rPr>
                <w:rFonts w:ascii="Courier New" w:cs="Courier New" w:eastAsia="Courier New" w:hAnsi="Courier New"/>
                <w:sz w:val="18"/>
                <w:szCs w:val="18"/>
                <w:color w:val="auto"/>
              </w:rPr>
              <w:t>02062-9106</w:t>
            </w:r>
          </w:p>
        </w:tc>
        <w:tc>
          <w:tcPr>
            <w:tcW w:w="0" w:type="dxa"/>
            <w:vAlign w:val="bottom"/>
          </w:tcPr>
          <w:p>
            <w:pPr>
              <w:spacing w:after="0"/>
              <w:rPr>
                <w:sz w:val="1"/>
                <w:szCs w:val="1"/>
                <w:color w:val="auto"/>
              </w:rPr>
            </w:pPr>
          </w:p>
        </w:tc>
      </w:tr>
      <w:tr>
        <w:trPr>
          <w:trHeight w:val="296"/>
        </w:trPr>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(Address of</w:t>
            </w:r>
          </w:p>
        </w:tc>
        <w:tc>
          <w:tcPr>
            <w:tcW w:w="40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principal executive offices)</w:t>
            </w:r>
          </w:p>
        </w:tc>
        <w:tc>
          <w:tcPr>
            <w:tcW w:w="2960" w:type="dxa"/>
            <w:vAlign w:val="bottom"/>
          </w:tcPr>
          <w:p>
            <w:pPr>
              <w:ind w:left="1480"/>
              <w:spacing w:after="0"/>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1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(781) 329-4700</w:t>
      </w:r>
    </w:p>
    <w:p>
      <w:pPr>
        <w:spacing w:after="0" w:line="3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16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Indicate by check mark whether the registrant (1) has filed all reports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required to be filed by Section 13 or 15 (d) of the Securities Exchange Act of</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1934 during the preceding 12 months (or such shorter period that the registrant</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 required to file such reports), and (2) has been subject to such filing</w:t>
      </w:r>
    </w:p>
    <w:p>
      <w:pPr>
        <w:spacing w:after="0" w:line="238" w:lineRule="auto"/>
        <w:tabs>
          <w:tab w:leader="none" w:pos="4200" w:val="left"/>
          <w:tab w:leader="none" w:pos="4620" w:val="left"/>
        </w:tabs>
        <w:rPr>
          <w:sz w:val="20"/>
          <w:szCs w:val="20"/>
          <w:color w:val="auto"/>
        </w:rPr>
      </w:pPr>
      <w:r>
        <w:rPr>
          <w:rFonts w:ascii="Courier New" w:cs="Courier New" w:eastAsia="Courier New" w:hAnsi="Courier New"/>
          <w:sz w:val="18"/>
          <w:szCs w:val="18"/>
          <w:color w:val="auto"/>
        </w:rPr>
        <w:t>requirements for the past 90 days. YES</w:t>
        <w:tab/>
        <w:t>X</w:t>
      </w:r>
      <w:r>
        <w:rPr>
          <w:sz w:val="20"/>
          <w:szCs w:val="20"/>
          <w:color w:val="auto"/>
        </w:rPr>
        <w:tab/>
      </w:r>
      <w:r>
        <w:rPr>
          <w:rFonts w:ascii="Courier New" w:cs="Courier New" w:eastAsia="Courier New" w:hAnsi="Courier New"/>
          <w:sz w:val="18"/>
          <w:szCs w:val="18"/>
          <w:color w:val="auto"/>
        </w:rPr>
        <w:t>NO</w:t>
      </w:r>
    </w:p>
    <w:p>
      <w:pPr>
        <w:ind w:left="4120"/>
        <w:spacing w:after="0"/>
        <w:tabs>
          <w:tab w:leader="none" w:pos="4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169" w:lineRule="exact"/>
        <w:rPr>
          <w:sz w:val="24"/>
          <w:szCs w:val="24"/>
          <w:color w:val="auto"/>
        </w:rPr>
      </w:pPr>
    </w:p>
    <w:p>
      <w:pPr>
        <w:ind w:right="1999" w:firstLine="421"/>
        <w:spacing w:after="0" w:line="347" w:lineRule="auto"/>
        <w:rPr>
          <w:sz w:val="20"/>
          <w:szCs w:val="20"/>
          <w:color w:val="auto"/>
        </w:rPr>
      </w:pPr>
      <w:r>
        <w:rPr>
          <w:rFonts w:ascii="Courier New" w:cs="Courier New" w:eastAsia="Courier New" w:hAnsi="Courier New"/>
          <w:sz w:val="18"/>
          <w:szCs w:val="18"/>
          <w:color w:val="auto"/>
        </w:rPr>
        <w:t>The number of shares outstanding of each of the issuer's classes of Common Stock as of May 28, 1999 was 172,800,842 shares of Common Stock.</w:t>
      </w:r>
    </w:p>
    <w:p>
      <w:pPr>
        <w:sectPr>
          <w:pgSz w:w="11900" w:h="16838" w:orient="portrait"/>
          <w:cols w:equalWidth="0" w:num="1">
            <w:col w:w="10219"/>
          </w:cols>
          <w:pgMar w:left="240" w:top="218"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w:t>
      </w:r>
    </w:p>
    <w:p>
      <w:pPr>
        <w:spacing w:after="0" w:line="3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FINANCIAL INFORMATION</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CONSOLIDATED STATEMENTS OF INCOME</w:t>
      </w:r>
    </w:p>
    <w:p>
      <w:pPr>
        <w:spacing w:after="0" w:line="238" w:lineRule="auto"/>
        <w:rPr>
          <w:sz w:val="20"/>
          <w:szCs w:val="20"/>
          <w:color w:val="auto"/>
        </w:rPr>
      </w:pPr>
      <w:r>
        <w:rPr>
          <w:rFonts w:ascii="Courier New" w:cs="Courier New" w:eastAsia="Courier New" w:hAnsi="Courier New"/>
          <w:sz w:val="18"/>
          <w:szCs w:val="18"/>
          <w:color w:val="auto"/>
        </w:rPr>
        <w:t>(Unaudited)</w:t>
      </w:r>
    </w:p>
    <w:p>
      <w:pPr>
        <w:spacing w:after="0"/>
        <w:rPr>
          <w:sz w:val="20"/>
          <w:szCs w:val="20"/>
          <w:color w:val="auto"/>
        </w:rPr>
      </w:pPr>
      <w:r>
        <w:rPr>
          <w:rFonts w:ascii="Courier New" w:cs="Courier New" w:eastAsia="Courier New" w:hAnsi="Courier New"/>
          <w:sz w:val="18"/>
          <w:szCs w:val="18"/>
          <w:color w:val="auto"/>
        </w:rPr>
        <w:t>(thousands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2300"/>
        <w:spacing w:after="0"/>
        <w:rPr>
          <w:sz w:val="20"/>
          <w:szCs w:val="20"/>
          <w:color w:val="auto"/>
        </w:rPr>
      </w:pPr>
      <w:r>
        <w:rPr>
          <w:rFonts w:ascii="Courier New" w:cs="Courier New" w:eastAsia="Courier New" w:hAnsi="Courier New"/>
          <w:sz w:val="18"/>
          <w:szCs w:val="18"/>
          <w:color w:val="auto"/>
        </w:rPr>
        <w:t>Three Months Ended</w:t>
      </w:r>
    </w:p>
    <w:p>
      <w:pPr>
        <w:spacing w:after="0" w:line="31"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6800" w:type="dxa"/>
            <w:vAlign w:val="bottom"/>
            <w:gridSpan w:val="2"/>
          </w:tcPr>
          <w:p>
            <w:pPr>
              <w:jc w:val="right"/>
              <w:ind w:right="272"/>
              <w:spacing w:after="0" w:line="192" w:lineRule="exact"/>
              <w:rPr>
                <w:sz w:val="20"/>
                <w:szCs w:val="20"/>
                <w:color w:val="auto"/>
              </w:rPr>
            </w:pPr>
            <w:r>
              <w:rPr>
                <w:rFonts w:ascii="Courier New" w:cs="Courier New" w:eastAsia="Courier New" w:hAnsi="Courier New"/>
                <w:sz w:val="18"/>
                <w:szCs w:val="18"/>
                <w:color w:val="auto"/>
              </w:rPr>
              <w:t>May 1, 1999</w:t>
            </w:r>
          </w:p>
        </w:tc>
        <w:tc>
          <w:tcPr>
            <w:tcW w:w="164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May 2, 1998*</w:t>
            </w:r>
          </w:p>
        </w:tc>
        <w:tc>
          <w:tcPr>
            <w:tcW w:w="0" w:type="dxa"/>
            <w:vAlign w:val="bottom"/>
          </w:tcPr>
          <w:p>
            <w:pPr>
              <w:spacing w:after="0"/>
              <w:rPr>
                <w:sz w:val="1"/>
                <w:szCs w:val="1"/>
                <w:color w:val="auto"/>
              </w:rPr>
            </w:pPr>
          </w:p>
        </w:tc>
      </w:tr>
      <w:tr>
        <w:trPr>
          <w:trHeight w:val="296"/>
        </w:trPr>
        <w:tc>
          <w:tcPr>
            <w:tcW w:w="6800" w:type="dxa"/>
            <w:vAlign w:val="bottom"/>
            <w:gridSpan w:val="2"/>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9"/>
              </w:rPr>
              <w:t>$340,067</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$319,430</w:t>
            </w: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176,435</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160,993</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9"/>
              </w:rPr>
              <w:t>--------</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163,632</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158,437</w:t>
            </w: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3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61,899</w:t>
            </w:r>
          </w:p>
        </w:tc>
        <w:tc>
          <w:tcPr>
            <w:tcW w:w="1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56,190</w:t>
            </w:r>
          </w:p>
        </w:tc>
        <w:tc>
          <w:tcPr>
            <w:tcW w:w="0" w:type="dxa"/>
            <w:vAlign w:val="bottom"/>
          </w:tcPr>
          <w:p>
            <w:pPr>
              <w:spacing w:after="0"/>
              <w:rPr>
                <w:sz w:val="1"/>
                <w:szCs w:val="1"/>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36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In-process research and development write-off</w:t>
            </w: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5,140</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13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49,167</w:t>
            </w:r>
          </w:p>
        </w:tc>
        <w:tc>
          <w:tcPr>
            <w:tcW w:w="1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57,014</w:t>
            </w:r>
          </w:p>
        </w:tc>
        <w:tc>
          <w:tcPr>
            <w:tcW w:w="0" w:type="dxa"/>
            <w:vAlign w:val="bottom"/>
          </w:tcPr>
          <w:p>
            <w:pPr>
              <w:spacing w:after="0"/>
              <w:rPr>
                <w:sz w:val="1"/>
                <w:szCs w:val="1"/>
                <w:color w:val="auto"/>
              </w:rPr>
            </w:pPr>
          </w:p>
        </w:tc>
      </w:tr>
      <w:tr>
        <w:trPr>
          <w:trHeight w:val="203"/>
        </w:trPr>
        <w:tc>
          <w:tcPr>
            <w:tcW w:w="54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6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Gain on sale of business, net</w:t>
            </w: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(13,100)</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116,206</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100,104</w:t>
            </w:r>
          </w:p>
        </w:tc>
        <w:tc>
          <w:tcPr>
            <w:tcW w:w="0" w:type="dxa"/>
            <w:vAlign w:val="bottom"/>
          </w:tcPr>
          <w:p>
            <w:pPr>
              <w:spacing w:after="0"/>
              <w:rPr>
                <w:sz w:val="1"/>
                <w:szCs w:val="1"/>
                <w:color w:val="auto"/>
              </w:rPr>
            </w:pP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47,426</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58,333</w:t>
            </w:r>
          </w:p>
        </w:tc>
        <w:tc>
          <w:tcPr>
            <w:tcW w:w="0" w:type="dxa"/>
            <w:vAlign w:val="bottom"/>
          </w:tcPr>
          <w:p>
            <w:pPr>
              <w:spacing w:after="0"/>
              <w:rPr>
                <w:sz w:val="1"/>
                <w:szCs w:val="1"/>
                <w:color w:val="auto"/>
              </w:rPr>
            </w:pP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Equity in loss of WaferTech</w:t>
            </w: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1,915</w:t>
            </w: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0"/>
                <w:szCs w:val="20"/>
                <w:color w:val="auto"/>
              </w:rPr>
            </w:pPr>
            <w:r>
              <w:rPr>
                <w:rFonts w:ascii="Courier New" w:cs="Courier New" w:eastAsia="Courier New" w:hAnsi="Courier New"/>
                <w:sz w:val="18"/>
                <w:szCs w:val="18"/>
                <w:color w:val="auto"/>
              </w:rPr>
              <w:t>Interest and other expense, net</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(3,278)</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(219)</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9"/>
              </w:rPr>
              <w:t>--------</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50,704</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56,637</w:t>
            </w: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11,598</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12,852</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9"/>
              </w:rPr>
              <w:t>--------</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9"/>
              </w:rPr>
              <w:t>$ 39,106</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$ 43,785</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9"/>
              </w:rPr>
              <w:t>========</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0"/>
                <w:szCs w:val="20"/>
                <w:color w:val="auto"/>
              </w:rPr>
            </w:pPr>
            <w:r>
              <w:rPr>
                <w:rFonts w:ascii="Courier New" w:cs="Courier New" w:eastAsia="Courier New" w:hAnsi="Courier New"/>
                <w:sz w:val="18"/>
                <w:szCs w:val="18"/>
                <w:color w:val="auto"/>
              </w:rPr>
              <w:t>Shares used to compute earnings per share - basic</w:t>
            </w: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167,012</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162,124</w:t>
            </w:r>
          </w:p>
        </w:tc>
        <w:tc>
          <w:tcPr>
            <w:tcW w:w="0" w:type="dxa"/>
            <w:vAlign w:val="bottom"/>
          </w:tcPr>
          <w:p>
            <w:pPr>
              <w:spacing w:after="0"/>
              <w:rPr>
                <w:sz w:val="1"/>
                <w:szCs w:val="1"/>
                <w:color w:val="auto"/>
              </w:rPr>
            </w:pPr>
          </w:p>
        </w:tc>
      </w:tr>
      <w:tr>
        <w:trPr>
          <w:trHeight w:val="203"/>
        </w:trPr>
        <w:tc>
          <w:tcPr>
            <w:tcW w:w="5440" w:type="dxa"/>
            <w:vAlign w:val="bottom"/>
            <w:vMerge w:val="restart"/>
          </w:tcPr>
          <w:p>
            <w:pPr>
              <w:spacing w:after="0"/>
              <w:rPr>
                <w:sz w:val="20"/>
                <w:szCs w:val="20"/>
                <w:color w:val="auto"/>
              </w:rPr>
            </w:pPr>
            <w:r>
              <w:rPr>
                <w:rFonts w:ascii="Courier New" w:cs="Courier New" w:eastAsia="Courier New" w:hAnsi="Courier New"/>
                <w:sz w:val="18"/>
                <w:szCs w:val="18"/>
                <w:color w:val="auto"/>
                <w:w w:val="98"/>
              </w:rPr>
              <w:t>Shares used to compute earnings per share - diluted</w:t>
            </w: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40" w:type="dxa"/>
            <w:vAlign w:val="bottom"/>
            <w:vMerge w:val="continue"/>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180,698</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179,427</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9"/>
              </w:rPr>
              <w:t>========</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0"/>
                <w:szCs w:val="20"/>
                <w:color w:val="auto"/>
              </w:rPr>
            </w:pPr>
            <w:r>
              <w:rPr>
                <w:rFonts w:ascii="Courier New" w:cs="Courier New" w:eastAsia="Courier New" w:hAnsi="Courier New"/>
                <w:sz w:val="18"/>
                <w:szCs w:val="18"/>
                <w:color w:val="auto"/>
              </w:rPr>
              <w:t>Earnings per share - basic</w:t>
            </w: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$0.23</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$0.27</w:t>
            </w:r>
          </w:p>
        </w:tc>
        <w:tc>
          <w:tcPr>
            <w:tcW w:w="0" w:type="dxa"/>
            <w:vAlign w:val="bottom"/>
          </w:tcPr>
          <w:p>
            <w:pPr>
              <w:spacing w:after="0"/>
              <w:rPr>
                <w:sz w:val="1"/>
                <w:szCs w:val="1"/>
                <w:color w:val="auto"/>
              </w:rPr>
            </w:pPr>
          </w:p>
        </w:tc>
      </w:tr>
      <w:tr>
        <w:trPr>
          <w:trHeight w:val="203"/>
        </w:trPr>
        <w:tc>
          <w:tcPr>
            <w:tcW w:w="5440" w:type="dxa"/>
            <w:vAlign w:val="bottom"/>
            <w:vMerge w:val="restart"/>
          </w:tcPr>
          <w:p>
            <w:pPr>
              <w:spacing w:after="0"/>
              <w:rPr>
                <w:sz w:val="20"/>
                <w:szCs w:val="20"/>
                <w:color w:val="auto"/>
              </w:rPr>
            </w:pPr>
            <w:r>
              <w:rPr>
                <w:rFonts w:ascii="Courier New" w:cs="Courier New" w:eastAsia="Courier New" w:hAnsi="Courier New"/>
                <w:sz w:val="18"/>
                <w:szCs w:val="18"/>
                <w:color w:val="auto"/>
              </w:rPr>
              <w:t>Earnings per share - diluted</w:t>
            </w: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40" w:type="dxa"/>
            <w:vAlign w:val="bottom"/>
            <w:vMerge w:val="continue"/>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$0.22</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$0.25</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136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9"/>
              </w:rPr>
              <w:t>========</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*Restated to reflect change in accounting principle.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285" w:right="1440" w:bottom="1440" w:gutter="0" w:footer="0" w:header="0"/>
        </w:sectPr>
      </w:pP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85"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CONSOLIDATED STATEMENTS OF INCOME</w:t>
      </w:r>
    </w:p>
    <w:p>
      <w:pPr>
        <w:spacing w:after="0" w:line="238" w:lineRule="auto"/>
        <w:rPr>
          <w:sz w:val="20"/>
          <w:szCs w:val="20"/>
          <w:color w:val="auto"/>
        </w:rPr>
      </w:pPr>
      <w:r>
        <w:rPr>
          <w:rFonts w:ascii="Courier New" w:cs="Courier New" w:eastAsia="Courier New" w:hAnsi="Courier New"/>
          <w:sz w:val="18"/>
          <w:szCs w:val="18"/>
          <w:color w:val="auto"/>
        </w:rPr>
        <w:t>(Unaudited)</w:t>
      </w:r>
    </w:p>
    <w:p>
      <w:pPr>
        <w:spacing w:after="0"/>
        <w:rPr>
          <w:sz w:val="20"/>
          <w:szCs w:val="20"/>
          <w:color w:val="auto"/>
        </w:rPr>
      </w:pPr>
      <w:r>
        <w:rPr>
          <w:rFonts w:ascii="Courier New" w:cs="Courier New" w:eastAsia="Courier New" w:hAnsi="Courier New"/>
          <w:sz w:val="18"/>
          <w:szCs w:val="18"/>
          <w:color w:val="auto"/>
        </w:rPr>
        <w:t>(thousands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328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Six Months Ended</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3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6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May 1, 1999</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2, 1998*</w:t>
            </w:r>
          </w:p>
        </w:tc>
        <w:tc>
          <w:tcPr>
            <w:tcW w:w="0" w:type="dxa"/>
            <w:vAlign w:val="bottom"/>
          </w:tcPr>
          <w:p>
            <w:pPr>
              <w:spacing w:after="0"/>
              <w:rPr>
                <w:sz w:val="1"/>
                <w:szCs w:val="1"/>
                <w:color w:val="auto"/>
              </w:rPr>
            </w:pPr>
          </w:p>
        </w:tc>
      </w:tr>
      <w:tr>
        <w:trPr>
          <w:trHeight w:val="296"/>
        </w:trPr>
        <w:tc>
          <w:tcPr>
            <w:tcW w:w="5160" w:type="dxa"/>
            <w:vAlign w:val="bottom"/>
          </w:tcPr>
          <w:p>
            <w:pPr>
              <w:spacing w:after="0"/>
              <w:rPr>
                <w:sz w:val="24"/>
                <w:szCs w:val="24"/>
                <w:color w:val="auto"/>
              </w:rPr>
            </w:pPr>
          </w:p>
        </w:tc>
        <w:tc>
          <w:tcPr>
            <w:tcW w:w="16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51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$640,567</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$637,221</w:t>
            </w:r>
          </w:p>
        </w:tc>
        <w:tc>
          <w:tcPr>
            <w:tcW w:w="0" w:type="dxa"/>
            <w:vAlign w:val="bottom"/>
          </w:tcPr>
          <w:p>
            <w:pPr>
              <w:spacing w:after="0"/>
              <w:rPr>
                <w:sz w:val="1"/>
                <w:szCs w:val="1"/>
                <w:color w:val="auto"/>
              </w:rPr>
            </w:pPr>
          </w:p>
        </w:tc>
      </w:tr>
      <w:tr>
        <w:trPr>
          <w:trHeight w:val="311"/>
        </w:trPr>
        <w:tc>
          <w:tcPr>
            <w:tcW w:w="516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339,240</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315,325</w:t>
            </w:r>
          </w:p>
        </w:tc>
        <w:tc>
          <w:tcPr>
            <w:tcW w:w="0" w:type="dxa"/>
            <w:vAlign w:val="bottom"/>
          </w:tcPr>
          <w:p>
            <w:pPr>
              <w:spacing w:after="0"/>
              <w:rPr>
                <w:sz w:val="1"/>
                <w:szCs w:val="1"/>
                <w:color w:val="auto"/>
              </w:rPr>
            </w:pPr>
          </w:p>
        </w:tc>
      </w:tr>
      <w:tr>
        <w:trPr>
          <w:trHeight w:val="296"/>
        </w:trPr>
        <w:tc>
          <w:tcPr>
            <w:tcW w:w="5160" w:type="dxa"/>
            <w:vAlign w:val="bottom"/>
          </w:tcPr>
          <w:p>
            <w:pPr>
              <w:spacing w:after="0"/>
              <w:rPr>
                <w:sz w:val="24"/>
                <w:szCs w:val="24"/>
                <w:color w:val="auto"/>
              </w:rPr>
            </w:pP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301,327</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321,896</w:t>
            </w:r>
          </w:p>
        </w:tc>
        <w:tc>
          <w:tcPr>
            <w:tcW w:w="0" w:type="dxa"/>
            <w:vAlign w:val="bottom"/>
          </w:tcPr>
          <w:p>
            <w:pPr>
              <w:spacing w:after="0"/>
              <w:rPr>
                <w:sz w:val="1"/>
                <w:szCs w:val="1"/>
                <w:color w:val="auto"/>
              </w:rPr>
            </w:pPr>
          </w:p>
        </w:tc>
      </w:tr>
      <w:tr>
        <w:trPr>
          <w:trHeight w:val="311"/>
        </w:trPr>
        <w:tc>
          <w:tcPr>
            <w:tcW w:w="51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114,483</w:t>
            </w:r>
          </w:p>
        </w:tc>
        <w:tc>
          <w:tcPr>
            <w:tcW w:w="1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111,165</w:t>
            </w:r>
          </w:p>
        </w:tc>
        <w:tc>
          <w:tcPr>
            <w:tcW w:w="0" w:type="dxa"/>
            <w:vAlign w:val="bottom"/>
          </w:tcPr>
          <w:p>
            <w:pPr>
              <w:spacing w:after="0"/>
              <w:rPr>
                <w:sz w:val="1"/>
                <w:szCs w:val="1"/>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6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In-process research and development write-off</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5,140</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95,348</w:t>
            </w:r>
          </w:p>
        </w:tc>
        <w:tc>
          <w:tcPr>
            <w:tcW w:w="1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112,660</w:t>
            </w:r>
          </w:p>
        </w:tc>
        <w:tc>
          <w:tcPr>
            <w:tcW w:w="0" w:type="dxa"/>
            <w:vAlign w:val="bottom"/>
          </w:tcPr>
          <w:p>
            <w:pPr>
              <w:spacing w:after="0"/>
              <w:rPr>
                <w:sz w:val="1"/>
                <w:szCs w:val="1"/>
                <w:color w:val="auto"/>
              </w:rPr>
            </w:pP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16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Gain on sale of business, net</w:t>
            </w: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(13,100)</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5160" w:type="dxa"/>
            <w:vAlign w:val="bottom"/>
          </w:tcPr>
          <w:p>
            <w:pPr>
              <w:spacing w:after="0"/>
              <w:rPr>
                <w:sz w:val="24"/>
                <w:szCs w:val="24"/>
                <w:color w:val="auto"/>
              </w:rPr>
            </w:pP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214,971</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210,725</w:t>
            </w:r>
          </w:p>
        </w:tc>
        <w:tc>
          <w:tcPr>
            <w:tcW w:w="0" w:type="dxa"/>
            <w:vAlign w:val="bottom"/>
          </w:tcPr>
          <w:p>
            <w:pPr>
              <w:spacing w:after="0"/>
              <w:rPr>
                <w:sz w:val="1"/>
                <w:szCs w:val="1"/>
                <w:color w:val="auto"/>
              </w:rPr>
            </w:pP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86,356</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111,171</w:t>
            </w:r>
          </w:p>
        </w:tc>
        <w:tc>
          <w:tcPr>
            <w:tcW w:w="0" w:type="dxa"/>
            <w:vAlign w:val="bottom"/>
          </w:tcPr>
          <w:p>
            <w:pPr>
              <w:spacing w:after="0"/>
              <w:rPr>
                <w:sz w:val="1"/>
                <w:szCs w:val="1"/>
                <w:color w:val="auto"/>
              </w:rPr>
            </w:pP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Equity in loss of WaferTech</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1,149</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3,505</w:t>
            </w:r>
          </w:p>
        </w:tc>
        <w:tc>
          <w:tcPr>
            <w:tcW w:w="0" w:type="dxa"/>
            <w:vAlign w:val="bottom"/>
          </w:tcPr>
          <w:p>
            <w:pPr>
              <w:spacing w:after="0"/>
              <w:rPr>
                <w:sz w:val="1"/>
                <w:szCs w:val="1"/>
                <w:color w:val="auto"/>
              </w:rPr>
            </w:pPr>
          </w:p>
        </w:tc>
      </w:tr>
      <w:tr>
        <w:trPr>
          <w:trHeight w:val="311"/>
        </w:trPr>
        <w:tc>
          <w:tcPr>
            <w:tcW w:w="5160" w:type="dxa"/>
            <w:vAlign w:val="bottom"/>
          </w:tcPr>
          <w:p>
            <w:pPr>
              <w:spacing w:after="0"/>
              <w:rPr>
                <w:sz w:val="20"/>
                <w:szCs w:val="20"/>
                <w:color w:val="auto"/>
              </w:rPr>
            </w:pPr>
            <w:r>
              <w:rPr>
                <w:rFonts w:ascii="Courier New" w:cs="Courier New" w:eastAsia="Courier New" w:hAnsi="Courier New"/>
                <w:sz w:val="18"/>
                <w:szCs w:val="18"/>
                <w:color w:val="auto"/>
              </w:rPr>
              <w:t>Interest and other expense, net</w:t>
            </w:r>
          </w:p>
        </w:tc>
        <w:tc>
          <w:tcPr>
            <w:tcW w:w="16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(2,858)</w:t>
            </w:r>
          </w:p>
        </w:tc>
        <w:tc>
          <w:tcPr>
            <w:tcW w:w="1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(986)</w:t>
            </w:r>
          </w:p>
        </w:tc>
        <w:tc>
          <w:tcPr>
            <w:tcW w:w="0" w:type="dxa"/>
            <w:vAlign w:val="bottom"/>
          </w:tcPr>
          <w:p>
            <w:pPr>
              <w:spacing w:after="0"/>
              <w:rPr>
                <w:sz w:val="1"/>
                <w:szCs w:val="1"/>
                <w:color w:val="auto"/>
              </w:rPr>
            </w:pPr>
          </w:p>
        </w:tc>
      </w:tr>
      <w:tr>
        <w:trPr>
          <w:trHeight w:val="296"/>
        </w:trPr>
        <w:tc>
          <w:tcPr>
            <w:tcW w:w="5160" w:type="dxa"/>
            <w:vAlign w:val="bottom"/>
          </w:tcPr>
          <w:p>
            <w:pPr>
              <w:spacing w:after="0"/>
              <w:rPr>
                <w:sz w:val="24"/>
                <w:szCs w:val="24"/>
                <w:color w:val="auto"/>
              </w:rPr>
            </w:pP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88,065</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108,652</w:t>
            </w:r>
          </w:p>
        </w:tc>
        <w:tc>
          <w:tcPr>
            <w:tcW w:w="0" w:type="dxa"/>
            <w:vAlign w:val="bottom"/>
          </w:tcPr>
          <w:p>
            <w:pPr>
              <w:spacing w:after="0"/>
              <w:rPr>
                <w:sz w:val="1"/>
                <w:szCs w:val="1"/>
                <w:color w:val="auto"/>
              </w:rPr>
            </w:pPr>
          </w:p>
        </w:tc>
      </w:tr>
      <w:tr>
        <w:trPr>
          <w:trHeight w:val="311"/>
        </w:trPr>
        <w:tc>
          <w:tcPr>
            <w:tcW w:w="51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19,065</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24,608</w:t>
            </w:r>
          </w:p>
        </w:tc>
        <w:tc>
          <w:tcPr>
            <w:tcW w:w="0" w:type="dxa"/>
            <w:vAlign w:val="bottom"/>
          </w:tcPr>
          <w:p>
            <w:pPr>
              <w:spacing w:after="0"/>
              <w:rPr>
                <w:sz w:val="1"/>
                <w:szCs w:val="1"/>
                <w:color w:val="auto"/>
              </w:rPr>
            </w:pPr>
          </w:p>
        </w:tc>
      </w:tr>
      <w:tr>
        <w:trPr>
          <w:trHeight w:val="296"/>
        </w:trPr>
        <w:tc>
          <w:tcPr>
            <w:tcW w:w="5160" w:type="dxa"/>
            <w:vAlign w:val="bottom"/>
          </w:tcPr>
          <w:p>
            <w:pPr>
              <w:spacing w:after="0"/>
              <w:rPr>
                <w:sz w:val="24"/>
                <w:szCs w:val="24"/>
                <w:color w:val="auto"/>
              </w:rPr>
            </w:pP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160" w:type="dxa"/>
            <w:vAlign w:val="bottom"/>
          </w:tcPr>
          <w:p>
            <w:pPr>
              <w:spacing w:after="0"/>
              <w:rPr>
                <w:sz w:val="20"/>
                <w:szCs w:val="20"/>
                <w:color w:val="auto"/>
              </w:rPr>
            </w:pPr>
            <w:r>
              <w:rPr>
                <w:rFonts w:ascii="Courier New" w:cs="Courier New" w:eastAsia="Courier New" w:hAnsi="Courier New"/>
                <w:sz w:val="18"/>
                <w:szCs w:val="18"/>
                <w:color w:val="auto"/>
                <w:w w:val="99"/>
              </w:rPr>
              <w:t>Net income before cumulative effect of change in</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69,000</w:t>
            </w:r>
          </w:p>
        </w:tc>
        <w:tc>
          <w:tcPr>
            <w:tcW w:w="1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84,044</w:t>
            </w:r>
          </w:p>
        </w:tc>
        <w:tc>
          <w:tcPr>
            <w:tcW w:w="0" w:type="dxa"/>
            <w:vAlign w:val="bottom"/>
          </w:tcPr>
          <w:p>
            <w:pPr>
              <w:spacing w:after="0"/>
              <w:rPr>
                <w:sz w:val="1"/>
                <w:szCs w:val="1"/>
                <w:color w:val="auto"/>
              </w:rPr>
            </w:pPr>
          </w:p>
        </w:tc>
      </w:tr>
      <w:tr>
        <w:trPr>
          <w:trHeight w:val="296"/>
        </w:trPr>
        <w:tc>
          <w:tcPr>
            <w:tcW w:w="5160" w:type="dxa"/>
            <w:vAlign w:val="bottom"/>
          </w:tcPr>
          <w:p>
            <w:pPr>
              <w:ind w:left="320"/>
              <w:spacing w:after="0"/>
              <w:rPr>
                <w:sz w:val="20"/>
                <w:szCs w:val="20"/>
                <w:color w:val="auto"/>
              </w:rPr>
            </w:pPr>
            <w:r>
              <w:rPr>
                <w:rFonts w:ascii="Courier New" w:cs="Courier New" w:eastAsia="Courier New" w:hAnsi="Courier New"/>
                <w:sz w:val="18"/>
                <w:szCs w:val="18"/>
                <w:color w:val="auto"/>
              </w:rPr>
              <w:t>accounting principle</w:t>
            </w:r>
          </w:p>
        </w:tc>
        <w:tc>
          <w:tcPr>
            <w:tcW w:w="1640" w:type="dxa"/>
            <w:vAlign w:val="bottom"/>
            <w:vMerge w:val="continue"/>
          </w:tcPr>
          <w:p>
            <w:pPr>
              <w:spacing w:after="0"/>
              <w:rPr>
                <w:sz w:val="24"/>
                <w:szCs w:val="24"/>
                <w:color w:val="auto"/>
              </w:rPr>
            </w:pPr>
          </w:p>
        </w:tc>
        <w:tc>
          <w:tcPr>
            <w:tcW w:w="1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160" w:type="dxa"/>
            <w:vAlign w:val="bottom"/>
          </w:tcPr>
          <w:p>
            <w:pPr>
              <w:spacing w:after="0"/>
              <w:rPr>
                <w:sz w:val="20"/>
                <w:szCs w:val="20"/>
                <w:color w:val="auto"/>
              </w:rPr>
            </w:pPr>
            <w:r>
              <w:rPr>
                <w:rFonts w:ascii="Courier New" w:cs="Courier New" w:eastAsia="Courier New" w:hAnsi="Courier New"/>
                <w:sz w:val="18"/>
                <w:szCs w:val="18"/>
                <w:color w:val="auto"/>
              </w:rPr>
              <w:t>Cumulative effect of change in accounting</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6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(37,080)</w:t>
            </w:r>
          </w:p>
        </w:tc>
        <w:tc>
          <w:tcPr>
            <w:tcW w:w="0" w:type="dxa"/>
            <w:vAlign w:val="bottom"/>
          </w:tcPr>
          <w:p>
            <w:pPr>
              <w:spacing w:after="0"/>
              <w:rPr>
                <w:sz w:val="1"/>
                <w:szCs w:val="1"/>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principle, net of $20 million of income taxes</w:t>
            </w:r>
          </w:p>
        </w:tc>
        <w:tc>
          <w:tcPr>
            <w:tcW w:w="16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160" w:type="dxa"/>
            <w:vAlign w:val="bottom"/>
          </w:tcPr>
          <w:p>
            <w:pPr>
              <w:spacing w:after="0"/>
              <w:rPr>
                <w:sz w:val="24"/>
                <w:szCs w:val="24"/>
                <w:color w:val="auto"/>
              </w:rPr>
            </w:pP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160" w:type="dxa"/>
            <w:vAlign w:val="bottom"/>
          </w:tcPr>
          <w:p>
            <w:pPr>
              <w:spacing w:after="0"/>
              <w:rPr>
                <w:sz w:val="20"/>
                <w:szCs w:val="20"/>
                <w:color w:val="auto"/>
              </w:rPr>
            </w:pPr>
            <w:r>
              <w:rPr>
                <w:rFonts w:ascii="Courier New" w:cs="Courier New" w:eastAsia="Courier New" w:hAnsi="Courier New"/>
                <w:sz w:val="18"/>
                <w:szCs w:val="18"/>
                <w:color w:val="auto"/>
              </w:rPr>
              <w:t>Net income after cumulative effect of change in</w:t>
            </w:r>
          </w:p>
        </w:tc>
        <w:tc>
          <w:tcPr>
            <w:tcW w:w="16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$ 69,000</w:t>
            </w:r>
          </w:p>
        </w:tc>
        <w:tc>
          <w:tcPr>
            <w:tcW w:w="16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$ 46,964</w:t>
            </w:r>
          </w:p>
        </w:tc>
        <w:tc>
          <w:tcPr>
            <w:tcW w:w="0" w:type="dxa"/>
            <w:vAlign w:val="bottom"/>
          </w:tcPr>
          <w:p>
            <w:pPr>
              <w:spacing w:after="0"/>
              <w:rPr>
                <w:sz w:val="1"/>
                <w:szCs w:val="1"/>
                <w:color w:val="auto"/>
              </w:rPr>
            </w:pPr>
          </w:p>
        </w:tc>
      </w:tr>
      <w:tr>
        <w:trPr>
          <w:trHeight w:val="203"/>
        </w:trPr>
        <w:tc>
          <w:tcPr>
            <w:tcW w:w="5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64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160" w:type="dxa"/>
            <w:vAlign w:val="bottom"/>
          </w:tcPr>
          <w:p>
            <w:pPr>
              <w:spacing w:after="0"/>
              <w:rPr>
                <w:sz w:val="24"/>
                <w:szCs w:val="24"/>
                <w:color w:val="auto"/>
              </w:rPr>
            </w:pPr>
          </w:p>
        </w:tc>
        <w:tc>
          <w:tcPr>
            <w:tcW w:w="16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5160" w:type="dxa"/>
            <w:vAlign w:val="bottom"/>
          </w:tcPr>
          <w:p>
            <w:pPr>
              <w:ind w:left="4120"/>
              <w:spacing w:after="0"/>
              <w:rPr>
                <w:sz w:val="20"/>
                <w:szCs w:val="20"/>
                <w:color w:val="auto"/>
              </w:rPr>
            </w:pPr>
            <w:r>
              <w:rPr>
                <w:rFonts w:ascii="Courier New" w:cs="Courier New" w:eastAsia="Courier New" w:hAnsi="Courier New"/>
                <w:sz w:val="18"/>
                <w:szCs w:val="18"/>
                <w:color w:val="auto"/>
              </w:rPr>
              <w:t>3</w:t>
            </w: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4</w:t>
            </w: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538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INCOME (Continued)</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380" w:type="dxa"/>
            <w:vAlign w:val="bottom"/>
          </w:tcPr>
          <w:p>
            <w:pPr>
              <w:spacing w:after="0"/>
              <w:rPr>
                <w:sz w:val="20"/>
                <w:szCs w:val="20"/>
                <w:color w:val="auto"/>
              </w:rPr>
            </w:pPr>
            <w:r>
              <w:rPr>
                <w:rFonts w:ascii="Courier New" w:cs="Courier New" w:eastAsia="Courier New" w:hAnsi="Courier New"/>
                <w:sz w:val="18"/>
                <w:szCs w:val="18"/>
                <w:color w:val="auto"/>
              </w:rPr>
              <w:t>(thousands except per share amounts)</w:t>
            </w: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5380" w:type="dxa"/>
            <w:vAlign w:val="bottom"/>
          </w:tcPr>
          <w:p>
            <w:pPr>
              <w:spacing w:after="0"/>
              <w:rPr>
                <w:sz w:val="24"/>
                <w:szCs w:val="24"/>
                <w:color w:val="auto"/>
              </w:rPr>
            </w:pPr>
          </w:p>
        </w:tc>
        <w:tc>
          <w:tcPr>
            <w:tcW w:w="306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Six Months Ended</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May 1, 1999</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2, 1998*</w:t>
            </w:r>
          </w:p>
        </w:tc>
        <w:tc>
          <w:tcPr>
            <w:tcW w:w="0" w:type="dxa"/>
            <w:vAlign w:val="bottom"/>
          </w:tcPr>
          <w:p>
            <w:pPr>
              <w:spacing w:after="0"/>
              <w:rPr>
                <w:sz w:val="1"/>
                <w:szCs w:val="1"/>
                <w:color w:val="auto"/>
              </w:rPr>
            </w:pPr>
          </w:p>
        </w:tc>
      </w:tr>
      <w:tr>
        <w:trPr>
          <w:trHeight w:val="296"/>
        </w:trPr>
        <w:tc>
          <w:tcPr>
            <w:tcW w:w="538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380" w:type="dxa"/>
            <w:vAlign w:val="bottom"/>
          </w:tcPr>
          <w:p>
            <w:pPr>
              <w:spacing w:after="0"/>
              <w:rPr>
                <w:sz w:val="20"/>
                <w:szCs w:val="20"/>
                <w:color w:val="auto"/>
              </w:rPr>
            </w:pPr>
            <w:r>
              <w:rPr>
                <w:rFonts w:ascii="Courier New" w:cs="Courier New" w:eastAsia="Courier New" w:hAnsi="Courier New"/>
                <w:sz w:val="18"/>
                <w:szCs w:val="18"/>
                <w:color w:val="auto"/>
              </w:rPr>
              <w:t>Shares used to compute earnings per share - basic</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163,292</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161,574</w:t>
            </w:r>
          </w:p>
        </w:tc>
        <w:tc>
          <w:tcPr>
            <w:tcW w:w="0" w:type="dxa"/>
            <w:vAlign w:val="bottom"/>
          </w:tcPr>
          <w:p>
            <w:pPr>
              <w:spacing w:after="0"/>
              <w:rPr>
                <w:sz w:val="1"/>
                <w:szCs w:val="1"/>
                <w:color w:val="auto"/>
              </w:rPr>
            </w:pPr>
          </w:p>
        </w:tc>
      </w:tr>
      <w:tr>
        <w:trPr>
          <w:trHeight w:val="203"/>
        </w:trPr>
        <w:tc>
          <w:tcPr>
            <w:tcW w:w="5380" w:type="dxa"/>
            <w:vAlign w:val="bottom"/>
            <w:vMerge w:val="restart"/>
          </w:tcPr>
          <w:p>
            <w:pPr>
              <w:spacing w:after="0"/>
              <w:rPr>
                <w:sz w:val="20"/>
                <w:szCs w:val="20"/>
                <w:color w:val="auto"/>
              </w:rPr>
            </w:pPr>
            <w:r>
              <w:rPr>
                <w:rFonts w:ascii="Courier New" w:cs="Courier New" w:eastAsia="Courier New" w:hAnsi="Courier New"/>
                <w:sz w:val="18"/>
                <w:szCs w:val="18"/>
                <w:color w:val="auto"/>
                <w:w w:val="97"/>
              </w:rPr>
              <w:t>Shares used to compute earnings per share - diluted</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178,778</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178,787</w:t>
            </w:r>
          </w:p>
        </w:tc>
        <w:tc>
          <w:tcPr>
            <w:tcW w:w="0" w:type="dxa"/>
            <w:vAlign w:val="bottom"/>
          </w:tcPr>
          <w:p>
            <w:pPr>
              <w:spacing w:after="0"/>
              <w:rPr>
                <w:sz w:val="1"/>
                <w:szCs w:val="1"/>
                <w:color w:val="auto"/>
              </w:rPr>
            </w:pPr>
          </w:p>
        </w:tc>
      </w:tr>
      <w:tr>
        <w:trPr>
          <w:trHeight w:val="296"/>
        </w:trPr>
        <w:tc>
          <w:tcPr>
            <w:tcW w:w="5380" w:type="dxa"/>
            <w:vAlign w:val="bottom"/>
          </w:tcPr>
          <w:p>
            <w:pPr>
              <w:spacing w:after="0"/>
              <w:rPr>
                <w:sz w:val="24"/>
                <w:szCs w:val="24"/>
                <w:color w:val="auto"/>
              </w:rPr>
            </w:pP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380" w:type="dxa"/>
            <w:vAlign w:val="bottom"/>
          </w:tcPr>
          <w:p>
            <w:pPr>
              <w:spacing w:after="0"/>
              <w:rPr>
                <w:sz w:val="20"/>
                <w:szCs w:val="20"/>
                <w:color w:val="auto"/>
              </w:rPr>
            </w:pPr>
            <w:r>
              <w:rPr>
                <w:rFonts w:ascii="Courier New" w:cs="Courier New" w:eastAsia="Courier New" w:hAnsi="Courier New"/>
                <w:sz w:val="18"/>
                <w:szCs w:val="18"/>
                <w:color w:val="auto"/>
              </w:rPr>
              <w:t>Earnings per share before cumulative effect of</w:t>
            </w: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change in accounting principle</w:t>
            </w: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380" w:type="dxa"/>
            <w:vAlign w:val="bottom"/>
          </w:tcPr>
          <w:p>
            <w:pPr>
              <w:spacing w:after="0"/>
              <w:rPr>
                <w:sz w:val="20"/>
                <w:szCs w:val="20"/>
                <w:color w:val="auto"/>
              </w:rPr>
            </w:pPr>
            <w:r>
              <w:rPr>
                <w:rFonts w:ascii="Courier New" w:cs="Courier New" w:eastAsia="Courier New" w:hAnsi="Courier New"/>
                <w:sz w:val="18"/>
                <w:szCs w:val="18"/>
                <w:color w:val="auto"/>
              </w:rPr>
              <w:t>Earnings per share - basic</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$0.42</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$0.53</w:t>
            </w:r>
          </w:p>
        </w:tc>
        <w:tc>
          <w:tcPr>
            <w:tcW w:w="0" w:type="dxa"/>
            <w:vAlign w:val="bottom"/>
          </w:tcPr>
          <w:p>
            <w:pPr>
              <w:spacing w:after="0"/>
              <w:rPr>
                <w:sz w:val="1"/>
                <w:szCs w:val="1"/>
                <w:color w:val="auto"/>
              </w:rPr>
            </w:pPr>
          </w:p>
        </w:tc>
      </w:tr>
      <w:tr>
        <w:trPr>
          <w:trHeight w:val="203"/>
        </w:trPr>
        <w:tc>
          <w:tcPr>
            <w:tcW w:w="5380" w:type="dxa"/>
            <w:vAlign w:val="bottom"/>
            <w:vMerge w:val="restart"/>
          </w:tcPr>
          <w:p>
            <w:pPr>
              <w:spacing w:after="0"/>
              <w:rPr>
                <w:sz w:val="20"/>
                <w:szCs w:val="20"/>
                <w:color w:val="auto"/>
              </w:rPr>
            </w:pPr>
            <w:r>
              <w:rPr>
                <w:rFonts w:ascii="Courier New" w:cs="Courier New" w:eastAsia="Courier New" w:hAnsi="Courier New"/>
                <w:sz w:val="18"/>
                <w:szCs w:val="18"/>
                <w:color w:val="auto"/>
              </w:rPr>
              <w:t>Earnings per share - diluted</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$0.40</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$0.49</w:t>
            </w:r>
          </w:p>
        </w:tc>
        <w:tc>
          <w:tcPr>
            <w:tcW w:w="0" w:type="dxa"/>
            <w:vAlign w:val="bottom"/>
          </w:tcPr>
          <w:p>
            <w:pPr>
              <w:spacing w:after="0"/>
              <w:rPr>
                <w:sz w:val="1"/>
                <w:szCs w:val="1"/>
                <w:color w:val="auto"/>
              </w:rPr>
            </w:pPr>
          </w:p>
        </w:tc>
      </w:tr>
      <w:tr>
        <w:trPr>
          <w:trHeight w:val="296"/>
        </w:trPr>
        <w:tc>
          <w:tcPr>
            <w:tcW w:w="5380" w:type="dxa"/>
            <w:vAlign w:val="bottom"/>
          </w:tcPr>
          <w:p>
            <w:pPr>
              <w:spacing w:after="0"/>
              <w:rPr>
                <w:sz w:val="24"/>
                <w:szCs w:val="24"/>
                <w:color w:val="auto"/>
              </w:rPr>
            </w:pP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380" w:type="dxa"/>
            <w:vAlign w:val="bottom"/>
          </w:tcPr>
          <w:p>
            <w:pPr>
              <w:spacing w:after="0"/>
              <w:rPr>
                <w:sz w:val="20"/>
                <w:szCs w:val="20"/>
                <w:color w:val="auto"/>
              </w:rPr>
            </w:pPr>
            <w:r>
              <w:rPr>
                <w:rFonts w:ascii="Courier New" w:cs="Courier New" w:eastAsia="Courier New" w:hAnsi="Courier New"/>
                <w:sz w:val="18"/>
                <w:szCs w:val="18"/>
                <w:color w:val="auto"/>
              </w:rPr>
              <w:t>Earnings per share after cumulative effect of</w:t>
            </w: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380" w:type="dxa"/>
            <w:vAlign w:val="bottom"/>
          </w:tcPr>
          <w:p>
            <w:pPr>
              <w:ind w:left="320"/>
              <w:spacing w:after="0"/>
              <w:rPr>
                <w:sz w:val="20"/>
                <w:szCs w:val="20"/>
                <w:color w:val="auto"/>
              </w:rPr>
            </w:pPr>
            <w:r>
              <w:rPr>
                <w:rFonts w:ascii="Courier New" w:cs="Courier New" w:eastAsia="Courier New" w:hAnsi="Courier New"/>
                <w:sz w:val="18"/>
                <w:szCs w:val="18"/>
                <w:color w:val="auto"/>
              </w:rPr>
              <w:t>change in accounting principle</w:t>
            </w: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380" w:type="dxa"/>
            <w:vAlign w:val="bottom"/>
          </w:tcPr>
          <w:p>
            <w:pPr>
              <w:spacing w:after="0"/>
              <w:rPr>
                <w:sz w:val="20"/>
                <w:szCs w:val="20"/>
                <w:color w:val="auto"/>
              </w:rPr>
            </w:pPr>
            <w:r>
              <w:rPr>
                <w:rFonts w:ascii="Courier New" w:cs="Courier New" w:eastAsia="Courier New" w:hAnsi="Courier New"/>
                <w:sz w:val="18"/>
                <w:szCs w:val="18"/>
                <w:color w:val="auto"/>
              </w:rPr>
              <w:t>Earnings per share - basic</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$0.42</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$0.30</w:t>
            </w:r>
          </w:p>
        </w:tc>
        <w:tc>
          <w:tcPr>
            <w:tcW w:w="0" w:type="dxa"/>
            <w:vAlign w:val="bottom"/>
          </w:tcPr>
          <w:p>
            <w:pPr>
              <w:spacing w:after="0"/>
              <w:rPr>
                <w:sz w:val="1"/>
                <w:szCs w:val="1"/>
                <w:color w:val="auto"/>
              </w:rPr>
            </w:pPr>
          </w:p>
        </w:tc>
      </w:tr>
      <w:tr>
        <w:trPr>
          <w:trHeight w:val="203"/>
        </w:trPr>
        <w:tc>
          <w:tcPr>
            <w:tcW w:w="5380" w:type="dxa"/>
            <w:vAlign w:val="bottom"/>
            <w:vMerge w:val="restart"/>
          </w:tcPr>
          <w:p>
            <w:pPr>
              <w:spacing w:after="0"/>
              <w:rPr>
                <w:sz w:val="20"/>
                <w:szCs w:val="20"/>
                <w:color w:val="auto"/>
              </w:rPr>
            </w:pPr>
            <w:r>
              <w:rPr>
                <w:rFonts w:ascii="Courier New" w:cs="Courier New" w:eastAsia="Courier New" w:hAnsi="Courier New"/>
                <w:sz w:val="18"/>
                <w:szCs w:val="18"/>
                <w:color w:val="auto"/>
              </w:rPr>
              <w:t>Earnings per share - diluted</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380" w:type="dxa"/>
            <w:vAlign w:val="bottom"/>
            <w:vMerge w:val="continue"/>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$0.40</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$0.28</w:t>
            </w:r>
          </w:p>
        </w:tc>
        <w:tc>
          <w:tcPr>
            <w:tcW w:w="0" w:type="dxa"/>
            <w:vAlign w:val="bottom"/>
          </w:tcPr>
          <w:p>
            <w:pPr>
              <w:spacing w:after="0"/>
              <w:rPr>
                <w:sz w:val="1"/>
                <w:szCs w:val="1"/>
                <w:color w:val="auto"/>
              </w:rPr>
            </w:pPr>
          </w:p>
        </w:tc>
      </w:tr>
      <w:tr>
        <w:trPr>
          <w:trHeight w:val="296"/>
        </w:trPr>
        <w:tc>
          <w:tcPr>
            <w:tcW w:w="5380" w:type="dxa"/>
            <w:vAlign w:val="bottom"/>
          </w:tcPr>
          <w:p>
            <w:pPr>
              <w:spacing w:after="0"/>
              <w:rPr>
                <w:sz w:val="24"/>
                <w:szCs w:val="24"/>
                <w:color w:val="auto"/>
              </w:rPr>
            </w:pP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*Restated to reflect change in accounting principle.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38" w:lineRule="auto"/>
        <w:rPr>
          <w:sz w:val="20"/>
          <w:szCs w:val="20"/>
          <w:color w:val="auto"/>
        </w:rPr>
      </w:pPr>
      <w:r>
        <w:rPr>
          <w:rFonts w:ascii="Courier New" w:cs="Courier New" w:eastAsia="Courier New" w:hAnsi="Courier New"/>
          <w:sz w:val="18"/>
          <w:szCs w:val="18"/>
          <w:color w:val="auto"/>
        </w:rPr>
        <w:t>(Unaudited)</w:t>
      </w:r>
    </w:p>
    <w:p>
      <w:pPr>
        <w:spacing w:after="0"/>
        <w:rPr>
          <w:sz w:val="20"/>
          <w:szCs w:val="20"/>
          <w:color w:val="auto"/>
        </w:rPr>
      </w:pPr>
      <w:r>
        <w:rPr>
          <w:rFonts w:ascii="Courier New" w:cs="Courier New" w:eastAsia="Courier New" w:hAnsi="Courier New"/>
          <w:sz w:val="18"/>
          <w:szCs w:val="18"/>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May 1, 1999</w:t>
            </w:r>
          </w:p>
        </w:tc>
        <w:tc>
          <w:tcPr>
            <w:tcW w:w="20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October 31, 1998</w:t>
            </w:r>
          </w:p>
        </w:tc>
        <w:tc>
          <w:tcPr>
            <w:tcW w:w="1440" w:type="dxa"/>
            <w:vAlign w:val="bottom"/>
          </w:tcPr>
          <w:p>
            <w:pPr>
              <w:ind w:left="160"/>
              <w:spacing w:after="0"/>
              <w:rPr>
                <w:sz w:val="20"/>
                <w:szCs w:val="20"/>
                <w:color w:val="auto"/>
              </w:rPr>
            </w:pPr>
            <w:r>
              <w:rPr>
                <w:rFonts w:ascii="Courier New" w:cs="Courier New" w:eastAsia="Courier New" w:hAnsi="Courier New"/>
                <w:sz w:val="18"/>
                <w:szCs w:val="18"/>
                <w:color w:val="auto"/>
                <w:w w:val="97"/>
              </w:rPr>
              <w:t>May 2, 1998*</w:t>
            </w: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4"/>
                <w:szCs w:val="24"/>
                <w:color w:val="auto"/>
              </w:rPr>
            </w:pP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20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w:t>
            </w:r>
          </w:p>
        </w:tc>
        <w:tc>
          <w:tcPr>
            <w:tcW w:w="144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348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401,307</w:t>
            </w:r>
          </w:p>
        </w:tc>
        <w:tc>
          <w:tcPr>
            <w:tcW w:w="20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263,331</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286,105</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117,788</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41,575</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33,819</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225,127</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207,361</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255,872</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22,221</w:t>
            </w:r>
          </w:p>
        </w:tc>
        <w:tc>
          <w:tcPr>
            <w:tcW w:w="204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25,624</w:t>
            </w:r>
          </w:p>
        </w:tc>
        <w:tc>
          <w:tcPr>
            <w:tcW w:w="14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27,558</w:t>
            </w:r>
          </w:p>
        </w:tc>
        <w:tc>
          <w:tcPr>
            <w:tcW w:w="0" w:type="dxa"/>
            <w:vAlign w:val="bottom"/>
          </w:tcPr>
          <w:p>
            <w:pPr>
              <w:spacing w:after="0"/>
              <w:rPr>
                <w:sz w:val="1"/>
                <w:szCs w:val="1"/>
                <w:color w:val="auto"/>
              </w:rPr>
            </w:pP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Raw materials</w:t>
            </w:r>
          </w:p>
        </w:tc>
        <w:tc>
          <w:tcPr>
            <w:tcW w:w="1800" w:type="dxa"/>
            <w:vAlign w:val="bottom"/>
            <w:vMerge w:val="continue"/>
          </w:tcPr>
          <w:p>
            <w:pPr>
              <w:spacing w:after="0"/>
              <w:rPr>
                <w:sz w:val="17"/>
                <w:szCs w:val="17"/>
                <w:color w:val="auto"/>
              </w:rPr>
            </w:pPr>
          </w:p>
        </w:tc>
        <w:tc>
          <w:tcPr>
            <w:tcW w:w="20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Work in process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147,184</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142,139</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141,867</w:t>
            </w:r>
          </w:p>
        </w:tc>
        <w:tc>
          <w:tcPr>
            <w:tcW w:w="0" w:type="dxa"/>
            <w:vAlign w:val="bottom"/>
          </w:tcPr>
          <w:p>
            <w:pPr>
              <w:spacing w:after="0"/>
              <w:rPr>
                <w:sz w:val="1"/>
                <w:szCs w:val="1"/>
                <w:color w:val="auto"/>
              </w:rPr>
            </w:pP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Finished goods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89,969</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107,313</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97,554</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vMerge w:val="restart"/>
          </w:tcPr>
          <w:p>
            <w:pPr>
              <w:spacing w:after="0"/>
              <w:rPr>
                <w:sz w:val="20"/>
                <w:szCs w:val="20"/>
                <w:color w:val="auto"/>
              </w:rPr>
            </w:pPr>
            <w:r>
              <w:rPr>
                <w:rFonts w:ascii="Courier New" w:cs="Courier New" w:eastAsia="Courier New" w:hAnsi="Courier New"/>
                <w:sz w:val="18"/>
                <w:szCs w:val="18"/>
                <w:color w:val="auto"/>
              </w:rPr>
              <w:t>Deferred tax assets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259,374</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275,076</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266,979</w:t>
            </w:r>
          </w:p>
        </w:tc>
        <w:tc>
          <w:tcPr>
            <w:tcW w:w="0" w:type="dxa"/>
            <w:vAlign w:val="bottom"/>
          </w:tcPr>
          <w:p>
            <w:pPr>
              <w:spacing w:after="0"/>
              <w:rPr>
                <w:sz w:val="1"/>
                <w:szCs w:val="1"/>
                <w:color w:val="auto"/>
              </w:rPr>
            </w:pPr>
          </w:p>
        </w:tc>
      </w:tr>
      <w:tr>
        <w:trPr>
          <w:trHeight w:val="203"/>
        </w:trPr>
        <w:tc>
          <w:tcPr>
            <w:tcW w:w="3480" w:type="dxa"/>
            <w:vAlign w:val="bottom"/>
            <w:vMerge w:val="continue"/>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95,000</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98,148</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88,139</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13,654</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18,038</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18,473</w:t>
            </w:r>
          </w:p>
        </w:tc>
        <w:tc>
          <w:tcPr>
            <w:tcW w:w="0" w:type="dxa"/>
            <w:vAlign w:val="bottom"/>
          </w:tcPr>
          <w:p>
            <w:pPr>
              <w:spacing w:after="0"/>
              <w:rPr>
                <w:sz w:val="1"/>
                <w:szCs w:val="1"/>
                <w:color w:val="auto"/>
              </w:rPr>
            </w:pPr>
          </w:p>
        </w:tc>
      </w:tr>
      <w:tr>
        <w:trPr>
          <w:trHeight w:val="203"/>
        </w:trPr>
        <w:tc>
          <w:tcPr>
            <w:tcW w:w="34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Total current assets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vMerge w:val="continue"/>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1,112,250</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903,529</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949,387</w:t>
            </w: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4"/>
                <w:szCs w:val="24"/>
                <w:color w:val="auto"/>
              </w:rPr>
            </w:pP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20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Property, plant and equipment, at cost:</w:t>
            </w:r>
          </w:p>
        </w:tc>
        <w:tc>
          <w:tcPr>
            <w:tcW w:w="204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158,792</w:t>
            </w:r>
          </w:p>
        </w:tc>
        <w:tc>
          <w:tcPr>
            <w:tcW w:w="14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158,598</w:t>
            </w:r>
          </w:p>
        </w:tc>
        <w:tc>
          <w:tcPr>
            <w:tcW w:w="0" w:type="dxa"/>
            <w:vAlign w:val="bottom"/>
          </w:tcPr>
          <w:p>
            <w:pPr>
              <w:spacing w:after="0"/>
              <w:rPr>
                <w:sz w:val="1"/>
                <w:szCs w:val="1"/>
                <w:color w:val="auto"/>
              </w:rPr>
            </w:pP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161,109</w:t>
            </w:r>
          </w:p>
        </w:tc>
        <w:tc>
          <w:tcPr>
            <w:tcW w:w="20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1,050,673</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1,034,619</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1,022,398</w:t>
            </w:r>
          </w:p>
        </w:tc>
        <w:tc>
          <w:tcPr>
            <w:tcW w:w="0" w:type="dxa"/>
            <w:vAlign w:val="bottom"/>
          </w:tcPr>
          <w:p>
            <w:pPr>
              <w:spacing w:after="0"/>
              <w:rPr>
                <w:sz w:val="1"/>
                <w:szCs w:val="1"/>
                <w:color w:val="auto"/>
              </w:rPr>
            </w:pP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 equipment</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73,766</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70,576</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63,091</w:t>
            </w:r>
          </w:p>
        </w:tc>
        <w:tc>
          <w:tcPr>
            <w:tcW w:w="0" w:type="dxa"/>
            <w:vAlign w:val="bottom"/>
          </w:tcPr>
          <w:p>
            <w:pPr>
              <w:spacing w:after="0"/>
              <w:rPr>
                <w:sz w:val="1"/>
                <w:szCs w:val="1"/>
                <w:color w:val="auto"/>
              </w:rPr>
            </w:pP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104,749</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103,482</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95,939</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480" w:type="dxa"/>
            <w:vAlign w:val="bottom"/>
            <w:vMerge w:val="restart"/>
          </w:tcPr>
          <w:p>
            <w:pPr>
              <w:spacing w:after="0"/>
              <w:rPr>
                <w:sz w:val="20"/>
                <w:szCs w:val="20"/>
                <w:color w:val="auto"/>
              </w:rPr>
            </w:pPr>
            <w:r>
              <w:rPr>
                <w:rFonts w:ascii="Courier New" w:cs="Courier New" w:eastAsia="Courier New" w:hAnsi="Courier New"/>
                <w:sz w:val="18"/>
                <w:szCs w:val="18"/>
                <w:color w:val="auto"/>
              </w:rPr>
              <w:t>Less accumulated depreciation</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1,390,297</w:t>
            </w:r>
          </w:p>
        </w:tc>
        <w:tc>
          <w:tcPr>
            <w:tcW w:w="20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1,367,469</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1,340,026</w:t>
            </w:r>
          </w:p>
        </w:tc>
        <w:tc>
          <w:tcPr>
            <w:tcW w:w="0" w:type="dxa"/>
            <w:vAlign w:val="bottom"/>
          </w:tcPr>
          <w:p>
            <w:pPr>
              <w:spacing w:after="0"/>
              <w:rPr>
                <w:sz w:val="1"/>
                <w:szCs w:val="1"/>
                <w:color w:val="auto"/>
              </w:rPr>
            </w:pPr>
          </w:p>
        </w:tc>
      </w:tr>
      <w:tr>
        <w:trPr>
          <w:trHeight w:val="109"/>
        </w:trPr>
        <w:tc>
          <w:tcPr>
            <w:tcW w:w="3480" w:type="dxa"/>
            <w:vAlign w:val="bottom"/>
            <w:vMerge w:val="continue"/>
          </w:tcPr>
          <w:p>
            <w:pPr>
              <w:spacing w:after="0"/>
              <w:rPr>
                <w:sz w:val="9"/>
                <w:szCs w:val="9"/>
                <w:color w:val="auto"/>
              </w:rPr>
            </w:pPr>
          </w:p>
        </w:tc>
        <w:tc>
          <w:tcPr>
            <w:tcW w:w="1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729,696</w:t>
            </w:r>
          </w:p>
        </w:tc>
        <w:tc>
          <w:tcPr>
            <w:tcW w:w="204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664,038</w:t>
            </w:r>
          </w:p>
        </w:tc>
        <w:tc>
          <w:tcPr>
            <w:tcW w:w="14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619,059</w:t>
            </w:r>
          </w:p>
        </w:tc>
        <w:tc>
          <w:tcPr>
            <w:tcW w:w="0" w:type="dxa"/>
            <w:vAlign w:val="bottom"/>
          </w:tcPr>
          <w:p>
            <w:pPr>
              <w:spacing w:after="0"/>
              <w:rPr>
                <w:sz w:val="1"/>
                <w:szCs w:val="1"/>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800" w:type="dxa"/>
            <w:vAlign w:val="bottom"/>
            <w:vMerge w:val="continue"/>
          </w:tcPr>
          <w:p>
            <w:pPr>
              <w:spacing w:after="0"/>
              <w:rPr>
                <w:sz w:val="17"/>
                <w:szCs w:val="17"/>
                <w:color w:val="auto"/>
              </w:rPr>
            </w:pPr>
          </w:p>
        </w:tc>
        <w:tc>
          <w:tcPr>
            <w:tcW w:w="20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4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Net property, plant and</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20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480" w:type="dxa"/>
            <w:vAlign w:val="bottom"/>
            <w:vMerge w:val="continue"/>
          </w:tcPr>
          <w:p>
            <w:pPr>
              <w:spacing w:after="0"/>
              <w:rPr>
                <w:sz w:val="9"/>
                <w:szCs w:val="9"/>
                <w:color w:val="auto"/>
              </w:rPr>
            </w:pPr>
          </w:p>
        </w:tc>
        <w:tc>
          <w:tcPr>
            <w:tcW w:w="18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660,601</w:t>
            </w:r>
          </w:p>
        </w:tc>
        <w:tc>
          <w:tcPr>
            <w:tcW w:w="204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703,431</w:t>
            </w:r>
          </w:p>
        </w:tc>
        <w:tc>
          <w:tcPr>
            <w:tcW w:w="14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720,967</w:t>
            </w:r>
          </w:p>
        </w:tc>
        <w:tc>
          <w:tcPr>
            <w:tcW w:w="0" w:type="dxa"/>
            <w:vAlign w:val="bottom"/>
          </w:tcPr>
          <w:p>
            <w:pPr>
              <w:spacing w:after="0"/>
              <w:rPr>
                <w:sz w:val="1"/>
                <w:szCs w:val="1"/>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1800" w:type="dxa"/>
            <w:vAlign w:val="bottom"/>
            <w:vMerge w:val="continue"/>
          </w:tcPr>
          <w:p>
            <w:pPr>
              <w:spacing w:after="0"/>
              <w:rPr>
                <w:sz w:val="17"/>
                <w:szCs w:val="17"/>
                <w:color w:val="auto"/>
              </w:rPr>
            </w:pPr>
          </w:p>
        </w:tc>
        <w:tc>
          <w:tcPr>
            <w:tcW w:w="20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4"/>
                <w:szCs w:val="24"/>
                <w:color w:val="auto"/>
              </w:rPr>
            </w:pP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20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48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88,376</w:t>
            </w:r>
          </w:p>
        </w:tc>
        <w:tc>
          <w:tcPr>
            <w:tcW w:w="20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187,224</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191,623</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30,731</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15,815</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17,227</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46,900</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51,731</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57,875</w:t>
            </w:r>
          </w:p>
        </w:tc>
        <w:tc>
          <w:tcPr>
            <w:tcW w:w="0" w:type="dxa"/>
            <w:vAlign w:val="bottom"/>
          </w:tcPr>
          <w:p>
            <w:pPr>
              <w:spacing w:after="0"/>
              <w:rPr>
                <w:sz w:val="1"/>
                <w:szCs w:val="1"/>
                <w:color w:val="auto"/>
              </w:rPr>
            </w:pPr>
          </w:p>
        </w:tc>
      </w:tr>
      <w:tr>
        <w:trPr>
          <w:trHeight w:val="203"/>
        </w:trPr>
        <w:tc>
          <w:tcPr>
            <w:tcW w:w="348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Total other assets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vMerge w:val="continue"/>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166,007</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254,770</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266,725</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$1,938,858</w:t>
            </w:r>
          </w:p>
        </w:tc>
        <w:tc>
          <w:tcPr>
            <w:tcW w:w="20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$1,861,730</w:t>
            </w:r>
          </w:p>
        </w:tc>
        <w:tc>
          <w:tcPr>
            <w:tcW w:w="14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$1,937,079</w:t>
            </w: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4"/>
                <w:szCs w:val="24"/>
                <w:color w:val="auto"/>
              </w:rPr>
            </w:pP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20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4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*Restated to reflect change in accounting principle.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96"/>
        </w:trPr>
        <w:tc>
          <w:tcPr>
            <w:tcW w:w="4020" w:type="dxa"/>
            <w:vAlign w:val="bottom"/>
          </w:tcPr>
          <w:p>
            <w:pPr>
              <w:ind w:left="320"/>
              <w:spacing w:after="0"/>
              <w:rPr>
                <w:sz w:val="20"/>
                <w:szCs w:val="20"/>
                <w:color w:val="auto"/>
              </w:rPr>
            </w:pPr>
            <w:r>
              <w:rPr>
                <w:rFonts w:ascii="Courier New" w:cs="Courier New" w:eastAsia="Courier New" w:hAnsi="Courier New"/>
                <w:sz w:val="18"/>
                <w:szCs w:val="18"/>
                <w:color w:val="auto"/>
              </w:rPr>
              <w:t>6</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402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BALANCE SHEETS</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0"/>
                <w:szCs w:val="20"/>
                <w:color w:val="auto"/>
              </w:rPr>
            </w:pPr>
            <w:r>
              <w:rPr>
                <w:rFonts w:ascii="Courier New" w:cs="Courier New" w:eastAsia="Courier New" w:hAnsi="Courier New"/>
                <w:sz w:val="18"/>
                <w:szCs w:val="18"/>
                <w:color w:val="auto"/>
              </w:rPr>
              <w:t>(thousands except share amounts)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4020" w:type="dxa"/>
            <w:vAlign w:val="bottom"/>
          </w:tcPr>
          <w:p>
            <w:pPr>
              <w:spacing w:after="0"/>
              <w:rPr>
                <w:sz w:val="20"/>
                <w:szCs w:val="20"/>
                <w:color w:val="auto"/>
              </w:rPr>
            </w:pPr>
            <w:r>
              <w:rPr>
                <w:rFonts w:ascii="Courier New" w:cs="Courier New" w:eastAsia="Courier New" w:hAnsi="Courier New"/>
                <w:sz w:val="18"/>
                <w:szCs w:val="18"/>
                <w:color w:val="auto"/>
              </w:rPr>
              <w:t>Liabilities and Stockholders'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20" w:type="dxa"/>
            <w:vAlign w:val="bottom"/>
          </w:tcPr>
          <w:p>
            <w:pPr>
              <w:ind w:left="220"/>
              <w:spacing w:after="0"/>
              <w:rPr>
                <w:sz w:val="20"/>
                <w:szCs w:val="20"/>
                <w:color w:val="auto"/>
              </w:rPr>
            </w:pPr>
            <w:r>
              <w:rPr>
                <w:rFonts w:ascii="Courier New" w:cs="Courier New" w:eastAsia="Courier New" w:hAnsi="Courier New"/>
                <w:sz w:val="18"/>
                <w:szCs w:val="18"/>
                <w:color w:val="auto"/>
              </w:rPr>
              <w:t>Equity</w:t>
            </w:r>
          </w:p>
        </w:tc>
        <w:tc>
          <w:tcPr>
            <w:tcW w:w="1360" w:type="dxa"/>
            <w:vAlign w:val="bottom"/>
            <w:gridSpan w:val="2"/>
            <w:vMerge w:val="restart"/>
          </w:tcPr>
          <w:p>
            <w:pPr>
              <w:jc w:val="right"/>
              <w:ind w:right="132"/>
              <w:spacing w:after="0"/>
              <w:rPr>
                <w:sz w:val="20"/>
                <w:szCs w:val="20"/>
                <w:color w:val="auto"/>
              </w:rPr>
            </w:pPr>
            <w:r>
              <w:rPr>
                <w:rFonts w:ascii="Courier New" w:cs="Courier New" w:eastAsia="Courier New" w:hAnsi="Courier New"/>
                <w:sz w:val="18"/>
                <w:szCs w:val="18"/>
                <w:color w:val="auto"/>
                <w:w w:val="94"/>
              </w:rPr>
              <w:t>May 1, 1999</w:t>
            </w:r>
          </w:p>
        </w:tc>
        <w:tc>
          <w:tcPr>
            <w:tcW w:w="206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rPr>
              <w:t>October 31, 1998</w:t>
            </w:r>
          </w:p>
        </w:tc>
        <w:tc>
          <w:tcPr>
            <w:tcW w:w="260" w:type="dxa"/>
            <w:vAlign w:val="bottom"/>
          </w:tcPr>
          <w:p>
            <w:pPr>
              <w:spacing w:after="0"/>
              <w:rPr>
                <w:sz w:val="24"/>
                <w:szCs w:val="24"/>
                <w:color w:val="auto"/>
              </w:rPr>
            </w:pPr>
          </w:p>
        </w:tc>
        <w:tc>
          <w:tcPr>
            <w:tcW w:w="1260" w:type="dxa"/>
            <w:vAlign w:val="bottom"/>
            <w:vMerge w:val="restart"/>
          </w:tcPr>
          <w:p>
            <w:pPr>
              <w:spacing w:after="0"/>
              <w:rPr>
                <w:sz w:val="20"/>
                <w:szCs w:val="20"/>
                <w:color w:val="auto"/>
              </w:rPr>
            </w:pPr>
            <w:r>
              <w:rPr>
                <w:rFonts w:ascii="Courier New" w:cs="Courier New" w:eastAsia="Courier New" w:hAnsi="Courier New"/>
                <w:sz w:val="18"/>
                <w:szCs w:val="18"/>
                <w:color w:val="auto"/>
                <w:w w:val="95"/>
              </w:rPr>
              <w:t>May 2, 1998*</w:t>
            </w:r>
          </w:p>
        </w:tc>
        <w:tc>
          <w:tcPr>
            <w:tcW w:w="0" w:type="dxa"/>
            <w:vAlign w:val="bottom"/>
          </w:tcPr>
          <w:p>
            <w:pPr>
              <w:spacing w:after="0"/>
              <w:rPr>
                <w:sz w:val="1"/>
                <w:szCs w:val="1"/>
                <w:color w:val="auto"/>
              </w:rPr>
            </w:pPr>
          </w:p>
        </w:tc>
      </w:tr>
      <w:tr>
        <w:trPr>
          <w:trHeight w:val="109"/>
        </w:trPr>
        <w:tc>
          <w:tcPr>
            <w:tcW w:w="4020" w:type="dxa"/>
            <w:vAlign w:val="bottom"/>
          </w:tcPr>
          <w:p>
            <w:pPr>
              <w:spacing w:after="0"/>
              <w:rPr>
                <w:sz w:val="9"/>
                <w:szCs w:val="9"/>
                <w:color w:val="auto"/>
              </w:rPr>
            </w:pPr>
          </w:p>
        </w:tc>
        <w:tc>
          <w:tcPr>
            <w:tcW w:w="1360" w:type="dxa"/>
            <w:vAlign w:val="bottom"/>
            <w:gridSpan w:val="2"/>
            <w:vMerge w:val="continue"/>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4020" w:type="dxa"/>
            <w:vAlign w:val="bottom"/>
          </w:tcPr>
          <w:p>
            <w:pPr>
              <w:spacing w:after="0"/>
              <w:rPr>
                <w:sz w:val="20"/>
                <w:szCs w:val="20"/>
                <w:color w:val="auto"/>
              </w:rPr>
            </w:pPr>
            <w:r>
              <w:rPr>
                <w:rFonts w:ascii="Courier New" w:cs="Courier New" w:eastAsia="Courier New" w:hAnsi="Courier New"/>
                <w:sz w:val="18"/>
                <w:szCs w:val="18"/>
                <w:color w:val="auto"/>
              </w:rPr>
              <w:t>Short-term borrowings and current</w:t>
            </w:r>
          </w:p>
        </w:tc>
        <w:tc>
          <w:tcPr>
            <w:tcW w:w="100" w:type="dxa"/>
            <w:vAlign w:val="bottom"/>
            <w:vMerge w:val="restart"/>
          </w:tcPr>
          <w:p>
            <w:pPr>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101</w:t>
            </w:r>
          </w:p>
        </w:tc>
        <w:tc>
          <w:tcPr>
            <w:tcW w:w="5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54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193</w:t>
            </w: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332</w:t>
            </w: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portion of long-term debt</w:t>
            </w:r>
          </w:p>
        </w:tc>
        <w:tc>
          <w:tcPr>
            <w:tcW w:w="1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Obligations under capital leases</w:t>
            </w:r>
          </w:p>
        </w:tc>
        <w:tc>
          <w:tcPr>
            <w:tcW w:w="1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14,496</w:t>
            </w:r>
          </w:p>
        </w:tc>
        <w:tc>
          <w:tcPr>
            <w:tcW w:w="52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14,266</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11,954</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1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68,797</w:t>
            </w:r>
          </w:p>
        </w:tc>
        <w:tc>
          <w:tcPr>
            <w:tcW w:w="52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59,115</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95,811</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on shipments</w:t>
            </w:r>
          </w:p>
        </w:tc>
        <w:tc>
          <w:tcPr>
            <w:tcW w:w="100" w:type="dxa"/>
            <w:vAlign w:val="bottom"/>
          </w:tcPr>
          <w:p>
            <w:pPr>
              <w:spacing w:after="0"/>
              <w:rPr>
                <w:sz w:val="17"/>
                <w:szCs w:val="17"/>
                <w:color w:val="auto"/>
              </w:rPr>
            </w:pPr>
          </w:p>
        </w:tc>
        <w:tc>
          <w:tcPr>
            <w:tcW w:w="12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96,749</w:t>
            </w:r>
          </w:p>
        </w:tc>
        <w:tc>
          <w:tcPr>
            <w:tcW w:w="520" w:type="dxa"/>
            <w:vAlign w:val="bottom"/>
          </w:tcPr>
          <w:p>
            <w:pPr>
              <w:spacing w:after="0"/>
              <w:rPr>
                <w:sz w:val="17"/>
                <w:szCs w:val="17"/>
                <w:color w:val="auto"/>
              </w:rPr>
            </w:pPr>
          </w:p>
        </w:tc>
        <w:tc>
          <w:tcPr>
            <w:tcW w:w="154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113,784</w:t>
            </w:r>
          </w:p>
        </w:tc>
        <w:tc>
          <w:tcPr>
            <w:tcW w:w="260" w:type="dxa"/>
            <w:vAlign w:val="bottom"/>
          </w:tcPr>
          <w:p>
            <w:pPr>
              <w:spacing w:after="0"/>
              <w:rPr>
                <w:sz w:val="17"/>
                <w:szCs w:val="17"/>
                <w:color w:val="auto"/>
              </w:rPr>
            </w:pPr>
          </w:p>
        </w:tc>
        <w:tc>
          <w:tcPr>
            <w:tcW w:w="12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131,078</w:t>
            </w:r>
          </w:p>
        </w:tc>
        <w:tc>
          <w:tcPr>
            <w:tcW w:w="0" w:type="dxa"/>
            <w:vAlign w:val="bottom"/>
          </w:tcPr>
          <w:p>
            <w:pPr>
              <w:spacing w:after="0"/>
              <w:rPr>
                <w:sz w:val="1"/>
                <w:szCs w:val="1"/>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distributors</w:t>
            </w: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52,783</w:t>
            </w:r>
          </w:p>
        </w:tc>
        <w:tc>
          <w:tcPr>
            <w:tcW w:w="52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53,595</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64,335</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79,022</w:t>
            </w:r>
          </w:p>
        </w:tc>
        <w:tc>
          <w:tcPr>
            <w:tcW w:w="52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79,906</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84,268</w:t>
            </w:r>
          </w:p>
        </w:tc>
        <w:tc>
          <w:tcPr>
            <w:tcW w:w="0" w:type="dxa"/>
            <w:vAlign w:val="bottom"/>
          </w:tcPr>
          <w:p>
            <w:pPr>
              <w:spacing w:after="0"/>
              <w:rPr>
                <w:sz w:val="1"/>
                <w:szCs w:val="1"/>
                <w:color w:val="auto"/>
              </w:rPr>
            </w:pPr>
          </w:p>
        </w:tc>
      </w:tr>
      <w:tr>
        <w:trPr>
          <w:trHeight w:val="203"/>
        </w:trPr>
        <w:tc>
          <w:tcPr>
            <w:tcW w:w="402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Total current liabilities</w:t>
            </w:r>
          </w:p>
        </w:tc>
        <w:tc>
          <w:tcPr>
            <w:tcW w:w="13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20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311,948</w:t>
            </w:r>
          </w:p>
        </w:tc>
        <w:tc>
          <w:tcPr>
            <w:tcW w:w="52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320,859</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387,778</w:t>
            </w: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4"/>
                <w:szCs w:val="24"/>
                <w:color w:val="auto"/>
              </w:rPr>
            </w:pPr>
          </w:p>
        </w:tc>
        <w:tc>
          <w:tcPr>
            <w:tcW w:w="13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4"/>
              </w:rPr>
              <w:t>----------</w:t>
            </w:r>
          </w:p>
        </w:tc>
        <w:tc>
          <w:tcPr>
            <w:tcW w:w="206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402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0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80,000</w:t>
            </w:r>
          </w:p>
        </w:tc>
        <w:tc>
          <w:tcPr>
            <w:tcW w:w="520" w:type="dxa"/>
            <w:vAlign w:val="bottom"/>
          </w:tcPr>
          <w:p>
            <w:pPr>
              <w:spacing w:after="0"/>
              <w:rPr>
                <w:sz w:val="24"/>
                <w:szCs w:val="24"/>
                <w:color w:val="auto"/>
              </w:rPr>
            </w:pPr>
          </w:p>
        </w:tc>
        <w:tc>
          <w:tcPr>
            <w:tcW w:w="15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309,985</w:t>
            </w:r>
          </w:p>
        </w:tc>
        <w:tc>
          <w:tcPr>
            <w:tcW w:w="26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309,989</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obligations under</w:t>
            </w:r>
          </w:p>
        </w:tc>
        <w:tc>
          <w:tcPr>
            <w:tcW w:w="100" w:type="dxa"/>
            <w:vAlign w:val="bottom"/>
          </w:tcPr>
          <w:p>
            <w:pPr>
              <w:spacing w:after="0"/>
              <w:rPr>
                <w:sz w:val="17"/>
                <w:szCs w:val="17"/>
                <w:color w:val="auto"/>
              </w:rPr>
            </w:pPr>
          </w:p>
        </w:tc>
        <w:tc>
          <w:tcPr>
            <w:tcW w:w="12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23,510</w:t>
            </w:r>
          </w:p>
        </w:tc>
        <w:tc>
          <w:tcPr>
            <w:tcW w:w="520" w:type="dxa"/>
            <w:vAlign w:val="bottom"/>
          </w:tcPr>
          <w:p>
            <w:pPr>
              <w:spacing w:after="0"/>
              <w:rPr>
                <w:sz w:val="17"/>
                <w:szCs w:val="17"/>
                <w:color w:val="auto"/>
              </w:rPr>
            </w:pPr>
          </w:p>
        </w:tc>
        <w:tc>
          <w:tcPr>
            <w:tcW w:w="154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30,773</w:t>
            </w:r>
          </w:p>
        </w:tc>
        <w:tc>
          <w:tcPr>
            <w:tcW w:w="260" w:type="dxa"/>
            <w:vAlign w:val="bottom"/>
          </w:tcPr>
          <w:p>
            <w:pPr>
              <w:spacing w:after="0"/>
              <w:rPr>
                <w:sz w:val="17"/>
                <w:szCs w:val="17"/>
                <w:color w:val="auto"/>
              </w:rPr>
            </w:pPr>
          </w:p>
        </w:tc>
        <w:tc>
          <w:tcPr>
            <w:tcW w:w="12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32,863</w:t>
            </w:r>
          </w:p>
        </w:tc>
        <w:tc>
          <w:tcPr>
            <w:tcW w:w="0" w:type="dxa"/>
            <w:vAlign w:val="bottom"/>
          </w:tcPr>
          <w:p>
            <w:pPr>
              <w:spacing w:after="0"/>
              <w:rPr>
                <w:sz w:val="1"/>
                <w:szCs w:val="1"/>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leases</w:t>
            </w: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34,000</w:t>
            </w:r>
          </w:p>
        </w:tc>
        <w:tc>
          <w:tcPr>
            <w:tcW w:w="52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31,789</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24,000</w:t>
            </w:r>
          </w:p>
        </w:tc>
        <w:tc>
          <w:tcPr>
            <w:tcW w:w="0" w:type="dxa"/>
            <w:vAlign w:val="bottom"/>
          </w:tcPr>
          <w:p>
            <w:pPr>
              <w:spacing w:after="0"/>
              <w:rPr>
                <w:sz w:val="1"/>
                <w:szCs w:val="1"/>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1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47,100</w:t>
            </w:r>
          </w:p>
        </w:tc>
        <w:tc>
          <w:tcPr>
            <w:tcW w:w="52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39,935</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36,716</w:t>
            </w:r>
          </w:p>
        </w:tc>
        <w:tc>
          <w:tcPr>
            <w:tcW w:w="0" w:type="dxa"/>
            <w:vAlign w:val="bottom"/>
          </w:tcPr>
          <w:p>
            <w:pPr>
              <w:spacing w:after="0"/>
              <w:rPr>
                <w:sz w:val="1"/>
                <w:szCs w:val="1"/>
                <w:color w:val="auto"/>
              </w:rPr>
            </w:pPr>
          </w:p>
        </w:tc>
      </w:tr>
      <w:tr>
        <w:trPr>
          <w:trHeight w:val="203"/>
        </w:trPr>
        <w:tc>
          <w:tcPr>
            <w:tcW w:w="402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Total non-current liabilities</w:t>
            </w:r>
          </w:p>
        </w:tc>
        <w:tc>
          <w:tcPr>
            <w:tcW w:w="13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20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184,610</w:t>
            </w:r>
          </w:p>
        </w:tc>
        <w:tc>
          <w:tcPr>
            <w:tcW w:w="52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412,482</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403,568</w:t>
            </w: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4"/>
                <w:szCs w:val="24"/>
                <w:color w:val="auto"/>
              </w:rPr>
            </w:pPr>
          </w:p>
        </w:tc>
        <w:tc>
          <w:tcPr>
            <w:tcW w:w="13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4"/>
              </w:rPr>
              <w:t>----------</w:t>
            </w:r>
          </w:p>
        </w:tc>
        <w:tc>
          <w:tcPr>
            <w:tcW w:w="206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02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Preferred stock, $1.00 par value,</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500,000 shares authorized,</w:t>
            </w:r>
          </w:p>
        </w:tc>
        <w:tc>
          <w:tcPr>
            <w:tcW w:w="100" w:type="dxa"/>
            <w:vAlign w:val="bottom"/>
          </w:tcPr>
          <w:p>
            <w:pPr>
              <w:spacing w:after="0"/>
              <w:rPr>
                <w:sz w:val="17"/>
                <w:szCs w:val="17"/>
                <w:color w:val="auto"/>
              </w:rPr>
            </w:pPr>
          </w:p>
        </w:tc>
        <w:tc>
          <w:tcPr>
            <w:tcW w:w="12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54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 outstanding</w:t>
            </w: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$.16 2/3 par value,</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600,000,000 shares authorized,</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176,297,695 shares issued</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(164,092,719 in October 1998,</w:t>
            </w:r>
          </w:p>
        </w:tc>
        <w:tc>
          <w:tcPr>
            <w:tcW w:w="100" w:type="dxa"/>
            <w:vAlign w:val="bottom"/>
          </w:tcPr>
          <w:p>
            <w:pPr>
              <w:spacing w:after="0"/>
              <w:rPr>
                <w:sz w:val="17"/>
                <w:szCs w:val="17"/>
                <w:color w:val="auto"/>
              </w:rPr>
            </w:pPr>
          </w:p>
        </w:tc>
        <w:tc>
          <w:tcPr>
            <w:tcW w:w="12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29,384</w:t>
            </w:r>
          </w:p>
        </w:tc>
        <w:tc>
          <w:tcPr>
            <w:tcW w:w="520" w:type="dxa"/>
            <w:vAlign w:val="bottom"/>
          </w:tcPr>
          <w:p>
            <w:pPr>
              <w:spacing w:after="0"/>
              <w:rPr>
                <w:sz w:val="17"/>
                <w:szCs w:val="17"/>
                <w:color w:val="auto"/>
              </w:rPr>
            </w:pPr>
          </w:p>
        </w:tc>
        <w:tc>
          <w:tcPr>
            <w:tcW w:w="154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27,349</w:t>
            </w:r>
          </w:p>
        </w:tc>
        <w:tc>
          <w:tcPr>
            <w:tcW w:w="260" w:type="dxa"/>
            <w:vAlign w:val="bottom"/>
          </w:tcPr>
          <w:p>
            <w:pPr>
              <w:spacing w:after="0"/>
              <w:rPr>
                <w:sz w:val="17"/>
                <w:szCs w:val="17"/>
                <w:color w:val="auto"/>
              </w:rPr>
            </w:pPr>
          </w:p>
        </w:tc>
        <w:tc>
          <w:tcPr>
            <w:tcW w:w="12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27,264</w:t>
            </w:r>
          </w:p>
        </w:tc>
        <w:tc>
          <w:tcPr>
            <w:tcW w:w="0" w:type="dxa"/>
            <w:vAlign w:val="bottom"/>
          </w:tcPr>
          <w:p>
            <w:pPr>
              <w:spacing w:after="0"/>
              <w:rPr>
                <w:sz w:val="1"/>
                <w:szCs w:val="1"/>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163,578,201 in May 1998)</w:t>
            </w: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1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489,907</w:t>
            </w:r>
          </w:p>
        </w:tc>
        <w:tc>
          <w:tcPr>
            <w:tcW w:w="52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248,970</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233,297</w:t>
            </w:r>
          </w:p>
        </w:tc>
        <w:tc>
          <w:tcPr>
            <w:tcW w:w="0" w:type="dxa"/>
            <w:vAlign w:val="bottom"/>
          </w:tcPr>
          <w:p>
            <w:pPr>
              <w:spacing w:after="0"/>
              <w:rPr>
                <w:sz w:val="1"/>
                <w:szCs w:val="1"/>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983,371</w:t>
            </w:r>
          </w:p>
        </w:tc>
        <w:tc>
          <w:tcPr>
            <w:tcW w:w="52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913,992</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878,548</w:t>
            </w:r>
          </w:p>
        </w:tc>
        <w:tc>
          <w:tcPr>
            <w:tcW w:w="0" w:type="dxa"/>
            <w:vAlign w:val="bottom"/>
          </w:tcPr>
          <w:p>
            <w:pPr>
              <w:spacing w:after="0"/>
              <w:rPr>
                <w:sz w:val="1"/>
                <w:szCs w:val="1"/>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Cumulative translation adjustment</w:t>
            </w:r>
          </w:p>
        </w:tc>
        <w:tc>
          <w:tcPr>
            <w:tcW w:w="1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7,443</w:t>
            </w:r>
          </w:p>
        </w:tc>
        <w:tc>
          <w:tcPr>
            <w:tcW w:w="52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6,025</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7,195</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3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20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0" w:type="dxa"/>
            <w:vAlign w:val="bottom"/>
          </w:tcPr>
          <w:p>
            <w:pPr>
              <w:spacing w:after="0"/>
              <w:rPr>
                <w:sz w:val="1"/>
                <w:szCs w:val="1"/>
                <w:color w:val="auto"/>
              </w:rPr>
            </w:pPr>
          </w:p>
        </w:tc>
      </w:tr>
      <w:tr>
        <w:trPr>
          <w:trHeight w:val="296"/>
        </w:trPr>
        <w:tc>
          <w:tcPr>
            <w:tcW w:w="40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Less 3,765,989 shares in treasury,</w:t>
            </w:r>
          </w:p>
        </w:tc>
        <w:tc>
          <w:tcPr>
            <w:tcW w:w="10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4"/>
              </w:rPr>
              <w:t>1,510,105</w:t>
            </w:r>
          </w:p>
        </w:tc>
        <w:tc>
          <w:tcPr>
            <w:tcW w:w="520" w:type="dxa"/>
            <w:vAlign w:val="bottom"/>
          </w:tcPr>
          <w:p>
            <w:pPr>
              <w:spacing w:after="0"/>
              <w:rPr>
                <w:sz w:val="24"/>
                <w:szCs w:val="24"/>
                <w:color w:val="auto"/>
              </w:rPr>
            </w:pPr>
          </w:p>
        </w:tc>
        <w:tc>
          <w:tcPr>
            <w:tcW w:w="154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6"/>
              </w:rPr>
              <w:t>1,196,336</w:t>
            </w:r>
          </w:p>
        </w:tc>
        <w:tc>
          <w:tcPr>
            <w:tcW w:w="260" w:type="dxa"/>
            <w:vAlign w:val="bottom"/>
          </w:tcPr>
          <w:p>
            <w:pPr>
              <w:spacing w:after="0"/>
              <w:rPr>
                <w:sz w:val="24"/>
                <w:szCs w:val="24"/>
                <w:color w:val="auto"/>
              </w:rPr>
            </w:pP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4"/>
              </w:rPr>
              <w:t>1,146,304</w:t>
            </w:r>
          </w:p>
        </w:tc>
        <w:tc>
          <w:tcPr>
            <w:tcW w:w="0" w:type="dxa"/>
            <w:vAlign w:val="bottom"/>
          </w:tcPr>
          <w:p>
            <w:pPr>
              <w:spacing w:after="0"/>
              <w:rPr>
                <w:sz w:val="1"/>
                <w:szCs w:val="1"/>
                <w:color w:val="auto"/>
              </w:rPr>
            </w:pPr>
          </w:p>
        </w:tc>
      </w:tr>
      <w:tr>
        <w:trPr>
          <w:trHeight w:val="109"/>
        </w:trPr>
        <w:tc>
          <w:tcPr>
            <w:tcW w:w="4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at cost (3,782,763 in October 1998</w:t>
            </w:r>
          </w:p>
        </w:tc>
        <w:tc>
          <w:tcPr>
            <w:tcW w:w="100" w:type="dxa"/>
            <w:vAlign w:val="bottom"/>
          </w:tcPr>
          <w:p>
            <w:pPr>
              <w:spacing w:after="0"/>
              <w:rPr>
                <w:sz w:val="17"/>
                <w:szCs w:val="17"/>
                <w:color w:val="auto"/>
              </w:rPr>
            </w:pPr>
          </w:p>
        </w:tc>
        <w:tc>
          <w:tcPr>
            <w:tcW w:w="12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67,805</w:t>
            </w:r>
          </w:p>
        </w:tc>
        <w:tc>
          <w:tcPr>
            <w:tcW w:w="520" w:type="dxa"/>
            <w:vAlign w:val="bottom"/>
          </w:tcPr>
          <w:p>
            <w:pPr>
              <w:spacing w:after="0"/>
              <w:rPr>
                <w:sz w:val="17"/>
                <w:szCs w:val="17"/>
                <w:color w:val="auto"/>
              </w:rPr>
            </w:pPr>
          </w:p>
        </w:tc>
        <w:tc>
          <w:tcPr>
            <w:tcW w:w="154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67,947</w:t>
            </w:r>
          </w:p>
        </w:tc>
        <w:tc>
          <w:tcPr>
            <w:tcW w:w="260" w:type="dxa"/>
            <w:vAlign w:val="bottom"/>
          </w:tcPr>
          <w:p>
            <w:pPr>
              <w:spacing w:after="0"/>
              <w:rPr>
                <w:sz w:val="17"/>
                <w:szCs w:val="17"/>
                <w:color w:val="auto"/>
              </w:rPr>
            </w:pPr>
          </w:p>
        </w:tc>
        <w:tc>
          <w:tcPr>
            <w:tcW w:w="12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571</w:t>
            </w:r>
          </w:p>
        </w:tc>
        <w:tc>
          <w:tcPr>
            <w:tcW w:w="0" w:type="dxa"/>
            <w:vAlign w:val="bottom"/>
          </w:tcPr>
          <w:p>
            <w:pPr>
              <w:spacing w:after="0"/>
              <w:rPr>
                <w:sz w:val="1"/>
                <w:szCs w:val="1"/>
                <w:color w:val="auto"/>
              </w:rPr>
            </w:pPr>
          </w:p>
        </w:tc>
      </w:tr>
      <w:tr>
        <w:trPr>
          <w:trHeight w:val="203"/>
        </w:trPr>
        <w:tc>
          <w:tcPr>
            <w:tcW w:w="4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24,682 in May 1998)</w:t>
            </w:r>
          </w:p>
        </w:tc>
        <w:tc>
          <w:tcPr>
            <w:tcW w:w="10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vMerge w:val="restart"/>
          </w:tcPr>
          <w:p>
            <w:pPr>
              <w:ind w:left="740"/>
              <w:spacing w:after="0"/>
              <w:rPr>
                <w:sz w:val="20"/>
                <w:szCs w:val="20"/>
                <w:color w:val="auto"/>
              </w:rPr>
            </w:pPr>
            <w:r>
              <w:rPr>
                <w:rFonts w:ascii="Courier New" w:cs="Courier New" w:eastAsia="Courier New" w:hAnsi="Courier New"/>
                <w:sz w:val="18"/>
                <w:szCs w:val="18"/>
                <w:color w:val="auto"/>
              </w:rPr>
              <w:t>Total stockholders' equity</w:t>
            </w:r>
          </w:p>
        </w:tc>
        <w:tc>
          <w:tcPr>
            <w:tcW w:w="13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20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1,442,300</w:t>
            </w:r>
          </w:p>
        </w:tc>
        <w:tc>
          <w:tcPr>
            <w:tcW w:w="520" w:type="dxa"/>
            <w:vAlign w:val="bottom"/>
          </w:tcPr>
          <w:p>
            <w:pPr>
              <w:spacing w:after="0"/>
              <w:rPr>
                <w:sz w:val="17"/>
                <w:szCs w:val="17"/>
                <w:color w:val="auto"/>
              </w:rPr>
            </w:pP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1,128,389</w:t>
            </w:r>
          </w:p>
        </w:tc>
        <w:tc>
          <w:tcPr>
            <w:tcW w:w="26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1,145,733</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3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w:t>
            </w:r>
          </w:p>
        </w:tc>
        <w:tc>
          <w:tcPr>
            <w:tcW w:w="20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3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$1,938,858</w:t>
            </w:r>
          </w:p>
        </w:tc>
        <w:tc>
          <w:tcPr>
            <w:tcW w:w="206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$1,861,730</w:t>
            </w:r>
          </w:p>
        </w:tc>
        <w:tc>
          <w:tcPr>
            <w:tcW w:w="15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$1,937,079</w:t>
            </w:r>
          </w:p>
        </w:tc>
        <w:tc>
          <w:tcPr>
            <w:tcW w:w="0" w:type="dxa"/>
            <w:vAlign w:val="bottom"/>
          </w:tcPr>
          <w:p>
            <w:pPr>
              <w:spacing w:after="0"/>
              <w:rPr>
                <w:sz w:val="1"/>
                <w:szCs w:val="1"/>
                <w:color w:val="auto"/>
              </w:rPr>
            </w:pPr>
          </w:p>
        </w:tc>
      </w:tr>
      <w:tr>
        <w:trPr>
          <w:trHeight w:val="296"/>
        </w:trPr>
        <w:tc>
          <w:tcPr>
            <w:tcW w:w="4020" w:type="dxa"/>
            <w:vAlign w:val="bottom"/>
          </w:tcPr>
          <w:p>
            <w:pPr>
              <w:spacing w:after="0"/>
              <w:rPr>
                <w:sz w:val="24"/>
                <w:szCs w:val="24"/>
                <w:color w:val="auto"/>
              </w:rPr>
            </w:pPr>
          </w:p>
        </w:tc>
        <w:tc>
          <w:tcPr>
            <w:tcW w:w="13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4"/>
              </w:rPr>
              <w:t>==========</w:t>
            </w:r>
          </w:p>
        </w:tc>
        <w:tc>
          <w:tcPr>
            <w:tcW w:w="206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*Restated to reflect change in accounting principle.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285"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96"/>
        </w:trPr>
        <w:tc>
          <w:tcPr>
            <w:tcW w:w="548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548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CASH FLOWS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0"/>
                <w:szCs w:val="20"/>
                <w:color w:val="auto"/>
              </w:rPr>
            </w:pPr>
            <w:r>
              <w:rPr>
                <w:rFonts w:ascii="Courier New" w:cs="Courier New" w:eastAsia="Courier New" w:hAnsi="Courier New"/>
                <w:sz w:val="18"/>
                <w:szCs w:val="18"/>
                <w:color w:val="auto"/>
              </w:rPr>
              <w:t>(thousands)</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5480" w:type="dxa"/>
            <w:vAlign w:val="bottom"/>
          </w:tcPr>
          <w:p>
            <w:pPr>
              <w:spacing w:after="0"/>
              <w:rPr>
                <w:sz w:val="24"/>
                <w:szCs w:val="24"/>
                <w:color w:val="auto"/>
              </w:rPr>
            </w:pPr>
          </w:p>
        </w:tc>
        <w:tc>
          <w:tcPr>
            <w:tcW w:w="316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Six Months Ended</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May 1, 1999</w:t>
            </w:r>
          </w:p>
        </w:tc>
        <w:tc>
          <w:tcPr>
            <w:tcW w:w="1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May 2, 1998*</w:t>
            </w: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4"/>
                <w:szCs w:val="24"/>
                <w:color w:val="auto"/>
              </w:rPr>
            </w:pPr>
          </w:p>
        </w:tc>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5"/>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480" w:type="dxa"/>
            <w:vAlign w:val="bottom"/>
          </w:tcPr>
          <w:p>
            <w:pPr>
              <w:spacing w:after="0"/>
              <w:rPr>
                <w:sz w:val="20"/>
                <w:szCs w:val="20"/>
                <w:color w:val="auto"/>
              </w:rPr>
            </w:pPr>
            <w:r>
              <w:rPr>
                <w:rFonts w:ascii="Courier New" w:cs="Courier New" w:eastAsia="Courier New" w:hAnsi="Courier New"/>
                <w:sz w:val="18"/>
                <w:szCs w:val="18"/>
                <w:color w:val="auto"/>
              </w:rPr>
              <w:t>OPERATIONS</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operations:</w:t>
            </w:r>
          </w:p>
        </w:tc>
        <w:tc>
          <w:tcPr>
            <w:tcW w:w="15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$ 69,000</w:t>
            </w:r>
          </w:p>
        </w:tc>
        <w:tc>
          <w:tcPr>
            <w:tcW w:w="580" w:type="dxa"/>
            <w:vAlign w:val="bottom"/>
          </w:tcPr>
          <w:p>
            <w:pPr>
              <w:spacing w:after="0"/>
              <w:rPr>
                <w:sz w:val="17"/>
                <w:szCs w:val="17"/>
                <w:color w:val="auto"/>
              </w:rPr>
            </w:pP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4"/>
              </w:rPr>
              <w:t>$ 46,964</w:t>
            </w: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5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net cash provided by operations: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Cumulative effect of change in accounting</w:t>
            </w:r>
          </w:p>
        </w:tc>
        <w:tc>
          <w:tcPr>
            <w:tcW w:w="15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37,080</w:t>
            </w:r>
          </w:p>
        </w:tc>
        <w:tc>
          <w:tcPr>
            <w:tcW w:w="0" w:type="dxa"/>
            <w:vAlign w:val="bottom"/>
          </w:tcPr>
          <w:p>
            <w:pPr>
              <w:spacing w:after="0"/>
              <w:rPr>
                <w:sz w:val="1"/>
                <w:szCs w:val="1"/>
                <w:color w:val="auto"/>
              </w:rPr>
            </w:pPr>
          </w:p>
        </w:tc>
      </w:tr>
      <w:tr>
        <w:trPr>
          <w:trHeight w:val="203"/>
        </w:trPr>
        <w:tc>
          <w:tcPr>
            <w:tcW w:w="5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9"/>
              </w:rPr>
              <w:t>principle, net of $20 million of income taxes</w:t>
            </w:r>
          </w:p>
        </w:tc>
        <w:tc>
          <w:tcPr>
            <w:tcW w:w="15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70,891</w:t>
            </w:r>
          </w:p>
        </w:tc>
        <w:tc>
          <w:tcPr>
            <w:tcW w:w="5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61,002</w:t>
            </w:r>
          </w:p>
        </w:tc>
        <w:tc>
          <w:tcPr>
            <w:tcW w:w="0" w:type="dxa"/>
            <w:vAlign w:val="bottom"/>
          </w:tcPr>
          <w:p>
            <w:pPr>
              <w:spacing w:after="0"/>
              <w:rPr>
                <w:sz w:val="1"/>
                <w:szCs w:val="1"/>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Write-off of acquired in-process R&amp;D</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5,140</w:t>
            </w:r>
          </w:p>
        </w:tc>
        <w:tc>
          <w:tcPr>
            <w:tcW w:w="5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Equity in loss of WaferTech, net of dividends</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1,149</w:t>
            </w:r>
          </w:p>
        </w:tc>
        <w:tc>
          <w:tcPr>
            <w:tcW w:w="5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4,632</w:t>
            </w:r>
          </w:p>
        </w:tc>
        <w:tc>
          <w:tcPr>
            <w:tcW w:w="0" w:type="dxa"/>
            <w:vAlign w:val="bottom"/>
          </w:tcPr>
          <w:p>
            <w:pPr>
              <w:spacing w:after="0"/>
              <w:rPr>
                <w:sz w:val="1"/>
                <w:szCs w:val="1"/>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2,236</w:t>
            </w:r>
          </w:p>
        </w:tc>
        <w:tc>
          <w:tcPr>
            <w:tcW w:w="5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3,253</w:t>
            </w:r>
          </w:p>
        </w:tc>
        <w:tc>
          <w:tcPr>
            <w:tcW w:w="0" w:type="dxa"/>
            <w:vAlign w:val="bottom"/>
          </w:tcPr>
          <w:p>
            <w:pPr>
              <w:spacing w:after="0"/>
              <w:rPr>
                <w:sz w:val="1"/>
                <w:szCs w:val="1"/>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non-cash expense</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2,318</w:t>
            </w:r>
          </w:p>
        </w:tc>
        <w:tc>
          <w:tcPr>
            <w:tcW w:w="5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838</w:t>
            </w:r>
          </w:p>
        </w:tc>
        <w:tc>
          <w:tcPr>
            <w:tcW w:w="0" w:type="dxa"/>
            <w:vAlign w:val="bottom"/>
          </w:tcPr>
          <w:p>
            <w:pPr>
              <w:spacing w:after="0"/>
              <w:rPr>
                <w:sz w:val="1"/>
                <w:szCs w:val="1"/>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(8,063)</w:t>
            </w:r>
          </w:p>
        </w:tc>
        <w:tc>
          <w:tcPr>
            <w:tcW w:w="5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5,361</w:t>
            </w:r>
          </w:p>
        </w:tc>
        <w:tc>
          <w:tcPr>
            <w:tcW w:w="0" w:type="dxa"/>
            <w:vAlign w:val="bottom"/>
          </w:tcPr>
          <w:p>
            <w:pPr>
              <w:spacing w:after="0"/>
              <w:rPr>
                <w:sz w:val="1"/>
                <w:szCs w:val="1"/>
                <w:color w:val="auto"/>
              </w:rPr>
            </w:pPr>
          </w:p>
        </w:tc>
      </w:tr>
      <w:tr>
        <w:trPr>
          <w:trHeight w:val="203"/>
        </w:trPr>
        <w:tc>
          <w:tcPr>
            <w:tcW w:w="54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Total adjustments</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73,671</w:t>
            </w:r>
          </w:p>
        </w:tc>
        <w:tc>
          <w:tcPr>
            <w:tcW w:w="5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112,166</w:t>
            </w:r>
          </w:p>
        </w:tc>
        <w:tc>
          <w:tcPr>
            <w:tcW w:w="0" w:type="dxa"/>
            <w:vAlign w:val="bottom"/>
          </w:tcPr>
          <w:p>
            <w:pPr>
              <w:spacing w:after="0"/>
              <w:rPr>
                <w:sz w:val="1"/>
                <w:szCs w:val="1"/>
                <w:color w:val="auto"/>
              </w:rPr>
            </w:pPr>
          </w:p>
        </w:tc>
      </w:tr>
      <w:tr>
        <w:trPr>
          <w:trHeight w:val="203"/>
        </w:trPr>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Net cash provided by operations</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142,671</w:t>
            </w:r>
          </w:p>
        </w:tc>
        <w:tc>
          <w:tcPr>
            <w:tcW w:w="5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159,130</w:t>
            </w: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4"/>
                <w:szCs w:val="24"/>
                <w:color w:val="auto"/>
              </w:rPr>
            </w:pPr>
          </w:p>
        </w:tc>
        <w:tc>
          <w:tcPr>
            <w:tcW w:w="1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48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investments:</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of short-term investments</w:t>
            </w:r>
          </w:p>
        </w:tc>
        <w:tc>
          <w:tcPr>
            <w:tcW w:w="154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(162,038)</w:t>
            </w:r>
          </w:p>
        </w:tc>
        <w:tc>
          <w:tcPr>
            <w:tcW w:w="58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(77,183)</w:t>
            </w:r>
          </w:p>
        </w:tc>
        <w:tc>
          <w:tcPr>
            <w:tcW w:w="0" w:type="dxa"/>
            <w:vAlign w:val="bottom"/>
          </w:tcPr>
          <w:p>
            <w:pPr>
              <w:spacing w:after="0"/>
              <w:rPr>
                <w:sz w:val="1"/>
                <w:szCs w:val="1"/>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15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Change in long-term investments</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108,354</w:t>
            </w:r>
          </w:p>
        </w:tc>
        <w:tc>
          <w:tcPr>
            <w:tcW w:w="5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(58,860)</w:t>
            </w:r>
          </w:p>
        </w:tc>
        <w:tc>
          <w:tcPr>
            <w:tcW w:w="0" w:type="dxa"/>
            <w:vAlign w:val="bottom"/>
          </w:tcPr>
          <w:p>
            <w:pPr>
              <w:spacing w:after="0"/>
              <w:rPr>
                <w:sz w:val="1"/>
                <w:szCs w:val="1"/>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15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85,825</w:t>
            </w:r>
          </w:p>
        </w:tc>
        <w:tc>
          <w:tcPr>
            <w:tcW w:w="580" w:type="dxa"/>
            <w:vAlign w:val="bottom"/>
          </w:tcPr>
          <w:p>
            <w:pPr>
              <w:spacing w:after="0"/>
              <w:rPr>
                <w:sz w:val="17"/>
                <w:szCs w:val="17"/>
                <w:color w:val="auto"/>
              </w:rPr>
            </w:pP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94,370</w:t>
            </w:r>
          </w:p>
        </w:tc>
        <w:tc>
          <w:tcPr>
            <w:tcW w:w="0" w:type="dxa"/>
            <w:vAlign w:val="bottom"/>
          </w:tcPr>
          <w:p>
            <w:pPr>
              <w:spacing w:after="0"/>
              <w:rPr>
                <w:sz w:val="1"/>
                <w:szCs w:val="1"/>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available for sale</w:t>
            </w:r>
          </w:p>
        </w:tc>
        <w:tc>
          <w:tcPr>
            <w:tcW w:w="15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Additions to property, plant and equipment, net</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(26,009)</w:t>
            </w:r>
          </w:p>
        </w:tc>
        <w:tc>
          <w:tcPr>
            <w:tcW w:w="5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(119,292)</w:t>
            </w:r>
          </w:p>
        </w:tc>
        <w:tc>
          <w:tcPr>
            <w:tcW w:w="0" w:type="dxa"/>
            <w:vAlign w:val="bottom"/>
          </w:tcPr>
          <w:p>
            <w:pPr>
              <w:spacing w:after="0"/>
              <w:rPr>
                <w:sz w:val="1"/>
                <w:szCs w:val="1"/>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for acquisitions, net of cash acquired</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(20,019)</w:t>
            </w:r>
          </w:p>
        </w:tc>
        <w:tc>
          <w:tcPr>
            <w:tcW w:w="5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Decrease (increase) in other assets</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5,902</w:t>
            </w:r>
          </w:p>
        </w:tc>
        <w:tc>
          <w:tcPr>
            <w:tcW w:w="5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(6,152)</w:t>
            </w:r>
          </w:p>
        </w:tc>
        <w:tc>
          <w:tcPr>
            <w:tcW w:w="0" w:type="dxa"/>
            <w:vAlign w:val="bottom"/>
          </w:tcPr>
          <w:p>
            <w:pPr>
              <w:spacing w:after="0"/>
              <w:rPr>
                <w:sz w:val="1"/>
                <w:szCs w:val="1"/>
                <w:color w:val="auto"/>
              </w:rPr>
            </w:pPr>
          </w:p>
        </w:tc>
      </w:tr>
      <w:tr>
        <w:trPr>
          <w:trHeight w:val="203"/>
        </w:trPr>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Net cash used for investments</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(7,985)</w:t>
            </w:r>
          </w:p>
        </w:tc>
        <w:tc>
          <w:tcPr>
            <w:tcW w:w="5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(167,117)</w:t>
            </w: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4"/>
                <w:szCs w:val="24"/>
                <w:color w:val="auto"/>
              </w:rPr>
            </w:pPr>
          </w:p>
        </w:tc>
        <w:tc>
          <w:tcPr>
            <w:tcW w:w="1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48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5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10,540</w:t>
            </w:r>
          </w:p>
        </w:tc>
        <w:tc>
          <w:tcPr>
            <w:tcW w:w="580" w:type="dxa"/>
            <w:vAlign w:val="bottom"/>
          </w:tcPr>
          <w:p>
            <w:pPr>
              <w:spacing w:after="0"/>
              <w:rPr>
                <w:sz w:val="17"/>
                <w:szCs w:val="17"/>
                <w:color w:val="auto"/>
              </w:rPr>
            </w:pP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8,775</w:t>
            </w:r>
          </w:p>
        </w:tc>
        <w:tc>
          <w:tcPr>
            <w:tcW w:w="0" w:type="dxa"/>
            <w:vAlign w:val="bottom"/>
          </w:tcPr>
          <w:p>
            <w:pPr>
              <w:spacing w:after="0"/>
              <w:rPr>
                <w:sz w:val="1"/>
                <w:szCs w:val="1"/>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employee stock plans</w:t>
            </w:r>
          </w:p>
        </w:tc>
        <w:tc>
          <w:tcPr>
            <w:tcW w:w="15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capital lease obligations</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(7,033)</w:t>
            </w:r>
          </w:p>
        </w:tc>
        <w:tc>
          <w:tcPr>
            <w:tcW w:w="58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(5,768)</w:t>
            </w:r>
          </w:p>
        </w:tc>
        <w:tc>
          <w:tcPr>
            <w:tcW w:w="0" w:type="dxa"/>
            <w:vAlign w:val="bottom"/>
          </w:tcPr>
          <w:p>
            <w:pPr>
              <w:spacing w:after="0"/>
              <w:rPr>
                <w:sz w:val="1"/>
                <w:szCs w:val="1"/>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(decrease) increase in variable</w:t>
            </w:r>
          </w:p>
        </w:tc>
        <w:tc>
          <w:tcPr>
            <w:tcW w:w="154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(119)</w:t>
            </w:r>
          </w:p>
        </w:tc>
        <w:tc>
          <w:tcPr>
            <w:tcW w:w="580" w:type="dxa"/>
            <w:vAlign w:val="bottom"/>
          </w:tcPr>
          <w:p>
            <w:pPr>
              <w:spacing w:after="0"/>
              <w:rPr>
                <w:sz w:val="17"/>
                <w:szCs w:val="17"/>
                <w:color w:val="auto"/>
              </w:rPr>
            </w:pP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315</w:t>
            </w:r>
          </w:p>
        </w:tc>
        <w:tc>
          <w:tcPr>
            <w:tcW w:w="0" w:type="dxa"/>
            <w:vAlign w:val="bottom"/>
          </w:tcPr>
          <w:p>
            <w:pPr>
              <w:spacing w:after="0"/>
              <w:rPr>
                <w:sz w:val="1"/>
                <w:szCs w:val="1"/>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rate borrowings</w:t>
            </w:r>
          </w:p>
        </w:tc>
        <w:tc>
          <w:tcPr>
            <w:tcW w:w="15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Net cash provided by financing activities</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3,388</w:t>
            </w:r>
          </w:p>
        </w:tc>
        <w:tc>
          <w:tcPr>
            <w:tcW w:w="5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3,322</w:t>
            </w:r>
          </w:p>
        </w:tc>
        <w:tc>
          <w:tcPr>
            <w:tcW w:w="0" w:type="dxa"/>
            <w:vAlign w:val="bottom"/>
          </w:tcPr>
          <w:p>
            <w:pPr>
              <w:spacing w:after="0"/>
              <w:rPr>
                <w:sz w:val="1"/>
                <w:szCs w:val="1"/>
                <w:color w:val="auto"/>
              </w:rPr>
            </w:pPr>
          </w:p>
        </w:tc>
      </w:tr>
      <w:tr>
        <w:trPr>
          <w:trHeight w:val="203"/>
        </w:trPr>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Effect of exchange rate changes on cash</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(98)</w:t>
            </w:r>
          </w:p>
        </w:tc>
        <w:tc>
          <w:tcPr>
            <w:tcW w:w="5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1,169</w:t>
            </w: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4"/>
                <w:szCs w:val="24"/>
                <w:color w:val="auto"/>
              </w:rPr>
            </w:pPr>
          </w:p>
        </w:tc>
        <w:tc>
          <w:tcPr>
            <w:tcW w:w="1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480" w:type="dxa"/>
            <w:vAlign w:val="bottom"/>
          </w:tcPr>
          <w:p>
            <w:pPr>
              <w:spacing w:after="0"/>
              <w:rPr>
                <w:sz w:val="20"/>
                <w:szCs w:val="20"/>
                <w:color w:val="auto"/>
              </w:rPr>
            </w:pPr>
            <w:r>
              <w:rPr>
                <w:rFonts w:ascii="Courier New" w:cs="Courier New" w:eastAsia="Courier New" w:hAnsi="Courier New"/>
                <w:sz w:val="18"/>
                <w:szCs w:val="18"/>
                <w:color w:val="auto"/>
                <w:w w:val="97"/>
              </w:rPr>
              <w:t>Net increase (decrease) in cash and cash equivalents</w:t>
            </w:r>
          </w:p>
        </w:tc>
        <w:tc>
          <w:tcPr>
            <w:tcW w:w="1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137,976</w:t>
            </w:r>
          </w:p>
        </w:tc>
        <w:tc>
          <w:tcPr>
            <w:tcW w:w="58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(3,496)</w:t>
            </w:r>
          </w:p>
        </w:tc>
        <w:tc>
          <w:tcPr>
            <w:tcW w:w="0" w:type="dxa"/>
            <w:vAlign w:val="bottom"/>
          </w:tcPr>
          <w:p>
            <w:pPr>
              <w:spacing w:after="0"/>
              <w:rPr>
                <w:sz w:val="1"/>
                <w:szCs w:val="1"/>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 of period</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263,331</w:t>
            </w:r>
          </w:p>
        </w:tc>
        <w:tc>
          <w:tcPr>
            <w:tcW w:w="58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289,601</w:t>
            </w:r>
          </w:p>
        </w:tc>
        <w:tc>
          <w:tcPr>
            <w:tcW w:w="0" w:type="dxa"/>
            <w:vAlign w:val="bottom"/>
          </w:tcPr>
          <w:p>
            <w:pPr>
              <w:spacing w:after="0"/>
              <w:rPr>
                <w:sz w:val="1"/>
                <w:szCs w:val="1"/>
                <w:color w:val="auto"/>
              </w:rPr>
            </w:pPr>
          </w:p>
        </w:tc>
      </w:tr>
      <w:tr>
        <w:trPr>
          <w:trHeight w:val="203"/>
        </w:trPr>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Cash and cash equivalents at end of period</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80" w:type="dxa"/>
            <w:vAlign w:val="bottom"/>
            <w:vMerge w:val="continue"/>
          </w:tcPr>
          <w:p>
            <w:pPr>
              <w:spacing w:after="0"/>
              <w:rPr>
                <w:sz w:val="17"/>
                <w:szCs w:val="17"/>
                <w:color w:val="auto"/>
              </w:rPr>
            </w:pP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$ 401,307</w:t>
            </w:r>
          </w:p>
        </w:tc>
        <w:tc>
          <w:tcPr>
            <w:tcW w:w="16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$ 286,105</w:t>
            </w: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4"/>
                <w:szCs w:val="24"/>
                <w:color w:val="auto"/>
              </w:rPr>
            </w:pPr>
          </w:p>
        </w:tc>
        <w:tc>
          <w:tcPr>
            <w:tcW w:w="1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480" w:type="dxa"/>
            <w:vAlign w:val="bottom"/>
          </w:tcPr>
          <w:p>
            <w:pPr>
              <w:spacing w:after="0"/>
              <w:rPr>
                <w:sz w:val="20"/>
                <w:szCs w:val="20"/>
                <w:color w:val="auto"/>
              </w:rPr>
            </w:pPr>
            <w:r>
              <w:rPr>
                <w:rFonts w:ascii="Courier New" w:cs="Courier New" w:eastAsia="Courier New" w:hAnsi="Courier New"/>
                <w:sz w:val="18"/>
                <w:szCs w:val="18"/>
                <w:color w:val="auto"/>
              </w:rPr>
              <w:t>SUPPLEMENTAL INFORMATION</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Non-cash disclosure:</w:t>
            </w: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Conversion of 3 1/2% Subordinated Notes</w:t>
            </w:r>
          </w:p>
        </w:tc>
        <w:tc>
          <w:tcPr>
            <w:tcW w:w="154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$ 229,952</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 common stock</w:t>
            </w:r>
          </w:p>
        </w:tc>
        <w:tc>
          <w:tcPr>
            <w:tcW w:w="15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480" w:type="dxa"/>
            <w:vAlign w:val="bottom"/>
          </w:tcPr>
          <w:p>
            <w:pPr>
              <w:spacing w:after="0"/>
              <w:rPr>
                <w:sz w:val="24"/>
                <w:szCs w:val="24"/>
                <w:color w:val="auto"/>
              </w:rPr>
            </w:pPr>
          </w:p>
        </w:tc>
        <w:tc>
          <w:tcPr>
            <w:tcW w:w="1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4619" w:firstLine="8"/>
        <w:spacing w:after="0" w:line="47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Restated to reflect change in accounting principle. See accompanying notes.</w:t>
      </w:r>
    </w:p>
    <w:p>
      <w:pPr>
        <w:sectPr>
          <w:pgSz w:w="11900" w:h="16838" w:orient="portrait"/>
          <w:cols w:equalWidth="0" w:num="1">
            <w:col w:w="10219"/>
          </w:cols>
          <w:pgMar w:left="240" w:top="285" w:right="1440" w:bottom="208" w:gutter="0" w:footer="0" w:header="0"/>
        </w:sectPr>
      </w:pP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85" w:right="1440" w:bottom="208"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Condensed Consolidated Financial Statements</w:t>
      </w:r>
    </w:p>
    <w:p>
      <w:pPr>
        <w:spacing w:after="0"/>
        <w:rPr>
          <w:sz w:val="20"/>
          <w:szCs w:val="20"/>
          <w:color w:val="auto"/>
        </w:rPr>
      </w:pPr>
      <w:r>
        <w:rPr>
          <w:rFonts w:ascii="Courier New" w:cs="Courier New" w:eastAsia="Courier New" w:hAnsi="Courier New"/>
          <w:sz w:val="18"/>
          <w:szCs w:val="18"/>
          <w:color w:val="auto"/>
        </w:rPr>
        <w:t>May 1, 1999</w:t>
      </w:r>
    </w:p>
    <w:p>
      <w:pPr>
        <w:spacing w:after="0" w:line="372"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Note 1 - In the opinion of management, the information furnished in the accompanying financial statements reflects all adjustments which are necessary to fairly state the results for this interim period and should be read in conjunction with the Company's Annual Report to Stockholders on Form 10-K for the fiscal year ended October 31, 1998, (1998 Annual Report).</w:t>
      </w:r>
    </w:p>
    <w:p>
      <w:pPr>
        <w:spacing w:after="0" w:line="90"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Note 2 - Certain amounts reported in the previous year have been reclassified to conform to the 1999 presentation.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Investments</w:t>
      </w:r>
    </w:p>
    <w:p>
      <w:pPr>
        <w:spacing w:after="0" w:line="20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During the first quarter of fiscal 1999 Analog Devices Inc., (the Company), completed the sale of approximately 78% of its equity ownership in WaferTech, LLC, its joint venture with Taiwan Semiconductor Manufacturing Company and other investors. As a result of this sale, the Company's equity ownership in WaferTech was reduced from 18% to 4%. The Company sold 14% of its investment to other WaferTech partners and received $105 million in cash, which was equal to the carrying value of the 14% equity ownership at October 31, 1998.</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 Comprehensive Income</w:t>
      </w: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In the first quarter of fiscal 1999 the Company adopted Statement of Financial Accounting Standards No. 130, "Reporting Comprehensive Income", (FAS 130). FAS 130 establishes new rules for the reporting and display of comprehensive income and its components. Components of comprehensive income include net income and certain transactions that have generally been reported in the consolidated statement of shareholders' equity. FAS 130 requires that these transactions be included with net income and presented separately as comprehensive income in the financial statements. The adoption of this Statement had no impact on the Company's net income or shareholders' equity and, during the periods presented, the Company had no material transactions other than net income that should be reported as comprehensive income.</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Earnings Per Share</w:t>
      </w:r>
    </w:p>
    <w:p>
      <w:pPr>
        <w:spacing w:after="0" w:line="201" w:lineRule="exact"/>
        <w:rPr>
          <w:sz w:val="20"/>
          <w:szCs w:val="20"/>
          <w:color w:val="auto"/>
        </w:rPr>
      </w:pPr>
    </w:p>
    <w:p>
      <w:pPr>
        <w:ind w:right="1879"/>
        <w:spacing w:after="0" w:line="289" w:lineRule="auto"/>
        <w:rPr>
          <w:sz w:val="20"/>
          <w:szCs w:val="20"/>
          <w:color w:val="auto"/>
        </w:rPr>
      </w:pPr>
      <w:r>
        <w:rPr>
          <w:rFonts w:ascii="Courier New" w:cs="Courier New" w:eastAsia="Courier New" w:hAnsi="Courier New"/>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future issues of common stock relating to stock option programs and convertible debt financing. In calculating diluted earnings per share, the dilutive effect of stock options is computed using the average market price for the period. The following table sets forth the computation of basic and diluted earnings per share:</w:t>
      </w:r>
    </w:p>
    <w:p>
      <w:pPr>
        <w:spacing w:after="0" w:line="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285"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358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Three Months Ended</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3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19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May 1, 1999</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2, 1998*</w:t>
            </w: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19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Basic:</w:t>
            </w: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80" w:type="dxa"/>
            <w:vAlign w:val="bottom"/>
          </w:tcPr>
          <w:p>
            <w:pPr>
              <w:ind w:left="220"/>
              <w:spacing w:after="0"/>
              <w:rPr>
                <w:sz w:val="20"/>
                <w:szCs w:val="20"/>
                <w:color w:val="auto"/>
              </w:rPr>
            </w:pPr>
            <w:r>
              <w:rPr>
                <w:rFonts w:ascii="Courier New" w:cs="Courier New" w:eastAsia="Courier New" w:hAnsi="Courier New"/>
                <w:sz w:val="18"/>
                <w:szCs w:val="18"/>
                <w:color w:val="auto"/>
              </w:rPr>
              <w:t>Net income</w:t>
            </w:r>
          </w:p>
        </w:tc>
        <w:tc>
          <w:tcPr>
            <w:tcW w:w="19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$ 39,106</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$ 43,785</w:t>
            </w: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19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280" w:type="dxa"/>
            <w:vAlign w:val="bottom"/>
          </w:tcPr>
          <w:p>
            <w:pPr>
              <w:ind w:left="220"/>
              <w:spacing w:after="0"/>
              <w:rPr>
                <w:sz w:val="20"/>
                <w:szCs w:val="20"/>
                <w:color w:val="auto"/>
              </w:rPr>
            </w:pPr>
            <w:r>
              <w:rPr>
                <w:rFonts w:ascii="Courier New" w:cs="Courier New" w:eastAsia="Courier New" w:hAnsi="Courier New"/>
                <w:sz w:val="18"/>
                <w:szCs w:val="18"/>
                <w:color w:val="auto"/>
              </w:rPr>
              <w:t>Weighted shares outstanding</w:t>
            </w:r>
          </w:p>
        </w:tc>
        <w:tc>
          <w:tcPr>
            <w:tcW w:w="19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167,012</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162,124</w:t>
            </w: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19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280" w:type="dxa"/>
            <w:vAlign w:val="bottom"/>
          </w:tcPr>
          <w:p>
            <w:pPr>
              <w:ind w:left="220"/>
              <w:spacing w:after="0"/>
              <w:rPr>
                <w:sz w:val="20"/>
                <w:szCs w:val="20"/>
                <w:color w:val="auto"/>
              </w:rPr>
            </w:pPr>
            <w:r>
              <w:rPr>
                <w:rFonts w:ascii="Courier New" w:cs="Courier New" w:eastAsia="Courier New" w:hAnsi="Courier New"/>
                <w:sz w:val="18"/>
                <w:szCs w:val="18"/>
                <w:color w:val="auto"/>
              </w:rPr>
              <w:t>Earnings per share</w:t>
            </w:r>
          </w:p>
        </w:tc>
        <w:tc>
          <w:tcPr>
            <w:tcW w:w="19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$0.23</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$0.27</w:t>
            </w: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19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280" w:type="dxa"/>
            <w:vAlign w:val="bottom"/>
          </w:tcPr>
          <w:p>
            <w:pPr>
              <w:spacing w:after="0"/>
              <w:rPr>
                <w:sz w:val="20"/>
                <w:szCs w:val="20"/>
                <w:color w:val="auto"/>
              </w:rPr>
            </w:pPr>
            <w:r>
              <w:rPr>
                <w:rFonts w:ascii="Courier New" w:cs="Courier New" w:eastAsia="Courier New" w:hAnsi="Courier New"/>
                <w:sz w:val="18"/>
                <w:szCs w:val="18"/>
                <w:color w:val="auto"/>
              </w:rPr>
              <w:t>Diluted:</w:t>
            </w:r>
          </w:p>
        </w:tc>
        <w:tc>
          <w:tcPr>
            <w:tcW w:w="190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$ 39,106</w:t>
            </w:r>
          </w:p>
        </w:tc>
        <w:tc>
          <w:tcPr>
            <w:tcW w:w="16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$ 43,785</w:t>
            </w: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90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190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481</w:t>
            </w:r>
          </w:p>
        </w:tc>
        <w:tc>
          <w:tcPr>
            <w:tcW w:w="16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1,453</w:t>
            </w:r>
          </w:p>
        </w:tc>
        <w:tc>
          <w:tcPr>
            <w:tcW w:w="0" w:type="dxa"/>
            <w:vAlign w:val="bottom"/>
          </w:tcPr>
          <w:p>
            <w:pPr>
              <w:spacing w:after="0"/>
              <w:rPr>
                <w:sz w:val="1"/>
                <w:szCs w:val="1"/>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190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19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280" w:type="dxa"/>
            <w:vAlign w:val="bottom"/>
          </w:tcPr>
          <w:p>
            <w:pPr>
              <w:ind w:left="220"/>
              <w:spacing w:after="0"/>
              <w:rPr>
                <w:sz w:val="20"/>
                <w:szCs w:val="20"/>
                <w:color w:val="auto"/>
              </w:rPr>
            </w:pPr>
            <w:r>
              <w:rPr>
                <w:rFonts w:ascii="Courier New" w:cs="Courier New" w:eastAsia="Courier New" w:hAnsi="Courier New"/>
                <w:sz w:val="18"/>
                <w:szCs w:val="18"/>
                <w:color w:val="auto"/>
              </w:rPr>
              <w:t>Earnings available for common stock</w:t>
            </w:r>
          </w:p>
        </w:tc>
        <w:tc>
          <w:tcPr>
            <w:tcW w:w="19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$ 39,587</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$ 45,238</w:t>
            </w: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19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280" w:type="dxa"/>
            <w:vAlign w:val="bottom"/>
          </w:tcPr>
          <w:p>
            <w:pPr>
              <w:ind w:left="220"/>
              <w:spacing w:after="0"/>
              <w:rPr>
                <w:sz w:val="20"/>
                <w:szCs w:val="20"/>
                <w:color w:val="auto"/>
              </w:rPr>
            </w:pPr>
            <w:r>
              <w:rPr>
                <w:rFonts w:ascii="Courier New" w:cs="Courier New" w:eastAsia="Courier New" w:hAnsi="Courier New"/>
                <w:sz w:val="18"/>
                <w:szCs w:val="18"/>
                <w:color w:val="auto"/>
              </w:rPr>
              <w:t>Weighted shares outstanding</w:t>
            </w:r>
          </w:p>
        </w:tc>
        <w:tc>
          <w:tcPr>
            <w:tcW w:w="19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167,012</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162,124</w:t>
            </w: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Assumed exercise of common stock equivalents</w:t>
            </w:r>
          </w:p>
        </w:tc>
        <w:tc>
          <w:tcPr>
            <w:tcW w:w="19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9,464</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6,319</w:t>
            </w:r>
          </w:p>
        </w:tc>
        <w:tc>
          <w:tcPr>
            <w:tcW w:w="0" w:type="dxa"/>
            <w:vAlign w:val="bottom"/>
          </w:tcPr>
          <w:p>
            <w:pPr>
              <w:spacing w:after="0"/>
              <w:rPr>
                <w:sz w:val="1"/>
                <w:szCs w:val="1"/>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19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4,222</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10,984</w:t>
            </w:r>
          </w:p>
        </w:tc>
        <w:tc>
          <w:tcPr>
            <w:tcW w:w="0" w:type="dxa"/>
            <w:vAlign w:val="bottom"/>
          </w:tcPr>
          <w:p>
            <w:pPr>
              <w:spacing w:after="0"/>
              <w:rPr>
                <w:sz w:val="1"/>
                <w:szCs w:val="1"/>
                <w:color w:val="auto"/>
              </w:rPr>
            </w:pPr>
          </w:p>
        </w:tc>
      </w:tr>
      <w:tr>
        <w:trPr>
          <w:trHeight w:val="296"/>
        </w:trPr>
        <w:tc>
          <w:tcPr>
            <w:tcW w:w="52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Weighted average common and common equivalent</w:t>
            </w:r>
          </w:p>
        </w:tc>
        <w:tc>
          <w:tcPr>
            <w:tcW w:w="19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5280" w:type="dxa"/>
            <w:vAlign w:val="bottom"/>
            <w:vMerge w:val="continue"/>
          </w:tcPr>
          <w:p>
            <w:pPr>
              <w:spacing w:after="0"/>
              <w:rPr>
                <w:sz w:val="9"/>
                <w:szCs w:val="9"/>
                <w:color w:val="auto"/>
              </w:rPr>
            </w:pPr>
          </w:p>
        </w:tc>
        <w:tc>
          <w:tcPr>
            <w:tcW w:w="190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180,698</w:t>
            </w:r>
          </w:p>
        </w:tc>
        <w:tc>
          <w:tcPr>
            <w:tcW w:w="16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179,427</w:t>
            </w:r>
          </w:p>
        </w:tc>
        <w:tc>
          <w:tcPr>
            <w:tcW w:w="0" w:type="dxa"/>
            <w:vAlign w:val="bottom"/>
          </w:tcPr>
          <w:p>
            <w:pPr>
              <w:spacing w:after="0"/>
              <w:rPr>
                <w:sz w:val="1"/>
                <w:szCs w:val="1"/>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shares</w:t>
            </w:r>
          </w:p>
        </w:tc>
        <w:tc>
          <w:tcPr>
            <w:tcW w:w="190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Earnings per share</w:t>
            </w:r>
          </w:p>
        </w:tc>
        <w:tc>
          <w:tcPr>
            <w:tcW w:w="19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vMerge w:val="continue"/>
          </w:tcPr>
          <w:p>
            <w:pPr>
              <w:spacing w:after="0"/>
              <w:rPr>
                <w:sz w:val="17"/>
                <w:szCs w:val="17"/>
                <w:color w:val="auto"/>
              </w:rPr>
            </w:pPr>
          </w:p>
        </w:tc>
        <w:tc>
          <w:tcPr>
            <w:tcW w:w="190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$0.22</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$0.25</w:t>
            </w:r>
          </w:p>
        </w:tc>
        <w:tc>
          <w:tcPr>
            <w:tcW w:w="0" w:type="dxa"/>
            <w:vAlign w:val="bottom"/>
          </w:tcPr>
          <w:p>
            <w:pPr>
              <w:spacing w:after="0"/>
              <w:rPr>
                <w:sz w:val="1"/>
                <w:szCs w:val="1"/>
                <w:color w:val="auto"/>
              </w:rPr>
            </w:pPr>
          </w:p>
        </w:tc>
      </w:tr>
      <w:tr>
        <w:trPr>
          <w:trHeight w:val="296"/>
        </w:trPr>
        <w:tc>
          <w:tcPr>
            <w:tcW w:w="5280" w:type="dxa"/>
            <w:vAlign w:val="bottom"/>
          </w:tcPr>
          <w:p>
            <w:pPr>
              <w:spacing w:after="0"/>
              <w:rPr>
                <w:sz w:val="24"/>
                <w:szCs w:val="24"/>
                <w:color w:val="auto"/>
              </w:rPr>
            </w:pPr>
          </w:p>
        </w:tc>
        <w:tc>
          <w:tcPr>
            <w:tcW w:w="190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17"/>
                <w:szCs w:val="17"/>
                <w:color w:val="auto"/>
              </w:rPr>
            </w:pPr>
          </w:p>
        </w:tc>
        <w:tc>
          <w:tcPr>
            <w:tcW w:w="326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Six Months Ended</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4"/>
              </w:rPr>
              <w:t>May 1, 1999</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2, 1998*</w:t>
            </w:r>
          </w:p>
        </w:tc>
        <w:tc>
          <w:tcPr>
            <w:tcW w:w="0" w:type="dxa"/>
            <w:vAlign w:val="bottom"/>
          </w:tcPr>
          <w:p>
            <w:pPr>
              <w:spacing w:after="0"/>
              <w:rPr>
                <w:sz w:val="1"/>
                <w:szCs w:val="1"/>
                <w:color w:val="auto"/>
              </w:rPr>
            </w:pPr>
          </w:p>
        </w:tc>
      </w:tr>
      <w:tr>
        <w:trPr>
          <w:trHeight w:val="296"/>
        </w:trPr>
        <w:tc>
          <w:tcPr>
            <w:tcW w:w="5600" w:type="dxa"/>
            <w:vAlign w:val="bottom"/>
          </w:tcPr>
          <w:p>
            <w:pPr>
              <w:spacing w:after="0"/>
              <w:rPr>
                <w:sz w:val="24"/>
                <w:szCs w:val="24"/>
                <w:color w:val="auto"/>
              </w:rPr>
            </w:pPr>
          </w:p>
        </w:tc>
        <w:tc>
          <w:tcPr>
            <w:tcW w:w="158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94"/>
              </w:rPr>
              <w:t>-----------</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600" w:type="dxa"/>
            <w:vAlign w:val="bottom"/>
          </w:tcPr>
          <w:p>
            <w:pPr>
              <w:spacing w:after="0"/>
              <w:rPr>
                <w:sz w:val="20"/>
                <w:szCs w:val="20"/>
                <w:color w:val="auto"/>
              </w:rPr>
            </w:pPr>
            <w:r>
              <w:rPr>
                <w:rFonts w:ascii="Courier New" w:cs="Courier New" w:eastAsia="Courier New" w:hAnsi="Courier New"/>
                <w:sz w:val="18"/>
                <w:szCs w:val="18"/>
                <w:color w:val="auto"/>
              </w:rPr>
              <w:t>Basic:</w:t>
            </w: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before cumulative effect of change in</w:t>
            </w:r>
          </w:p>
        </w:tc>
        <w:tc>
          <w:tcPr>
            <w:tcW w:w="15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$ 69,000</w:t>
            </w:r>
          </w:p>
        </w:tc>
        <w:tc>
          <w:tcPr>
            <w:tcW w:w="16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$ 84,044</w:t>
            </w:r>
          </w:p>
        </w:tc>
        <w:tc>
          <w:tcPr>
            <w:tcW w:w="0" w:type="dxa"/>
            <w:vAlign w:val="bottom"/>
          </w:tcPr>
          <w:p>
            <w:pPr>
              <w:spacing w:after="0"/>
              <w:rPr>
                <w:sz w:val="1"/>
                <w:szCs w:val="1"/>
                <w:color w:val="auto"/>
              </w:rPr>
            </w:pP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58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Cumulative effect of change in accounting principle</w:t>
            </w:r>
          </w:p>
        </w:tc>
        <w:tc>
          <w:tcPr>
            <w:tcW w:w="1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(37,080)</w:t>
            </w:r>
          </w:p>
        </w:tc>
        <w:tc>
          <w:tcPr>
            <w:tcW w:w="0" w:type="dxa"/>
            <w:vAlign w:val="bottom"/>
          </w:tcPr>
          <w:p>
            <w:pPr>
              <w:spacing w:after="0"/>
              <w:rPr>
                <w:sz w:val="1"/>
                <w:szCs w:val="1"/>
                <w:color w:val="auto"/>
              </w:rPr>
            </w:pPr>
          </w:p>
        </w:tc>
      </w:tr>
      <w:tr>
        <w:trPr>
          <w:trHeight w:val="203"/>
        </w:trPr>
        <w:tc>
          <w:tcPr>
            <w:tcW w:w="56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Net income</w:t>
            </w:r>
          </w:p>
        </w:tc>
        <w:tc>
          <w:tcPr>
            <w:tcW w:w="1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00" w:type="dxa"/>
            <w:vAlign w:val="bottom"/>
            <w:vMerge w:val="continue"/>
          </w:tcPr>
          <w:p>
            <w:pPr>
              <w:spacing w:after="0"/>
              <w:rPr>
                <w:sz w:val="17"/>
                <w:szCs w:val="17"/>
                <w:color w:val="auto"/>
              </w:rPr>
            </w:pPr>
          </w:p>
        </w:tc>
        <w:tc>
          <w:tcPr>
            <w:tcW w:w="1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$ 69,000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$ 46,964</w:t>
            </w:r>
          </w:p>
        </w:tc>
        <w:tc>
          <w:tcPr>
            <w:tcW w:w="0" w:type="dxa"/>
            <w:vAlign w:val="bottom"/>
          </w:tcPr>
          <w:p>
            <w:pPr>
              <w:spacing w:after="0"/>
              <w:rPr>
                <w:sz w:val="1"/>
                <w:szCs w:val="1"/>
                <w:color w:val="auto"/>
              </w:rPr>
            </w:pPr>
          </w:p>
        </w:tc>
      </w:tr>
      <w:tr>
        <w:trPr>
          <w:trHeight w:val="296"/>
        </w:trPr>
        <w:tc>
          <w:tcPr>
            <w:tcW w:w="5600" w:type="dxa"/>
            <w:vAlign w:val="bottom"/>
          </w:tcPr>
          <w:p>
            <w:pPr>
              <w:spacing w:after="0"/>
              <w:rPr>
                <w:sz w:val="24"/>
                <w:szCs w:val="24"/>
                <w:color w:val="auto"/>
              </w:rPr>
            </w:pPr>
          </w:p>
        </w:tc>
        <w:tc>
          <w:tcPr>
            <w:tcW w:w="15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600" w:type="dxa"/>
            <w:vAlign w:val="bottom"/>
          </w:tcPr>
          <w:p>
            <w:pPr>
              <w:ind w:left="220"/>
              <w:spacing w:after="0"/>
              <w:rPr>
                <w:sz w:val="20"/>
                <w:szCs w:val="20"/>
                <w:color w:val="auto"/>
              </w:rPr>
            </w:pPr>
            <w:r>
              <w:rPr>
                <w:rFonts w:ascii="Courier New" w:cs="Courier New" w:eastAsia="Courier New" w:hAnsi="Courier New"/>
                <w:sz w:val="18"/>
                <w:szCs w:val="18"/>
                <w:color w:val="auto"/>
              </w:rPr>
              <w:t>Weighted shares outstanding</w:t>
            </w:r>
          </w:p>
        </w:tc>
        <w:tc>
          <w:tcPr>
            <w:tcW w:w="15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163,292</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161,574</w:t>
            </w:r>
          </w:p>
        </w:tc>
        <w:tc>
          <w:tcPr>
            <w:tcW w:w="0" w:type="dxa"/>
            <w:vAlign w:val="bottom"/>
          </w:tcPr>
          <w:p>
            <w:pPr>
              <w:spacing w:after="0"/>
              <w:rPr>
                <w:sz w:val="1"/>
                <w:szCs w:val="1"/>
                <w:color w:val="auto"/>
              </w:rPr>
            </w:pPr>
          </w:p>
        </w:tc>
      </w:tr>
      <w:tr>
        <w:trPr>
          <w:trHeight w:val="296"/>
        </w:trPr>
        <w:tc>
          <w:tcPr>
            <w:tcW w:w="5600" w:type="dxa"/>
            <w:vAlign w:val="bottom"/>
          </w:tcPr>
          <w:p>
            <w:pPr>
              <w:spacing w:after="0"/>
              <w:rPr>
                <w:sz w:val="24"/>
                <w:szCs w:val="24"/>
                <w:color w:val="auto"/>
              </w:rPr>
            </w:pPr>
          </w:p>
        </w:tc>
        <w:tc>
          <w:tcPr>
            <w:tcW w:w="15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600" w:type="dxa"/>
            <w:vAlign w:val="bottom"/>
          </w:tcPr>
          <w:p>
            <w:pPr>
              <w:ind w:left="220"/>
              <w:spacing w:after="0"/>
              <w:rPr>
                <w:sz w:val="20"/>
                <w:szCs w:val="20"/>
                <w:color w:val="auto"/>
              </w:rPr>
            </w:pPr>
            <w:r>
              <w:rPr>
                <w:rFonts w:ascii="Courier New" w:cs="Courier New" w:eastAsia="Courier New" w:hAnsi="Courier New"/>
                <w:sz w:val="18"/>
                <w:szCs w:val="18"/>
                <w:color w:val="auto"/>
              </w:rPr>
              <w:t>Earnings per share:</w:t>
            </w: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before cumulative effect of change in</w:t>
            </w:r>
          </w:p>
        </w:tc>
        <w:tc>
          <w:tcPr>
            <w:tcW w:w="15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$0.42</w:t>
            </w:r>
          </w:p>
        </w:tc>
        <w:tc>
          <w:tcPr>
            <w:tcW w:w="16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$0.53</w:t>
            </w:r>
          </w:p>
        </w:tc>
        <w:tc>
          <w:tcPr>
            <w:tcW w:w="0" w:type="dxa"/>
            <w:vAlign w:val="bottom"/>
          </w:tcPr>
          <w:p>
            <w:pPr>
              <w:spacing w:after="0"/>
              <w:rPr>
                <w:sz w:val="1"/>
                <w:szCs w:val="1"/>
                <w:color w:val="auto"/>
              </w:rPr>
            </w:pP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58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Cumulative effect of change in accounting principle</w:t>
            </w:r>
          </w:p>
        </w:tc>
        <w:tc>
          <w:tcPr>
            <w:tcW w:w="1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(0.23)</w:t>
            </w:r>
          </w:p>
        </w:tc>
        <w:tc>
          <w:tcPr>
            <w:tcW w:w="0" w:type="dxa"/>
            <w:vAlign w:val="bottom"/>
          </w:tcPr>
          <w:p>
            <w:pPr>
              <w:spacing w:after="0"/>
              <w:rPr>
                <w:sz w:val="1"/>
                <w:szCs w:val="1"/>
                <w:color w:val="auto"/>
              </w:rPr>
            </w:pPr>
          </w:p>
        </w:tc>
      </w:tr>
      <w:tr>
        <w:trPr>
          <w:trHeight w:val="203"/>
        </w:trPr>
        <w:tc>
          <w:tcPr>
            <w:tcW w:w="56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Net income</w:t>
            </w:r>
          </w:p>
        </w:tc>
        <w:tc>
          <w:tcPr>
            <w:tcW w:w="1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600" w:type="dxa"/>
            <w:vAlign w:val="bottom"/>
            <w:vMerge w:val="continue"/>
          </w:tcPr>
          <w:p>
            <w:pPr>
              <w:spacing w:after="0"/>
              <w:rPr>
                <w:sz w:val="17"/>
                <w:szCs w:val="17"/>
                <w:color w:val="auto"/>
              </w:rPr>
            </w:pPr>
          </w:p>
        </w:tc>
        <w:tc>
          <w:tcPr>
            <w:tcW w:w="15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$0.42</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$0.30</w:t>
            </w:r>
          </w:p>
        </w:tc>
        <w:tc>
          <w:tcPr>
            <w:tcW w:w="0" w:type="dxa"/>
            <w:vAlign w:val="bottom"/>
          </w:tcPr>
          <w:p>
            <w:pPr>
              <w:spacing w:after="0"/>
              <w:rPr>
                <w:sz w:val="1"/>
                <w:szCs w:val="1"/>
                <w:color w:val="auto"/>
              </w:rPr>
            </w:pPr>
          </w:p>
        </w:tc>
      </w:tr>
      <w:tr>
        <w:trPr>
          <w:trHeight w:val="296"/>
        </w:trPr>
        <w:tc>
          <w:tcPr>
            <w:tcW w:w="5600" w:type="dxa"/>
            <w:vAlign w:val="bottom"/>
          </w:tcPr>
          <w:p>
            <w:pPr>
              <w:spacing w:after="0"/>
              <w:rPr>
                <w:sz w:val="24"/>
                <w:szCs w:val="24"/>
                <w:color w:val="auto"/>
              </w:rPr>
            </w:pPr>
          </w:p>
        </w:tc>
        <w:tc>
          <w:tcPr>
            <w:tcW w:w="15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85" w:right="1440" w:bottom="1440" w:gutter="0" w:footer="0" w:header="0"/>
        </w:sectPr>
      </w:pPr>
    </w:p>
    <w:p>
      <w:pPr>
        <w:spacing w:after="0" w:line="1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85"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Six Months Ended</w:t>
      </w:r>
    </w:p>
    <w:p>
      <w:pPr>
        <w:spacing w:after="0" w:line="3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92"/>
        </w:trPr>
        <w:tc>
          <w:tcPr>
            <w:tcW w:w="7180" w:type="dxa"/>
            <w:vAlign w:val="bottom"/>
            <w:gridSpan w:val="2"/>
          </w:tcPr>
          <w:p>
            <w:pPr>
              <w:jc w:val="right"/>
              <w:ind w:right="352"/>
              <w:spacing w:after="0" w:line="192" w:lineRule="exact"/>
              <w:rPr>
                <w:sz w:val="20"/>
                <w:szCs w:val="20"/>
                <w:color w:val="auto"/>
              </w:rPr>
            </w:pPr>
            <w:r>
              <w:rPr>
                <w:rFonts w:ascii="Courier New" w:cs="Courier New" w:eastAsia="Courier New" w:hAnsi="Courier New"/>
                <w:sz w:val="18"/>
                <w:szCs w:val="18"/>
                <w:color w:val="auto"/>
              </w:rPr>
              <w:t>May 1, 1999</w:t>
            </w:r>
          </w:p>
        </w:tc>
        <w:tc>
          <w:tcPr>
            <w:tcW w:w="168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May 2, 1998*</w:t>
            </w:r>
          </w:p>
        </w:tc>
        <w:tc>
          <w:tcPr>
            <w:tcW w:w="0" w:type="dxa"/>
            <w:vAlign w:val="bottom"/>
          </w:tcPr>
          <w:p>
            <w:pPr>
              <w:spacing w:after="0"/>
              <w:rPr>
                <w:sz w:val="1"/>
                <w:szCs w:val="1"/>
                <w:color w:val="auto"/>
              </w:rPr>
            </w:pPr>
          </w:p>
        </w:tc>
      </w:tr>
      <w:tr>
        <w:trPr>
          <w:trHeight w:val="296"/>
        </w:trPr>
        <w:tc>
          <w:tcPr>
            <w:tcW w:w="718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800" w:type="dxa"/>
            <w:vAlign w:val="bottom"/>
          </w:tcPr>
          <w:p>
            <w:pPr>
              <w:spacing w:after="0"/>
              <w:rPr>
                <w:sz w:val="20"/>
                <w:szCs w:val="20"/>
                <w:color w:val="auto"/>
              </w:rPr>
            </w:pPr>
            <w:r>
              <w:rPr>
                <w:rFonts w:ascii="Courier New" w:cs="Courier New" w:eastAsia="Courier New" w:hAnsi="Courier New"/>
                <w:sz w:val="18"/>
                <w:szCs w:val="18"/>
                <w:color w:val="auto"/>
              </w:rPr>
              <w:t>Diluted:</w:t>
            </w: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before cumulative effect of change in</w:t>
            </w:r>
          </w:p>
        </w:tc>
        <w:tc>
          <w:tcPr>
            <w:tcW w:w="13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$ 69,000</w:t>
            </w:r>
          </w:p>
        </w:tc>
        <w:tc>
          <w:tcPr>
            <w:tcW w:w="16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$ 84,044</w:t>
            </w:r>
          </w:p>
        </w:tc>
        <w:tc>
          <w:tcPr>
            <w:tcW w:w="0" w:type="dxa"/>
            <w:vAlign w:val="bottom"/>
          </w:tcPr>
          <w:p>
            <w:pPr>
              <w:spacing w:after="0"/>
              <w:rPr>
                <w:sz w:val="1"/>
                <w:szCs w:val="1"/>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38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related to convertible subordinated</w:t>
            </w:r>
          </w:p>
        </w:tc>
        <w:tc>
          <w:tcPr>
            <w:tcW w:w="13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1,906</w:t>
            </w:r>
          </w:p>
        </w:tc>
        <w:tc>
          <w:tcPr>
            <w:tcW w:w="16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2,864</w:t>
            </w:r>
          </w:p>
        </w:tc>
        <w:tc>
          <w:tcPr>
            <w:tcW w:w="0" w:type="dxa"/>
            <w:vAlign w:val="bottom"/>
          </w:tcPr>
          <w:p>
            <w:pPr>
              <w:spacing w:after="0"/>
              <w:rPr>
                <w:sz w:val="1"/>
                <w:szCs w:val="1"/>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notes, net of tax</w:t>
            </w:r>
          </w:p>
        </w:tc>
        <w:tc>
          <w:tcPr>
            <w:tcW w:w="138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8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Income before cumulative effect of change in</w:t>
            </w:r>
          </w:p>
        </w:tc>
        <w:tc>
          <w:tcPr>
            <w:tcW w:w="13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580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accounting principle including the effect</w:t>
            </w:r>
          </w:p>
        </w:tc>
        <w:tc>
          <w:tcPr>
            <w:tcW w:w="13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70,906</w:t>
            </w:r>
          </w:p>
        </w:tc>
        <w:tc>
          <w:tcPr>
            <w:tcW w:w="16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86,908</w:t>
            </w:r>
          </w:p>
        </w:tc>
        <w:tc>
          <w:tcPr>
            <w:tcW w:w="0" w:type="dxa"/>
            <w:vAlign w:val="bottom"/>
          </w:tcPr>
          <w:p>
            <w:pPr>
              <w:spacing w:after="0"/>
              <w:rPr>
                <w:sz w:val="1"/>
                <w:szCs w:val="1"/>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dilutive securities</w:t>
            </w:r>
          </w:p>
        </w:tc>
        <w:tc>
          <w:tcPr>
            <w:tcW w:w="138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change in accounting principle</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(37,080)</w:t>
            </w:r>
          </w:p>
        </w:tc>
        <w:tc>
          <w:tcPr>
            <w:tcW w:w="0" w:type="dxa"/>
            <w:vAlign w:val="bottom"/>
          </w:tcPr>
          <w:p>
            <w:pPr>
              <w:spacing w:after="0"/>
              <w:rPr>
                <w:sz w:val="1"/>
                <w:szCs w:val="1"/>
                <w:color w:val="auto"/>
              </w:rPr>
            </w:pPr>
          </w:p>
        </w:tc>
      </w:tr>
      <w:tr>
        <w:trPr>
          <w:trHeight w:val="203"/>
        </w:trPr>
        <w:tc>
          <w:tcPr>
            <w:tcW w:w="58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Net income</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800" w:type="dxa"/>
            <w:vAlign w:val="bottom"/>
            <w:vMerge w:val="continue"/>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$ 70,906</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$ 49,828</w:t>
            </w:r>
          </w:p>
        </w:tc>
        <w:tc>
          <w:tcPr>
            <w:tcW w:w="0" w:type="dxa"/>
            <w:vAlign w:val="bottom"/>
          </w:tcPr>
          <w:p>
            <w:pPr>
              <w:spacing w:after="0"/>
              <w:rPr>
                <w:sz w:val="1"/>
                <w:szCs w:val="1"/>
                <w:color w:val="auto"/>
              </w:rPr>
            </w:pPr>
          </w:p>
        </w:tc>
      </w:tr>
      <w:tr>
        <w:trPr>
          <w:trHeight w:val="296"/>
        </w:trPr>
        <w:tc>
          <w:tcPr>
            <w:tcW w:w="5800" w:type="dxa"/>
            <w:vAlign w:val="bottom"/>
          </w:tcPr>
          <w:p>
            <w:pPr>
              <w:spacing w:after="0"/>
              <w:rPr>
                <w:sz w:val="24"/>
                <w:szCs w:val="24"/>
                <w:color w:val="auto"/>
              </w:rPr>
            </w:pPr>
          </w:p>
        </w:tc>
        <w:tc>
          <w:tcPr>
            <w:tcW w:w="13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Weighted shares outstanding</w:t>
            </w:r>
          </w:p>
        </w:tc>
        <w:tc>
          <w:tcPr>
            <w:tcW w:w="13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163,292</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161,574</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Assumed exercise of common stock equivalents</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11,264</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6,229</w:t>
            </w: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Assumed conversion of subordinated notes</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4,222</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10,984</w:t>
            </w:r>
          </w:p>
        </w:tc>
        <w:tc>
          <w:tcPr>
            <w:tcW w:w="0" w:type="dxa"/>
            <w:vAlign w:val="bottom"/>
          </w:tcPr>
          <w:p>
            <w:pPr>
              <w:spacing w:after="0"/>
              <w:rPr>
                <w:sz w:val="1"/>
                <w:szCs w:val="1"/>
                <w:color w:val="auto"/>
              </w:rPr>
            </w:pPr>
          </w:p>
        </w:tc>
      </w:tr>
      <w:tr>
        <w:trPr>
          <w:trHeight w:val="203"/>
        </w:trPr>
        <w:tc>
          <w:tcPr>
            <w:tcW w:w="58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w w:val="98"/>
              </w:rPr>
              <w:t>Weighted average common and common equivalent shares</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800" w:type="dxa"/>
            <w:vAlign w:val="bottom"/>
            <w:vMerge w:val="continue"/>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178,778</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178,787</w:t>
            </w:r>
          </w:p>
        </w:tc>
        <w:tc>
          <w:tcPr>
            <w:tcW w:w="0" w:type="dxa"/>
            <w:vAlign w:val="bottom"/>
          </w:tcPr>
          <w:p>
            <w:pPr>
              <w:spacing w:after="0"/>
              <w:rPr>
                <w:sz w:val="1"/>
                <w:szCs w:val="1"/>
                <w:color w:val="auto"/>
              </w:rPr>
            </w:pPr>
          </w:p>
        </w:tc>
      </w:tr>
      <w:tr>
        <w:trPr>
          <w:trHeight w:val="296"/>
        </w:trPr>
        <w:tc>
          <w:tcPr>
            <w:tcW w:w="5800" w:type="dxa"/>
            <w:vAlign w:val="bottom"/>
          </w:tcPr>
          <w:p>
            <w:pPr>
              <w:spacing w:after="0"/>
              <w:rPr>
                <w:sz w:val="24"/>
                <w:szCs w:val="24"/>
                <w:color w:val="auto"/>
              </w:rPr>
            </w:pPr>
          </w:p>
        </w:tc>
        <w:tc>
          <w:tcPr>
            <w:tcW w:w="13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800" w:type="dxa"/>
            <w:vAlign w:val="bottom"/>
          </w:tcPr>
          <w:p>
            <w:pPr>
              <w:ind w:left="220"/>
              <w:spacing w:after="0"/>
              <w:rPr>
                <w:sz w:val="20"/>
                <w:szCs w:val="20"/>
                <w:color w:val="auto"/>
              </w:rPr>
            </w:pPr>
            <w:r>
              <w:rPr>
                <w:rFonts w:ascii="Courier New" w:cs="Courier New" w:eastAsia="Courier New" w:hAnsi="Courier New"/>
                <w:sz w:val="18"/>
                <w:szCs w:val="18"/>
                <w:color w:val="auto"/>
              </w:rPr>
              <w:t>Earnings per share:</w:t>
            </w:r>
          </w:p>
        </w:tc>
        <w:tc>
          <w:tcPr>
            <w:tcW w:w="1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before cumulative effect of change in</w:t>
            </w:r>
          </w:p>
        </w:tc>
        <w:tc>
          <w:tcPr>
            <w:tcW w:w="13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$0.40</w:t>
            </w:r>
          </w:p>
        </w:tc>
        <w:tc>
          <w:tcPr>
            <w:tcW w:w="168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$0.49</w:t>
            </w:r>
          </w:p>
        </w:tc>
        <w:tc>
          <w:tcPr>
            <w:tcW w:w="0" w:type="dxa"/>
            <w:vAlign w:val="bottom"/>
          </w:tcPr>
          <w:p>
            <w:pPr>
              <w:spacing w:after="0"/>
              <w:rPr>
                <w:sz w:val="1"/>
                <w:szCs w:val="1"/>
                <w:color w:val="auto"/>
              </w:rPr>
            </w:pPr>
          </w:p>
        </w:tc>
      </w:tr>
      <w:tr>
        <w:trPr>
          <w:trHeight w:val="203"/>
        </w:trPr>
        <w:tc>
          <w:tcPr>
            <w:tcW w:w="5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accounting principle</w:t>
            </w:r>
          </w:p>
        </w:tc>
        <w:tc>
          <w:tcPr>
            <w:tcW w:w="1380" w:type="dxa"/>
            <w:vAlign w:val="bottom"/>
            <w:vMerge w:val="continue"/>
          </w:tcPr>
          <w:p>
            <w:pPr>
              <w:spacing w:after="0"/>
              <w:rPr>
                <w:sz w:val="17"/>
                <w:szCs w:val="17"/>
                <w:color w:val="auto"/>
              </w:rPr>
            </w:pP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change in accounting principle</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(0.21)</w:t>
            </w:r>
          </w:p>
        </w:tc>
        <w:tc>
          <w:tcPr>
            <w:tcW w:w="0" w:type="dxa"/>
            <w:vAlign w:val="bottom"/>
          </w:tcPr>
          <w:p>
            <w:pPr>
              <w:spacing w:after="0"/>
              <w:rPr>
                <w:sz w:val="1"/>
                <w:szCs w:val="1"/>
                <w:color w:val="auto"/>
              </w:rPr>
            </w:pPr>
          </w:p>
        </w:tc>
      </w:tr>
      <w:tr>
        <w:trPr>
          <w:trHeight w:val="203"/>
        </w:trPr>
        <w:tc>
          <w:tcPr>
            <w:tcW w:w="58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Net income</w:t>
            </w: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800" w:type="dxa"/>
            <w:vAlign w:val="bottom"/>
            <w:vMerge w:val="continue"/>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$0.40</w:t>
            </w:r>
          </w:p>
        </w:tc>
        <w:tc>
          <w:tcPr>
            <w:tcW w:w="1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$0.28</w:t>
            </w:r>
          </w:p>
        </w:tc>
        <w:tc>
          <w:tcPr>
            <w:tcW w:w="0" w:type="dxa"/>
            <w:vAlign w:val="bottom"/>
          </w:tcPr>
          <w:p>
            <w:pPr>
              <w:spacing w:after="0"/>
              <w:rPr>
                <w:sz w:val="1"/>
                <w:szCs w:val="1"/>
                <w:color w:val="auto"/>
              </w:rPr>
            </w:pPr>
          </w:p>
        </w:tc>
      </w:tr>
      <w:tr>
        <w:trPr>
          <w:trHeight w:val="296"/>
        </w:trPr>
        <w:tc>
          <w:tcPr>
            <w:tcW w:w="5800" w:type="dxa"/>
            <w:vAlign w:val="bottom"/>
          </w:tcPr>
          <w:p>
            <w:pPr>
              <w:spacing w:after="0"/>
              <w:rPr>
                <w:sz w:val="24"/>
                <w:szCs w:val="24"/>
                <w:color w:val="auto"/>
              </w:rPr>
            </w:pPr>
          </w:p>
        </w:tc>
        <w:tc>
          <w:tcPr>
            <w:tcW w:w="13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right="4619" w:firstLine="8"/>
        <w:spacing w:after="0" w:line="47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Restated to reflect change in accounting principle. Note 6 - Convertible Debt</w:t>
      </w:r>
    </w:p>
    <w:p>
      <w:pPr>
        <w:spacing w:after="0" w:line="1"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As of March 11, 1999 the Company had converted $229,967,000 of the $230 million principal amount of its 3 1/2% Convertible Subordinated Notes (Notes) due 2000 into an aggregate of 10,983,163 shares of the Company's common stock, and the remaining Notes were redeemed by a cash payment of $33,000. This conversion did not have an impact on diluted earnings per share.</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 Acquisitions</w:t>
      </w:r>
    </w:p>
    <w:p>
      <w:pPr>
        <w:spacing w:after="0" w:line="201"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During the second quarter of fiscal 1999, the Company acquired two DSP tools companies, White Mountain DSP, Inc. of Nashua, New Hampshire and Edinburgh Portable Compilers Limited, of Edinburgh, Scotland. The total cost of these acquisitions was approximately $21 million in cash and $2 million in common stock of the Company, with additional contingent cash consideration to be paid if the acquired companies achieve certain revenue and operational objectives. These acquisitions were accounted for as purchases, and the excess of the purchase price over the fair value of assets acquired was allocated to existing technology, workforce in place, tradenames and goodwill, which are being amortized over periods ranging from six to ten years. In connection with these acquisitions, the Company recorded a charge of $5.1 million for the write-off of in-process research &amp; development.</w:t>
      </w:r>
    </w:p>
    <w:p>
      <w:pPr>
        <w:sectPr>
          <w:pgSz w:w="11900" w:h="16838" w:orient="portrait"/>
          <w:cols w:equalWidth="0" w:num="1">
            <w:col w:w="10219"/>
          </w:cols>
          <w:pgMar w:left="240" w:top="285" w:right="1440" w:bottom="1440" w:gutter="0" w:footer="0" w:header="0"/>
        </w:sectPr>
      </w:pPr>
    </w:p>
    <w:p>
      <w:pPr>
        <w:spacing w:after="0" w:line="10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85" w:right="1440" w:bottom="1440" w:gutter="0" w:footer="0" w:header="0"/>
          <w:type w:val="continuous"/>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18"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This information should be read in conjunction with the unaudited consolidated condensed financial statements and the notes thereto included in Item 1 of this Quarterly Report and the audited consolidated financial statements and notes thereto and Management's Analysis for the fiscal year ended October 31, 1998, contained in the Company's 1998 Annual Report.</w:t>
      </w:r>
    </w:p>
    <w:p>
      <w:pPr>
        <w:spacing w:after="0" w:line="90" w:lineRule="exact"/>
        <w:rPr>
          <w:sz w:val="20"/>
          <w:szCs w:val="20"/>
          <w:color w:val="auto"/>
        </w:rPr>
      </w:pPr>
    </w:p>
    <w:p>
      <w:pPr>
        <w:ind w:right="1779"/>
        <w:spacing w:after="0" w:line="287" w:lineRule="auto"/>
        <w:rPr>
          <w:sz w:val="20"/>
          <w:szCs w:val="20"/>
          <w:color w:val="auto"/>
        </w:rPr>
      </w:pPr>
      <w:r>
        <w:rPr>
          <w:rFonts w:ascii="Courier New" w:cs="Courier New" w:eastAsia="Courier New" w:hAnsi="Courier New"/>
          <w:sz w:val="16"/>
          <w:szCs w:val="16"/>
          <w:color w:val="auto"/>
        </w:rPr>
        <w:t>The following discussion and analysis may contain forward-looking statements. Such statements are subject to certain risks and uncertainties, including those discussed below or in the Company's 1998 Annual Report, that could cause actual results to differ materially from the Company's expectations. Readers are cautioned not to place undue reliance on any forward-looking statements, as they reflect management's analysis only as of the date hereof. The Company undertakes no obligation to release the results of any revision to these forward-looking statements which may be made to reflect events or circumstances after the date hereof or to reflect the occurrence of unanticipated events.</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Net sales for the second quarter of fiscal 1999 were $340 million, an increase of 6% from the $319 million reported for the second quarter of fiscal 1998. Net sales for the first two quarters of fiscal 1999 were $641 million, an increase of 1% from the $637 million reported for the comparable period of fiscal 1998. For the quarter and the six months ended May 1, 1999 the growth was primarily attributable to increased OEM sales in the communications, computer and contract manufacturing markets, which in the second quarter of fiscal 1999 increased over 50% from the second quarter of fiscal 1998. This increase was partially offset by a decline of more than 60% in automatic test equipment (ATE) revenue compared to the quarter ended May 2, 1998. Sales in the distributor channel remained relatively flat for the quarter and the six months ended May 1, 1999 compared to the corresponding periods of 1998, with a slight decline in North America being offset by an increase in Southeast Asia (SEA), as more contract manufacturing moved to SEA.</w:t>
      </w:r>
    </w:p>
    <w:p>
      <w:pPr>
        <w:spacing w:after="0" w:line="113"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8"/>
          <w:szCs w:val="18"/>
          <w:color w:val="auto"/>
        </w:rPr>
        <w:t>The decline in ATE sales primarily impacted the North American OEM channel, causing sales to North American customers to decrease to 47% of total sales for the second quarter of fiscal 1999, compared to 51% of total sales for the comparable period of fiscal 1998. Sales in Europe declined by 6% and sales in Japan rose 20% compared to the second quarter of fiscal 1998. Increased Southeast Asian sales for the quarter and six month period ended May 1, 1999 resulted primarily from increased sales of analog IC and communications products.</w:t>
      </w:r>
    </w:p>
    <w:p>
      <w:pPr>
        <w:spacing w:after="0" w:line="104"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The gross margin for the second quarter of fiscal 1999 was 48.1%, compared to 49.6% for the second quarter of fiscal 1998. The gross margin was 47.0% for the first two quarters of fiscal 1999 compared to 50.5% for the first two quarters of fiscal 1998. The decline in gross margin was primarily attributable to the Company's lower production rates during the first half of fiscal 1999 compared to the prior year.</w:t>
      </w:r>
    </w:p>
    <w:p>
      <w:pPr>
        <w:spacing w:after="0" w:line="93" w:lineRule="exact"/>
        <w:rPr>
          <w:sz w:val="20"/>
          <w:szCs w:val="20"/>
          <w:color w:val="auto"/>
        </w:rPr>
      </w:pPr>
    </w:p>
    <w:p>
      <w:pPr>
        <w:ind w:right="1779"/>
        <w:spacing w:after="0" w:line="287" w:lineRule="auto"/>
        <w:rPr>
          <w:sz w:val="20"/>
          <w:szCs w:val="20"/>
          <w:color w:val="auto"/>
        </w:rPr>
      </w:pPr>
      <w:r>
        <w:rPr>
          <w:rFonts w:ascii="Courier New" w:cs="Courier New" w:eastAsia="Courier New" w:hAnsi="Courier New"/>
          <w:sz w:val="16"/>
          <w:szCs w:val="16"/>
          <w:color w:val="auto"/>
        </w:rPr>
        <w:t>Research and development (R&amp;D) expenses were $62 million and $114 million for the three months and six months ended May 1, 1999, compared to $56 million and $111 million for the corresponding periods of fiscal 1998. R&amp;D spending increased during the second quarter of fiscal 1999 primarily due to the acquisition of two DSP tools companies during February 1999 and increased technology license fees. The Company believes that a continued commitment to research and development is essential in order to maintain product leadership with its existing products and to provide innovative new product offerings, and therefore expects to continue to make significant R&amp;D investments in the future.</w:t>
      </w:r>
    </w:p>
    <w:p>
      <w:pPr>
        <w:sectPr>
          <w:pgSz w:w="11900" w:h="16838" w:orient="portrait"/>
          <w:cols w:equalWidth="0" w:num="1">
            <w:col w:w="10219"/>
          </w:cols>
          <w:pgMar w:left="240" w:top="285" w:right="1440" w:bottom="1440" w:gutter="0" w:footer="0" w:header="0"/>
        </w:sectPr>
      </w:pPr>
    </w:p>
    <w:p>
      <w:pPr>
        <w:spacing w:after="0" w:line="27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85"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8"/>
          <w:szCs w:val="18"/>
          <w:color w:val="auto"/>
        </w:rPr>
        <w:t>During the second quarter of fiscal 1999 the Company incurred a charge of $5,140,000 for the write-off of in-process R&amp;D in connection with the acquisition of two DSP tools companies, White Mountain DSP, Inc. of Nashua, New Hampshire and Edinburgh Portable Compilers Limited, of Edinburgh, Scotland. The total cost of these acquisitions was approximately $21 million in cash and $2 million in common stock of the Company, with additional contingent cash consideration to be paid if the acquired companies achieve certain revenue and operational objectives.</w:t>
      </w:r>
    </w:p>
    <w:p>
      <w:pPr>
        <w:spacing w:after="0" w:line="104" w:lineRule="exact"/>
        <w:rPr>
          <w:sz w:val="20"/>
          <w:szCs w:val="20"/>
          <w:color w:val="auto"/>
        </w:rPr>
      </w:pPr>
    </w:p>
    <w:p>
      <w:pPr>
        <w:ind w:right="1879"/>
        <w:spacing w:after="0" w:line="249" w:lineRule="auto"/>
        <w:rPr>
          <w:sz w:val="20"/>
          <w:szCs w:val="20"/>
          <w:color w:val="auto"/>
        </w:rPr>
      </w:pPr>
      <w:r>
        <w:rPr>
          <w:rFonts w:ascii="Courier New" w:cs="Courier New" w:eastAsia="Courier New" w:hAnsi="Courier New"/>
          <w:sz w:val="18"/>
          <w:szCs w:val="18"/>
          <w:color w:val="auto"/>
        </w:rPr>
        <w:t>Selling, marketing, general &amp; administrative (SMG&amp;A) expenses for the second quarter of fiscal 1999 were $49 million, a decrease of $8 million from the $57 million reported for second quarter of fiscal 1998. SMG&amp;A expenses for the six months ended May 1, 1999 were $95 million, compared to $113 million for the six months ended May 2, 1998. In the first half of fiscal 1998 the Company incurred a charge of $8 million related to collection difficulties the Company experienced with customers whose business and financing had been adversely affected by the Southeast Asia economic situation, as well as a charge of $6 million related to the realignment of the Company's sales and distribution organizations. The remaining decrease was attributable to the Company's continued effort to constrain spending.</w:t>
      </w:r>
    </w:p>
    <w:p>
      <w:pPr>
        <w:spacing w:after="0" w:line="104" w:lineRule="exact"/>
        <w:rPr>
          <w:sz w:val="20"/>
          <w:szCs w:val="20"/>
          <w:color w:val="auto"/>
        </w:rPr>
      </w:pPr>
    </w:p>
    <w:p>
      <w:pPr>
        <w:ind w:right="1879"/>
        <w:spacing w:after="0" w:line="344" w:lineRule="auto"/>
        <w:rPr>
          <w:sz w:val="20"/>
          <w:szCs w:val="20"/>
          <w:color w:val="auto"/>
        </w:rPr>
      </w:pPr>
      <w:r>
        <w:rPr>
          <w:rFonts w:ascii="Courier New" w:cs="Courier New" w:eastAsia="Courier New" w:hAnsi="Courier New"/>
          <w:sz w:val="16"/>
          <w:szCs w:val="16"/>
          <w:color w:val="auto"/>
        </w:rPr>
        <w:t>The effective income tax rate decreased to 21% for the second quarter and the first six-month period of fiscal 1999 from 23% for the second quarter and first six-month period of fiscal 1998 due to a shift in the mix of worldwide profits.</w:t>
      </w:r>
    </w:p>
    <w:p>
      <w:pPr>
        <w:spacing w:after="0" w:line="31" w:lineRule="exact"/>
        <w:rPr>
          <w:sz w:val="20"/>
          <w:szCs w:val="20"/>
          <w:color w:val="auto"/>
        </w:rPr>
      </w:pPr>
    </w:p>
    <w:p>
      <w:pPr>
        <w:ind w:right="1779"/>
        <w:spacing w:after="0" w:line="243" w:lineRule="auto"/>
        <w:rPr>
          <w:sz w:val="20"/>
          <w:szCs w:val="20"/>
          <w:color w:val="auto"/>
        </w:rPr>
      </w:pPr>
      <w:r>
        <w:rPr>
          <w:rFonts w:ascii="Courier New" w:cs="Courier New" w:eastAsia="Courier New" w:hAnsi="Courier New"/>
          <w:sz w:val="18"/>
          <w:szCs w:val="18"/>
          <w:color w:val="auto"/>
        </w:rPr>
        <w:t>In the fourth quarter of fiscal 1998, the Company changed its accounting method for recognizing revenue on all shipments to international distributors and certain shipments to domestic distributors. The change was made with an effective date of November 2, 1997 (the beginning of fiscal 1998). While the Company has historically deferred revenue on most shipments made to domestic distributors until the products were resold by the distributors to end users, it recognized revenue on shipments to international distributors and certain shipments to domestic distributors upon shipment to the distributors, net of appropriate reserves for returns and allowances. As a result of this accounting change, revenue recognition on shipments to distributors worldwide is deferred until the products are resold to the end users. The Company believes that deferral of revenue on shipments to distributors and related gross margin until the product is shipped by the distributors is a more meaningful measurement of results of operations because it better conforms to the substance of the transaction considering the changing business environment in the international marketplace; is consistent with industry practice; and will, accordingly, better focus the entire organization on sales to end users and, therefore, is a preferable method of accounting. The cumulative effect in prior years of the change in accounting principle was a charge of approximately $37 million (net of $20 million of income taxes) or $0.21 per diluted share. The results of operations and cash flows for the period ended May 2, 1998 have been restated to reflect the accounting change.</w:t>
      </w:r>
    </w:p>
    <w:p>
      <w:pPr>
        <w:spacing w:after="0" w:line="1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At May 1, 1999, cash, cash equivalents and short-term investments totaled $519 million, an increase of $199 million from the second quarter of fiscal 1998. The increase in cash, cash equivalents and short-term investments was primarily due to operating cash inflows of $143 million, $105 million received in January 1999 related to the sale of the Company's investment in WaferTech and lower capital spending.</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285"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Accounts receivable totaled $225 million at the end of the second quarter of fiscal 1999, a decrease of $31 million from the second quarter of fiscal 1998. The Company's days sales outstanding has improved from 73 at May 2, 1998 to 60 at May 1, 1999.</w:t>
      </w:r>
    </w:p>
    <w:p>
      <w:pPr>
        <w:spacing w:after="0" w:line="82"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Inventories of $259 million at May 1, 1999 were $8 million lower than the end of the second quarter of fiscal 1998. The decrease in inventory levels was a result of adjustments by the Company to its production rates to conform to lower levels of demand in the second half of fiscal 1998 and the resumption of sales growth in the second quarter of fiscal 1999.</w:t>
      </w:r>
    </w:p>
    <w:p>
      <w:pPr>
        <w:spacing w:after="0" w:line="90"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During the first quarter of fiscal 1999 the Company completed the sale of approximately 78% of its equity ownership in WaferTech, LLC, its joint venture with Taiwan Semiconductor Manufacturing Company (TSMC) and other investors. As a result of this sale, the Company's equity ownership in WaferTech was reduced from 18% to 4%. The Company sold 14% of its investment to other WaferTech partners and received $105 million in cash, which was equal to the carrying value of the 14% equity ownership at October 31, 1998.</w:t>
      </w:r>
    </w:p>
    <w:p>
      <w:pPr>
        <w:spacing w:after="0" w:line="98"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Net additions to property, plant and equipment of $26 million for the first half of fiscal 1999 were funded with a combination of cash on hand and cash generated from operations. Capital spending in the first half of fiscal 1999 was down substantially from the $119 million spent in the first half of fiscal 1998. The decrease in capital expenditures was attributable to the Company's efforts to constrain all spending, including capital expenditures, until sales growth resumed. The Company currently plans to make capital expenditures of approximately $90 million during fiscal 1999.</w:t>
      </w:r>
    </w:p>
    <w:p>
      <w:pPr>
        <w:spacing w:after="0" w:line="104"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At May 1, 1999, the Company's principal sources of liquidity were $519 million of cash and cash equivalents and short-term investments. In addition, the Company has various lines of credit both in the U.S. and overseas, including a $60 million credit facility in the U.S., which expires in 2000, all of which were substantially unused at May 1, 1999.</w:t>
      </w:r>
    </w:p>
    <w:p>
      <w:pPr>
        <w:spacing w:after="0" w:line="90"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As of March 11, 1999 the Company had converted $229,967,000 of the $230 million principal amount of its 3 1/2% Convertible Subordinated Notes (Notes) due 2000 into an aggregate of 10,983,163 shares of the Company's common stock, and the remaining Notes were redeemed by a cash payment of $33,000. As a result of this conversion, the Company's debt-to-equity ratio was reduced to 8% as compared to 30% in the previous quarter.</w:t>
      </w:r>
    </w:p>
    <w:p>
      <w:pPr>
        <w:spacing w:after="0" w:line="93"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Company believes that its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Factors Which May Affect Future Results</w:t>
      </w:r>
    </w:p>
    <w:p>
      <w:pPr>
        <w:spacing w:after="0" w:line="201" w:lineRule="exact"/>
        <w:rPr>
          <w:sz w:val="20"/>
          <w:szCs w:val="20"/>
          <w:color w:val="auto"/>
        </w:rPr>
      </w:pPr>
    </w:p>
    <w:p>
      <w:pPr>
        <w:ind w:right="1879"/>
        <w:spacing w:after="0" w:line="280" w:lineRule="auto"/>
        <w:rPr>
          <w:sz w:val="20"/>
          <w:szCs w:val="20"/>
          <w:color w:val="auto"/>
        </w:rPr>
      </w:pPr>
      <w:r>
        <w:rPr>
          <w:rFonts w:ascii="Courier New" w:cs="Courier New" w:eastAsia="Courier New" w:hAnsi="Courier New"/>
          <w:sz w:val="16"/>
          <w:szCs w:val="16"/>
          <w:color w:val="auto"/>
        </w:rPr>
        <w:t>The Company's future operating results are difficult to predict and may be affected by a number of factors including the timing of new product announcements or introductions by the Company and its competitors, competitive pricing pressures, fluctuations in manufacturing yields, adequate availability of wafers and manufacturing capacity, changes in product mix and economic conditions in the United States and international markets, and the advent and impact of the Year 2000. In addition, the semiconductor market has historically been cyclical and subject to significant economic downturns at various times. The Company's business is subject to rapid technological changes and there can be no assurance, depending on the mix of future business, that products stocked in inventory will not be rendered obsolete before they are shipped by the Company. As a result of these and other factors, there can be no assurance that the Company will not experience material fluctuations in future operating results on a quarterly or annual basis.</w:t>
      </w:r>
    </w:p>
    <w:p>
      <w:pPr>
        <w:spacing w:after="0" w:line="290"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285" w:right="1440" w:bottom="996"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ind w:right="1779"/>
        <w:spacing w:after="0" w:line="285" w:lineRule="auto"/>
        <w:rPr>
          <w:sz w:val="20"/>
          <w:szCs w:val="20"/>
          <w:color w:val="auto"/>
        </w:rPr>
      </w:pPr>
      <w:r>
        <w:rPr>
          <w:rFonts w:ascii="Courier New" w:cs="Courier New" w:eastAsia="Courier New" w:hAnsi="Courier New"/>
          <w:sz w:val="16"/>
          <w:szCs w:val="16"/>
          <w:color w:val="auto"/>
        </w:rPr>
        <w:t>continued ability to penetrate new markets such as the communications, computer and automotive segments of the electronics market, where the Company has limited experience and competition is intense. There can be no assurance that the markets being served by the Company will grow in the future; that the Company's existing and new products will meet the requirements of such markets; that the Company's products will achieve customer acceptance in such markets; that competitors will not force prices to an unacceptably low level or take market share from the Company; or that the Company can achieve or maintain profits in these markets. Also, some of the customers in these markets are less well established which could subject the Company to increased credit risk.</w:t>
      </w:r>
    </w:p>
    <w:p>
      <w:pPr>
        <w:spacing w:after="0" w:line="76"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pacing w:after="0" w:line="104"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Company has substantially increased its manufacturing capacity through both expansion of its production facilities and increased access to third-party foundries. However, the Company cannot be sure that it will not encounter unanticipated production problems at either its own facilities or at third-party foundries, or that the increased capacity will be sufficient to satisfy demand for its products. The Company relies, and plans to continue to rely, on assembly and test subcontractors and on third-party wafer fabricators to supply most of its wafers that can be manufactured using industry-standard digital processes. Such reliance involves several risks, including reduced control over delivery schedules, manufacturing yields and costs. In addition, the Company's capacity additions resulted in a significant increase in operating expenses. If revenue levels do not increase to offset these additional expense levels, the Company's future operating results could be adversely affected. In addition, asset values could be impaired if the additional capacity is underutilized for an extended period of time. Also, non-compliance with "take or pay" covenants in certain of its supply agreements, could adversely impact operating results. The Company believes that other semiconductor manufacturers have expanded their production capacity over the past several years, and there can be no assurance that the expansion by the Company and its competitors will not lead to overcapacity in the Company's target markets, which could lead to price erosion that would adversely affect the Company's operating results.</w:t>
      </w:r>
    </w:p>
    <w:p>
      <w:pPr>
        <w:spacing w:after="0" w:line="303"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For the first six months of fiscal 1999, 53% of the Company's revenues was derived from customers in international markets. The Company has manufacturing facilities outside the U.S. in Ireland, the Philippines and Taiwan. The Company also has supply agreements that include "take or pay" covenants with suppliers located in Southeast Asia (SEA) and as part of these arrangements, the Company has $20 million on deposit as well as a $21 million investment in one of these suppliers. In addition, the Company's major partner in its joint venture, WaferTech, is TSMC, which is located in SEA. In addition to being exposed to the ongoing economic cycles in the semiconductor industry, the Company is also subject to the economic and political risks inherent in international operations, including the risks associated with the ongoing uncertainties in the economies in SEA. These risks include air transportation disruptions, expropriation, currency controls and changes in currency exchange rates, tax and tariff rates and freight rates. Although the Company engages in certain hedging transactions to reduce its exposure to currency exchange rate fluctuations, there can be no assurance that the Company's competitive position will not be adversely affected by changes in the exchange rate of the U.S. dollar against other currencies.</w:t>
      </w:r>
    </w:p>
    <w:p>
      <w:pPr>
        <w:spacing w:after="0" w:line="117"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The semiconductor industry is characterized by frequent claims and litigation involving patent and other intellectual property rights. The Company has from time to time received, and may in the future receive, claims from third parties asserting</w:t>
      </w:r>
    </w:p>
    <w:p>
      <w:pPr>
        <w:sectPr>
          <w:pgSz w:w="11900" w:h="16838" w:orient="portrait"/>
          <w:cols w:equalWidth="0" w:num="1">
            <w:col w:w="10219"/>
          </w:cols>
          <w:pgMar w:left="240" w:top="285" w:right="1440" w:bottom="1440" w:gutter="0" w:footer="0" w:header="0"/>
        </w:sectPr>
      </w:pP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85"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4" w:lineRule="exact"/>
        <w:rPr>
          <w:sz w:val="20"/>
          <w:szCs w:val="20"/>
          <w:color w:val="auto"/>
        </w:rPr>
      </w:pPr>
    </w:p>
    <w:p>
      <w:pPr>
        <w:ind w:right="1779"/>
        <w:spacing w:after="0" w:line="282" w:lineRule="auto"/>
        <w:rPr>
          <w:sz w:val="20"/>
          <w:szCs w:val="20"/>
          <w:color w:val="auto"/>
        </w:rPr>
      </w:pPr>
      <w:r>
        <w:rPr>
          <w:rFonts w:ascii="Courier New" w:cs="Courier New" w:eastAsia="Courier New" w:hAnsi="Courier New"/>
          <w:sz w:val="16"/>
          <w:szCs w:val="16"/>
          <w:color w:val="auto"/>
        </w:rPr>
        <w:t>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the Company's 1998 Annual Report for information concerning certain pending litigation involving the Company. An adverse outcome in such litigation, may, in certain cases, have a material adverse effect on the Company's consolidated financial position or on its consolidated results of operations or cash flows in the period in which the litigation is resolved.</w:t>
      </w:r>
    </w:p>
    <w:p>
      <w:pPr>
        <w:spacing w:after="0" w:line="291"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The Company's software applications have been updated to accommodate the new euro currency. System testing was completed during the fourth quarter of calendar 1998 and the euro functionality was implemented as planned on January 1, 1999. No major system-related issues were encountered and none are anticipated. The impact, either positive or negative, of the euro on the European economy generally and on the Company's operations in Europe in the future is unknown at this time.</w:t>
      </w:r>
    </w:p>
    <w:p>
      <w:pPr>
        <w:spacing w:after="0" w:line="98"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Because of these and other factors, past financial performance should not be considered an indicator of future performance. Investors should not use historical trends to anticipate future results and should be aware that the trading price of the Company's common stock may be subject to wide fluctuations in response to quarter-to-quarter variations in operating results, general conditions in the semiconductor industry, changes in earnings estimates and recommendations by analysts or other events.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w:t>
      </w:r>
    </w:p>
    <w:p>
      <w:pPr>
        <w:spacing w:after="0" w:line="201"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Over the past five years the Company has made significant investments in new manufacturing, financial and operating hardware and software. These investments were made to support the growth of its operations; however, the by-product of this effort is that the Company now has year 2000, (Y2K), compliant hardware and software running on many of its major platforms.</w:t>
      </w:r>
    </w:p>
    <w:p>
      <w:pPr>
        <w:spacing w:after="0" w:line="90"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The Company has made the year 2000 issue a significant priority and a task force is engaged in an ongoing effort to reduce year 2000 related risks in the Company's systems and equipment. It is estimated that the aggregate cost of this project, which formally commenced at the beginning of fiscal 1998, is approximately $10 million in total for fiscal 1998 and fiscal 1999. The task force's efforts are concentrated in six separate areas. The status of each area as of May 28, 1999 is summarized below.</w:t>
      </w:r>
    </w:p>
    <w:p>
      <w:pPr>
        <w:spacing w:after="0" w:line="9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Centrally Managed Global Systems</w:t>
      </w:r>
    </w:p>
    <w:p>
      <w:pPr>
        <w:spacing w:after="0" w:line="201" w:lineRule="exact"/>
        <w:rPr>
          <w:sz w:val="20"/>
          <w:szCs w:val="20"/>
          <w:color w:val="auto"/>
        </w:rPr>
      </w:pPr>
    </w:p>
    <w:p>
      <w:pPr>
        <w:ind w:right="1779"/>
        <w:spacing w:after="0" w:line="281" w:lineRule="auto"/>
        <w:rPr>
          <w:sz w:val="20"/>
          <w:szCs w:val="20"/>
          <w:color w:val="auto"/>
        </w:rPr>
      </w:pPr>
      <w:r>
        <w:rPr>
          <w:rFonts w:ascii="Courier New" w:cs="Courier New" w:eastAsia="Courier New" w:hAnsi="Courier New"/>
          <w:sz w:val="16"/>
          <w:szCs w:val="16"/>
          <w:color w:val="auto"/>
        </w:rPr>
        <w:t>Centrally managed global systems are the enterprise-wide, headquarters managed operational systems, which include customer service, customer order entry, work-in-progress (WIP) tracking, warehousing, production planning, and financial systems. These systems have been split into "mission critical" and "non-mission critical." Mission critical is defined as systems that can seriously impair the Company's ability to conduct its business. All mission critical applications have been tested and certified to be Year 2000 compliant as of April 1, 1999. In addition, system integration testing was performed at our Disaster Recovery site in March 1999. Non-mission critical is defined as systems which would not cause serious impairment to the organization. The task force is continually reviewing and re-prioritizing the non-mission critical systems conversion efforts to ensure that appropriate items are receiving the proper attention. The Company retired its non-compliant mainframe in early 1999.</w:t>
      </w:r>
    </w:p>
    <w:p>
      <w:pPr>
        <w:spacing w:after="0" w:line="29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Design and Engineering Systems</w:t>
      </w:r>
    </w:p>
    <w:p>
      <w:pPr>
        <w:spacing w:after="0" w:line="201"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The Company's Computer Aided Design (CAD) Council is leading a worldwide year 2000 compliance review of hardware and software related to design and engineering systems. The team has completed its analysis and the required updates to the CAD operating</w:t>
      </w:r>
    </w:p>
    <w:p>
      <w:pPr>
        <w:sectPr>
          <w:pgSz w:w="11900" w:h="16838" w:orient="portrait"/>
          <w:cols w:equalWidth="0" w:num="1">
            <w:col w:w="10219"/>
          </w:cols>
          <w:pgMar w:left="240" w:top="285" w:right="1440" w:bottom="1440" w:gutter="0" w:footer="0" w:header="0"/>
        </w:sectPr>
      </w:pPr>
    </w:p>
    <w:p>
      <w:pPr>
        <w:spacing w:after="0" w:line="8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85" w:right="1440" w:bottom="1440"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4" w:lineRule="exact"/>
        <w:rPr>
          <w:sz w:val="20"/>
          <w:szCs w:val="20"/>
          <w:color w:val="auto"/>
        </w:rPr>
      </w:pPr>
    </w:p>
    <w:p>
      <w:pPr>
        <w:ind w:right="1779"/>
        <w:spacing w:after="0" w:line="283" w:lineRule="auto"/>
        <w:rPr>
          <w:sz w:val="20"/>
          <w:szCs w:val="20"/>
          <w:color w:val="auto"/>
        </w:rPr>
      </w:pPr>
      <w:r>
        <w:rPr>
          <w:rFonts w:ascii="Courier New" w:cs="Courier New" w:eastAsia="Courier New" w:hAnsi="Courier New"/>
          <w:sz w:val="16"/>
          <w:szCs w:val="16"/>
          <w:color w:val="auto"/>
        </w:rPr>
        <w:t>systems are 85% complete. All operating systems are expected to be fully Y2K compliant by early in the fourth quarter of fiscal 1999. Critical CAD application software packages have been vendor-certified as Y2K compliant. Migration to and testing of these package updates will proceed over the next six months. The Company routinely completes full archives of all designs that are currently shipping or in development to enable the recovery of any design database needed for future derivative products. This archive system is currently undergoing compliance testing and will be verified Y2K compliant by the end of the third quarter of fiscal 1999. The Company believes that if all design engineering systems are not compliant in time, this will result in inconvenience and inefficiencies rather than any significant risk to operations.</w:t>
      </w:r>
    </w:p>
    <w:p>
      <w:pPr>
        <w:spacing w:after="0" w:line="29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Site Based Manufacturing Systems</w:t>
      </w:r>
    </w:p>
    <w:p>
      <w:pPr>
        <w:spacing w:after="0" w:line="201"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Manufacturing site managers have identified, tested and analyzed all critical manufacturing equipment. The analysis process included ensuring that date compliance is necessary. The Company is considering "rolling back" the internal date mechanism as a contingency plan for certain equipment and the task force has verified the effectiveness of this contingency plan. It is expected that all manufacturing sites will complete their Y2K remedial actions by July 1999. Year 2000 testing is being done to the latest vendor specifications and the Company used the suite of test programs provided by Sematech, a semiconductor research organization. Thus far, no crucial piece of equipment has been identified as having a Y2K compliance problem for which no solution exists. In all instances where a Y2K compliance issue has arisen, the Company has been able to develop a solution without having to replace the equipment. The Company does not foresee any manufacturing equipment-related obstacles which would prevent the continuation of operations in year 2000.</w:t>
      </w:r>
    </w:p>
    <w:p>
      <w:pPr>
        <w:spacing w:after="0" w:line="11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Personal Computers (PCs)</w:t>
      </w:r>
    </w:p>
    <w:p>
      <w:pPr>
        <w:spacing w:after="0" w:line="201" w:lineRule="exact"/>
        <w:rPr>
          <w:sz w:val="20"/>
          <w:szCs w:val="20"/>
          <w:color w:val="auto"/>
        </w:rPr>
      </w:pPr>
    </w:p>
    <w:p>
      <w:pPr>
        <w:ind w:right="1779"/>
        <w:spacing w:after="0" w:line="283" w:lineRule="auto"/>
        <w:rPr>
          <w:sz w:val="20"/>
          <w:szCs w:val="20"/>
          <w:color w:val="auto"/>
        </w:rPr>
      </w:pPr>
      <w:r>
        <w:rPr>
          <w:rFonts w:ascii="Courier New" w:cs="Courier New" w:eastAsia="Courier New" w:hAnsi="Courier New"/>
          <w:sz w:val="16"/>
          <w:szCs w:val="16"/>
          <w:color w:val="auto"/>
        </w:rPr>
        <w:t>The Company has a PC Standards Committee comprised of participants from various Company locations. This committee has developed a hardware and software certification plan. This plan calls for year 2000 certification of PC Basic Input/Output System (BIOS), software applications and user files. The Company certified the BIOS on its 3,500 networked PCs in the first quarter of 1999 and less than 2% were found to be non-Y2K compliant. The Company will also issue a tool to assist users in analyzing their data files for potential year 2000 issues. In addition, a year 2000 "patch" has been applied to 90% of the desktops for the Microsoft Office Suite (Excel, Word and Access). All other business applications have been reviewed and are expected to be upgraded by July 1999. The Company does not foresee any material year 2000 issues in this area.</w:t>
      </w:r>
    </w:p>
    <w:p>
      <w:pPr>
        <w:spacing w:after="0" w:line="29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Facility Related Systems</w:t>
      </w:r>
    </w:p>
    <w:p>
      <w:pPr>
        <w:spacing w:after="0" w:line="201"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Systems such as heating, sprinklers, elevators and card-key access are also being reviewed by site teams. Each team has a designated facilitator with representatives from each department participating. All of the teams have taken a thorough inventory of their site's systems and the Company expects to be 100% compliant by the third quarter of 1999.</w:t>
      </w:r>
    </w:p>
    <w:p>
      <w:pPr>
        <w:spacing w:after="0" w:line="9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Third Party</w:t>
      </w:r>
    </w:p>
    <w:p>
      <w:pPr>
        <w:spacing w:after="0" w:line="201" w:lineRule="exact"/>
        <w:rPr>
          <w:sz w:val="20"/>
          <w:szCs w:val="20"/>
          <w:color w:val="auto"/>
        </w:rPr>
      </w:pPr>
    </w:p>
    <w:p>
      <w:pPr>
        <w:ind w:right="1779"/>
        <w:spacing w:after="0" w:line="247" w:lineRule="auto"/>
        <w:rPr>
          <w:sz w:val="20"/>
          <w:szCs w:val="20"/>
          <w:color w:val="auto"/>
        </w:rPr>
      </w:pPr>
      <w:r>
        <w:rPr>
          <w:rFonts w:ascii="Courier New" w:cs="Courier New" w:eastAsia="Courier New" w:hAnsi="Courier New"/>
          <w:sz w:val="18"/>
          <w:szCs w:val="18"/>
          <w:color w:val="auto"/>
        </w:rPr>
        <w:t>The Corporate year 2000 task force is also reviewing third-party connectivity issues. The Company's EDI translator supplier, Harbinger, has been successfully tested for Y2K compliance. The EDI carrier, GEIS, has notified the Company that it is Y2K compliant as well. Other external service providers, primarily financial and human resource services, as well as outside vendors, have also been surveyed as to their state of readiness and most are already Y2K compliant. The Company identified 112 vital suppliers that could put the Company at risk should their service be interrupted. The Company verified their state of readiness and as of May 1999 did not identify any high risk suppliers. Contingency plans are underway to ensure adequate supplies of critical raw materials and spare parts are in stock for December 31, 1999. In addition, the Company tested its financial interface with its major financial services provider for Y2K compliance and the results were successful.</w:t>
      </w:r>
    </w:p>
    <w:p>
      <w:pPr>
        <w:sectPr>
          <w:pgSz w:w="11900" w:h="16838" w:orient="portrait"/>
          <w:cols w:equalWidth="0" w:num="1">
            <w:col w:w="10219"/>
          </w:cols>
          <w:pgMar w:left="240" w:top="285" w:right="1440" w:bottom="1440" w:gutter="0" w:footer="0" w:header="0"/>
        </w:sectPr>
      </w:pPr>
    </w:p>
    <w:p>
      <w:pPr>
        <w:spacing w:after="0" w:line="10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285" w:right="1440"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The Company currently believes that its most likely worst case year 2000 scenario would relate to problems with systems of third parties which could create the greatest risks with infrastructure, including water and sewer services, electricity, transportation, telecommunications and critical supplies of raw materials and spare parts. The Company is assessing various scenarios and contingency planning will continue during 1999 as the Company completes the remedial work on its internal systems and assesses the state of readiness of its third-party suppliers.</w:t>
      </w:r>
    </w:p>
    <w:p>
      <w:pPr>
        <w:spacing w:after="0" w:line="1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Summary</w:t>
      </w:r>
    </w:p>
    <w:p>
      <w:pPr>
        <w:spacing w:after="0" w:line="20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The Company believes that the year 2000 issue will not pose significant operational problems. However, year 2000 issues could have a significant impact on the Company's operations and its financial results if modifications to internal systems and equipment cannot be completed on a timely basis, unforeseen needs or problems arise, or if the systems operated by third parties are not year 2000 compliant.</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285"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PART II - OTHER INFORMATION</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ANALOG DEVICES, INC.</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At the Annual Meeting of Stockholders held on March 9, 1999, the stockholders of the Company elected Messrs. John L. Doyle and Ray Stata to serve as Class III Directors for a term of three years by the following votes: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Nominee</w:t>
            </w:r>
          </w:p>
        </w:tc>
        <w:tc>
          <w:tcPr>
            <w:tcW w:w="242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6"/>
              </w:rPr>
              <w:t>Votes for</w:t>
            </w:r>
          </w:p>
        </w:tc>
        <w:tc>
          <w:tcPr>
            <w:tcW w:w="2480" w:type="dxa"/>
            <w:vAlign w:val="bottom"/>
          </w:tcPr>
          <w:p>
            <w:pPr>
              <w:ind w:left="480"/>
              <w:spacing w:after="0"/>
              <w:rPr>
                <w:sz w:val="20"/>
                <w:szCs w:val="20"/>
                <w:color w:val="auto"/>
              </w:rPr>
            </w:pPr>
            <w:r>
              <w:rPr>
                <w:rFonts w:ascii="Courier New" w:cs="Courier New" w:eastAsia="Courier New" w:hAnsi="Courier New"/>
                <w:sz w:val="18"/>
                <w:szCs w:val="18"/>
                <w:color w:val="auto"/>
              </w:rPr>
              <w:t>Votes Withheld</w:t>
            </w:r>
          </w:p>
        </w:tc>
        <w:tc>
          <w:tcPr>
            <w:tcW w:w="2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Broker Non Votes</w:t>
            </w: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4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2480" w:type="dxa"/>
            <w:vAlign w:val="bottom"/>
          </w:tcPr>
          <w:p>
            <w:pPr>
              <w:ind w:left="680"/>
              <w:spacing w:after="0"/>
              <w:rPr>
                <w:sz w:val="20"/>
                <w:szCs w:val="20"/>
                <w:color w:val="auto"/>
              </w:rPr>
            </w:pPr>
            <w:r>
              <w:rPr>
                <w:rFonts w:ascii="Courier New" w:cs="Courier New" w:eastAsia="Courier New" w:hAnsi="Courier New"/>
                <w:sz w:val="18"/>
                <w:szCs w:val="18"/>
                <w:color w:val="auto"/>
              </w:rPr>
              <w:t>--------------</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John L. Doyle</w:t>
            </w:r>
          </w:p>
        </w:tc>
        <w:tc>
          <w:tcPr>
            <w:tcW w:w="242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128,320,814</w:t>
            </w:r>
          </w:p>
        </w:tc>
        <w:tc>
          <w:tcPr>
            <w:tcW w:w="2480" w:type="dxa"/>
            <w:vAlign w:val="bottom"/>
          </w:tcPr>
          <w:p>
            <w:pPr>
              <w:ind w:left="680"/>
              <w:spacing w:after="0"/>
              <w:rPr>
                <w:sz w:val="20"/>
                <w:szCs w:val="20"/>
                <w:color w:val="auto"/>
              </w:rPr>
            </w:pPr>
            <w:r>
              <w:rPr>
                <w:rFonts w:ascii="Courier New" w:cs="Courier New" w:eastAsia="Courier New" w:hAnsi="Courier New"/>
                <w:sz w:val="18"/>
                <w:szCs w:val="18"/>
                <w:color w:val="auto"/>
              </w:rPr>
              <w:t>10,774,594</w:t>
            </w:r>
          </w:p>
        </w:tc>
        <w:tc>
          <w:tcPr>
            <w:tcW w:w="22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-0-</w:t>
            </w: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Ray Stata</w:t>
            </w:r>
          </w:p>
        </w:tc>
        <w:tc>
          <w:tcPr>
            <w:tcW w:w="242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128,347,633</w:t>
            </w:r>
          </w:p>
        </w:tc>
        <w:tc>
          <w:tcPr>
            <w:tcW w:w="2480" w:type="dxa"/>
            <w:vAlign w:val="bottom"/>
          </w:tcPr>
          <w:p>
            <w:pPr>
              <w:ind w:left="680"/>
              <w:spacing w:after="0"/>
              <w:rPr>
                <w:sz w:val="20"/>
                <w:szCs w:val="20"/>
                <w:color w:val="auto"/>
              </w:rPr>
            </w:pPr>
            <w:r>
              <w:rPr>
                <w:rFonts w:ascii="Courier New" w:cs="Courier New" w:eastAsia="Courier New" w:hAnsi="Courier New"/>
                <w:sz w:val="18"/>
                <w:szCs w:val="18"/>
                <w:color w:val="auto"/>
              </w:rPr>
              <w:t>10,747,775</w:t>
            </w:r>
          </w:p>
        </w:tc>
        <w:tc>
          <w:tcPr>
            <w:tcW w:w="22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314"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Each of the following directors who were not up for reelection at the Annual Meeting of Stockholders will continue to serve as directors: Messrs. Jerald G. Fishman, Charles O. Holliday, Jr., Joel Moses, F. Grant Saviers and Lester C. Thurow.</w:t>
      </w:r>
    </w:p>
    <w:p>
      <w:pPr>
        <w:spacing w:after="0" w:line="82"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stockholders also approved an amendment to the Company's 1992 Employee Stock Purchase Plan to increase the number of shares reserved for issuance thereunder from 4,800,000 to 6,800,000, by a vote of 131,466,882 in favor, 7,193,873 opposed and 434,653 abstaining.</w:t>
      </w:r>
    </w:p>
    <w:p>
      <w:pPr>
        <w:spacing w:after="0" w:line="82"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In addition, the stockholders approved an amendment to the Company's 1994 Director Option Plan to increase the number of shares of common stock underlying the initial option grant to newly elected non-employee directors from 10,500 to 30,000, by a vote of 109,717,069 in favor, 28,760,812 opposed and 617,527 abstaining.</w:t>
      </w:r>
    </w:p>
    <w:p>
      <w:pPr>
        <w:spacing w:after="0" w:line="90"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Stockholders also ratified the selection by the Board of Directors of Ernst &amp; Young LLP as the Company's independent auditors for the fiscal year ending October 30, 1999, by a vote of 138,735,911 in favor, 143,879 opposed and 215,618 abstaining.</w:t>
      </w:r>
    </w:p>
    <w:p>
      <w:pPr>
        <w:spacing w:after="0" w:line="200" w:lineRule="exact"/>
        <w:rPr>
          <w:sz w:val="20"/>
          <w:szCs w:val="20"/>
          <w:color w:val="auto"/>
        </w:rPr>
      </w:pPr>
    </w:p>
    <w:p>
      <w:pPr>
        <w:spacing w:after="0" w:line="28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w:t>
      </w:r>
    </w:p>
    <w:p>
      <w:pPr>
        <w:spacing w:after="0" w:line="30" w:lineRule="exact"/>
        <w:rPr>
          <w:rFonts w:ascii="Courier New" w:cs="Courier New" w:eastAsia="Courier New" w:hAnsi="Courier New"/>
          <w:sz w:val="18"/>
          <w:szCs w:val="18"/>
          <w:color w:val="auto"/>
        </w:rPr>
      </w:pPr>
    </w:p>
    <w:p>
      <w:pPr>
        <w:ind w:left="960" w:right="1879" w:hanging="531"/>
        <w:spacing w:after="0" w:line="309" w:lineRule="auto"/>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reports on Form 8-K filed for the three months ended May 1, 1999.</w:t>
      </w:r>
    </w:p>
    <w:p>
      <w:pPr>
        <w:spacing w:after="0" w:line="5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285"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4" w:lineRule="exact"/>
        <w:rPr>
          <w:sz w:val="20"/>
          <w:szCs w:val="20"/>
          <w:color w:val="auto"/>
        </w:rPr>
      </w:pPr>
    </w:p>
    <w:p>
      <w:pPr>
        <w:jc w:val="both"/>
        <w:ind w:right="26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1"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ANALOG DEVICES, INC.</w:t>
      </w:r>
    </w:p>
    <w:p>
      <w:pPr>
        <w:spacing w:after="0" w:line="31"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11,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Jerald G. Fishman</w:t>
      </w:r>
    </w:p>
    <w:p>
      <w:pPr>
        <w:spacing w:after="0" w:line="31"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Jerald G. Fishman</w:t>
      </w:r>
    </w:p>
    <w:p>
      <w:pPr>
        <w:ind w:left="720"/>
        <w:spacing w:after="0" w:line="238" w:lineRule="auto"/>
        <w:rPr>
          <w:sz w:val="20"/>
          <w:szCs w:val="20"/>
          <w:color w:val="auto"/>
        </w:rPr>
      </w:pPr>
      <w:r>
        <w:rPr>
          <w:rFonts w:ascii="Courier New" w:cs="Courier New" w:eastAsia="Courier New" w:hAnsi="Courier New"/>
          <w:sz w:val="18"/>
          <w:szCs w:val="18"/>
          <w:color w:val="auto"/>
        </w:rPr>
        <w:t>President and</w:t>
      </w:r>
    </w:p>
    <w:p>
      <w:pPr>
        <w:ind w:left="720"/>
        <w:spacing w:after="0"/>
        <w:rPr>
          <w:sz w:val="20"/>
          <w:szCs w:val="20"/>
          <w:color w:val="auto"/>
        </w:rPr>
      </w:pPr>
      <w:r>
        <w:rPr>
          <w:rFonts w:ascii="Courier New" w:cs="Courier New" w:eastAsia="Courier New" w:hAnsi="Courier New"/>
          <w:sz w:val="18"/>
          <w:szCs w:val="18"/>
          <w:color w:val="auto"/>
        </w:rPr>
        <w:t>Chief Executive Officer</w:t>
      </w:r>
    </w:p>
    <w:p>
      <w:pPr>
        <w:ind w:left="720"/>
        <w:spacing w:after="0"/>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3">
            <w:col w:w="540" w:space="200"/>
            <w:col w:w="2560" w:space="720"/>
            <w:col w:w="6199"/>
          </w:cols>
          <w:pgMar w:left="240" w:top="285"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11, 1999</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Joseph E. McDonough</w:t>
      </w:r>
    </w:p>
    <w:p>
      <w:pPr>
        <w:spacing w:after="0" w:line="31" w:lineRule="exact"/>
        <w:rPr>
          <w:sz w:val="20"/>
          <w:szCs w:val="20"/>
          <w:color w:val="auto"/>
        </w:rPr>
      </w:pPr>
    </w:p>
    <w:p>
      <w:pPr>
        <w:ind w:left="6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720"/>
        <w:spacing w:after="0"/>
        <w:rPr>
          <w:sz w:val="20"/>
          <w:szCs w:val="20"/>
          <w:color w:val="auto"/>
        </w:rPr>
      </w:pPr>
      <w:r>
        <w:rPr>
          <w:rFonts w:ascii="Courier New" w:cs="Courier New" w:eastAsia="Courier New" w:hAnsi="Courier New"/>
          <w:sz w:val="18"/>
          <w:szCs w:val="18"/>
          <w:color w:val="auto"/>
        </w:rPr>
        <w:t>Joseph E. McDonough</w:t>
      </w:r>
    </w:p>
    <w:p>
      <w:pPr>
        <w:ind w:left="720"/>
        <w:spacing w:after="0" w:line="238" w:lineRule="auto"/>
        <w:rPr>
          <w:sz w:val="20"/>
          <w:szCs w:val="20"/>
          <w:color w:val="auto"/>
        </w:rPr>
      </w:pPr>
      <w:r>
        <w:rPr>
          <w:rFonts w:ascii="Courier New" w:cs="Courier New" w:eastAsia="Courier New" w:hAnsi="Courier New"/>
          <w:sz w:val="18"/>
          <w:szCs w:val="18"/>
          <w:color w:val="auto"/>
        </w:rPr>
        <w:t>Vice President-Finance</w:t>
      </w:r>
    </w:p>
    <w:p>
      <w:pPr>
        <w:ind w:left="840"/>
        <w:spacing w:after="0"/>
        <w:rPr>
          <w:sz w:val="20"/>
          <w:szCs w:val="20"/>
          <w:color w:val="auto"/>
        </w:rPr>
      </w:pPr>
      <w:r>
        <w:rPr>
          <w:rFonts w:ascii="Courier New" w:cs="Courier New" w:eastAsia="Courier New" w:hAnsi="Courier New"/>
          <w:sz w:val="18"/>
          <w:szCs w:val="18"/>
          <w:color w:val="auto"/>
        </w:rPr>
        <w:t>and Chief Financial Officer</w:t>
      </w:r>
    </w:p>
    <w:p>
      <w:pPr>
        <w:ind w:left="720"/>
        <w:spacing w:after="0" w:line="238" w:lineRule="auto"/>
        <w:rPr>
          <w:sz w:val="20"/>
          <w:szCs w:val="20"/>
          <w:color w:val="auto"/>
        </w:rPr>
      </w:pPr>
      <w:r>
        <w:rPr>
          <w:rFonts w:ascii="Courier New" w:cs="Courier New" w:eastAsia="Courier New" w:hAnsi="Courier New"/>
          <w:sz w:val="18"/>
          <w:szCs w:val="18"/>
          <w:color w:val="auto"/>
        </w:rPr>
        <w:t>(Principal Financial and</w:t>
      </w:r>
    </w:p>
    <w:p>
      <w:pPr>
        <w:ind w:left="720"/>
        <w:spacing w:after="0"/>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ectPr>
          <w:pgSz w:w="11900" w:h="16838" w:orient="portrait"/>
          <w:cols w:equalWidth="0" w:num="3">
            <w:col w:w="540" w:space="200"/>
            <w:col w:w="2560" w:space="720"/>
            <w:col w:w="6199"/>
          </w:cols>
          <w:pgMar w:left="240" w:top="285" w:right="1440" w:bottom="1440" w:gutter="0" w:footer="0" w:header="0"/>
          <w:type w:val="continuous"/>
        </w:sectPr>
      </w:pPr>
    </w:p>
    <w:p>
      <w:pPr>
        <w:spacing w:after="0" w:line="37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85" w:right="1440" w:bottom="1440" w:gutter="0" w:footer="0" w:header="0"/>
          <w:type w:val="continuous"/>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31" w:lineRule="exact"/>
        <w:rPr>
          <w:sz w:val="20"/>
          <w:szCs w:val="20"/>
          <w:color w:val="auto"/>
        </w:rPr>
      </w:pPr>
    </w:p>
    <w:p>
      <w:pPr>
        <w:jc w:val="right"/>
        <w:ind w:right="4939"/>
        <w:spacing w:after="0"/>
        <w:rPr>
          <w:sz w:val="20"/>
          <w:szCs w:val="20"/>
          <w:color w:val="auto"/>
        </w:rPr>
      </w:pPr>
      <w:r>
        <w:rPr>
          <w:rFonts w:ascii="Courier New" w:cs="Courier New" w:eastAsia="Courier New" w:hAnsi="Courier New"/>
          <w:sz w:val="18"/>
          <w:szCs w:val="18"/>
          <w:color w:val="auto"/>
        </w:rPr>
        <w:t>Analog Devices,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285" w:right="1440" w:bottom="1440" w:gutter="0" w:footer="0" w:header="0"/>
        </w:sectPr>
      </w:pPr>
    </w:p>
    <w:bookmarkStart w:id="20" w:name="page21"/>
    <w:bookmarkEnd w:id="20"/>
    <w:p>
      <w:pPr>
        <w:ind w:left="120"/>
        <w:spacing w:after="0"/>
        <w:rPr>
          <w:sz w:val="20"/>
          <w:szCs w:val="20"/>
          <w:color w:val="auto"/>
        </w:rPr>
      </w:pPr>
      <w:r>
        <w:rPr>
          <w:rFonts w:ascii="Courier New" w:cs="Courier New" w:eastAsia="Courier New" w:hAnsi="Courier New"/>
          <w:sz w:val="18"/>
          <w:szCs w:val="18"/>
          <w:color w:val="auto"/>
        </w:rPr>
        <w:t>5</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ind w:left="120"/>
        <w:spacing w:after="0"/>
        <w:rPr>
          <w:sz w:val="20"/>
          <w:szCs w:val="20"/>
          <w:color w:val="auto"/>
        </w:rPr>
      </w:pPr>
      <w:r>
        <w:rPr>
          <w:rFonts w:ascii="Courier New" w:cs="Courier New" w:eastAsia="Courier New" w:hAnsi="Courier New"/>
          <w:sz w:val="18"/>
          <w:szCs w:val="18"/>
          <w:color w:val="auto"/>
        </w:rPr>
        <w:t>U.S. DOLLARS</w:t>
      </w:r>
    </w:p>
    <w:p>
      <w:pPr>
        <w:spacing w:after="0" w:line="37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3-MOS</w:t>
      </w:r>
    </w:p>
    <w:p>
      <w:pPr>
        <w:spacing w:after="0" w:line="2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OCT-30-1999</w:t>
      </w:r>
    </w:p>
    <w:p>
      <w:pPr>
        <w:ind w:left="3060"/>
        <w:spacing w:after="0" w:line="238" w:lineRule="auto"/>
        <w:rPr>
          <w:sz w:val="20"/>
          <w:szCs w:val="20"/>
          <w:color w:val="auto"/>
        </w:rPr>
      </w:pPr>
      <w:r>
        <w:rPr>
          <w:rFonts w:ascii="Courier New" w:cs="Courier New" w:eastAsia="Courier New" w:hAnsi="Courier New"/>
          <w:sz w:val="18"/>
          <w:szCs w:val="18"/>
          <w:color w:val="auto"/>
        </w:rPr>
        <w:t>JAN-31-1999</w:t>
      </w:r>
    </w:p>
    <w:p>
      <w:pPr>
        <w:ind w:left="3280"/>
        <w:spacing w:after="0"/>
        <w:rPr>
          <w:sz w:val="20"/>
          <w:szCs w:val="20"/>
          <w:color w:val="auto"/>
        </w:rPr>
      </w:pPr>
      <w:r>
        <w:rPr>
          <w:rFonts w:ascii="Courier New" w:cs="Courier New" w:eastAsia="Courier New" w:hAnsi="Courier New"/>
          <w:sz w:val="18"/>
          <w:szCs w:val="18"/>
          <w:color w:val="auto"/>
        </w:rPr>
        <w:t>MAY-01-1999</w:t>
      </w:r>
    </w:p>
    <w:p>
      <w:pPr>
        <w:ind w:left="4020"/>
        <w:spacing w:after="0" w:line="238" w:lineRule="auto"/>
        <w:rPr>
          <w:sz w:val="20"/>
          <w:szCs w:val="20"/>
          <w:color w:val="auto"/>
        </w:rPr>
      </w:pPr>
      <w:r>
        <w:rPr>
          <w:rFonts w:ascii="Courier New" w:cs="Courier New" w:eastAsia="Courier New" w:hAnsi="Courier New"/>
          <w:sz w:val="18"/>
          <w:szCs w:val="18"/>
          <w:color w:val="auto"/>
        </w:rPr>
        <w:t>1</w:t>
      </w:r>
    </w:p>
    <w:p>
      <w:pPr>
        <w:ind w:left="4320"/>
        <w:spacing w:after="0"/>
        <w:rPr>
          <w:sz w:val="20"/>
          <w:szCs w:val="20"/>
          <w:color w:val="auto"/>
        </w:rPr>
      </w:pPr>
      <w:r>
        <w:rPr>
          <w:rFonts w:ascii="Courier New" w:cs="Courier New" w:eastAsia="Courier New" w:hAnsi="Courier New"/>
          <w:sz w:val="18"/>
          <w:szCs w:val="18"/>
          <w:color w:val="auto"/>
        </w:rPr>
        <w:t>401,307</w:t>
      </w:r>
    </w:p>
    <w:p>
      <w:pPr>
        <w:ind w:left="3700"/>
        <w:spacing w:after="0" w:line="238" w:lineRule="auto"/>
        <w:rPr>
          <w:sz w:val="20"/>
          <w:szCs w:val="20"/>
          <w:color w:val="auto"/>
        </w:rPr>
      </w:pPr>
      <w:r>
        <w:rPr>
          <w:rFonts w:ascii="Courier New" w:cs="Courier New" w:eastAsia="Courier New" w:hAnsi="Courier New"/>
          <w:sz w:val="18"/>
          <w:szCs w:val="18"/>
          <w:color w:val="auto"/>
        </w:rPr>
        <w:t>117,788</w:t>
      </w:r>
    </w:p>
    <w:p>
      <w:pPr>
        <w:ind w:left="3580"/>
        <w:spacing w:after="0"/>
        <w:rPr>
          <w:sz w:val="20"/>
          <w:szCs w:val="20"/>
          <w:color w:val="auto"/>
        </w:rPr>
      </w:pPr>
      <w:r>
        <w:rPr>
          <w:rFonts w:ascii="Courier New" w:cs="Courier New" w:eastAsia="Courier New" w:hAnsi="Courier New"/>
          <w:sz w:val="18"/>
          <w:szCs w:val="18"/>
          <w:color w:val="auto"/>
        </w:rPr>
        <w:t>225,127</w:t>
      </w:r>
    </w:p>
    <w:p>
      <w:pPr>
        <w:ind w:left="4320"/>
        <w:spacing w:after="0" w:line="238" w:lineRule="auto"/>
        <w:rPr>
          <w:sz w:val="20"/>
          <w:szCs w:val="20"/>
          <w:color w:val="auto"/>
        </w:rPr>
      </w:pPr>
      <w:r>
        <w:rPr>
          <w:rFonts w:ascii="Courier New" w:cs="Courier New" w:eastAsia="Courier New" w:hAnsi="Courier New"/>
          <w:sz w:val="18"/>
          <w:szCs w:val="18"/>
          <w:color w:val="auto"/>
        </w:rPr>
        <w:t>0</w:t>
      </w:r>
    </w:p>
    <w:p>
      <w:pPr>
        <w:ind w:left="3800"/>
        <w:spacing w:after="0"/>
        <w:rPr>
          <w:sz w:val="20"/>
          <w:szCs w:val="20"/>
          <w:color w:val="auto"/>
        </w:rPr>
      </w:pPr>
      <w:r>
        <w:rPr>
          <w:rFonts w:ascii="Courier New" w:cs="Courier New" w:eastAsia="Courier New" w:hAnsi="Courier New"/>
          <w:sz w:val="18"/>
          <w:szCs w:val="18"/>
          <w:color w:val="auto"/>
        </w:rPr>
        <w:t>259,374</w:t>
      </w:r>
    </w:p>
    <w:p>
      <w:pPr>
        <w:ind w:left="3060"/>
        <w:spacing w:after="0" w:line="238" w:lineRule="auto"/>
        <w:rPr>
          <w:sz w:val="20"/>
          <w:szCs w:val="20"/>
          <w:color w:val="auto"/>
        </w:rPr>
      </w:pPr>
      <w:r>
        <w:rPr>
          <w:rFonts w:ascii="Courier New" w:cs="Courier New" w:eastAsia="Courier New" w:hAnsi="Courier New"/>
          <w:sz w:val="18"/>
          <w:szCs w:val="18"/>
          <w:color w:val="auto"/>
        </w:rPr>
        <w:t>1,112,250</w:t>
      </w:r>
    </w:p>
    <w:p>
      <w:pPr>
        <w:ind w:left="4120"/>
        <w:spacing w:after="0"/>
        <w:rPr>
          <w:sz w:val="20"/>
          <w:szCs w:val="20"/>
          <w:color w:val="auto"/>
        </w:rPr>
      </w:pPr>
      <w:r>
        <w:rPr>
          <w:rFonts w:ascii="Courier New" w:cs="Courier New" w:eastAsia="Courier New" w:hAnsi="Courier New"/>
          <w:sz w:val="18"/>
          <w:szCs w:val="18"/>
          <w:color w:val="auto"/>
        </w:rPr>
        <w:t>1,390,297</w:t>
      </w:r>
    </w:p>
    <w:p>
      <w:pPr>
        <w:ind w:left="3480"/>
        <w:spacing w:after="0" w:line="238" w:lineRule="auto"/>
        <w:rPr>
          <w:sz w:val="20"/>
          <w:szCs w:val="20"/>
          <w:color w:val="auto"/>
        </w:rPr>
      </w:pPr>
      <w:r>
        <w:rPr>
          <w:rFonts w:ascii="Courier New" w:cs="Courier New" w:eastAsia="Courier New" w:hAnsi="Courier New"/>
          <w:sz w:val="18"/>
          <w:szCs w:val="18"/>
          <w:color w:val="auto"/>
        </w:rPr>
        <w:t>729,696</w:t>
      </w:r>
    </w:p>
    <w:p>
      <w:pPr>
        <w:ind w:left="3280"/>
        <w:spacing w:after="0"/>
        <w:rPr>
          <w:sz w:val="20"/>
          <w:szCs w:val="20"/>
          <w:color w:val="auto"/>
        </w:rPr>
      </w:pPr>
      <w:r>
        <w:rPr>
          <w:rFonts w:ascii="Courier New" w:cs="Courier New" w:eastAsia="Courier New" w:hAnsi="Courier New"/>
          <w:sz w:val="18"/>
          <w:szCs w:val="18"/>
          <w:color w:val="auto"/>
        </w:rPr>
        <w:t>1,938,858</w:t>
      </w:r>
    </w:p>
    <w:p>
      <w:pPr>
        <w:ind w:left="2740"/>
        <w:spacing w:after="0" w:line="238" w:lineRule="auto"/>
        <w:rPr>
          <w:sz w:val="20"/>
          <w:szCs w:val="20"/>
          <w:color w:val="auto"/>
        </w:rPr>
      </w:pPr>
      <w:r>
        <w:rPr>
          <w:rFonts w:ascii="Courier New" w:cs="Courier New" w:eastAsia="Courier New" w:hAnsi="Courier New"/>
          <w:sz w:val="18"/>
          <w:szCs w:val="18"/>
          <w:color w:val="auto"/>
        </w:rPr>
        <w:t>311,948</w:t>
      </w:r>
    </w:p>
    <w:p>
      <w:pPr>
        <w:ind w:left="4320"/>
        <w:spacing w:after="0"/>
        <w:rPr>
          <w:sz w:val="20"/>
          <w:szCs w:val="20"/>
          <w:color w:val="auto"/>
        </w:rPr>
      </w:pPr>
      <w:r>
        <w:rPr>
          <w:rFonts w:ascii="Courier New" w:cs="Courier New" w:eastAsia="Courier New" w:hAnsi="Courier New"/>
          <w:sz w:val="18"/>
          <w:szCs w:val="18"/>
          <w:color w:val="auto"/>
        </w:rPr>
        <w:t>80,000</w:t>
      </w:r>
    </w:p>
    <w:p>
      <w:pPr>
        <w:ind w:left="3380"/>
        <w:spacing w:after="0" w:line="238" w:lineRule="auto"/>
        <w:rPr>
          <w:sz w:val="20"/>
          <w:szCs w:val="20"/>
          <w:color w:val="auto"/>
        </w:rPr>
      </w:pPr>
      <w:r>
        <w:rPr>
          <w:rFonts w:ascii="Courier New" w:cs="Courier New" w:eastAsia="Courier New" w:hAnsi="Courier New"/>
          <w:sz w:val="18"/>
          <w:szCs w:val="18"/>
          <w:color w:val="auto"/>
        </w:rPr>
        <w:t>0</w:t>
      </w:r>
    </w:p>
    <w:p>
      <w:pPr>
        <w:ind w:left="4440"/>
        <w:spacing w:after="0"/>
        <w:rPr>
          <w:sz w:val="20"/>
          <w:szCs w:val="20"/>
          <w:color w:val="auto"/>
        </w:rPr>
      </w:pPr>
      <w:r>
        <w:rPr>
          <w:rFonts w:ascii="Courier New" w:cs="Courier New" w:eastAsia="Courier New" w:hAnsi="Courier New"/>
          <w:sz w:val="18"/>
          <w:szCs w:val="18"/>
          <w:color w:val="auto"/>
        </w:rPr>
        <w:t>0</w:t>
      </w:r>
    </w:p>
    <w:p>
      <w:pPr>
        <w:ind w:left="4220"/>
        <w:spacing w:after="0" w:line="238" w:lineRule="auto"/>
        <w:rPr>
          <w:sz w:val="20"/>
          <w:szCs w:val="20"/>
          <w:color w:val="auto"/>
        </w:rPr>
      </w:pPr>
      <w:r>
        <w:rPr>
          <w:rFonts w:ascii="Courier New" w:cs="Courier New" w:eastAsia="Courier New" w:hAnsi="Courier New"/>
          <w:sz w:val="18"/>
          <w:szCs w:val="18"/>
          <w:color w:val="auto"/>
        </w:rPr>
        <w:t>29,384</w:t>
      </w:r>
    </w:p>
    <w:p>
      <w:pPr>
        <w:ind w:left="3700"/>
        <w:spacing w:after="0"/>
        <w:rPr>
          <w:sz w:val="20"/>
          <w:szCs w:val="20"/>
          <w:color w:val="auto"/>
        </w:rPr>
      </w:pPr>
      <w:r>
        <w:rPr>
          <w:rFonts w:ascii="Courier New" w:cs="Courier New" w:eastAsia="Courier New" w:hAnsi="Courier New"/>
          <w:sz w:val="18"/>
          <w:szCs w:val="18"/>
          <w:color w:val="auto"/>
        </w:rPr>
        <w:t>1,412,916</w:t>
      </w:r>
    </w:p>
    <w:p>
      <w:pPr>
        <w:ind w:left="1800"/>
        <w:spacing w:after="0" w:line="238" w:lineRule="auto"/>
        <w:rPr>
          <w:sz w:val="20"/>
          <w:szCs w:val="20"/>
          <w:color w:val="auto"/>
        </w:rPr>
      </w:pPr>
      <w:r>
        <w:rPr>
          <w:rFonts w:ascii="Courier New" w:cs="Courier New" w:eastAsia="Courier New" w:hAnsi="Courier New"/>
          <w:sz w:val="18"/>
          <w:szCs w:val="18"/>
          <w:color w:val="auto"/>
        </w:rPr>
        <w:t>1,938,858</w:t>
      </w:r>
    </w:p>
    <w:p>
      <w:pPr>
        <w:ind w:left="4220"/>
        <w:spacing w:after="0"/>
        <w:rPr>
          <w:sz w:val="20"/>
          <w:szCs w:val="20"/>
          <w:color w:val="auto"/>
        </w:rPr>
      </w:pPr>
      <w:r>
        <w:rPr>
          <w:rFonts w:ascii="Courier New" w:cs="Courier New" w:eastAsia="Courier New" w:hAnsi="Courier New"/>
          <w:sz w:val="18"/>
          <w:szCs w:val="18"/>
          <w:color w:val="auto"/>
        </w:rPr>
        <w:t>340,067</w:t>
      </w:r>
    </w:p>
    <w:p>
      <w:pPr>
        <w:ind w:left="3280"/>
        <w:spacing w:after="0" w:line="238" w:lineRule="auto"/>
        <w:rPr>
          <w:sz w:val="20"/>
          <w:szCs w:val="20"/>
          <w:color w:val="auto"/>
        </w:rPr>
      </w:pPr>
      <w:r>
        <w:rPr>
          <w:rFonts w:ascii="Courier New" w:cs="Courier New" w:eastAsia="Courier New" w:hAnsi="Courier New"/>
          <w:sz w:val="18"/>
          <w:szCs w:val="18"/>
          <w:color w:val="auto"/>
        </w:rPr>
        <w:t>340,067</w:t>
      </w:r>
    </w:p>
    <w:p>
      <w:pPr>
        <w:jc w:val="right"/>
        <w:ind w:right="5059"/>
        <w:spacing w:after="0"/>
        <w:rPr>
          <w:sz w:val="20"/>
          <w:szCs w:val="20"/>
          <w:color w:val="auto"/>
        </w:rPr>
      </w:pPr>
      <w:r>
        <w:rPr>
          <w:rFonts w:ascii="Courier New" w:cs="Courier New" w:eastAsia="Courier New" w:hAnsi="Courier New"/>
          <w:sz w:val="18"/>
          <w:szCs w:val="18"/>
          <w:color w:val="auto"/>
        </w:rPr>
        <w:t>176,435</w:t>
      </w:r>
    </w:p>
    <w:p>
      <w:pPr>
        <w:ind w:left="3580"/>
        <w:spacing w:after="0" w:line="238" w:lineRule="auto"/>
        <w:rPr>
          <w:sz w:val="20"/>
          <w:szCs w:val="20"/>
          <w:color w:val="auto"/>
        </w:rPr>
      </w:pPr>
      <w:r>
        <w:rPr>
          <w:rFonts w:ascii="Courier New" w:cs="Courier New" w:eastAsia="Courier New" w:hAnsi="Courier New"/>
          <w:sz w:val="18"/>
          <w:szCs w:val="18"/>
          <w:color w:val="auto"/>
        </w:rPr>
        <w:t>176,435</w:t>
      </w:r>
    </w:p>
    <w:p>
      <w:pPr>
        <w:ind w:left="3280"/>
        <w:spacing w:after="0"/>
        <w:rPr>
          <w:sz w:val="20"/>
          <w:szCs w:val="20"/>
          <w:color w:val="auto"/>
        </w:rPr>
      </w:pPr>
      <w:r>
        <w:rPr>
          <w:rFonts w:ascii="Courier New" w:cs="Courier New" w:eastAsia="Courier New" w:hAnsi="Courier New"/>
          <w:sz w:val="18"/>
          <w:szCs w:val="18"/>
          <w:color w:val="auto"/>
        </w:rPr>
        <w:t>116,206</w:t>
      </w:r>
    </w:p>
    <w:p>
      <w:pPr>
        <w:ind w:left="3900"/>
        <w:spacing w:after="0" w:line="238" w:lineRule="auto"/>
        <w:rPr>
          <w:sz w:val="20"/>
          <w:szCs w:val="20"/>
          <w:color w:val="auto"/>
        </w:rPr>
      </w:pPr>
      <w:r>
        <w:rPr>
          <w:rFonts w:ascii="Courier New" w:cs="Courier New" w:eastAsia="Courier New" w:hAnsi="Courier New"/>
          <w:sz w:val="18"/>
          <w:szCs w:val="18"/>
          <w:color w:val="auto"/>
        </w:rPr>
        <w:t>0</w:t>
      </w:r>
    </w:p>
    <w:p>
      <w:pPr>
        <w:ind w:left="3280"/>
        <w:spacing w:after="0"/>
        <w:rPr>
          <w:sz w:val="20"/>
          <w:szCs w:val="20"/>
          <w:color w:val="auto"/>
        </w:rPr>
      </w:pPr>
      <w:r>
        <w:rPr>
          <w:rFonts w:ascii="Courier New" w:cs="Courier New" w:eastAsia="Courier New" w:hAnsi="Courier New"/>
          <w:sz w:val="18"/>
          <w:szCs w:val="18"/>
          <w:color w:val="auto"/>
        </w:rPr>
        <w:t>1,985</w:t>
      </w:r>
    </w:p>
    <w:p>
      <w:pPr>
        <w:ind w:left="3480"/>
        <w:spacing w:after="0" w:line="238" w:lineRule="auto"/>
        <w:rPr>
          <w:sz w:val="20"/>
          <w:szCs w:val="20"/>
          <w:color w:val="auto"/>
        </w:rPr>
      </w:pPr>
      <w:r>
        <w:rPr>
          <w:rFonts w:ascii="Courier New" w:cs="Courier New" w:eastAsia="Courier New" w:hAnsi="Courier New"/>
          <w:sz w:val="18"/>
          <w:szCs w:val="18"/>
          <w:color w:val="auto"/>
        </w:rPr>
        <w:t>50,704</w:t>
      </w:r>
    </w:p>
    <w:p>
      <w:pPr>
        <w:ind w:left="3800"/>
        <w:spacing w:after="0"/>
        <w:rPr>
          <w:sz w:val="20"/>
          <w:szCs w:val="20"/>
          <w:color w:val="auto"/>
        </w:rPr>
      </w:pPr>
      <w:r>
        <w:rPr>
          <w:rFonts w:ascii="Courier New" w:cs="Courier New" w:eastAsia="Courier New" w:hAnsi="Courier New"/>
          <w:sz w:val="18"/>
          <w:szCs w:val="18"/>
          <w:color w:val="auto"/>
        </w:rPr>
        <w:t>11,598</w:t>
      </w:r>
    </w:p>
    <w:p>
      <w:pPr>
        <w:ind w:left="3060"/>
        <w:spacing w:after="0" w:line="238" w:lineRule="auto"/>
        <w:rPr>
          <w:sz w:val="20"/>
          <w:szCs w:val="20"/>
          <w:color w:val="auto"/>
        </w:rPr>
      </w:pPr>
      <w:r>
        <w:rPr>
          <w:rFonts w:ascii="Courier New" w:cs="Courier New" w:eastAsia="Courier New" w:hAnsi="Courier New"/>
          <w:sz w:val="18"/>
          <w:szCs w:val="18"/>
          <w:color w:val="auto"/>
        </w:rPr>
        <w:t>39,106</w:t>
      </w:r>
    </w:p>
    <w:p>
      <w:pPr>
        <w:ind w:left="4120"/>
        <w:spacing w:after="0"/>
        <w:rPr>
          <w:sz w:val="20"/>
          <w:szCs w:val="20"/>
          <w:color w:val="auto"/>
        </w:rPr>
      </w:pPr>
      <w:r>
        <w:rPr>
          <w:rFonts w:ascii="Courier New" w:cs="Courier New" w:eastAsia="Courier New" w:hAnsi="Courier New"/>
          <w:sz w:val="18"/>
          <w:szCs w:val="18"/>
          <w:color w:val="auto"/>
        </w:rPr>
        <w:t>0</w:t>
      </w:r>
    </w:p>
    <w:p>
      <w:pPr>
        <w:ind w:left="4020"/>
        <w:spacing w:after="0" w:line="238" w:lineRule="auto"/>
        <w:rPr>
          <w:sz w:val="20"/>
          <w:szCs w:val="20"/>
          <w:color w:val="auto"/>
        </w:rPr>
      </w:pPr>
      <w:r>
        <w:rPr>
          <w:rFonts w:ascii="Courier New" w:cs="Courier New" w:eastAsia="Courier New" w:hAnsi="Courier New"/>
          <w:sz w:val="18"/>
          <w:szCs w:val="18"/>
          <w:color w:val="auto"/>
        </w:rPr>
        <w:t>0</w:t>
      </w:r>
    </w:p>
    <w:p>
      <w:pPr>
        <w:ind w:left="4640"/>
        <w:spacing w:after="0"/>
        <w:rPr>
          <w:sz w:val="20"/>
          <w:szCs w:val="20"/>
          <w:color w:val="auto"/>
        </w:rPr>
      </w:pPr>
      <w:r>
        <w:rPr>
          <w:rFonts w:ascii="Courier New" w:cs="Courier New" w:eastAsia="Courier New" w:hAnsi="Courier New"/>
          <w:sz w:val="18"/>
          <w:szCs w:val="18"/>
          <w:color w:val="auto"/>
        </w:rPr>
        <w:t>0</w:t>
      </w:r>
    </w:p>
    <w:p>
      <w:pPr>
        <w:ind w:left="3800"/>
        <w:spacing w:after="0" w:line="238" w:lineRule="auto"/>
        <w:rPr>
          <w:sz w:val="20"/>
          <w:szCs w:val="20"/>
          <w:color w:val="auto"/>
        </w:rPr>
      </w:pPr>
      <w:r>
        <w:rPr>
          <w:rFonts w:ascii="Courier New" w:cs="Courier New" w:eastAsia="Courier New" w:hAnsi="Courier New"/>
          <w:sz w:val="18"/>
          <w:szCs w:val="18"/>
          <w:color w:val="auto"/>
        </w:rPr>
        <w:t>39,106</w:t>
      </w:r>
    </w:p>
    <w:p>
      <w:pPr>
        <w:ind w:left="4020"/>
        <w:spacing w:after="0"/>
        <w:rPr>
          <w:sz w:val="20"/>
          <w:szCs w:val="20"/>
          <w:color w:val="auto"/>
        </w:rPr>
      </w:pPr>
      <w:r>
        <w:rPr>
          <w:rFonts w:ascii="Courier New" w:cs="Courier New" w:eastAsia="Courier New" w:hAnsi="Courier New"/>
          <w:sz w:val="18"/>
          <w:szCs w:val="18"/>
          <w:color w:val="auto"/>
        </w:rPr>
        <w:t>.23</w:t>
      </w:r>
    </w:p>
    <w:p>
      <w:pPr>
        <w:ind w:left="4020"/>
        <w:spacing w:after="0"/>
        <w:rPr>
          <w:sz w:val="20"/>
          <w:szCs w:val="20"/>
          <w:color w:val="auto"/>
        </w:rPr>
      </w:pPr>
      <w:r>
        <w:rPr>
          <w:rFonts w:ascii="Courier New" w:cs="Courier New" w:eastAsia="Courier New" w:hAnsi="Courier New"/>
          <w:sz w:val="18"/>
          <w:szCs w:val="18"/>
          <w:color w:val="auto"/>
        </w:rPr>
        <w:t>.22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 value represents net amount</w:t>
      </w:r>
    </w:p>
    <w:sectPr>
      <w:pgSz w:w="11900" w:h="16838" w:orient="portrait"/>
      <w:cols w:equalWidth="0" w:num="1">
        <w:col w:w="10219"/>
      </w:cols>
      <w:pgMar w:left="24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2020-02-22T12:36:10Z</dcterms:created>
  <dcterms:modified xsi:type="dcterms:W3CDTF">2020-02-22T12:36:10Z</dcterms:modified>
</cp:coreProperties>
</file>