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Analog Devices</w:t>
      </w:r>
    </w:p>
    <w:p>
      <w:pPr>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 032654105</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Filing Fee: No</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 032654105</w:t>
      </w:r>
    </w:p>
    <w:p>
      <w:pPr>
        <w:sectPr>
          <w:pgSz w:w="11900" w:h="16838" w:orient="portrait"/>
          <w:cols w:equalWidth="0" w:num="1">
            <w:col w:w="10219"/>
          </w:cols>
          <w:pgMar w:left="240" w:top="649" w:right="1440" w:bottom="0" w:gutter="0" w:footer="0" w:header="0"/>
        </w:sectPr>
      </w:pPr>
    </w:p>
    <w:p>
      <w:pPr>
        <w:spacing w:after="0" w:line="16"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Reporting Person - FMR Corp. - (Tax ID:</w:t>
      </w: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Commonwealth of Massachusetts</w:t>
      </w: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60,200</w:t>
      </w: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2,014,300</w:t>
      </w: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2,014,300</w:t>
      </w: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4.10%</w:t>
      </w:r>
    </w:p>
    <w:p>
      <w:pPr>
        <w:spacing w:after="0" w:line="237" w:lineRule="auto"/>
        <w:tabs>
          <w:tab w:leader="none" w:pos="1040" w:val="left"/>
        </w:tabs>
        <w:rPr>
          <w:sz w:val="20"/>
          <w:szCs w:val="20"/>
          <w:color w:val="auto"/>
        </w:rPr>
      </w:pPr>
      <w:r>
        <w:rPr>
          <w:rFonts w:ascii="Courier New" w:cs="Courier New" w:eastAsia="Courier New" w:hAnsi="Courier New"/>
          <w:sz w:val="18"/>
          <w:szCs w:val="18"/>
          <w:color w:val="auto"/>
        </w:rPr>
        <w:t>Item 12:</w:t>
        <w:tab/>
        <w:t>HC</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04-2507163)</w:t>
      </w:r>
    </w:p>
    <w:p>
      <w:pPr>
        <w:spacing w:after="0" w:line="1837" w:lineRule="exact"/>
        <w:rPr>
          <w:sz w:val="24"/>
          <w:szCs w:val="24"/>
          <w:color w:val="auto"/>
        </w:rPr>
      </w:pPr>
    </w:p>
    <w:p>
      <w:pPr>
        <w:sectPr>
          <w:pgSz w:w="11900" w:h="16838" w:orient="portrait"/>
          <w:cols w:equalWidth="0" w:num="2">
            <w:col w:w="5160" w:space="220"/>
            <w:col w:w="4839"/>
          </w:cols>
          <w:pgMar w:left="240" w:top="64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032654105</w:t>
      </w: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Reporting Person - Edward C. Johnson 3d - (Tax ID:</w:t>
      </w:r>
    </w:p>
    <w:p>
      <w:pPr>
        <w:spacing w:after="0"/>
        <w:rPr>
          <w:sz w:val="20"/>
          <w:szCs w:val="20"/>
          <w:color w:val="auto"/>
        </w:rPr>
      </w:pPr>
      <w:r>
        <w:rPr>
          <w:rFonts w:ascii="Courier New" w:cs="Courier New" w:eastAsia="Courier New" w:hAnsi="Courier New"/>
          <w:sz w:val="18"/>
          <w:szCs w:val="18"/>
          <w:color w:val="auto"/>
        </w:rPr>
        <w:t>###-##-####)</w:t>
      </w: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United States of America</w:t>
      </w: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2,014,300</w:t>
      </w: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2,014,300</w:t>
      </w: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4.10%</w:t>
      </w:r>
    </w:p>
    <w:p>
      <w:pPr>
        <w:spacing w:after="0" w:line="237" w:lineRule="auto"/>
        <w:tabs>
          <w:tab w:leader="none" w:pos="1040" w:val="left"/>
        </w:tabs>
        <w:rPr>
          <w:sz w:val="20"/>
          <w:szCs w:val="20"/>
          <w:color w:val="auto"/>
        </w:rPr>
      </w:pPr>
      <w:r>
        <w:rPr>
          <w:rFonts w:ascii="Courier New" w:cs="Courier New" w:eastAsia="Courier New" w:hAnsi="Courier New"/>
          <w:sz w:val="18"/>
          <w:szCs w:val="18"/>
          <w:color w:val="auto"/>
        </w:rPr>
        <w:t>Item 12:</w:t>
        <w:tab/>
        <w:t>IN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Analog Devices</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One Technology Way</w:t>
      </w:r>
    </w:p>
    <w:p>
      <w:pPr>
        <w:ind w:left="960"/>
        <w:spacing w:after="0" w:line="238" w:lineRule="auto"/>
        <w:tabs>
          <w:tab w:leader="none" w:pos="2300" w:val="left"/>
        </w:tabs>
        <w:rPr>
          <w:sz w:val="20"/>
          <w:szCs w:val="20"/>
          <w:color w:val="auto"/>
        </w:rPr>
      </w:pPr>
      <w:r>
        <w:rPr>
          <w:rFonts w:ascii="Courier New" w:cs="Courier New" w:eastAsia="Courier New" w:hAnsi="Courier New"/>
          <w:sz w:val="18"/>
          <w:szCs w:val="18"/>
          <w:color w:val="auto"/>
        </w:rPr>
        <w:t>Norwood, MA</w:t>
        <w:tab/>
        <w:t>02062</w:t>
      </w:r>
    </w:p>
    <w:p>
      <w:pPr>
        <w:spacing w:after="0" w:line="202"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960"/>
        <w:spacing w:after="0"/>
        <w:tabs>
          <w:tab w:leader="none" w:pos="568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032654105</w:t>
      </w:r>
    </w:p>
    <w:p>
      <w:pPr>
        <w:spacing w:after="0" w:line="207" w:lineRule="exact"/>
        <w:rPr>
          <w:sz w:val="24"/>
          <w:szCs w:val="24"/>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w:t>
      </w:r>
    </w:p>
    <w:p>
      <w:pPr>
        <w:spacing w:after="0" w:line="6" w:lineRule="exact"/>
        <w:rPr>
          <w:sz w:val="24"/>
          <w:szCs w:val="24"/>
          <w:color w:val="auto"/>
        </w:rPr>
      </w:pPr>
    </w:p>
    <w:p>
      <w:pPr>
        <w:ind w:right="4839"/>
        <w:spacing w:after="0" w:line="235" w:lineRule="auto"/>
        <w:rPr>
          <w:sz w:val="20"/>
          <w:szCs w:val="20"/>
          <w:color w:val="auto"/>
        </w:rPr>
      </w:pPr>
      <w:r>
        <w:rPr>
          <w:rFonts w:ascii="Courier New" w:cs="Courier New" w:eastAsia="Courier New" w:hAnsi="Courier New"/>
          <w:sz w:val="18"/>
          <w:szCs w:val="18"/>
          <w:color w:val="auto"/>
        </w:rPr>
        <w:t>holding company in accordance with Section 240.13d-1(b)(ii)(G). (Note: See Item 7).</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ectPr>
          <w:pgSz w:w="11900" w:h="16838" w:orient="portrait"/>
          <w:cols w:equalWidth="0" w:num="1">
            <w:col w:w="10219"/>
          </w:cols>
          <w:pgMar w:left="240" w:top="649" w:right="1440" w:bottom="0" w:gutter="0" w:footer="0" w:header="0"/>
          <w:type w:val="continuous"/>
        </w:sectPr>
      </w:pPr>
    </w:p>
    <w:bookmarkStart w:id="1" w:name="page2"/>
    <w:bookmarkEnd w:id="1"/>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r>
        <w:rPr>
          <w:rFonts w:ascii="Courier New" w:cs="Courier New" w:eastAsia="Courier New" w:hAnsi="Courier New"/>
          <w:sz w:val="16"/>
          <w:szCs w:val="16"/>
          <w:color w:val="auto"/>
        </w:rPr>
        <w:t>2,014,300</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4.10%</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60,200</w:t>
      </w:r>
    </w:p>
    <w:p>
      <w:pPr>
        <w:spacing w:after="0" w:line="207"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6"/>
          <w:szCs w:val="16"/>
          <w:color w:val="auto"/>
        </w:rPr>
      </w:pPr>
    </w:p>
    <w:p>
      <w:pPr>
        <w:ind w:left="2120" w:hanging="637"/>
        <w:spacing w:after="0"/>
        <w:tabs>
          <w:tab w:leader="none" w:pos="212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disposition of:</w:t>
      </w:r>
      <w:r>
        <w:rPr>
          <w:rFonts w:ascii="Courier New" w:cs="Courier New" w:eastAsia="Courier New" w:hAnsi="Courier New"/>
          <w:sz w:val="16"/>
          <w:szCs w:val="16"/>
          <w:color w:val="auto"/>
        </w:rPr>
        <w:t>2,014,300</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disposition of:None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4419" w:firstLine="948"/>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w:t>
      </w:r>
    </w:p>
    <w:p>
      <w:pPr>
        <w:spacing w:after="0" w:line="6" w:lineRule="exact"/>
        <w:rPr>
          <w:sz w:val="20"/>
          <w:szCs w:val="20"/>
          <w:color w:val="auto"/>
        </w:rPr>
      </w:pPr>
    </w:p>
    <w:p>
      <w:pPr>
        <w:ind w:right="4939"/>
        <w:spacing w:after="0" w:line="236" w:lineRule="auto"/>
        <w:rPr>
          <w:sz w:val="20"/>
          <w:szCs w:val="20"/>
          <w:color w:val="auto"/>
        </w:rPr>
      </w:pPr>
      <w:r>
        <w:rPr>
          <w:rFonts w:ascii="Courier New" w:cs="Courier New" w:eastAsia="Courier New" w:hAnsi="Courier New"/>
          <w:sz w:val="18"/>
          <w:szCs w:val="18"/>
          <w:color w:val="auto"/>
        </w:rPr>
        <w:t>person has ceased to be the beneficial owner of more than five percent of the class of securities, check the following (X).</w:t>
      </w:r>
    </w:p>
    <w:p>
      <w:pPr>
        <w:spacing w:after="0" w:line="209"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899" w:firstLine="948"/>
        <w:spacing w:after="0" w:line="235"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5% of the number of</w:t>
      </w:r>
    </w:p>
    <w:p>
      <w:pPr>
        <w:spacing w:after="0" w:line="6" w:lineRule="exact"/>
        <w:rPr>
          <w:sz w:val="20"/>
          <w:szCs w:val="20"/>
          <w:color w:val="auto"/>
        </w:rPr>
      </w:pPr>
    </w:p>
    <w:p>
      <w:pPr>
        <w:ind w:right="4419"/>
        <w:spacing w:after="0" w:line="237" w:lineRule="auto"/>
        <w:rPr>
          <w:sz w:val="20"/>
          <w:szCs w:val="20"/>
          <w:color w:val="auto"/>
        </w:rPr>
      </w:pPr>
      <w:r>
        <w:rPr>
          <w:rFonts w:ascii="Courier New" w:cs="Courier New" w:eastAsia="Courier New" w:hAnsi="Courier New"/>
          <w:sz w:val="18"/>
          <w:szCs w:val="18"/>
          <w:color w:val="auto"/>
        </w:rPr>
        <w:t>shares outstanding, the reporting persons have no further reporting obligation under section 13(d) of the Securities and Exchange Commission thereunder, and the reporting persons have no obligation to amend this Statement if any material change occurs in the facts set forth herein.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4419" w:firstLine="948"/>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February 11, 1994</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136" w:right="1440" w:bottom="335" w:gutter="0" w:footer="0" w:header="0"/>
        </w:sectPr>
      </w:pPr>
    </w:p>
    <w:bookmarkStart w:id="2" w:name="page3"/>
    <w:bookmarkEnd w:id="2"/>
    <w:p>
      <w:pPr>
        <w:ind w:left="42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3579" w:firstLine="42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1,954,100 shares or 3.98% of the common stock outstanding of Analog Devices ("the Company") as a result of acting as investment adviser to several investment companies registered under Section 8 of the Investment Company Act of 1940.</w:t>
      </w:r>
    </w:p>
    <w:p>
      <w:pPr>
        <w:spacing w:after="0" w:line="215" w:lineRule="exact"/>
        <w:rPr>
          <w:sz w:val="20"/>
          <w:szCs w:val="20"/>
          <w:color w:val="auto"/>
        </w:rPr>
      </w:pPr>
    </w:p>
    <w:p>
      <w:pPr>
        <w:ind w:right="3779" w:firstLine="421"/>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1,954,100 shares owned by the Funds.</w:t>
      </w:r>
    </w:p>
    <w:p>
      <w:pPr>
        <w:spacing w:after="0" w:line="209" w:lineRule="exact"/>
        <w:rPr>
          <w:sz w:val="20"/>
          <w:szCs w:val="20"/>
          <w:color w:val="auto"/>
        </w:rPr>
      </w:pPr>
    </w:p>
    <w:p>
      <w:pPr>
        <w:ind w:right="3579" w:firstLine="421"/>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579" w:firstLine="421"/>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23,000 shares or 0.05% of the common stock outstanding of the company as a result of its serving as investment manager of the institutional account(s).</w:t>
      </w:r>
    </w:p>
    <w:p>
      <w:pPr>
        <w:spacing w:after="0" w:line="211" w:lineRule="exact"/>
        <w:rPr>
          <w:sz w:val="20"/>
          <w:szCs w:val="20"/>
          <w:color w:val="auto"/>
        </w:rPr>
      </w:pPr>
    </w:p>
    <w:p>
      <w:pPr>
        <w:ind w:right="3579" w:firstLine="421"/>
        <w:spacing w:after="0" w:line="237" w:lineRule="auto"/>
        <w:rPr>
          <w:sz w:val="20"/>
          <w:szCs w:val="20"/>
          <w:color w:val="auto"/>
        </w:rPr>
      </w:pPr>
      <w:r>
        <w:rPr>
          <w:rFonts w:ascii="Courier New" w:cs="Courier New" w:eastAsia="Courier New" w:hAnsi="Courier New"/>
          <w:sz w:val="18"/>
          <w:szCs w:val="18"/>
          <w:color w:val="auto"/>
        </w:rPr>
        <w:t>FMR Corp., through its control of Fidelity Management Trust Company, has sole voting and dispositive power over 23,000 Shares of common stock owned by the institutional account(s) as reported above.</w:t>
      </w:r>
    </w:p>
    <w:p>
      <w:pPr>
        <w:spacing w:after="0" w:line="207" w:lineRule="exact"/>
        <w:rPr>
          <w:sz w:val="20"/>
          <w:szCs w:val="20"/>
          <w:color w:val="auto"/>
        </w:rPr>
      </w:pPr>
    </w:p>
    <w:p>
      <w:pPr>
        <w:ind w:right="3779" w:firstLine="421"/>
        <w:spacing w:after="0" w:line="237" w:lineRule="auto"/>
        <w:rPr>
          <w:sz w:val="20"/>
          <w:szCs w:val="20"/>
          <w:color w:val="auto"/>
        </w:rPr>
      </w:pPr>
      <w:r>
        <w:rPr>
          <w:rFonts w:ascii="Courier New" w:cs="Courier New" w:eastAsia="Courier New" w:hAnsi="Courier New"/>
          <w:sz w:val="18"/>
          <w:szCs w:val="18"/>
          <w:color w:val="auto"/>
        </w:rPr>
        <w:t>Edward C. Johnson 3d owns 34.0% of the outstanding voting common stock of FMR Corp. Mr. Johnson 3d is Chairman of FMR Corp. Various Johnson family members and trusts for the benefit of Johnson family members own FMR Corp. voting common stock. These Johnson family members, through their ownership of voting common stock, form a controlling group with respect to FMR Corp.</w:t>
      </w:r>
    </w:p>
    <w:p>
      <w:pPr>
        <w:spacing w:after="0" w:line="211" w:lineRule="exact"/>
        <w:rPr>
          <w:sz w:val="20"/>
          <w:szCs w:val="20"/>
          <w:color w:val="auto"/>
        </w:rPr>
      </w:pPr>
    </w:p>
    <w:p>
      <w:pPr>
        <w:ind w:right="3579" w:firstLine="421"/>
        <w:spacing w:after="0" w:line="271" w:lineRule="auto"/>
        <w:rPr>
          <w:sz w:val="20"/>
          <w:szCs w:val="20"/>
          <w:color w:val="auto"/>
        </w:rPr>
      </w:pPr>
      <w:r>
        <w:rPr>
          <w:rFonts w:ascii="Courier New" w:cs="Courier New" w:eastAsia="Courier New" w:hAnsi="Courier New"/>
          <w:sz w:val="16"/>
          <w:szCs w:val="16"/>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37,200 shares or 0.08% of the common stock outstanding of the company. Additional information with respect to the beneficial ownership of Fidelity International Limited is shown on Exhibit B, page 9.</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10" w:lineRule="exact"/>
        <w:rPr>
          <w:sz w:val="20"/>
          <w:szCs w:val="20"/>
          <w:color w:val="auto"/>
        </w:rPr>
      </w:pPr>
    </w:p>
    <w:p>
      <w:pPr>
        <w:ind w:right="3579" w:firstLine="421"/>
        <w:spacing w:after="0" w:line="237" w:lineRule="auto"/>
        <w:rPr>
          <w:sz w:val="20"/>
          <w:szCs w:val="20"/>
          <w:color w:val="auto"/>
        </w:rPr>
      </w:pPr>
      <w:r>
        <w:rPr>
          <w:rFonts w:ascii="Courier New" w:cs="Courier New" w:eastAsia="Courier New" w:hAnsi="Courier New"/>
          <w:sz w:val="18"/>
          <w:szCs w:val="18"/>
          <w:color w:val="auto"/>
        </w:rPr>
        <w:t>Pursuant to instructions in Item 7 of Schedule 13G, this Exhibit has been prepared to identify Fidelity International Limited, Pembroke Hall, 42 Crow Lane, Hamilton, Bermuda, a Bermudian joint stock company incorporated for an unlimited duration by private act of the Bermuda Legislature (FIL) and an investment adviser to various investment companies (the "International Funds") and certain institutional investors, as a beneficial owner of the 37,200 shares or 0.08% of the common stock outstanding of Analog Devices.</w:t>
      </w:r>
    </w:p>
    <w:p>
      <w:pPr>
        <w:spacing w:after="0" w:line="214" w:lineRule="exact"/>
        <w:rPr>
          <w:sz w:val="20"/>
          <w:szCs w:val="20"/>
          <w:color w:val="auto"/>
        </w:rPr>
      </w:pPr>
    </w:p>
    <w:p>
      <w:pPr>
        <w:jc w:val="both"/>
        <w:ind w:right="3579" w:firstLine="421"/>
        <w:spacing w:after="0" w:line="279" w:lineRule="auto"/>
        <w:rPr>
          <w:sz w:val="20"/>
          <w:szCs w:val="20"/>
          <w:color w:val="auto"/>
        </w:rPr>
      </w:pPr>
      <w:r>
        <w:rPr>
          <w:rFonts w:ascii="Courier New" w:cs="Courier New" w:eastAsia="Courier New" w:hAnsi="Courier New"/>
          <w:sz w:val="16"/>
          <w:szCs w:val="16"/>
          <w:color w:val="auto"/>
        </w:rPr>
        <w:t>Prior to June 30, 1980, FIL was a majority-owned subsidiary of Fidelity Management &amp; Research Company (Fidelity), a wholly-owned subsidiary of FMR Corp. On that date, the shares of FIL</w:t>
      </w:r>
    </w:p>
    <w:p>
      <w:pPr>
        <w:sectPr>
          <w:pgSz w:w="11900" w:h="16838" w:orient="portrait"/>
          <w:cols w:equalWidth="0" w:num="1">
            <w:col w:w="10219"/>
          </w:cols>
          <w:pgMar w:left="240" w:top="136" w:right="1440" w:bottom="0" w:gutter="0" w:footer="0" w:header="0"/>
        </w:sectPr>
      </w:pPr>
    </w:p>
    <w:bookmarkStart w:id="3" w:name="page4"/>
    <w:bookmarkEnd w:id="3"/>
    <w:p>
      <w:pPr>
        <w:ind w:right="3579"/>
        <w:spacing w:after="0" w:line="237" w:lineRule="auto"/>
        <w:rPr>
          <w:sz w:val="20"/>
          <w:szCs w:val="20"/>
          <w:color w:val="auto"/>
        </w:rPr>
      </w:pPr>
      <w:r>
        <w:rPr>
          <w:rFonts w:ascii="Courier New" w:cs="Courier New" w:eastAsia="Courier New" w:hAnsi="Courier New"/>
          <w:sz w:val="18"/>
          <w:szCs w:val="18"/>
          <w:color w:val="auto"/>
        </w:rPr>
        <w:t>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09" w:lineRule="exact"/>
        <w:rPr>
          <w:sz w:val="20"/>
          <w:szCs w:val="20"/>
          <w:color w:val="auto"/>
        </w:rPr>
      </w:pPr>
    </w:p>
    <w:p>
      <w:pPr>
        <w:ind w:right="3579" w:firstLine="421"/>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48.879% of the total votes which may be cast by all holders of FIL voting stock. Mr. Johnson 3d is Chairman of FMR Corp. and FIL. FMR Corp. and FIL are separate and independent corporate entities. FMR Corp. and FIL are managed independently and their Boards of Directors are generally composed of different individuals. Their investment decisions are made independently, and their clients are different organizations.</w:t>
      </w:r>
    </w:p>
    <w:p>
      <w:pPr>
        <w:spacing w:after="0" w:line="215" w:lineRule="exact"/>
        <w:rPr>
          <w:sz w:val="20"/>
          <w:szCs w:val="20"/>
          <w:color w:val="auto"/>
        </w:rPr>
      </w:pPr>
    </w:p>
    <w:p>
      <w:pPr>
        <w:ind w:right="3579" w:firstLine="421"/>
        <w:spacing w:after="0" w:line="270" w:lineRule="auto"/>
        <w:rPr>
          <w:sz w:val="20"/>
          <w:szCs w:val="20"/>
          <w:color w:val="auto"/>
        </w:rPr>
      </w:pPr>
      <w:r>
        <w:rPr>
          <w:rFonts w:ascii="Courier New" w:cs="Courier New" w:eastAsia="Courier New" w:hAnsi="Courier New"/>
          <w:sz w:val="16"/>
          <w:szCs w:val="16"/>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392" w:lineRule="exact"/>
        <w:rPr>
          <w:sz w:val="20"/>
          <w:szCs w:val="20"/>
          <w:color w:val="auto"/>
        </w:rPr>
      </w:pPr>
    </w:p>
    <w:p>
      <w:pPr>
        <w:ind w:right="3579" w:firstLine="421"/>
        <w:spacing w:after="0" w:line="273" w:lineRule="auto"/>
        <w:rPr>
          <w:sz w:val="20"/>
          <w:szCs w:val="20"/>
          <w:color w:val="auto"/>
        </w:rPr>
      </w:pPr>
      <w:r>
        <w:rPr>
          <w:rFonts w:ascii="Courier New" w:cs="Courier New" w:eastAsia="Courier New" w:hAnsi="Courier New"/>
          <w:sz w:val="16"/>
          <w:szCs w:val="16"/>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185" w:lineRule="exact"/>
        <w:rPr>
          <w:sz w:val="20"/>
          <w:szCs w:val="20"/>
          <w:color w:val="auto"/>
        </w:rPr>
      </w:pPr>
    </w:p>
    <w:p>
      <w:pPr>
        <w:ind w:right="3579" w:firstLine="421"/>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5" w:lineRule="exact"/>
        <w:rPr>
          <w:sz w:val="20"/>
          <w:szCs w:val="20"/>
          <w:color w:val="auto"/>
        </w:rPr>
      </w:pPr>
    </w:p>
    <w:p>
      <w:pPr>
        <w:ind w:right="3579" w:firstLine="421"/>
        <w:spacing w:after="0" w:line="238" w:lineRule="auto"/>
        <w:rPr>
          <w:sz w:val="20"/>
          <w:szCs w:val="20"/>
          <w:color w:val="auto"/>
        </w:rPr>
      </w:pPr>
      <w:r>
        <w:rPr>
          <w:rFonts w:ascii="Courier New" w:cs="Courier New" w:eastAsia="Courier New" w:hAnsi="Courier New"/>
          <w:sz w:val="18"/>
          <w:szCs w:val="18"/>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 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207" w:lineRule="exact"/>
        <w:rPr>
          <w:sz w:val="20"/>
          <w:szCs w:val="20"/>
          <w:color w:val="auto"/>
        </w:rPr>
      </w:pPr>
    </w:p>
    <w:p>
      <w:pPr>
        <w:ind w:right="4319" w:firstLine="421"/>
        <w:spacing w:after="0" w:line="235" w:lineRule="auto"/>
        <w:rPr>
          <w:sz w:val="20"/>
          <w:szCs w:val="20"/>
          <w:color w:val="auto"/>
        </w:rPr>
      </w:pPr>
      <w:r>
        <w:rPr>
          <w:rFonts w:ascii="Courier New" w:cs="Courier New" w:eastAsia="Courier New" w:hAnsi="Courier New"/>
          <w:sz w:val="18"/>
          <w:szCs w:val="18"/>
          <w:color w:val="auto"/>
        </w:rPr>
        <w:t>FIL has the sole power to vote and the sole power to dispose of the shares.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RULE 13d-1(e)</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899" w:firstLine="421"/>
        <w:spacing w:after="0" w:line="268" w:lineRule="auto"/>
        <w:rPr>
          <w:sz w:val="20"/>
          <w:szCs w:val="20"/>
          <w:color w:val="auto"/>
        </w:rPr>
      </w:pPr>
      <w:r>
        <w:rPr>
          <w:rFonts w:ascii="Courier New" w:cs="Courier New" w:eastAsia="Courier New" w:hAnsi="Courier New"/>
          <w:sz w:val="16"/>
          <w:szCs w:val="16"/>
          <w:color w:val="auto"/>
        </w:rPr>
        <w:t>The undersigned persons, on February 11, 1994, agree and consent to the joint filing on their behalf of this Schedule</w:t>
      </w:r>
    </w:p>
    <w:p>
      <w:pPr>
        <w:ind w:right="3579"/>
        <w:spacing w:after="0" w:line="235" w:lineRule="auto"/>
        <w:rPr>
          <w:sz w:val="20"/>
          <w:szCs w:val="20"/>
          <w:color w:val="auto"/>
        </w:rPr>
      </w:pPr>
      <w:r>
        <w:rPr>
          <w:rFonts w:ascii="Courier New" w:cs="Courier New" w:eastAsia="Courier New" w:hAnsi="Courier New"/>
          <w:sz w:val="18"/>
          <w:szCs w:val="18"/>
          <w:color w:val="auto"/>
        </w:rPr>
        <w:t>13G in connection with their beneficial ownership of the common stock of Analog Devices at December 31, 1993.</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FMR Corp.</w:t>
      </w:r>
    </w:p>
    <w:p>
      <w:pPr>
        <w:ind w:left="420"/>
        <w:spacing w:after="0" w:line="238" w:lineRule="auto"/>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Vice President - Legal</w:t>
      </w:r>
    </w:p>
    <w:p>
      <w:pPr>
        <w:ind w:left="960"/>
        <w:spacing w:after="0" w:line="238" w:lineRule="auto"/>
        <w:rPr>
          <w:sz w:val="20"/>
          <w:szCs w:val="20"/>
          <w:color w:val="auto"/>
        </w:rPr>
      </w:pPr>
      <w:r>
        <w:rPr>
          <w:rFonts w:ascii="Courier New" w:cs="Courier New" w:eastAsia="Courier New" w:hAnsi="Courier New"/>
          <w:sz w:val="18"/>
          <w:szCs w:val="18"/>
          <w:color w:val="auto"/>
        </w:rPr>
        <w:t>Edward C. Johnson 3d</w:t>
      </w: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dated 5/17/89</w:t>
      </w:r>
    </w:p>
    <w:p>
      <w:pPr>
        <w:spacing w:after="0" w:line="238" w:lineRule="auto"/>
        <w:rPr>
          <w:sz w:val="20"/>
          <w:szCs w:val="20"/>
          <w:color w:val="auto"/>
        </w:rPr>
      </w:pPr>
      <w:r>
        <w:rPr>
          <w:rFonts w:ascii="Courier New" w:cs="Courier New" w:eastAsia="Courier New" w:hAnsi="Courier New"/>
          <w:sz w:val="18"/>
          <w:szCs w:val="18"/>
          <w:color w:val="auto"/>
        </w:rPr>
        <w:t>On File with Schedule</w:t>
      </w:r>
    </w:p>
    <w:p>
      <w:pPr>
        <w:spacing w:after="0"/>
        <w:rPr>
          <w:sz w:val="20"/>
          <w:szCs w:val="20"/>
          <w:color w:val="auto"/>
        </w:rPr>
      </w:pPr>
      <w:r>
        <w:rPr>
          <w:rFonts w:ascii="Courier New" w:cs="Courier New" w:eastAsia="Courier New" w:hAnsi="Courier New"/>
          <w:sz w:val="18"/>
          <w:szCs w:val="18"/>
          <w:color w:val="auto"/>
        </w:rPr>
        <w:t>13G for</w:t>
      </w:r>
    </w:p>
    <w:p>
      <w:pPr>
        <w:spacing w:after="0" w:line="237" w:lineRule="auto"/>
        <w:rPr>
          <w:sz w:val="20"/>
          <w:szCs w:val="20"/>
          <w:color w:val="auto"/>
        </w:rPr>
      </w:pPr>
      <w:r>
        <w:rPr>
          <w:rFonts w:ascii="Courier New" w:cs="Courier New" w:eastAsia="Courier New" w:hAnsi="Courier New"/>
          <w:sz w:val="18"/>
          <w:szCs w:val="18"/>
          <w:color w:val="auto"/>
        </w:rPr>
        <w:t>Airborne Freight Corp.</w:t>
      </w:r>
    </w:p>
    <w:p>
      <w:pPr>
        <w:spacing w:after="0" w:line="238" w:lineRule="auto"/>
        <w:rPr>
          <w:sz w:val="20"/>
          <w:szCs w:val="20"/>
          <w:color w:val="auto"/>
        </w:rPr>
      </w:pPr>
      <w:r>
        <w:rPr>
          <w:rFonts w:ascii="Courier New" w:cs="Courier New" w:eastAsia="Courier New" w:hAnsi="Courier New"/>
          <w:sz w:val="18"/>
          <w:szCs w:val="18"/>
          <w:color w:val="auto"/>
        </w:rPr>
        <w:t>9/10/91</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Fidelity Management &amp; Research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w:t>
      </w:r>
    </w:p>
    <w:p>
      <w:pPr>
        <w:ind w:left="420"/>
        <w:spacing w:after="0" w:line="238" w:lineRule="auto"/>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Sr. V.P. and General</w:t>
      </w:r>
    </w:p>
    <w:p>
      <w:pPr>
        <w:spacing w:after="0" w:line="238" w:lineRule="auto"/>
        <w:rPr>
          <w:sz w:val="20"/>
          <w:szCs w:val="20"/>
          <w:color w:val="auto"/>
        </w:rPr>
      </w:pPr>
      <w:r>
        <w:rPr>
          <w:rFonts w:ascii="Courier New" w:cs="Courier New" w:eastAsia="Courier New" w:hAnsi="Courier New"/>
          <w:sz w:val="18"/>
          <w:szCs w:val="18"/>
          <w:color w:val="auto"/>
        </w:rPr>
        <w:t>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lvl w:ilvl="1">
      <w:lvlJc w:val="left"/>
      <w:lvlText w:val="(%2)"/>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2019-12-19T21:23:28Z</dcterms:created>
  <dcterms:modified xsi:type="dcterms:W3CDTF">2019-12-19T21:23:28Z</dcterms:modified>
</cp:coreProperties>
</file>