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Analog Devices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#032654105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#032654105</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5,294,217</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50,700,068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50,700,068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13.864%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#032654105</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15,000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50,700,068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50,700,068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13.864%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#032654105</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50,700,068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50,700,068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13.864%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Analog Devices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One Technology Way</w:t>
      </w:r>
    </w:p>
    <w:p>
      <w:pPr>
        <w:ind w:left="1700"/>
        <w:spacing w:after="0" w:line="238" w:lineRule="auto"/>
        <w:tabs>
          <w:tab w:leader="none" w:pos="3040" w:val="left"/>
        </w:tabs>
        <w:rPr>
          <w:sz w:val="20"/>
          <w:szCs w:val="20"/>
          <w:color w:val="auto"/>
        </w:rPr>
      </w:pPr>
      <w:r>
        <w:rPr>
          <w:rFonts w:ascii="Courier New" w:cs="Courier New" w:eastAsia="Courier New" w:hAnsi="Courier New"/>
          <w:sz w:val="18"/>
          <w:szCs w:val="18"/>
          <w:color w:val="auto"/>
        </w:rPr>
        <w:t>Norwood, MA</w:t>
        <w:tab/>
        <w:t>02062</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38" w:orient="portrait"/>
          <w:cols w:equalWidth="0" w:num="1">
            <w:col w:w="10219"/>
          </w:cols>
          <w:pgMar w:left="240" w:top="244"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032654105</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50,700,068</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13.864%</w:t>
            </w:r>
          </w:p>
        </w:tc>
        <w:tc>
          <w:tcPr>
            <w:tcW w:w="11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5,294,217</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50,700,068</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Analog Devices Incorporated.</w:t>
      </w:r>
    </w:p>
    <w:p>
      <w:pPr>
        <w:spacing w:after="0" w:line="6"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No one person's interest in the Common Stock of Analog Devices Incorporated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939"/>
        <w:spacing w:after="0" w:line="290" w:lineRule="auto"/>
        <w:rPr>
          <w:sz w:val="20"/>
          <w:szCs w:val="20"/>
          <w:color w:val="auto"/>
        </w:rPr>
      </w:pPr>
      <w:r>
        <w:rPr>
          <w:rFonts w:ascii="Courier New" w:cs="Courier New" w:eastAsia="Courier New" w:hAnsi="Courier New"/>
          <w:sz w:val="16"/>
          <w:szCs w:val="16"/>
          <w:color w:val="auto"/>
        </w:rPr>
        <w:t>the Common Stock of Analog Devices Incorporated at December 31, 2002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45,049,521 shares or 12.319% of the Common Stock</w:t>
      </w:r>
    </w:p>
    <w:p>
      <w:pPr>
        <w:spacing w:after="0"/>
        <w:tabs>
          <w:tab w:leader="none" w:pos="4620" w:val="left"/>
        </w:tabs>
        <w:rPr>
          <w:sz w:val="20"/>
          <w:szCs w:val="20"/>
          <w:color w:val="auto"/>
        </w:rPr>
      </w:pPr>
      <w:r>
        <w:rPr>
          <w:rFonts w:ascii="Courier New" w:cs="Courier New" w:eastAsia="Courier New" w:hAnsi="Courier New"/>
          <w:sz w:val="18"/>
          <w:szCs w:val="18"/>
          <w:color w:val="auto"/>
        </w:rPr>
        <w:t>outstanding of Analog Devices Incorporated</w:t>
      </w:r>
      <w:r>
        <w:rPr>
          <w:sz w:val="20"/>
          <w:szCs w:val="20"/>
          <w:color w:val="auto"/>
        </w:rPr>
        <w:tab/>
      </w:r>
      <w:r>
        <w:rPr>
          <w:rFonts w:ascii="Courier New" w:cs="Courier New" w:eastAsia="Courier New" w:hAnsi="Courier New"/>
          <w:sz w:val="16"/>
          <w:szCs w:val="16"/>
          <w:color w:val="auto"/>
        </w:rPr>
        <w:t>("the</w:t>
      </w:r>
    </w:p>
    <w:p>
      <w:pPr>
        <w:spacing w:after="0" w:line="237" w:lineRule="auto"/>
        <w:rPr>
          <w:sz w:val="20"/>
          <w:szCs w:val="20"/>
          <w:color w:val="auto"/>
        </w:rPr>
      </w:pPr>
      <w:r>
        <w:rPr>
          <w:rFonts w:ascii="Courier New" w:cs="Courier New" w:eastAsia="Courier New" w:hAnsi="Courier New"/>
          <w:sz w:val="18"/>
          <w:szCs w:val="18"/>
          <w:color w:val="auto"/>
        </w:rPr>
        <w:t>Company") as a result of acting as investment adviser to</w:t>
      </w:r>
    </w:p>
    <w:p>
      <w:pPr>
        <w:spacing w:after="0"/>
        <w:rPr>
          <w:sz w:val="20"/>
          <w:szCs w:val="20"/>
          <w:color w:val="auto"/>
        </w:rPr>
      </w:pPr>
      <w:r>
        <w:rPr>
          <w:rFonts w:ascii="Courier New" w:cs="Courier New" w:eastAsia="Courier New" w:hAnsi="Courier New"/>
          <w:sz w:val="18"/>
          <w:szCs w:val="18"/>
          <w:color w:val="auto"/>
        </w:rPr>
        <w:t>various investment companies registered under Section 8 of</w:t>
      </w:r>
    </w:p>
    <w:p>
      <w:pPr>
        <w:spacing w:after="0" w:line="237" w:lineRule="auto"/>
        <w:rPr>
          <w:sz w:val="20"/>
          <w:szCs w:val="20"/>
          <w:color w:val="auto"/>
        </w:rPr>
      </w:pPr>
      <w:r>
        <w:rPr>
          <w:rFonts w:ascii="Courier New" w:cs="Courier New" w:eastAsia="Courier New" w:hAnsi="Courier New"/>
          <w:sz w:val="18"/>
          <w:szCs w:val="18"/>
          <w:color w:val="auto"/>
        </w:rPr>
        <w:t>the Investment 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45,049,521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3,516,668 shares or 0.962%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3,516,668 shares and sole power</w:t>
      </w:r>
    </w:p>
    <w:p>
      <w:pPr>
        <w:spacing w:after="0" w:line="237" w:lineRule="auto"/>
        <w:rPr>
          <w:sz w:val="20"/>
          <w:szCs w:val="20"/>
          <w:color w:val="auto"/>
        </w:rPr>
      </w:pPr>
      <w:r>
        <w:rPr>
          <w:rFonts w:ascii="Courier New" w:cs="Courier New" w:eastAsia="Courier New" w:hAnsi="Courier New"/>
          <w:sz w:val="18"/>
          <w:szCs w:val="18"/>
          <w:color w:val="auto"/>
        </w:rPr>
        <w:t>to vote or to direct the voting of 3,149,908 shares, and no</w:t>
      </w:r>
    </w:p>
    <w:p>
      <w:pPr>
        <w:spacing w:after="0" w:line="238" w:lineRule="auto"/>
        <w:rPr>
          <w:sz w:val="20"/>
          <w:szCs w:val="20"/>
          <w:color w:val="auto"/>
        </w:rPr>
      </w:pPr>
      <w:r>
        <w:rPr>
          <w:rFonts w:ascii="Courier New" w:cs="Courier New" w:eastAsia="Courier New" w:hAnsi="Courier New"/>
          <w:sz w:val="18"/>
          <w:szCs w:val="18"/>
          <w:color w:val="auto"/>
        </w:rPr>
        <w:t>power to vote or to direct the voting of 366,760 shares of</w:t>
      </w:r>
    </w:p>
    <w:p>
      <w:pPr>
        <w:spacing w:after="0"/>
        <w:rPr>
          <w:sz w:val="20"/>
          <w:szCs w:val="20"/>
          <w:color w:val="auto"/>
        </w:rPr>
      </w:pPr>
      <w:r>
        <w:rPr>
          <w:rFonts w:ascii="Courier New" w:cs="Courier New" w:eastAsia="Courier New" w:hAnsi="Courier New"/>
          <w:sz w:val="18"/>
          <w:szCs w:val="18"/>
          <w:color w:val="auto"/>
        </w:rPr>
        <w:t>Common Stock owned by the institutional account(s) as</w:t>
      </w:r>
    </w:p>
    <w:p>
      <w:pPr>
        <w:spacing w:after="0" w:line="237" w:lineRule="auto"/>
        <w:rPr>
          <w:sz w:val="20"/>
          <w:szCs w:val="20"/>
          <w:color w:val="auto"/>
        </w:rPr>
      </w:pPr>
      <w:r>
        <w:rPr>
          <w:rFonts w:ascii="Courier New" w:cs="Courier New" w:eastAsia="Courier New" w:hAnsi="Courier New"/>
          <w:sz w:val="18"/>
          <w:szCs w:val="18"/>
          <w:color w:val="auto"/>
        </w:rPr>
        <w:t>reported above.</w:t>
      </w:r>
    </w:p>
    <w:p>
      <w:pPr>
        <w:spacing w:after="0" w:line="207"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Strategic Advisers, Inc., 82 Devonshire Street, Boston, MA 02109, a wholly-owned subsidiary of FMR</w:t>
      </w:r>
    </w:p>
    <w:p>
      <w:pPr>
        <w:ind w:right="3899"/>
        <w:spacing w:after="0" w:line="237" w:lineRule="auto"/>
        <w:rPr>
          <w:sz w:val="20"/>
          <w:szCs w:val="20"/>
          <w:color w:val="auto"/>
        </w:rPr>
      </w:pPr>
      <w:r>
        <w:rPr>
          <w:rFonts w:ascii="Courier New" w:cs="Courier New" w:eastAsia="Courier New" w:hAnsi="Courier New"/>
          <w:sz w:val="18"/>
          <w:szCs w:val="18"/>
          <w:color w:val="auto"/>
        </w:rPr>
        <w:t>Corp. and an investment adviser registered under Section 203 of the Investment Advisers Act of 1940, provides investment advisory services to individuals. As such, FMR Corp.'s beneficial ownership includes 42,800 shares, or 0.012%, of the Common Stock stock outstanding of Analog Devices Incorporated, beneficially owned through Strategic Advisers, Inc.</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Geode Capital Management, LLC, 53 State Street,</w:t>
      </w:r>
    </w:p>
    <w:p>
      <w:pPr>
        <w:spacing w:after="0" w:line="238" w:lineRule="auto"/>
        <w:rPr>
          <w:sz w:val="20"/>
          <w:szCs w:val="20"/>
          <w:color w:val="auto"/>
        </w:rPr>
      </w:pPr>
      <w:r>
        <w:rPr>
          <w:rFonts w:ascii="Courier New" w:cs="Courier New" w:eastAsia="Courier New" w:hAnsi="Courier New"/>
          <w:sz w:val="18"/>
          <w:szCs w:val="18"/>
          <w:color w:val="auto"/>
        </w:rPr>
        <w:t>Boston, Massachusetts 02109, a Delaware limited liability</w:t>
      </w:r>
    </w:p>
    <w:p>
      <w:pPr>
        <w:spacing w:after="0"/>
        <w:rPr>
          <w:sz w:val="20"/>
          <w:szCs w:val="20"/>
          <w:color w:val="auto"/>
        </w:rPr>
      </w:pPr>
      <w:r>
        <w:rPr>
          <w:rFonts w:ascii="Courier New" w:cs="Courier New" w:eastAsia="Courier New" w:hAnsi="Courier New"/>
          <w:sz w:val="18"/>
          <w:szCs w:val="18"/>
          <w:color w:val="auto"/>
        </w:rPr>
        <w:t>company ("Geode LLC"), is the beneficial owner of 11,269</w:t>
      </w:r>
    </w:p>
    <w:p>
      <w:pPr>
        <w:spacing w:after="0" w:line="237" w:lineRule="auto"/>
        <w:rPr>
          <w:sz w:val="20"/>
          <w:szCs w:val="20"/>
          <w:color w:val="auto"/>
        </w:rPr>
      </w:pPr>
      <w:r>
        <w:rPr>
          <w:rFonts w:ascii="Courier New" w:cs="Courier New" w:eastAsia="Courier New" w:hAnsi="Courier New"/>
          <w:sz w:val="18"/>
          <w:szCs w:val="18"/>
          <w:color w:val="auto"/>
        </w:rPr>
        <w:t>shares or 0.003% of the outstanding common stock of the</w:t>
      </w:r>
    </w:p>
    <w:p>
      <w:pPr>
        <w:spacing w:after="0"/>
        <w:tabs>
          <w:tab w:leader="none" w:pos="104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Geode LLC is wholly-owned by Fidelity</w:t>
      </w:r>
    </w:p>
    <w:p>
      <w:pPr>
        <w:spacing w:after="0"/>
        <w:rPr>
          <w:sz w:val="20"/>
          <w:szCs w:val="20"/>
          <w:color w:val="auto"/>
        </w:rPr>
      </w:pPr>
      <w:r>
        <w:rPr>
          <w:rFonts w:ascii="Courier New" w:cs="Courier New" w:eastAsia="Courier New" w:hAnsi="Courier New"/>
          <w:sz w:val="18"/>
          <w:szCs w:val="18"/>
          <w:color w:val="auto"/>
        </w:rPr>
        <w:t>Investors III Limited Partnership ("FILP III"), a Delaware</w:t>
      </w:r>
    </w:p>
    <w:p>
      <w:pPr>
        <w:spacing w:after="0"/>
        <w:tabs>
          <w:tab w:leader="none" w:pos="2300" w:val="left"/>
        </w:tabs>
        <w:rPr>
          <w:sz w:val="20"/>
          <w:szCs w:val="20"/>
          <w:color w:val="auto"/>
        </w:rPr>
      </w:pPr>
      <w:r>
        <w:rPr>
          <w:rFonts w:ascii="Courier New" w:cs="Courier New" w:eastAsia="Courier New" w:hAnsi="Courier New"/>
          <w:sz w:val="18"/>
          <w:szCs w:val="18"/>
          <w:color w:val="auto"/>
        </w:rPr>
        <w:t>limited partnership.</w:t>
      </w:r>
      <w:r>
        <w:rPr>
          <w:sz w:val="20"/>
          <w:szCs w:val="20"/>
          <w:color w:val="auto"/>
        </w:rPr>
        <w:tab/>
      </w:r>
      <w:r>
        <w:rPr>
          <w:rFonts w:ascii="Courier New" w:cs="Courier New" w:eastAsia="Courier New" w:hAnsi="Courier New"/>
          <w:sz w:val="16"/>
          <w:szCs w:val="16"/>
          <w:color w:val="auto"/>
        </w:rPr>
        <w:t>Geode LLC is an investment adviser</w:t>
      </w:r>
    </w:p>
    <w:p>
      <w:pPr>
        <w:spacing w:after="0"/>
        <w:rPr>
          <w:sz w:val="20"/>
          <w:szCs w:val="20"/>
          <w:color w:val="auto"/>
        </w:rPr>
      </w:pPr>
      <w:r>
        <w:rPr>
          <w:rFonts w:ascii="Courier New" w:cs="Courier New" w:eastAsia="Courier New" w:hAnsi="Courier New"/>
          <w:sz w:val="18"/>
          <w:szCs w:val="18"/>
          <w:color w:val="auto"/>
        </w:rPr>
        <w:t>registered under Section 203 of the Investment Advisers Act</w:t>
      </w:r>
    </w:p>
    <w:p>
      <w:pPr>
        <w:spacing w:after="0" w:line="237" w:lineRule="auto"/>
        <w:rPr>
          <w:sz w:val="20"/>
          <w:szCs w:val="20"/>
          <w:color w:val="auto"/>
        </w:rPr>
      </w:pPr>
      <w:r>
        <w:rPr>
          <w:rFonts w:ascii="Courier New" w:cs="Courier New" w:eastAsia="Courier New" w:hAnsi="Courier New"/>
          <w:sz w:val="18"/>
          <w:szCs w:val="18"/>
          <w:color w:val="auto"/>
        </w:rPr>
        <w:t>of 1940. Fidelity Investors Management, LLC ("FIML"), a</w:t>
      </w:r>
    </w:p>
    <w:p>
      <w:pPr>
        <w:spacing w:after="0"/>
        <w:rPr>
          <w:sz w:val="20"/>
          <w:szCs w:val="20"/>
          <w:color w:val="auto"/>
        </w:rPr>
      </w:pPr>
      <w:r>
        <w:rPr>
          <w:rFonts w:ascii="Courier New" w:cs="Courier New" w:eastAsia="Courier New" w:hAnsi="Courier New"/>
          <w:sz w:val="18"/>
          <w:szCs w:val="18"/>
          <w:color w:val="auto"/>
        </w:rPr>
        <w:t>Delaware limited liability company, is the general partner</w:t>
      </w:r>
    </w:p>
    <w:p>
      <w:pPr>
        <w:spacing w:after="0" w:line="237" w:lineRule="auto"/>
        <w:rPr>
          <w:sz w:val="20"/>
          <w:szCs w:val="20"/>
          <w:color w:val="auto"/>
        </w:rPr>
      </w:pPr>
      <w:r>
        <w:rPr>
          <w:rFonts w:ascii="Courier New" w:cs="Courier New" w:eastAsia="Courier New" w:hAnsi="Courier New"/>
          <w:sz w:val="18"/>
          <w:szCs w:val="18"/>
          <w:color w:val="auto"/>
        </w:rPr>
        <w:t>and investment manager of FILP III, and is an investment</w:t>
      </w:r>
    </w:p>
    <w:p>
      <w:pPr>
        <w:spacing w:after="0" w:line="238" w:lineRule="auto"/>
        <w:rPr>
          <w:sz w:val="20"/>
          <w:szCs w:val="20"/>
          <w:color w:val="auto"/>
        </w:rPr>
      </w:pPr>
      <w:r>
        <w:rPr>
          <w:rFonts w:ascii="Courier New" w:cs="Courier New" w:eastAsia="Courier New" w:hAnsi="Courier New"/>
          <w:sz w:val="18"/>
          <w:szCs w:val="18"/>
          <w:color w:val="auto"/>
        </w:rPr>
        <w:t>manager registered under Section 203 of the Investment</w:t>
      </w:r>
    </w:p>
    <w:p>
      <w:pPr>
        <w:spacing w:after="0"/>
        <w:rPr>
          <w:sz w:val="20"/>
          <w:szCs w:val="20"/>
          <w:color w:val="auto"/>
        </w:rPr>
      </w:pPr>
      <w:r>
        <w:rPr>
          <w:rFonts w:ascii="Courier New" w:cs="Courier New" w:eastAsia="Courier New" w:hAnsi="Courier New"/>
          <w:sz w:val="18"/>
          <w:szCs w:val="18"/>
          <w:color w:val="auto"/>
        </w:rPr>
        <w:t>Advisers Act of 1940. The managers of Geode LLC, the</w:t>
      </w:r>
    </w:p>
    <w:p>
      <w:pPr>
        <w:spacing w:after="0" w:line="237" w:lineRule="auto"/>
        <w:rPr>
          <w:sz w:val="20"/>
          <w:szCs w:val="20"/>
          <w:color w:val="auto"/>
        </w:rPr>
      </w:pPr>
      <w:r>
        <w:rPr>
          <w:rFonts w:ascii="Courier New" w:cs="Courier New" w:eastAsia="Courier New" w:hAnsi="Courier New"/>
          <w:sz w:val="18"/>
          <w:szCs w:val="18"/>
          <w:color w:val="auto"/>
        </w:rPr>
        <w:t>members of FIML and the limited partners of FILP III are</w:t>
      </w:r>
    </w:p>
    <w:p>
      <w:pPr>
        <w:spacing w:after="0"/>
        <w:rPr>
          <w:sz w:val="20"/>
          <w:szCs w:val="20"/>
          <w:color w:val="auto"/>
        </w:rPr>
      </w:pPr>
      <w:r>
        <w:rPr>
          <w:rFonts w:ascii="Courier New" w:cs="Courier New" w:eastAsia="Courier New" w:hAnsi="Courier New"/>
          <w:sz w:val="18"/>
          <w:szCs w:val="18"/>
          <w:color w:val="auto"/>
        </w:rPr>
        <w:t>certain shareholders and employees of FMR Corp.</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Members of the Edward C. Johnson 3d family are the</w:t>
      </w:r>
    </w:p>
    <w:p>
      <w:pPr>
        <w:sectPr>
          <w:pgSz w:w="11900" w:h="16838" w:orient="portrait"/>
          <w:cols w:equalWidth="0" w:num="1">
            <w:col w:w="10219"/>
          </w:cols>
          <w:pgMar w:left="240" w:top="136" w:right="1440" w:bottom="0" w:gutter="0" w:footer="0" w:header="0"/>
        </w:sectPr>
      </w:pPr>
    </w:p>
    <w:bookmarkStart w:id="3" w:name="page4"/>
    <w:bookmarkEnd w:id="3"/>
    <w:p>
      <w:pPr>
        <w:ind w:right="4199"/>
        <w:spacing w:after="0" w:line="238" w:lineRule="auto"/>
        <w:rPr>
          <w:sz w:val="20"/>
          <w:szCs w:val="20"/>
          <w:color w:val="auto"/>
        </w:rPr>
      </w:pPr>
      <w:r>
        <w:rPr>
          <w:rFonts w:ascii="Courier New" w:cs="Courier New" w:eastAsia="Courier New" w:hAnsi="Courier New"/>
          <w:sz w:val="18"/>
          <w:szCs w:val="18"/>
          <w:color w:val="auto"/>
        </w:rPr>
        <w:t>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8"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has sole voting and dispositive power over 15,000 shares, shared voting and dispositive power over 0 shares, and no voting or dispositive power over 0 shares.</w:t>
      </w:r>
    </w:p>
    <w:p>
      <w:pPr>
        <w:spacing w:after="0" w:line="207"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2,064,810 shares or 0.565% of the Common Stock outstanding 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2,064,810 shares or 0.565% of the Common Stock outstanding of Analog Devices Incorporated.</w:t>
      </w:r>
    </w:p>
    <w:p>
      <w:pPr>
        <w:spacing w:after="0" w:line="39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 is making this filing on a voluntary basis as if all of the</w:t>
      </w:r>
    </w:p>
    <w:p>
      <w:pPr>
        <w:sectPr>
          <w:pgSz w:w="11900" w:h="16838" w:orient="portrait"/>
          <w:cols w:equalWidth="0" w:num="1">
            <w:col w:w="10219"/>
          </w:cols>
          <w:pgMar w:left="240" w:top="142" w:right="1440" w:bottom="0" w:gutter="0" w:footer="0" w:header="0"/>
        </w:sectPr>
      </w:pPr>
    </w:p>
    <w:bookmarkStart w:id="4" w:name="page5"/>
    <w:bookmarkEnd w:id="4"/>
    <w:p>
      <w:pPr>
        <w:ind w:right="4419"/>
        <w:spacing w:after="0" w:line="235" w:lineRule="auto"/>
        <w:rPr>
          <w:sz w:val="20"/>
          <w:szCs w:val="20"/>
          <w:color w:val="auto"/>
        </w:rPr>
      </w:pPr>
      <w:r>
        <w:rPr>
          <w:rFonts w:ascii="Courier New" w:cs="Courier New" w:eastAsia="Courier New" w:hAnsi="Courier New"/>
          <w:sz w:val="18"/>
          <w:szCs w:val="18"/>
          <w:color w:val="auto"/>
        </w:rPr>
        <w:t>shares are beneficially owned by FMR Corp. and FIL on a joint basis.</w:t>
      </w:r>
    </w:p>
    <w:p>
      <w:pPr>
        <w:spacing w:after="0" w:line="208"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FIL may determine to cease making additional purchases of shares or to increase or decrease the equity interest in the Company by acquiring additional shares, or by disposing of all or a portion of the shares.</w:t>
      </w:r>
    </w:p>
    <w:p>
      <w:pPr>
        <w:spacing w:after="0" w:line="207"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86"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2,064,810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2003, agree and consent to the joint filing on their behalf of this Schedule 13G in connection with their beneficial ownership of the Common Stock of Analog Devices Incorporated at December 31, 2002.</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142" w:right="1440" w:bottom="131"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2019-12-19T21:23:40Z</dcterms:created>
  <dcterms:modified xsi:type="dcterms:W3CDTF">2019-12-19T21:23:40Z</dcterms:modified>
</cp:coreProperties>
</file>