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473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7306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FISHMAN JERALD</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03/13/2012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PRESIDENT &amp; CEO</w:t>
      </w:r>
    </w:p>
    <w:p>
      <w:pPr>
        <w:spacing w:after="0" w:line="414"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NORWOOD</w:t>
            </w:r>
          </w:p>
        </w:tc>
        <w:tc>
          <w:tcPr>
            <w:tcW w:w="1020" w:type="dxa"/>
            <w:vAlign w:val="bottom"/>
          </w:tcPr>
          <w:p>
            <w:pPr>
              <w:ind w:left="200"/>
              <w:spacing w:after="0"/>
              <w:rPr>
                <w:sz w:val="20"/>
                <w:szCs w:val="20"/>
                <w:color w:val="auto"/>
              </w:rPr>
            </w:pPr>
            <w:r>
              <w:rPr>
                <w:rFonts w:ascii="Arial" w:cs="Arial" w:eastAsia="Arial" w:hAnsi="Arial"/>
                <w:sz w:val="17"/>
                <w:szCs w:val="17"/>
                <w:color w:val="0000FF"/>
              </w:rPr>
              <w:t>MA</w:t>
            </w:r>
          </w:p>
        </w:tc>
        <w:tc>
          <w:tcPr>
            <w:tcW w:w="1700" w:type="dxa"/>
            <w:vAlign w:val="bottom"/>
          </w:tcPr>
          <w:p>
            <w:pPr>
              <w:ind w:left="460"/>
              <w:spacing w:after="0"/>
              <w:rPr>
                <w:sz w:val="20"/>
                <w:szCs w:val="20"/>
                <w:color w:val="auto"/>
              </w:rPr>
            </w:pPr>
            <w:r>
              <w:rPr>
                <w:rFonts w:ascii="Arial" w:cs="Arial" w:eastAsia="Arial" w:hAnsi="Arial"/>
                <w:sz w:val="17"/>
                <w:szCs w:val="17"/>
                <w:color w:val="0000FF"/>
              </w:rPr>
              <w:t>02062-9106</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jc w:val="center"/>
              <w:ind w:right="2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2"/>
          </w:tcPr>
          <w:p>
            <w:pPr>
              <w:ind w:left="880"/>
              <w:spacing w:after="0"/>
              <w:rPr>
                <w:sz w:val="20"/>
                <w:szCs w:val="20"/>
                <w:color w:val="auto"/>
              </w:rPr>
            </w:pPr>
            <w:r>
              <w:rPr>
                <w:rFonts w:ascii="Arial" w:cs="Arial" w:eastAsia="Arial" w:hAnsi="Arial"/>
                <w:sz w:val="17"/>
                <w:szCs w:val="17"/>
                <w:color w:val="0000FF"/>
              </w:rPr>
              <w:t>03/13/2012</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10,000</w:t>
            </w:r>
          </w:p>
        </w:tc>
        <w:tc>
          <w:tcPr>
            <w:tcW w:w="740" w:type="dxa"/>
            <w:vAlign w:val="bottom"/>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19.89</w:t>
            </w:r>
          </w:p>
        </w:tc>
        <w:tc>
          <w:tcPr>
            <w:tcW w:w="60" w:type="dxa"/>
            <w:vAlign w:val="bottom"/>
          </w:tcPr>
          <w:p>
            <w:pPr>
              <w:spacing w:after="0"/>
              <w:rPr>
                <w:sz w:val="22"/>
                <w:szCs w:val="22"/>
                <w:color w:val="auto"/>
              </w:rPr>
            </w:pPr>
          </w:p>
        </w:tc>
        <w:tc>
          <w:tcPr>
            <w:tcW w:w="1300" w:type="dxa"/>
            <w:vAlign w:val="bottom"/>
            <w:gridSpan w:val="3"/>
          </w:tcPr>
          <w:p>
            <w:pPr>
              <w:ind w:left="380"/>
              <w:spacing w:after="0"/>
              <w:rPr>
                <w:sz w:val="20"/>
                <w:szCs w:val="20"/>
                <w:color w:val="auto"/>
              </w:rPr>
            </w:pPr>
            <w:r>
              <w:rPr>
                <w:rFonts w:ascii="Arial" w:cs="Arial" w:eastAsia="Arial" w:hAnsi="Arial"/>
                <w:sz w:val="17"/>
                <w:szCs w:val="17"/>
                <w:color w:val="0000FF"/>
              </w:rPr>
              <w:t>431,348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03/13/2012</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10,000</w:t>
            </w:r>
          </w:p>
        </w:tc>
        <w:tc>
          <w:tcPr>
            <w:tcW w:w="7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39.32</w:t>
            </w:r>
            <w:r>
              <w:rPr>
                <w:rFonts w:ascii="Arial" w:cs="Arial" w:eastAsia="Arial" w:hAnsi="Arial"/>
                <w:sz w:val="21"/>
                <w:szCs w:val="21"/>
                <w:color w:val="008000"/>
                <w:w w:val="86"/>
                <w:vertAlign w:val="superscript"/>
              </w:rPr>
              <w:t>(1)</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421,348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vMerge w:val="restart"/>
          </w:tcPr>
          <w:p>
            <w:pPr>
              <w:jc w:val="center"/>
              <w:ind w:right="35"/>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gridSpan w:val="2"/>
            <w:vMerge w:val="restart"/>
          </w:tcPr>
          <w:p>
            <w:pPr>
              <w:ind w:left="20"/>
              <w:spacing w:after="0" w:line="211" w:lineRule="exact"/>
              <w:rPr>
                <w:sz w:val="20"/>
                <w:szCs w:val="20"/>
                <w:color w:val="auto"/>
              </w:rPr>
            </w:pPr>
            <w:r>
              <w:rPr>
                <w:rFonts w:ascii="Arial" w:cs="Arial" w:eastAsia="Arial" w:hAnsi="Arial"/>
                <w:sz w:val="13"/>
                <w:szCs w:val="13"/>
                <w:color w:val="0000FF"/>
              </w:rPr>
              <w:t>09/24/2004</w:t>
            </w:r>
            <w:r>
              <w:rPr>
                <w:rFonts w:ascii="Arial" w:cs="Arial" w:eastAsia="Arial" w:hAnsi="Arial"/>
                <w:sz w:val="21"/>
                <w:szCs w:val="21"/>
                <w:color w:val="008000"/>
                <w:vertAlign w:val="superscript"/>
              </w:rPr>
              <w:t>(2)</w:t>
            </w: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19.89</w:t>
            </w:r>
          </w:p>
        </w:tc>
        <w:tc>
          <w:tcPr>
            <w:tcW w:w="1100" w:type="dxa"/>
            <w:vAlign w:val="bottom"/>
            <w:vMerge w:val="restart"/>
          </w:tcPr>
          <w:p>
            <w:pPr>
              <w:jc w:val="right"/>
              <w:ind w:right="179"/>
              <w:spacing w:after="0" w:line="146" w:lineRule="exact"/>
              <w:rPr>
                <w:sz w:val="20"/>
                <w:szCs w:val="20"/>
                <w:color w:val="auto"/>
              </w:rPr>
            </w:pPr>
            <w:r>
              <w:rPr>
                <w:rFonts w:ascii="Arial" w:cs="Arial" w:eastAsia="Arial" w:hAnsi="Arial"/>
                <w:sz w:val="13"/>
                <w:szCs w:val="13"/>
                <w:color w:val="0000FF"/>
              </w:rPr>
              <w:t>03/13/2012</w:t>
            </w:r>
          </w:p>
        </w:tc>
        <w:tc>
          <w:tcPr>
            <w:tcW w:w="1120" w:type="dxa"/>
            <w:vAlign w:val="bottom"/>
          </w:tcPr>
          <w:p>
            <w:pPr>
              <w:spacing w:after="0"/>
              <w:rPr>
                <w:sz w:val="6"/>
                <w:szCs w:val="6"/>
                <w:color w:val="auto"/>
              </w:rPr>
            </w:pPr>
          </w:p>
        </w:tc>
        <w:tc>
          <w:tcPr>
            <w:tcW w:w="76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40"/>
              <w:spacing w:after="0" w:line="146" w:lineRule="exact"/>
              <w:rPr>
                <w:sz w:val="20"/>
                <w:szCs w:val="20"/>
                <w:color w:val="auto"/>
              </w:rPr>
            </w:pPr>
            <w:r>
              <w:rPr>
                <w:rFonts w:ascii="Arial" w:cs="Arial" w:eastAsia="Arial" w:hAnsi="Arial"/>
                <w:sz w:val="13"/>
                <w:szCs w:val="13"/>
                <w:color w:val="0000FF"/>
              </w:rPr>
              <w:t>10,000</w:t>
            </w:r>
          </w:p>
        </w:tc>
        <w:tc>
          <w:tcPr>
            <w:tcW w:w="900" w:type="dxa"/>
            <w:vAlign w:val="bottom"/>
            <w:gridSpan w:val="2"/>
            <w:vMerge w:val="continue"/>
          </w:tcPr>
          <w:p>
            <w:pPr>
              <w:spacing w:after="0"/>
              <w:rPr>
                <w:sz w:val="6"/>
                <w:szCs w:val="6"/>
                <w:color w:val="auto"/>
              </w:rPr>
            </w:pPr>
          </w:p>
        </w:tc>
        <w:tc>
          <w:tcPr>
            <w:tcW w:w="720" w:type="dxa"/>
            <w:vAlign w:val="bottom"/>
            <w:vMerge w:val="restart"/>
          </w:tcPr>
          <w:p>
            <w:pPr>
              <w:spacing w:after="0" w:line="146" w:lineRule="exact"/>
              <w:rPr>
                <w:sz w:val="20"/>
                <w:szCs w:val="20"/>
                <w:color w:val="auto"/>
              </w:rPr>
            </w:pPr>
            <w:r>
              <w:rPr>
                <w:rFonts w:ascii="Arial" w:cs="Arial" w:eastAsia="Arial" w:hAnsi="Arial"/>
                <w:sz w:val="13"/>
                <w:szCs w:val="13"/>
                <w:color w:val="0000FF"/>
              </w:rPr>
              <w:t>09/24/2012</w:t>
            </w:r>
          </w:p>
        </w:tc>
        <w:tc>
          <w:tcPr>
            <w:tcW w:w="74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880" w:type="dxa"/>
            <w:vAlign w:val="bottom"/>
            <w:gridSpan w:val="2"/>
            <w:vMerge w:val="restart"/>
          </w:tcPr>
          <w:p>
            <w:pPr>
              <w:ind w:left="240"/>
              <w:spacing w:after="0" w:line="146" w:lineRule="exact"/>
              <w:rPr>
                <w:sz w:val="20"/>
                <w:szCs w:val="20"/>
                <w:color w:val="auto"/>
              </w:rPr>
            </w:pPr>
            <w:r>
              <w:rPr>
                <w:rFonts w:ascii="Arial" w:cs="Arial" w:eastAsia="Arial" w:hAnsi="Arial"/>
                <w:sz w:val="13"/>
                <w:szCs w:val="13"/>
                <w:color w:val="0000FF"/>
              </w:rPr>
              <w:t>95,000</w:t>
            </w: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jc w:val="center"/>
              <w:ind w:right="35"/>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disposed of in multiple transactions on March 13, 2012 at actual sales prices ranging from $39.3200 to $39.3201 per share. The price reported reflects the weighted average sale price for the transactions. The reporting person undertakes to provide upon request by SEC staff, the issuer or a security holder of the issuer, full information regarding the number of shares sold at each separate price.</w:t>
      </w: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vested in equal installments on the second, third, fourth and fifth anniversaries of the original grant date. The option was fully vested as of September 24, 2007 in accordance with its terms.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6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48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2019-12-18T08:20:03Z</dcterms:created>
  <dcterms:modified xsi:type="dcterms:W3CDTF">2019-12-18T08:20:03Z</dcterms:modified>
</cp:coreProperties>
</file>