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10, 2020</w:t>
      </w:r>
    </w:p>
    <w:p>
      <w:pPr>
        <w:spacing w:after="0" w:line="3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4"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63"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67" w:lineRule="exact"/>
        <w:rPr>
          <w:sz w:val="24"/>
          <w:szCs w:val="24"/>
          <w:color w:val="auto"/>
        </w:rPr>
      </w:pPr>
    </w:p>
    <w:p>
      <w:pPr>
        <w:sectPr>
          <w:pgSz w:w="11900" w:h="16838" w:orient="portrait"/>
          <w:cols w:equalWidth="0" w:num="3">
            <w:col w:w="4640" w:space="720"/>
            <w:col w:w="2960" w:space="720"/>
            <w:col w:w="2200"/>
          </w:cols>
          <w:pgMar w:left="320" w:top="1029"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spacing w:after="0" w:line="21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b w:val="1"/>
          <w:bCs w:val="1"/>
          <w:color w:val="auto"/>
        </w:rPr>
        <w:t>One Technology Way,</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Norwood, MA</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02062</w:t>
      </w:r>
    </w:p>
    <w:p>
      <w:pPr>
        <w:spacing w:after="0" w:line="67" w:lineRule="exact"/>
        <w:rPr>
          <w:sz w:val="24"/>
          <w:szCs w:val="24"/>
          <w:color w:val="auto"/>
        </w:rPr>
      </w:pPr>
    </w:p>
    <w:p>
      <w:pPr>
        <w:sectPr>
          <w:pgSz w:w="11900" w:h="16838" w:orient="portrait"/>
          <w:cols w:equalWidth="0" w:num="3">
            <w:col w:w="2720" w:space="340"/>
            <w:col w:w="4000" w:space="720"/>
            <w:col w:w="3460"/>
          </w:cols>
          <w:pgMar w:left="320" w:top="1029" w:right="33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40" w:lineRule="exact"/>
        <w:rPr>
          <w:sz w:val="24"/>
          <w:szCs w:val="24"/>
          <w:color w:val="auto"/>
        </w:rPr>
      </w:pPr>
    </w:p>
    <w:p>
      <w:pPr>
        <w:sectPr>
          <w:pgSz w:w="11900" w:h="16838" w:orient="portrait"/>
          <w:cols w:equalWidth="0" w:num="2">
            <w:col w:w="6880" w:space="720"/>
            <w:col w:w="364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329-4700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40"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32"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47"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0"/>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6"/>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ADI</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60"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020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Analog Devices, Inc. (the “Company”) gave notice today that it will redeem for cash all of its outstanding 2.950% Senior Notes due January 12, 2021 (the “Notes”) in accordance with the terms of the indenture governing the Notes. The redemption date for the outstanding Notes will be September 25, 2020 (the “Redemption Date”) and the redemption price will be equal to the greater of: (a) 100% of the principal amount of the Notes, and (b) the sum of the present values of the remaining scheduled payments on the Notes, discounted to the Redemption Date on a semi-annual basis (assuming a 360-day year consisting of twelve 30-day months) at the Treasury Rate plus 12.5 basis points, plus accrued and unpaid interest up to (but not including) the Redemption Date. As of September 9, 2020, approximately $450 million aggregate principal amount of the Notes is outstanding.</w:t>
      </w:r>
    </w:p>
    <w:p>
      <w:pPr>
        <w:spacing w:after="0" w:line="200" w:lineRule="exact"/>
        <w:rPr>
          <w:sz w:val="20"/>
          <w:szCs w:val="20"/>
          <w:color w:val="auto"/>
        </w:rPr>
      </w:pPr>
    </w:p>
    <w:p>
      <w:pPr>
        <w:spacing w:after="0" w:line="38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60" w:type="dxa"/>
            <w:vAlign w:val="bottom"/>
          </w:tcPr>
          <w:p>
            <w:pPr>
              <w:spacing w:after="0"/>
              <w:rPr>
                <w:sz w:val="20"/>
                <w:szCs w:val="20"/>
                <w:color w:val="auto"/>
              </w:rPr>
            </w:pPr>
          </w:p>
        </w:tc>
      </w:tr>
      <w:tr>
        <w:trPr>
          <w:trHeight w:val="230"/>
        </w:trPr>
        <w:tc>
          <w:tcPr>
            <w:tcW w:w="15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Exhibit No.</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542"/>
        </w:trPr>
        <w:tc>
          <w:tcPr>
            <w:tcW w:w="40" w:type="dxa"/>
            <w:vAlign w:val="bottom"/>
          </w:tcPr>
          <w:p>
            <w:pPr>
              <w:spacing w:after="0"/>
              <w:rPr>
                <w:sz w:val="24"/>
                <w:szCs w:val="24"/>
                <w:color w:val="auto"/>
              </w:rPr>
            </w:pP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101.INS</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The instance document does not appear in the Interactive Data File because its XBRL tags are embedded within the inline XBRL</w:t>
            </w:r>
          </w:p>
        </w:tc>
      </w:t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document.**</w:t>
            </w:r>
          </w:p>
        </w:tc>
      </w:tr>
      <w:tr>
        <w:trPr>
          <w:trHeight w:val="270"/>
        </w:trPr>
        <w:tc>
          <w:tcPr>
            <w:tcW w:w="40" w:type="dxa"/>
            <w:vAlign w:val="bottom"/>
          </w:tcPr>
          <w:p>
            <w:pPr>
              <w:spacing w:after="0"/>
              <w:rPr>
                <w:sz w:val="23"/>
                <w:szCs w:val="23"/>
                <w:color w:val="auto"/>
              </w:rPr>
            </w:pPr>
          </w:p>
        </w:tc>
        <w:tc>
          <w:tcPr>
            <w:tcW w:w="15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101.SCH</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70"/>
        </w:trPr>
        <w:tc>
          <w:tcPr>
            <w:tcW w:w="40" w:type="dxa"/>
            <w:vAlign w:val="bottom"/>
          </w:tcPr>
          <w:p>
            <w:pPr>
              <w:spacing w:after="0"/>
              <w:rPr>
                <w:sz w:val="23"/>
                <w:szCs w:val="23"/>
                <w:color w:val="auto"/>
              </w:rPr>
            </w:pP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70"/>
        </w:trPr>
        <w:tc>
          <w:tcPr>
            <w:tcW w:w="40" w:type="dxa"/>
            <w:vAlign w:val="bottom"/>
          </w:tcPr>
          <w:p>
            <w:pPr>
              <w:spacing w:after="0"/>
              <w:rPr>
                <w:sz w:val="23"/>
                <w:szCs w:val="23"/>
                <w:color w:val="auto"/>
              </w:rPr>
            </w:pP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70"/>
        </w:trPr>
        <w:tc>
          <w:tcPr>
            <w:tcW w:w="40" w:type="dxa"/>
            <w:vAlign w:val="bottom"/>
          </w:tcPr>
          <w:p>
            <w:pPr>
              <w:spacing w:after="0"/>
              <w:rPr>
                <w:sz w:val="23"/>
                <w:szCs w:val="23"/>
                <w:color w:val="auto"/>
              </w:rPr>
            </w:pP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101.PRE</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70"/>
        </w:trPr>
        <w:tc>
          <w:tcPr>
            <w:tcW w:w="40" w:type="dxa"/>
            <w:vAlign w:val="bottom"/>
          </w:tcPr>
          <w:p>
            <w:pPr>
              <w:spacing w:after="0"/>
              <w:rPr>
                <w:sz w:val="23"/>
                <w:szCs w:val="23"/>
                <w:color w:val="auto"/>
              </w:rPr>
            </w:pPr>
          </w:p>
        </w:tc>
        <w:tc>
          <w:tcPr>
            <w:tcW w:w="15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spacing w:after="0" w:line="36" w:lineRule="exact"/>
        <w:rPr>
          <w:sz w:val="20"/>
          <w:szCs w:val="20"/>
          <w:color w:val="auto"/>
        </w:rPr>
      </w:pPr>
    </w:p>
    <w:p>
      <w:pPr>
        <w:ind w:left="1900" w:right="500" w:hanging="1170"/>
        <w:spacing w:after="0" w:line="281" w:lineRule="auto"/>
        <w:tabs>
          <w:tab w:leader="none" w:pos="1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900" w:hanging="1125"/>
        <w:spacing w:after="0"/>
        <w:tabs>
          <w:tab w:leader="none" w:pos="1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78" w:right="37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2020</w:t>
            </w:r>
          </w:p>
        </w:tc>
        <w:tc>
          <w:tcPr>
            <w:tcW w:w="56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86"/>
        </w:trPr>
        <w:tc>
          <w:tcPr>
            <w:tcW w:w="3980" w:type="dxa"/>
            <w:vAlign w:val="bottom"/>
          </w:tcPr>
          <w:p>
            <w:pPr>
              <w:spacing w:after="0"/>
              <w:rPr>
                <w:sz w:val="24"/>
                <w:szCs w:val="24"/>
                <w:color w:val="auto"/>
              </w:rPr>
            </w:pPr>
          </w:p>
        </w:tc>
        <w:tc>
          <w:tcPr>
            <w:tcW w:w="25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 Prashanth Mahendra-Rajah</w:t>
            </w:r>
          </w:p>
        </w:tc>
      </w:tr>
      <w:tr>
        <w:trPr>
          <w:trHeight w:val="27"/>
        </w:trPr>
        <w:tc>
          <w:tcPr>
            <w:tcW w:w="3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Prashanth Mahendra-Rajah</w:t>
            </w:r>
          </w:p>
        </w:tc>
      </w:tr>
    </w:tbl>
    <w:p>
      <w:pPr>
        <w:spacing w:after="0" w:line="3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Senior Vice President, Finance and Chief</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Financial Officer</w:t>
      </w:r>
    </w:p>
    <w:sectPr>
      <w:pgSz w:w="11900" w:h="16838" w:orient="portrait"/>
      <w:cols w:equalWidth="0" w:num="1">
        <w:col w:w="10980"/>
      </w:cols>
      <w:pgMar w:left="320" w:top="98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0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2020-09-10T08:02:39Z</dcterms:created>
  <dcterms:modified xsi:type="dcterms:W3CDTF">2020-09-10T08:02:39Z</dcterms:modified>
</cp:coreProperties>
</file>