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UNITED STATES</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8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SCHEDULE 14A</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(Rule 14a-101)</w:t>
      </w:r>
    </w:p>
    <w:p>
      <w:pPr>
        <w:spacing w:after="0" w:line="83" w:lineRule="exact"/>
        <w:rPr>
          <w:sz w:val="24"/>
          <w:szCs w:val="24"/>
          <w:color w:val="auto"/>
        </w:rPr>
      </w:pPr>
    </w:p>
    <w:p>
      <w:pPr>
        <w:ind w:left="370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93" w:lineRule="exact"/>
        <w:rPr>
          <w:sz w:val="24"/>
          <w:szCs w:val="24"/>
          <w:color w:val="auto"/>
        </w:rPr>
      </w:pPr>
    </w:p>
    <w:p>
      <w:pPr>
        <w:ind w:left="4480"/>
        <w:spacing w:after="0"/>
        <w:rPr>
          <w:sz w:val="20"/>
          <w:szCs w:val="20"/>
          <w:color w:val="auto"/>
        </w:rPr>
      </w:pPr>
      <w:r>
        <w:rPr>
          <w:rFonts w:ascii="Arial" w:cs="Arial" w:eastAsia="Arial" w:hAnsi="Arial"/>
          <w:sz w:val="16"/>
          <w:szCs w:val="16"/>
          <w:b w:val="1"/>
          <w:bCs w:val="1"/>
          <w:color w:val="auto"/>
        </w:rPr>
        <w:t>SCHEDULE 14A INFORMATION</w:t>
      </w:r>
    </w:p>
    <w:p>
      <w:pPr>
        <w:spacing w:after="0" w:line="93"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Exchange Act of 1934</w:t>
      </w:r>
    </w:p>
    <w:p>
      <w:pPr>
        <w:spacing w:after="0" w:line="132" w:lineRule="exact"/>
        <w:rPr>
          <w:sz w:val="24"/>
          <w:szCs w:val="24"/>
          <w:color w:val="auto"/>
        </w:rPr>
      </w:pPr>
    </w:p>
    <w:p>
      <w:pPr>
        <w:spacing w:after="0" w:line="184" w:lineRule="exact"/>
        <w:tabs>
          <w:tab w:leader="none" w:pos="164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84" w:lineRule="exact"/>
        <w:tabs>
          <w:tab w:leader="none" w:pos="284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81" w:lineRule="exact"/>
        <w:rPr>
          <w:sz w:val="24"/>
          <w:szCs w:val="24"/>
          <w:color w:val="auto"/>
        </w:rPr>
      </w:pPr>
    </w:p>
    <w:p>
      <w:pPr>
        <w:ind w:left="260" w:hanging="259"/>
        <w:spacing w:after="0"/>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1" w:lineRule="exact"/>
        <w:rPr>
          <w:rFonts w:ascii="MS PGothic" w:cs="MS PGothic" w:eastAsia="MS PGothic" w:hAnsi="MS PGothic"/>
          <w:sz w:val="16"/>
          <w:szCs w:val="16"/>
          <w:color w:val="auto"/>
        </w:rPr>
      </w:pPr>
    </w:p>
    <w:p>
      <w:pPr>
        <w:ind w:right="5700" w:firstLine="1"/>
        <w:spacing w:after="0" w:line="201" w:lineRule="exact"/>
        <w:tabs>
          <w:tab w:leader="none" w:pos="26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1" w:lineRule="exact"/>
        <w:rPr>
          <w:rFonts w:ascii="MS PGothic" w:cs="MS PGothic" w:eastAsia="MS PGothic" w:hAnsi="MS PGothic"/>
          <w:sz w:val="16"/>
          <w:szCs w:val="16"/>
          <w:color w:val="auto"/>
        </w:rPr>
      </w:pPr>
    </w:p>
    <w:p>
      <w:pPr>
        <w:ind w:left="260" w:hanging="259"/>
        <w:spacing w:after="0"/>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7" w:lineRule="exact"/>
        <w:rPr>
          <w:rFonts w:ascii="MS PGothic" w:cs="MS PGothic" w:eastAsia="MS PGothic" w:hAnsi="MS PGothic"/>
          <w:sz w:val="16"/>
          <w:szCs w:val="16"/>
          <w:color w:val="auto"/>
        </w:rPr>
      </w:pPr>
    </w:p>
    <w:p>
      <w:pPr>
        <w:ind w:left="260" w:hanging="259"/>
        <w:spacing w:after="0"/>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13"/>
          <w:szCs w:val="13"/>
          <w:i w:val="1"/>
          <w:iCs w:val="1"/>
          <w:color w:val="auto"/>
        </w:rPr>
        <w:t>(Name of Registrant as Specified in Its Charter)</w:t>
      </w:r>
    </w:p>
    <w:p>
      <w:pPr>
        <w:spacing w:after="0" w:line="291" w:lineRule="exact"/>
        <w:rPr>
          <w:sz w:val="24"/>
          <w:szCs w:val="24"/>
          <w:color w:val="auto"/>
        </w:rPr>
      </w:pPr>
    </w:p>
    <w:p>
      <w:pPr>
        <w:jc w:val="center"/>
        <w:ind w:right="-79"/>
        <w:spacing w:after="0"/>
        <w:rPr>
          <w:sz w:val="20"/>
          <w:szCs w:val="20"/>
          <w:color w:val="auto"/>
        </w:rPr>
      </w:pPr>
      <w:r>
        <w:rPr>
          <w:rFonts w:ascii="Arial" w:cs="Arial" w:eastAsia="Arial" w:hAnsi="Arial"/>
          <w:sz w:val="13"/>
          <w:szCs w:val="13"/>
          <w:i w:val="1"/>
          <w:iCs w:val="1"/>
          <w:color w:val="auto"/>
        </w:rPr>
        <w:t>(Name of Person(s) Filing Proxy Statement, if Other Than the Registrant)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Payment of Filing Fee (Check the appropriate box):</w:t>
      </w:r>
    </w:p>
    <w:p>
      <w:pPr>
        <w:spacing w:after="0" w:line="97" w:lineRule="exact"/>
        <w:rPr>
          <w:sz w:val="24"/>
          <w:szCs w:val="24"/>
          <w:color w:val="auto"/>
        </w:rPr>
      </w:pPr>
    </w:p>
    <w:p>
      <w:pPr>
        <w:ind w:left="460" w:hanging="459"/>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93" w:lineRule="exact"/>
        <w:rPr>
          <w:sz w:val="24"/>
          <w:szCs w:val="24"/>
          <w:color w:val="auto"/>
        </w:rPr>
      </w:pPr>
    </w:p>
    <w:p>
      <w:pPr>
        <w:ind w:left="460" w:hanging="459"/>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56"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32" w:lineRule="exact"/>
        <w:rPr>
          <w:rFonts w:ascii="Arial" w:cs="Arial" w:eastAsia="Arial" w:hAnsi="Arial"/>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32" w:lineRule="exact"/>
        <w:rPr>
          <w:rFonts w:ascii="Arial" w:cs="Arial" w:eastAsia="Arial" w:hAnsi="Arial"/>
          <w:sz w:val="16"/>
          <w:szCs w:val="16"/>
          <w:color w:val="auto"/>
        </w:rPr>
      </w:pPr>
    </w:p>
    <w:p>
      <w:pPr>
        <w:ind w:left="900" w:right="20" w:hanging="446"/>
        <w:spacing w:after="0" w:line="294"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54" w:lineRule="exact"/>
        <w:rPr>
          <w:rFonts w:ascii="Arial" w:cs="Arial" w:eastAsia="Arial" w:hAnsi="Arial"/>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32" w:lineRule="exact"/>
        <w:rPr>
          <w:rFonts w:ascii="Arial" w:cs="Arial" w:eastAsia="Arial" w:hAnsi="Arial"/>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32" w:lineRule="exact"/>
        <w:rPr>
          <w:rFonts w:ascii="Arial" w:cs="Arial" w:eastAsia="Arial" w:hAnsi="Arial"/>
          <w:sz w:val="16"/>
          <w:szCs w:val="16"/>
          <w:color w:val="auto"/>
        </w:rPr>
      </w:pPr>
    </w:p>
    <w:p>
      <w:pPr>
        <w:ind w:left="460" w:hanging="459"/>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80" w:lineRule="exact"/>
        <w:rPr>
          <w:rFonts w:ascii="MS PGothic" w:cs="MS PGothic" w:eastAsia="MS PGothic" w:hAnsi="MS PGothic"/>
          <w:sz w:val="16"/>
          <w:szCs w:val="16"/>
          <w:color w:val="auto"/>
        </w:rPr>
      </w:pPr>
    </w:p>
    <w:p>
      <w:pPr>
        <w:ind w:left="460" w:hanging="459"/>
        <w:spacing w:after="0" w:line="294"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19" w:lineRule="exact"/>
        <w:rPr>
          <w:rFonts w:ascii="Arial" w:cs="Arial" w:eastAsia="Arial" w:hAnsi="Arial"/>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32" w:lineRule="exact"/>
        <w:rPr>
          <w:rFonts w:ascii="Arial" w:cs="Arial" w:eastAsia="Arial" w:hAnsi="Arial"/>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32" w:lineRule="exact"/>
        <w:rPr>
          <w:rFonts w:ascii="Arial" w:cs="Arial" w:eastAsia="Arial" w:hAnsi="Arial"/>
          <w:sz w:val="16"/>
          <w:szCs w:val="16"/>
          <w:color w:val="auto"/>
        </w:rPr>
      </w:pPr>
    </w:p>
    <w:p>
      <w:pPr>
        <w:ind w:left="900" w:hanging="446"/>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-3062605</wp:posOffset>
            </wp:positionV>
            <wp:extent cx="65995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-2734310</wp:posOffset>
            </wp:positionV>
            <wp:extent cx="6599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-2286635</wp:posOffset>
            </wp:positionV>
            <wp:extent cx="6599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-1958340</wp:posOffset>
            </wp:positionV>
            <wp:extent cx="6599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-1630680</wp:posOffset>
            </wp:positionV>
            <wp:extent cx="6599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-838835</wp:posOffset>
            </wp:positionV>
            <wp:extent cx="6599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-510540</wp:posOffset>
            </wp:positionV>
            <wp:extent cx="6599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-182880</wp:posOffset>
            </wp:positionV>
            <wp:extent cx="6599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136525</wp:posOffset>
            </wp:positionV>
            <wp:extent cx="6599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9555" cy="8255"/>
                    </a:xfrm>
                    <a:prstGeom prst="rect">
                      <a:avLst/>
                    </a:prstGeom>
                    <a:noFill/>
                  </pic:spPr>
                </pic:pic>
              </a:graphicData>
            </a:graphic>
          </wp:anchor>
        </w:drawing>
      </w:r>
    </w:p>
    <w:p>
      <w:pPr>
        <w:sectPr>
          <w:pgSz w:w="11900" w:h="16838" w:orient="portrait"/>
          <w:cols w:equalWidth="0" w:num="1">
            <w:col w:w="11340"/>
          </w:cols>
          <w:pgMar w:left="240" w:top="224" w:right="31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1231900"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190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2, 2012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169" w:lineRule="exact"/>
        <w:rPr>
          <w:sz w:val="20"/>
          <w:szCs w:val="20"/>
          <w:color w:val="auto"/>
        </w:rPr>
      </w:pPr>
    </w:p>
    <w:p>
      <w:pPr>
        <w:ind w:right="100" w:firstLine="457"/>
        <w:spacing w:after="0" w:line="294" w:lineRule="auto"/>
        <w:rPr>
          <w:sz w:val="20"/>
          <w:szCs w:val="20"/>
          <w:color w:val="auto"/>
        </w:rPr>
      </w:pPr>
      <w:r>
        <w:rPr>
          <w:rFonts w:ascii="Arial" w:cs="Arial" w:eastAsia="Arial" w:hAnsi="Arial"/>
          <w:sz w:val="16"/>
          <w:szCs w:val="16"/>
          <w:color w:val="auto"/>
        </w:rPr>
        <w:t>You are cordially invited to attend the Annual Meeting of Shareholders to be held at 9:00 a.m. local time on Tuesday, March 13, 2012, at the Company’s headquarters at Three Technology Way, Norwood, Massachusetts, 02062.</w:t>
      </w:r>
    </w:p>
    <w:p>
      <w:pPr>
        <w:spacing w:after="0" w:line="104" w:lineRule="exact"/>
        <w:rPr>
          <w:sz w:val="20"/>
          <w:szCs w:val="20"/>
          <w:color w:val="auto"/>
        </w:rPr>
      </w:pPr>
    </w:p>
    <w:p>
      <w:pPr>
        <w:ind w:right="120" w:firstLine="457"/>
        <w:spacing w:after="0" w:line="273" w:lineRule="auto"/>
        <w:rPr>
          <w:sz w:val="20"/>
          <w:szCs w:val="20"/>
          <w:color w:val="auto"/>
        </w:rPr>
      </w:pPr>
      <w:r>
        <w:rPr>
          <w:rFonts w:ascii="Arial" w:cs="Arial" w:eastAsia="Arial" w:hAnsi="Arial"/>
          <w:sz w:val="16"/>
          <w:szCs w:val="16"/>
          <w:color w:val="auto"/>
        </w:rPr>
        <w:t>At the Annual Meeting you are being asked to elect nine members of our Board of Directors, each for a term of one year, to vote on a non-binding advisory proposal on the compensation of ADI’s named executive officers, and to ratify the selection of Ernst &amp; Young LLP as our independent registered public accounting firm for the fiscal year ending November 3, 2012. Your Board of Directors recommends that you vote FOR the election of each of the directors named in the proxy statement, FOR the compensation of our named executive officers, and FOR the ratification of Ernst &amp; Young LLP.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carefully review the attached proxy materials and take the time to cast your vote.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1447800" cy="671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7800" cy="67183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248920</wp:posOffset>
            </wp:positionV>
            <wp:extent cx="2112010" cy="560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2010" cy="56007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Ray Stata</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Jerald G. Fishman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2">
            <w:col w:w="5340" w:space="720"/>
            <w:col w:w="5360"/>
          </w:cols>
          <w:pgMar w:left="240" w:top="439"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auto"/>
        </w:rPr>
        <w:t>ANALOG DEVICES, INC.</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ONE TECHNOLOGY WAY</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NORWOOD, MASSACHUSETTS 02062-9106</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NOTICE OF 2012 ANNUAL MEETING OF SHAREHOLDERS</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i w:val="1"/>
          <w:iCs w:val="1"/>
          <w:color w:val="auto"/>
        </w:rPr>
        <w:t>To Be Held On March 13, 2012</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2012 Annual Meeting of Shareholders of Analog Devices, Inc. will be held at our headquarters at Three Technology Way, Norwood, Massachusetts 02062,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Tuesday, March 13, 2012 at 9:00 a.m. local time. At the meeting, shareholders will consider and vote on the following matters:</w:t>
      </w:r>
    </w:p>
    <w:p>
      <w:pPr>
        <w:spacing w:after="0" w:line="8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the nine director nominees named in this proxy statement to our Board of Directors, each for a term of one year;</w:t>
      </w:r>
    </w:p>
    <w:p>
      <w:pPr>
        <w:spacing w:after="0" w:line="93" w:lineRule="exact"/>
        <w:rPr>
          <w:rFonts w:ascii="Arial" w:cs="Arial" w:eastAsia="Arial" w:hAnsi="Arial"/>
          <w:sz w:val="16"/>
          <w:szCs w:val="16"/>
          <w:color w:val="auto"/>
        </w:rPr>
      </w:pPr>
    </w:p>
    <w:p>
      <w:pPr>
        <w:ind w:left="900" w:right="140" w:hanging="446"/>
        <w:spacing w:after="0" w:line="29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 non-binding “say on pay” vote regarding the compensation of our named executive officers, as described in the Compensation Discussion and Analysis, executive compensation tables and accompanying narrative disclosures in this proxy statement; and</w:t>
      </w:r>
    </w:p>
    <w:p>
      <w:pPr>
        <w:spacing w:after="0" w:line="27"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November 3, 2012.</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shareholders will also act on any other business that may properly come before the meeting.</w:t>
      </w:r>
    </w:p>
    <w:p>
      <w:pPr>
        <w:spacing w:after="0" w:line="169"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Shareholders of record at the close of business on January 13, 2012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shareholders are cordially invited to attend the meeting.</w:t>
      </w:r>
    </w:p>
    <w:p>
      <w:pPr>
        <w:spacing w:after="0" w:line="2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By order of the Board of Directors,</w:t>
      </w:r>
    </w:p>
    <w:p>
      <w:pPr>
        <w:spacing w:after="0" w:line="2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MARGARET K. SEIF</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Secretary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Norwood, Massachusetts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February 2, 2012</w:t>
      </w:r>
    </w:p>
    <w:p>
      <w:pPr>
        <w:sectPr>
          <w:pgSz w:w="11900" w:h="16838" w:orient="portrait"/>
          <w:cols w:equalWidth="0" w:num="1">
            <w:col w:w="11280"/>
          </w:cols>
          <w:pgMar w:left="240" w:top="439" w:right="3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60" w:type="dxa"/>
            <w:vAlign w:val="bottom"/>
            <w:gridSpan w:val="10"/>
          </w:tcPr>
          <w:p>
            <w:pPr>
              <w:ind w:left="200"/>
              <w:spacing w:after="0"/>
              <w:rPr>
                <w:sz w:val="20"/>
                <w:szCs w:val="20"/>
                <w:color w:val="auto"/>
              </w:rPr>
            </w:pPr>
            <w:r>
              <w:rPr>
                <w:rFonts w:ascii="Arial" w:cs="Arial" w:eastAsia="Arial" w:hAnsi="Arial"/>
                <w:sz w:val="16"/>
                <w:szCs w:val="16"/>
                <w:b w:val="1"/>
                <w:bCs w:val="1"/>
                <w:color w:val="auto"/>
              </w:rPr>
              <w:t>TABLE OF CONTENTS</w:t>
            </w:r>
          </w:p>
        </w:tc>
        <w:tc>
          <w:tcPr>
            <w:tcW w:w="1240" w:type="dxa"/>
            <w:vAlign w:val="bottom"/>
          </w:tcPr>
          <w:p>
            <w:pPr>
              <w:spacing w:after="0"/>
              <w:rPr>
                <w:sz w:val="18"/>
                <w:szCs w:val="18"/>
                <w:color w:val="auto"/>
              </w:rPr>
            </w:pPr>
          </w:p>
        </w:tc>
      </w:tr>
      <w:tr>
        <w:trPr>
          <w:trHeight w:val="355"/>
        </w:trPr>
        <w:tc>
          <w:tcPr>
            <w:tcW w:w="10100" w:type="dxa"/>
            <w:vAlign w:val="bottom"/>
            <w:gridSpan w:val="46"/>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INFORMATION ABOUT THE ANNUAL MEETING AND VOTING</w:t>
              </w:r>
            </w:hyperlink>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2"/>
        </w:trPr>
        <w:tc>
          <w:tcPr>
            <w:tcW w:w="400" w:type="dxa"/>
            <w:vAlign w:val="bottom"/>
            <w:tcBorders>
              <w:top w:val="single" w:sz="8" w:color="0000EE"/>
            </w:tcBorders>
          </w:tcPr>
          <w:p>
            <w:pPr>
              <w:spacing w:after="0"/>
              <w:rPr>
                <w:sz w:val="15"/>
                <w:szCs w:val="15"/>
                <w:color w:val="auto"/>
              </w:rPr>
            </w:pPr>
          </w:p>
        </w:tc>
        <w:tc>
          <w:tcPr>
            <w:tcW w:w="4480" w:type="dxa"/>
            <w:vAlign w:val="bottom"/>
            <w:tcBorders>
              <w:top w:val="single" w:sz="8" w:color="0000EE"/>
            </w:tcBorders>
            <w:gridSpan w:val="36"/>
          </w:tcPr>
          <w:p>
            <w:pPr>
              <w:spacing w:after="0" w:line="181" w:lineRule="exact"/>
              <w:rPr>
                <w:rFonts w:ascii="Arial" w:cs="Arial" w:eastAsia="Arial" w:hAnsi="Arial"/>
                <w:sz w:val="16"/>
                <w:szCs w:val="16"/>
                <w:color w:val="0000EE"/>
              </w:rPr>
            </w:pPr>
            <w:hyperlink w:anchor="page6">
              <w:r>
                <w:rPr>
                  <w:rFonts w:ascii="Arial" w:cs="Arial" w:eastAsia="Arial" w:hAnsi="Arial"/>
                  <w:sz w:val="16"/>
                  <w:szCs w:val="16"/>
                  <w:color w:val="0000EE"/>
                </w:rPr>
                <w:t>What is the purpose of the annual meeting?</w:t>
              </w:r>
            </w:hyperlink>
          </w:p>
        </w:tc>
        <w:tc>
          <w:tcPr>
            <w:tcW w:w="5220" w:type="dxa"/>
            <w:vAlign w:val="bottom"/>
            <w:gridSpan w:val="9"/>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r>
      <w:tr>
        <w:trPr>
          <w:trHeight w:val="182"/>
        </w:trPr>
        <w:tc>
          <w:tcPr>
            <w:tcW w:w="400" w:type="dxa"/>
            <w:vAlign w:val="bottom"/>
          </w:tcPr>
          <w:p>
            <w:pPr>
              <w:spacing w:after="0"/>
              <w:rPr>
                <w:sz w:val="15"/>
                <w:szCs w:val="15"/>
                <w:color w:val="auto"/>
              </w:rPr>
            </w:pPr>
          </w:p>
        </w:tc>
        <w:tc>
          <w:tcPr>
            <w:tcW w:w="2840" w:type="dxa"/>
            <w:vAlign w:val="bottom"/>
            <w:tcBorders>
              <w:top w:val="single" w:sz="8" w:color="0000EE"/>
            </w:tcBorders>
            <w:gridSpan w:val="22"/>
          </w:tcPr>
          <w:p>
            <w:pPr>
              <w:spacing w:after="0" w:line="181" w:lineRule="exact"/>
              <w:rPr>
                <w:rFonts w:ascii="Arial" w:cs="Arial" w:eastAsia="Arial" w:hAnsi="Arial"/>
                <w:sz w:val="16"/>
                <w:szCs w:val="16"/>
                <w:color w:val="0000EE"/>
              </w:rPr>
            </w:pPr>
            <w:hyperlink w:anchor="page6">
              <w:r>
                <w:rPr>
                  <w:rFonts w:ascii="Arial" w:cs="Arial" w:eastAsia="Arial" w:hAnsi="Arial"/>
                  <w:sz w:val="16"/>
                  <w:szCs w:val="16"/>
                  <w:color w:val="0000EE"/>
                </w:rPr>
                <w:t>Who can vote?</w:t>
              </w:r>
            </w:hyperlink>
          </w:p>
        </w:tc>
        <w:tc>
          <w:tcPr>
            <w:tcW w:w="6860" w:type="dxa"/>
            <w:vAlign w:val="bottom"/>
            <w:gridSpan w:val="23"/>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r>
      <w:tr>
        <w:trPr>
          <w:trHeight w:val="20"/>
        </w:trPr>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1860" w:type="dxa"/>
            <w:vAlign w:val="bottom"/>
            <w:tcBorders>
              <w:bottom w:val="single" w:sz="8" w:color="0000EE"/>
            </w:tcBorders>
            <w:gridSpan w:val="11"/>
          </w:tcPr>
          <w:p>
            <w:pPr>
              <w:spacing w:after="0" w:line="181" w:lineRule="exact"/>
              <w:rPr>
                <w:rFonts w:ascii="Arial" w:cs="Arial" w:eastAsia="Arial" w:hAnsi="Arial"/>
                <w:sz w:val="16"/>
                <w:szCs w:val="16"/>
                <w:color w:val="0000EE"/>
                <w:w w:val="93"/>
              </w:rPr>
            </w:pPr>
            <w:hyperlink w:anchor="page7">
              <w:r>
                <w:rPr>
                  <w:rFonts w:ascii="Arial" w:cs="Arial" w:eastAsia="Arial" w:hAnsi="Arial"/>
                  <w:sz w:val="16"/>
                  <w:szCs w:val="16"/>
                  <w:color w:val="0000EE"/>
                  <w:w w:val="93"/>
                </w:rPr>
                <w:t>How many votes do I have?</w:t>
              </w:r>
            </w:hyperlink>
          </w:p>
        </w:tc>
        <w:tc>
          <w:tcPr>
            <w:tcW w:w="7840" w:type="dxa"/>
            <w:vAlign w:val="bottom"/>
            <w:gridSpan w:val="34"/>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7">
              <w:r>
                <w:rPr>
                  <w:rFonts w:ascii="Arial" w:cs="Arial" w:eastAsia="Arial" w:hAnsi="Arial"/>
                  <w:sz w:val="16"/>
                  <w:szCs w:val="16"/>
                  <w:color w:val="0000EE"/>
                </w:rPr>
                <w:t>Is my vote important?</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r>
      <w:tr>
        <w:trPr>
          <w:trHeight w:val="182"/>
        </w:trPr>
        <w:tc>
          <w:tcPr>
            <w:tcW w:w="40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3"/>
          </w:tcPr>
          <w:p>
            <w:pPr>
              <w:spacing w:after="0" w:line="181" w:lineRule="exact"/>
              <w:rPr>
                <w:rFonts w:ascii="Arial" w:cs="Arial" w:eastAsia="Arial" w:hAnsi="Arial"/>
                <w:sz w:val="16"/>
                <w:szCs w:val="16"/>
                <w:color w:val="0000EE"/>
                <w:w w:val="93"/>
              </w:rPr>
            </w:pPr>
            <w:hyperlink w:anchor="page7">
              <w:r>
                <w:rPr>
                  <w:rFonts w:ascii="Arial" w:cs="Arial" w:eastAsia="Arial" w:hAnsi="Arial"/>
                  <w:sz w:val="16"/>
                  <w:szCs w:val="16"/>
                  <w:color w:val="0000EE"/>
                  <w:w w:val="93"/>
                </w:rPr>
                <w:t>How do I vote?</w:t>
              </w:r>
            </w:hyperlink>
          </w:p>
        </w:tc>
        <w:tc>
          <w:tcPr>
            <w:tcW w:w="420" w:type="dxa"/>
            <w:vAlign w:val="bottom"/>
            <w:tcBorders>
              <w:top w:val="single" w:sz="8" w:color="0000EE"/>
            </w:tcBorders>
            <w:gridSpan w:val="3"/>
          </w:tcPr>
          <w:p>
            <w:pPr>
              <w:spacing w:after="0"/>
              <w:rPr>
                <w:sz w:val="15"/>
                <w:szCs w:val="15"/>
                <w:color w:val="auto"/>
              </w:rPr>
            </w:pPr>
          </w:p>
        </w:tc>
        <w:tc>
          <w:tcPr>
            <w:tcW w:w="8260" w:type="dxa"/>
            <w:vAlign w:val="bottom"/>
            <w:gridSpan w:val="39"/>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r>
      <w:tr>
        <w:trPr>
          <w:trHeight w:val="182"/>
        </w:trPr>
        <w:tc>
          <w:tcPr>
            <w:tcW w:w="400" w:type="dxa"/>
            <w:vAlign w:val="bottom"/>
          </w:tcPr>
          <w:p>
            <w:pPr>
              <w:spacing w:after="0"/>
              <w:rPr>
                <w:sz w:val="15"/>
                <w:szCs w:val="15"/>
                <w:color w:val="auto"/>
              </w:rPr>
            </w:pPr>
          </w:p>
        </w:tc>
        <w:tc>
          <w:tcPr>
            <w:tcW w:w="8040" w:type="dxa"/>
            <w:vAlign w:val="bottom"/>
            <w:tcBorders>
              <w:bottom w:val="single" w:sz="8" w:color="0000EE"/>
            </w:tcBorders>
            <w:gridSpan w:val="43"/>
          </w:tcPr>
          <w:p>
            <w:pPr>
              <w:spacing w:after="0" w:line="181" w:lineRule="exact"/>
              <w:rPr>
                <w:rFonts w:ascii="Arial" w:cs="Arial" w:eastAsia="Arial" w:hAnsi="Arial"/>
                <w:sz w:val="16"/>
                <w:szCs w:val="16"/>
                <w:color w:val="0000EE"/>
                <w:w w:val="92"/>
              </w:rPr>
            </w:pPr>
            <w:hyperlink w:anchor="page7">
              <w:r>
                <w:rPr>
                  <w:rFonts w:ascii="Arial" w:cs="Arial" w:eastAsia="Arial" w:hAnsi="Arial"/>
                  <w:sz w:val="16"/>
                  <w:szCs w:val="16"/>
                  <w:color w:val="0000EE"/>
                  <w:w w:val="92"/>
                </w:rPr>
                <w:t>Can I change my vote after I have mailed my proxy card or after I have voted my shares over the Internet or by telephone?</w:t>
              </w:r>
            </w:hyperlink>
          </w:p>
        </w:tc>
        <w:tc>
          <w:tcPr>
            <w:tcW w:w="1660" w:type="dxa"/>
            <w:vAlign w:val="bottom"/>
            <w:gridSpan w:val="2"/>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7">
              <w:r>
                <w:rPr>
                  <w:rFonts w:ascii="Arial" w:cs="Arial" w:eastAsia="Arial" w:hAnsi="Arial"/>
                  <w:sz w:val="16"/>
                  <w:szCs w:val="16"/>
                  <w:color w:val="0000EE"/>
                </w:rPr>
                <w:t>Can I vote if my shares are held in “street name”?</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r>
      <w:tr>
        <w:trPr>
          <w:trHeight w:val="182"/>
        </w:trPr>
        <w:tc>
          <w:tcPr>
            <w:tcW w:w="40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15"/>
          </w:tcPr>
          <w:p>
            <w:pPr>
              <w:spacing w:after="0" w:line="181" w:lineRule="exact"/>
              <w:rPr>
                <w:rFonts w:ascii="Arial" w:cs="Arial" w:eastAsia="Arial" w:hAnsi="Arial"/>
                <w:sz w:val="16"/>
                <w:szCs w:val="16"/>
                <w:color w:val="0000EE"/>
                <w:w w:val="92"/>
              </w:rPr>
            </w:pPr>
            <w:hyperlink w:anchor="page8">
              <w:r>
                <w:rPr>
                  <w:rFonts w:ascii="Arial" w:cs="Arial" w:eastAsia="Arial" w:hAnsi="Arial"/>
                  <w:sz w:val="16"/>
                  <w:szCs w:val="16"/>
                  <w:color w:val="0000EE"/>
                  <w:w w:val="92"/>
                </w:rPr>
                <w:t>How do I vote my 401(k) shares?</w:t>
              </w:r>
            </w:hyperlink>
          </w:p>
        </w:tc>
        <w:tc>
          <w:tcPr>
            <w:tcW w:w="1060" w:type="dxa"/>
            <w:vAlign w:val="bottom"/>
            <w:tcBorders>
              <w:top w:val="single" w:sz="8" w:color="0000EE"/>
            </w:tcBorders>
            <w:gridSpan w:val="12"/>
          </w:tcPr>
          <w:p>
            <w:pPr>
              <w:spacing w:after="0"/>
              <w:rPr>
                <w:sz w:val="15"/>
                <w:szCs w:val="15"/>
                <w:color w:val="auto"/>
              </w:rPr>
            </w:pPr>
          </w:p>
        </w:tc>
        <w:tc>
          <w:tcPr>
            <w:tcW w:w="6440" w:type="dxa"/>
            <w:vAlign w:val="bottom"/>
            <w:gridSpan w:val="18"/>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r>
      <w:tr>
        <w:trPr>
          <w:trHeight w:val="182"/>
        </w:trPr>
        <w:tc>
          <w:tcPr>
            <w:tcW w:w="400" w:type="dxa"/>
            <w:vAlign w:val="bottom"/>
          </w:tcPr>
          <w:p>
            <w:pPr>
              <w:spacing w:after="0"/>
              <w:rPr>
                <w:sz w:val="15"/>
                <w:szCs w:val="15"/>
                <w:color w:val="auto"/>
              </w:rPr>
            </w:pPr>
          </w:p>
        </w:tc>
        <w:tc>
          <w:tcPr>
            <w:tcW w:w="5840" w:type="dxa"/>
            <w:vAlign w:val="bottom"/>
            <w:tcBorders>
              <w:bottom w:val="single" w:sz="8" w:color="0000EE"/>
            </w:tcBorders>
            <w:gridSpan w:val="41"/>
          </w:tcPr>
          <w:p>
            <w:pPr>
              <w:spacing w:after="0" w:line="181" w:lineRule="exact"/>
              <w:rPr>
                <w:rFonts w:ascii="Arial" w:cs="Arial" w:eastAsia="Arial" w:hAnsi="Arial"/>
                <w:sz w:val="16"/>
                <w:szCs w:val="16"/>
                <w:color w:val="0000EE"/>
                <w:w w:val="92"/>
              </w:rPr>
            </w:pPr>
            <w:hyperlink w:anchor="page8">
              <w:r>
                <w:rPr>
                  <w:rFonts w:ascii="Arial" w:cs="Arial" w:eastAsia="Arial" w:hAnsi="Arial"/>
                  <w:sz w:val="16"/>
                  <w:szCs w:val="16"/>
                  <w:color w:val="0000EE"/>
                  <w:w w:val="92"/>
                </w:rPr>
                <w:t>How do I vote my shares held in trust in the Analog Ireland Success Sharing Share Plan?</w:t>
              </w:r>
            </w:hyperlink>
          </w:p>
        </w:tc>
        <w:tc>
          <w:tcPr>
            <w:tcW w:w="3860" w:type="dxa"/>
            <w:vAlign w:val="bottom"/>
            <w:gridSpan w:val="4"/>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r>
      <w:tr>
        <w:trPr>
          <w:trHeight w:val="182"/>
        </w:trPr>
        <w:tc>
          <w:tcPr>
            <w:tcW w:w="400" w:type="dxa"/>
            <w:vAlign w:val="bottom"/>
          </w:tcPr>
          <w:p>
            <w:pPr>
              <w:spacing w:after="0"/>
              <w:rPr>
                <w:sz w:val="15"/>
                <w:szCs w:val="15"/>
                <w:color w:val="auto"/>
              </w:rPr>
            </w:pPr>
          </w:p>
        </w:tc>
        <w:tc>
          <w:tcPr>
            <w:tcW w:w="1860" w:type="dxa"/>
            <w:vAlign w:val="bottom"/>
            <w:tcBorders>
              <w:bottom w:val="single" w:sz="8" w:color="0000EE"/>
            </w:tcBorders>
            <w:gridSpan w:val="11"/>
          </w:tcPr>
          <w:p>
            <w:pPr>
              <w:spacing w:after="0" w:line="181" w:lineRule="exact"/>
              <w:rPr>
                <w:rFonts w:ascii="Arial" w:cs="Arial" w:eastAsia="Arial" w:hAnsi="Arial"/>
                <w:sz w:val="16"/>
                <w:szCs w:val="16"/>
                <w:color w:val="0000EE"/>
                <w:w w:val="92"/>
              </w:rPr>
            </w:pPr>
            <w:hyperlink w:anchor="page8">
              <w:r>
                <w:rPr>
                  <w:rFonts w:ascii="Arial" w:cs="Arial" w:eastAsia="Arial" w:hAnsi="Arial"/>
                  <w:sz w:val="16"/>
                  <w:szCs w:val="16"/>
                  <w:color w:val="0000EE"/>
                  <w:w w:val="92"/>
                </w:rPr>
                <w:t>What constitutes a quorum?</w:t>
              </w:r>
            </w:hyperlink>
          </w:p>
        </w:tc>
        <w:tc>
          <w:tcPr>
            <w:tcW w:w="7840" w:type="dxa"/>
            <w:vAlign w:val="bottom"/>
            <w:gridSpan w:val="34"/>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r>
      <w:tr>
        <w:trPr>
          <w:trHeight w:val="182"/>
        </w:trPr>
        <w:tc>
          <w:tcPr>
            <w:tcW w:w="400" w:type="dxa"/>
            <w:vAlign w:val="bottom"/>
          </w:tcPr>
          <w:p>
            <w:pPr>
              <w:spacing w:after="0"/>
              <w:rPr>
                <w:sz w:val="15"/>
                <w:szCs w:val="15"/>
                <w:color w:val="auto"/>
              </w:rPr>
            </w:pPr>
          </w:p>
        </w:tc>
        <w:tc>
          <w:tcPr>
            <w:tcW w:w="2400" w:type="dxa"/>
            <w:vAlign w:val="bottom"/>
            <w:tcBorders>
              <w:bottom w:val="single" w:sz="8" w:color="0000EE"/>
            </w:tcBorders>
            <w:gridSpan w:val="18"/>
          </w:tcPr>
          <w:p>
            <w:pPr>
              <w:spacing w:after="0" w:line="181" w:lineRule="exact"/>
              <w:rPr>
                <w:rFonts w:ascii="Arial" w:cs="Arial" w:eastAsia="Arial" w:hAnsi="Arial"/>
                <w:sz w:val="16"/>
                <w:szCs w:val="16"/>
                <w:color w:val="0000EE"/>
                <w:w w:val="92"/>
              </w:rPr>
            </w:pPr>
            <w:hyperlink w:anchor="page9">
              <w:r>
                <w:rPr>
                  <w:rFonts w:ascii="Arial" w:cs="Arial" w:eastAsia="Arial" w:hAnsi="Arial"/>
                  <w:sz w:val="16"/>
                  <w:szCs w:val="16"/>
                  <w:color w:val="0000EE"/>
                  <w:w w:val="92"/>
                </w:rPr>
                <w:t>What vote is required for each item?</w:t>
              </w:r>
            </w:hyperlink>
          </w:p>
        </w:tc>
        <w:tc>
          <w:tcPr>
            <w:tcW w:w="7300" w:type="dxa"/>
            <w:vAlign w:val="bottom"/>
            <w:gridSpan w:val="27"/>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r>
      <w:tr>
        <w:trPr>
          <w:trHeight w:val="182"/>
        </w:trPr>
        <w:tc>
          <w:tcPr>
            <w:tcW w:w="400" w:type="dxa"/>
            <w:vAlign w:val="bottom"/>
          </w:tcPr>
          <w:p>
            <w:pPr>
              <w:spacing w:after="0"/>
              <w:rPr>
                <w:sz w:val="15"/>
                <w:szCs w:val="15"/>
                <w:color w:val="auto"/>
              </w:rPr>
            </w:pPr>
          </w:p>
        </w:tc>
        <w:tc>
          <w:tcPr>
            <w:tcW w:w="1840" w:type="dxa"/>
            <w:vAlign w:val="bottom"/>
            <w:tcBorders>
              <w:bottom w:val="single" w:sz="8" w:color="0000EE"/>
            </w:tcBorders>
            <w:gridSpan w:val="10"/>
          </w:tcPr>
          <w:p>
            <w:pPr>
              <w:spacing w:after="0" w:line="181" w:lineRule="exact"/>
              <w:rPr>
                <w:rFonts w:ascii="Arial" w:cs="Arial" w:eastAsia="Arial" w:hAnsi="Arial"/>
                <w:sz w:val="16"/>
                <w:szCs w:val="16"/>
                <w:color w:val="0000EE"/>
                <w:w w:val="93"/>
              </w:rPr>
            </w:pPr>
            <w:hyperlink w:anchor="page9">
              <w:r>
                <w:rPr>
                  <w:rFonts w:ascii="Arial" w:cs="Arial" w:eastAsia="Arial" w:hAnsi="Arial"/>
                  <w:sz w:val="16"/>
                  <w:szCs w:val="16"/>
                  <w:color w:val="0000EE"/>
                  <w:w w:val="93"/>
                </w:rPr>
                <w:t>How will votes be counted?</w:t>
              </w:r>
            </w:hyperlink>
          </w:p>
        </w:tc>
        <w:tc>
          <w:tcPr>
            <w:tcW w:w="7860" w:type="dxa"/>
            <w:vAlign w:val="bottom"/>
            <w:gridSpan w:val="35"/>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9">
              <w:r>
                <w:rPr>
                  <w:rFonts w:ascii="Arial" w:cs="Arial" w:eastAsia="Arial" w:hAnsi="Arial"/>
                  <w:sz w:val="16"/>
                  <w:szCs w:val="16"/>
                  <w:color w:val="0000EE"/>
                </w:rPr>
                <w:t>Who will count the votes?</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r>
      <w:tr>
        <w:trPr>
          <w:trHeight w:val="20"/>
        </w:trPr>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2280" w:type="dxa"/>
            <w:vAlign w:val="bottom"/>
            <w:tcBorders>
              <w:bottom w:val="single" w:sz="8" w:color="0000EE"/>
            </w:tcBorders>
            <w:gridSpan w:val="16"/>
          </w:tcPr>
          <w:p>
            <w:pPr>
              <w:spacing w:after="0" w:line="181" w:lineRule="exact"/>
              <w:rPr>
                <w:rFonts w:ascii="Arial" w:cs="Arial" w:eastAsia="Arial" w:hAnsi="Arial"/>
                <w:sz w:val="16"/>
                <w:szCs w:val="16"/>
                <w:color w:val="0000EE"/>
                <w:w w:val="95"/>
              </w:rPr>
            </w:pPr>
            <w:hyperlink w:anchor="page9">
              <w:r>
                <w:rPr>
                  <w:rFonts w:ascii="Arial" w:cs="Arial" w:eastAsia="Arial" w:hAnsi="Arial"/>
                  <w:sz w:val="16"/>
                  <w:szCs w:val="16"/>
                  <w:color w:val="0000EE"/>
                  <w:w w:val="95"/>
                </w:rPr>
                <w:t>Will my vote be kept confidential?</w:t>
              </w:r>
            </w:hyperlink>
          </w:p>
        </w:tc>
        <w:tc>
          <w:tcPr>
            <w:tcW w:w="7420" w:type="dxa"/>
            <w:vAlign w:val="bottom"/>
            <w:gridSpan w:val="29"/>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r>
      <w:tr>
        <w:trPr>
          <w:trHeight w:val="182"/>
        </w:trPr>
        <w:tc>
          <w:tcPr>
            <w:tcW w:w="400" w:type="dxa"/>
            <w:vAlign w:val="bottom"/>
          </w:tcPr>
          <w:p>
            <w:pPr>
              <w:spacing w:after="0"/>
              <w:rPr>
                <w:sz w:val="15"/>
                <w:szCs w:val="15"/>
                <w:color w:val="auto"/>
              </w:rPr>
            </w:pPr>
          </w:p>
        </w:tc>
        <w:tc>
          <w:tcPr>
            <w:tcW w:w="4880" w:type="dxa"/>
            <w:vAlign w:val="bottom"/>
            <w:tcBorders>
              <w:bottom w:val="single" w:sz="8" w:color="0000EE"/>
            </w:tcBorders>
            <w:gridSpan w:val="38"/>
          </w:tcPr>
          <w:p>
            <w:pPr>
              <w:spacing w:after="0" w:line="181" w:lineRule="exact"/>
              <w:rPr>
                <w:rFonts w:ascii="Arial" w:cs="Arial" w:eastAsia="Arial" w:hAnsi="Arial"/>
                <w:sz w:val="16"/>
                <w:szCs w:val="16"/>
                <w:color w:val="0000EE"/>
                <w:w w:val="92"/>
              </w:rPr>
            </w:pPr>
            <w:hyperlink w:anchor="page10">
              <w:r>
                <w:rPr>
                  <w:rFonts w:ascii="Arial" w:cs="Arial" w:eastAsia="Arial" w:hAnsi="Arial"/>
                  <w:sz w:val="16"/>
                  <w:szCs w:val="16"/>
                  <w:color w:val="0000EE"/>
                  <w:w w:val="92"/>
                </w:rPr>
                <w:t>How does the Board of Directors recommend that I vote on the proposals?</w:t>
              </w:r>
            </w:hyperlink>
          </w:p>
        </w:tc>
        <w:tc>
          <w:tcPr>
            <w:tcW w:w="4820" w:type="dxa"/>
            <w:vAlign w:val="bottom"/>
            <w:gridSpan w:val="7"/>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5</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10">
              <w:r>
                <w:rPr>
                  <w:rFonts w:ascii="Arial" w:cs="Arial" w:eastAsia="Arial" w:hAnsi="Arial"/>
                  <w:sz w:val="16"/>
                  <w:szCs w:val="16"/>
                  <w:color w:val="0000EE"/>
                </w:rPr>
                <w:t>Will any other matters be voted on at this meeting?</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5</w:t>
            </w:r>
          </w:p>
        </w:tc>
      </w:tr>
      <w:tr>
        <w:trPr>
          <w:trHeight w:val="182"/>
        </w:trPr>
        <w:tc>
          <w:tcPr>
            <w:tcW w:w="400" w:type="dxa"/>
            <w:vAlign w:val="bottom"/>
          </w:tcPr>
          <w:p>
            <w:pPr>
              <w:spacing w:after="0"/>
              <w:rPr>
                <w:sz w:val="15"/>
                <w:szCs w:val="15"/>
                <w:color w:val="auto"/>
              </w:rPr>
            </w:pPr>
          </w:p>
        </w:tc>
        <w:tc>
          <w:tcPr>
            <w:tcW w:w="2360" w:type="dxa"/>
            <w:vAlign w:val="bottom"/>
            <w:tcBorders>
              <w:top w:val="single" w:sz="8" w:color="0000EE"/>
              <w:bottom w:val="single" w:sz="8" w:color="0000EE"/>
            </w:tcBorders>
            <w:gridSpan w:val="17"/>
          </w:tcPr>
          <w:p>
            <w:pPr>
              <w:spacing w:after="0" w:line="181" w:lineRule="exact"/>
              <w:rPr>
                <w:rFonts w:ascii="Arial" w:cs="Arial" w:eastAsia="Arial" w:hAnsi="Arial"/>
                <w:sz w:val="16"/>
                <w:szCs w:val="16"/>
                <w:color w:val="0000EE"/>
                <w:w w:val="93"/>
              </w:rPr>
            </w:pPr>
            <w:hyperlink w:anchor="page10">
              <w:r>
                <w:rPr>
                  <w:rFonts w:ascii="Arial" w:cs="Arial" w:eastAsia="Arial" w:hAnsi="Arial"/>
                  <w:sz w:val="16"/>
                  <w:szCs w:val="16"/>
                  <w:color w:val="0000EE"/>
                  <w:w w:val="93"/>
                </w:rPr>
                <w:t>Where can I find the voting results?</w:t>
              </w:r>
            </w:hyperlink>
          </w:p>
        </w:tc>
        <w:tc>
          <w:tcPr>
            <w:tcW w:w="980" w:type="dxa"/>
            <w:vAlign w:val="bottom"/>
            <w:tcBorders>
              <w:top w:val="single" w:sz="8" w:color="0000EE"/>
            </w:tcBorders>
            <w:gridSpan w:val="11"/>
          </w:tcPr>
          <w:p>
            <w:pPr>
              <w:spacing w:after="0"/>
              <w:rPr>
                <w:sz w:val="15"/>
                <w:szCs w:val="15"/>
                <w:color w:val="auto"/>
              </w:rPr>
            </w:pPr>
          </w:p>
        </w:tc>
        <w:tc>
          <w:tcPr>
            <w:tcW w:w="6360" w:type="dxa"/>
            <w:vAlign w:val="bottom"/>
            <w:gridSpan w:val="17"/>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5</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10">
              <w:r>
                <w:rPr>
                  <w:rFonts w:ascii="Arial" w:cs="Arial" w:eastAsia="Arial" w:hAnsi="Arial"/>
                  <w:sz w:val="16"/>
                  <w:szCs w:val="16"/>
                  <w:color w:val="0000EE"/>
                </w:rPr>
                <w:t>How and when may I submit a shareholder proposal, including a shareholder nomination for director, for the 2013 annual meeting?</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5</w:t>
            </w:r>
          </w:p>
        </w:tc>
      </w:tr>
      <w:tr>
        <w:trPr>
          <w:trHeight w:val="182"/>
        </w:trPr>
        <w:tc>
          <w:tcPr>
            <w:tcW w:w="400" w:type="dxa"/>
            <w:vAlign w:val="bottom"/>
          </w:tcPr>
          <w:p>
            <w:pPr>
              <w:spacing w:after="0"/>
              <w:rPr>
                <w:sz w:val="15"/>
                <w:szCs w:val="15"/>
                <w:color w:val="auto"/>
              </w:rPr>
            </w:pPr>
          </w:p>
        </w:tc>
        <w:tc>
          <w:tcPr>
            <w:tcW w:w="8600" w:type="dxa"/>
            <w:vAlign w:val="bottom"/>
            <w:tcBorders>
              <w:top w:val="single" w:sz="8" w:color="0000EE"/>
            </w:tcBorders>
            <w:gridSpan w:val="44"/>
          </w:tcPr>
          <w:p>
            <w:pPr>
              <w:spacing w:after="0" w:line="181" w:lineRule="exact"/>
              <w:rPr>
                <w:rFonts w:ascii="Arial" w:cs="Arial" w:eastAsia="Arial" w:hAnsi="Arial"/>
                <w:sz w:val="16"/>
                <w:szCs w:val="16"/>
                <w:color w:val="0000EE"/>
              </w:rPr>
            </w:pPr>
            <w:hyperlink w:anchor="page11">
              <w:r>
                <w:rPr>
                  <w:rFonts w:ascii="Arial" w:cs="Arial" w:eastAsia="Arial" w:hAnsi="Arial"/>
                  <w:sz w:val="16"/>
                  <w:szCs w:val="16"/>
                  <w:color w:val="0000EE"/>
                </w:rPr>
                <w:t>What are the costs of soliciting these proxies and who will pay?</w:t>
              </w:r>
            </w:hyperlink>
          </w:p>
        </w:tc>
        <w:tc>
          <w:tcPr>
            <w:tcW w:w="1100" w:type="dxa"/>
            <w:vAlign w:val="bottom"/>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6</w:t>
            </w:r>
          </w:p>
        </w:tc>
      </w:tr>
      <w:tr>
        <w:trPr>
          <w:trHeight w:val="182"/>
        </w:trPr>
        <w:tc>
          <w:tcPr>
            <w:tcW w:w="40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30"/>
          </w:tcPr>
          <w:p>
            <w:pPr>
              <w:spacing w:after="0" w:line="181" w:lineRule="exact"/>
              <w:rPr>
                <w:rFonts w:ascii="Arial" w:cs="Arial" w:eastAsia="Arial" w:hAnsi="Arial"/>
                <w:sz w:val="16"/>
                <w:szCs w:val="16"/>
                <w:color w:val="0000EE"/>
                <w:w w:val="94"/>
              </w:rPr>
            </w:pPr>
            <w:hyperlink w:anchor="page11">
              <w:r>
                <w:rPr>
                  <w:rFonts w:ascii="Arial" w:cs="Arial" w:eastAsia="Arial" w:hAnsi="Arial"/>
                  <w:sz w:val="16"/>
                  <w:szCs w:val="16"/>
                  <w:color w:val="0000EE"/>
                  <w:w w:val="94"/>
                </w:rPr>
                <w:t>How can I obtain an Annual Report on Form 10-K?</w:t>
              </w:r>
            </w:hyperlink>
          </w:p>
        </w:tc>
        <w:tc>
          <w:tcPr>
            <w:tcW w:w="780" w:type="dxa"/>
            <w:vAlign w:val="bottom"/>
            <w:tcBorders>
              <w:top w:val="single" w:sz="8" w:color="0000EE"/>
            </w:tcBorders>
            <w:gridSpan w:val="4"/>
          </w:tcPr>
          <w:p>
            <w:pPr>
              <w:spacing w:after="0"/>
              <w:rPr>
                <w:sz w:val="15"/>
                <w:szCs w:val="15"/>
                <w:color w:val="auto"/>
              </w:rPr>
            </w:pPr>
          </w:p>
        </w:tc>
        <w:tc>
          <w:tcPr>
            <w:tcW w:w="5520" w:type="dxa"/>
            <w:vAlign w:val="bottom"/>
            <w:gridSpan w:val="11"/>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6</w:t>
            </w:r>
          </w:p>
        </w:tc>
      </w:tr>
      <w:tr>
        <w:trPr>
          <w:trHeight w:val="182"/>
        </w:trPr>
        <w:tc>
          <w:tcPr>
            <w:tcW w:w="400" w:type="dxa"/>
            <w:vAlign w:val="bottom"/>
          </w:tcPr>
          <w:p>
            <w:pPr>
              <w:spacing w:after="0"/>
              <w:rPr>
                <w:sz w:val="15"/>
                <w:szCs w:val="15"/>
                <w:color w:val="auto"/>
              </w:rPr>
            </w:pPr>
          </w:p>
        </w:tc>
        <w:tc>
          <w:tcPr>
            <w:tcW w:w="3140" w:type="dxa"/>
            <w:vAlign w:val="bottom"/>
            <w:tcBorders>
              <w:bottom w:val="single" w:sz="8" w:color="0000EE"/>
            </w:tcBorders>
            <w:gridSpan w:val="25"/>
          </w:tcPr>
          <w:p>
            <w:pPr>
              <w:spacing w:after="0" w:line="181" w:lineRule="exact"/>
              <w:rPr>
                <w:rFonts w:ascii="Arial" w:cs="Arial" w:eastAsia="Arial" w:hAnsi="Arial"/>
                <w:sz w:val="16"/>
                <w:szCs w:val="16"/>
                <w:color w:val="0000EE"/>
                <w:w w:val="93"/>
              </w:rPr>
            </w:pPr>
            <w:hyperlink w:anchor="page11">
              <w:r>
                <w:rPr>
                  <w:rFonts w:ascii="Arial" w:cs="Arial" w:eastAsia="Arial" w:hAnsi="Arial"/>
                  <w:sz w:val="16"/>
                  <w:szCs w:val="16"/>
                  <w:color w:val="0000EE"/>
                  <w:w w:val="93"/>
                </w:rPr>
                <w:t>Whom should I contact if I have any questions?</w:t>
              </w:r>
            </w:hyperlink>
          </w:p>
        </w:tc>
        <w:tc>
          <w:tcPr>
            <w:tcW w:w="6560" w:type="dxa"/>
            <w:vAlign w:val="bottom"/>
            <w:gridSpan w:val="20"/>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6</w:t>
            </w:r>
          </w:p>
        </w:tc>
      </w:tr>
      <w:tr>
        <w:trPr>
          <w:trHeight w:val="182"/>
        </w:trPr>
        <w:tc>
          <w:tcPr>
            <w:tcW w:w="10100" w:type="dxa"/>
            <w:vAlign w:val="bottom"/>
            <w:gridSpan w:val="46"/>
          </w:tcPr>
          <w:p>
            <w:pPr>
              <w:spacing w:after="0" w:line="181" w:lineRule="exact"/>
              <w:rPr>
                <w:rFonts w:ascii="Arial" w:cs="Arial" w:eastAsia="Arial" w:hAnsi="Arial"/>
                <w:sz w:val="16"/>
                <w:szCs w:val="16"/>
                <w:b w:val="1"/>
                <w:bCs w:val="1"/>
                <w:color w:val="0000EE"/>
              </w:rPr>
            </w:pPr>
            <w:hyperlink w:anchor="page11">
              <w:r>
                <w:rPr>
                  <w:rFonts w:ascii="Arial" w:cs="Arial" w:eastAsia="Arial" w:hAnsi="Arial"/>
                  <w:sz w:val="16"/>
                  <w:szCs w:val="16"/>
                  <w:b w:val="1"/>
                  <w:bCs w:val="1"/>
                  <w:color w:val="0000EE"/>
                </w:rPr>
                <w:t>HOUSEHOLDING OF ANNUAL MEETING MATERIALS</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6</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2"/>
        </w:trPr>
        <w:tc>
          <w:tcPr>
            <w:tcW w:w="6460" w:type="dxa"/>
            <w:vAlign w:val="bottom"/>
            <w:tcBorders>
              <w:bottom w:val="single" w:sz="8" w:color="0000EE"/>
            </w:tcBorders>
            <w:gridSpan w:val="43"/>
          </w:tcPr>
          <w:p>
            <w:pPr>
              <w:spacing w:after="0" w:line="181" w:lineRule="exact"/>
              <w:rPr>
                <w:rFonts w:ascii="Arial" w:cs="Arial" w:eastAsia="Arial" w:hAnsi="Arial"/>
                <w:sz w:val="16"/>
                <w:szCs w:val="16"/>
                <w:b w:val="1"/>
                <w:bCs w:val="1"/>
                <w:color w:val="0000EE"/>
              </w:rPr>
            </w:pPr>
            <w:hyperlink w:anchor="page12">
              <w:r>
                <w:rPr>
                  <w:rFonts w:ascii="Arial" w:cs="Arial" w:eastAsia="Arial" w:hAnsi="Arial"/>
                  <w:sz w:val="16"/>
                  <w:szCs w:val="16"/>
                  <w:b w:val="1"/>
                  <w:bCs w:val="1"/>
                  <w:color w:val="0000EE"/>
                </w:rPr>
                <w:t>SECURITY OWNERSHIP OF CERTAIN BENEFICIAL OWNERS AND MANAGEMENT</w:t>
              </w:r>
            </w:hyperlink>
          </w:p>
        </w:tc>
        <w:tc>
          <w:tcPr>
            <w:tcW w:w="3640" w:type="dxa"/>
            <w:vAlign w:val="bottom"/>
            <w:gridSpan w:val="3"/>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7</w:t>
            </w:r>
          </w:p>
        </w:tc>
      </w:tr>
      <w:tr>
        <w:trPr>
          <w:trHeight w:val="182"/>
        </w:trPr>
        <w:tc>
          <w:tcPr>
            <w:tcW w:w="5500" w:type="dxa"/>
            <w:vAlign w:val="bottom"/>
            <w:tcBorders>
              <w:bottom w:val="single" w:sz="8" w:color="0000EE"/>
            </w:tcBorders>
            <w:gridSpan w:val="41"/>
          </w:tcPr>
          <w:p>
            <w:pPr>
              <w:spacing w:after="0" w:line="181" w:lineRule="exact"/>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SECTION 16(A) BENEFICIAL OWNERSHIP REPORTING COMPLIANCE</w:t>
              </w:r>
            </w:hyperlink>
          </w:p>
        </w:tc>
        <w:tc>
          <w:tcPr>
            <w:tcW w:w="4600" w:type="dxa"/>
            <w:vAlign w:val="bottom"/>
            <w:gridSpan w:val="5"/>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8</w:t>
            </w:r>
          </w:p>
        </w:tc>
      </w:tr>
      <w:tr>
        <w:trPr>
          <w:trHeight w:val="182"/>
        </w:trPr>
        <w:tc>
          <w:tcPr>
            <w:tcW w:w="3400" w:type="dxa"/>
            <w:vAlign w:val="bottom"/>
            <w:tcBorders>
              <w:bottom w:val="single" w:sz="8" w:color="0000EE"/>
            </w:tcBorders>
            <w:gridSpan w:val="24"/>
          </w:tcPr>
          <w:p>
            <w:pPr>
              <w:spacing w:after="0" w:line="181" w:lineRule="exact"/>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PROPOSAL 1 — ELECTION OF DIRECTORS</w:t>
              </w:r>
            </w:hyperlink>
          </w:p>
        </w:tc>
        <w:tc>
          <w:tcPr>
            <w:tcW w:w="6700" w:type="dxa"/>
            <w:vAlign w:val="bottom"/>
            <w:gridSpan w:val="22"/>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9</w:t>
            </w:r>
          </w:p>
        </w:tc>
      </w:tr>
      <w:tr>
        <w:trPr>
          <w:trHeight w:val="182"/>
        </w:trPr>
        <w:tc>
          <w:tcPr>
            <w:tcW w:w="2260" w:type="dxa"/>
            <w:vAlign w:val="bottom"/>
            <w:tcBorders>
              <w:bottom w:val="single" w:sz="8" w:color="0000EE"/>
            </w:tcBorders>
            <w:gridSpan w:val="12"/>
          </w:tcPr>
          <w:p>
            <w:pPr>
              <w:spacing w:after="0" w:line="181" w:lineRule="exact"/>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CORPORATE GOVERNANCE</w:t>
              </w:r>
            </w:hyperlink>
          </w:p>
        </w:tc>
        <w:tc>
          <w:tcPr>
            <w:tcW w:w="7840" w:type="dxa"/>
            <w:vAlign w:val="bottom"/>
            <w:gridSpan w:val="34"/>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12</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17">
              <w:r>
                <w:rPr>
                  <w:rFonts w:ascii="Arial" w:cs="Arial" w:eastAsia="Arial" w:hAnsi="Arial"/>
                  <w:sz w:val="16"/>
                  <w:szCs w:val="16"/>
                  <w:color w:val="0000EE"/>
                </w:rPr>
                <w:t>General</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12</w:t>
            </w:r>
          </w:p>
        </w:tc>
      </w:tr>
      <w:tr>
        <w:trPr>
          <w:trHeight w:val="20"/>
        </w:trPr>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2080" w:type="dxa"/>
            <w:vAlign w:val="bottom"/>
            <w:tcBorders>
              <w:bottom w:val="single" w:sz="8" w:color="0000EE"/>
            </w:tcBorders>
            <w:gridSpan w:val="13"/>
          </w:tcPr>
          <w:p>
            <w:pPr>
              <w:spacing w:after="0" w:line="181" w:lineRule="exact"/>
              <w:rPr>
                <w:rFonts w:ascii="Arial" w:cs="Arial" w:eastAsia="Arial" w:hAnsi="Arial"/>
                <w:sz w:val="16"/>
                <w:szCs w:val="16"/>
                <w:color w:val="0000EE"/>
                <w:w w:val="92"/>
              </w:rPr>
            </w:pPr>
            <w:hyperlink w:anchor="page17">
              <w:r>
                <w:rPr>
                  <w:rFonts w:ascii="Arial" w:cs="Arial" w:eastAsia="Arial" w:hAnsi="Arial"/>
                  <w:sz w:val="16"/>
                  <w:szCs w:val="16"/>
                  <w:color w:val="0000EE"/>
                  <w:w w:val="92"/>
                </w:rPr>
                <w:t>Determination of Independence</w:t>
              </w:r>
            </w:hyperlink>
          </w:p>
        </w:tc>
        <w:tc>
          <w:tcPr>
            <w:tcW w:w="7620" w:type="dxa"/>
            <w:vAlign w:val="bottom"/>
            <w:gridSpan w:val="32"/>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12</w:t>
            </w:r>
          </w:p>
        </w:tc>
      </w:tr>
      <w:tr>
        <w:trPr>
          <w:trHeight w:val="182"/>
        </w:trPr>
        <w:tc>
          <w:tcPr>
            <w:tcW w:w="40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1" w:lineRule="exact"/>
              <w:rPr>
                <w:rFonts w:ascii="Arial" w:cs="Arial" w:eastAsia="Arial" w:hAnsi="Arial"/>
                <w:sz w:val="16"/>
                <w:szCs w:val="16"/>
                <w:color w:val="0000EE"/>
                <w:w w:val="91"/>
              </w:rPr>
            </w:pPr>
            <w:hyperlink w:anchor="page18">
              <w:r>
                <w:rPr>
                  <w:rFonts w:ascii="Arial" w:cs="Arial" w:eastAsia="Arial" w:hAnsi="Arial"/>
                  <w:sz w:val="16"/>
                  <w:szCs w:val="16"/>
                  <w:color w:val="0000EE"/>
                  <w:w w:val="91"/>
                </w:rPr>
                <w:t>Director Candidates</w:t>
              </w:r>
            </w:hyperlink>
          </w:p>
        </w:tc>
        <w:tc>
          <w:tcPr>
            <w:tcW w:w="8380" w:type="dxa"/>
            <w:vAlign w:val="bottom"/>
            <w:gridSpan w:val="41"/>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13</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19">
              <w:r>
                <w:rPr>
                  <w:rFonts w:ascii="Arial" w:cs="Arial" w:eastAsia="Arial" w:hAnsi="Arial"/>
                  <w:sz w:val="16"/>
                  <w:szCs w:val="16"/>
                  <w:color w:val="0000EE"/>
                </w:rPr>
                <w:t>Communications from Shareholders and Other Interested Parties</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14</w:t>
            </w:r>
          </w:p>
        </w:tc>
      </w:tr>
      <w:tr>
        <w:trPr>
          <w:trHeight w:val="182"/>
        </w:trPr>
        <w:tc>
          <w:tcPr>
            <w:tcW w:w="40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23"/>
          </w:tcPr>
          <w:p>
            <w:pPr>
              <w:spacing w:after="0" w:line="181" w:lineRule="exact"/>
              <w:rPr>
                <w:rFonts w:ascii="Arial" w:cs="Arial" w:eastAsia="Arial" w:hAnsi="Arial"/>
                <w:sz w:val="16"/>
                <w:szCs w:val="16"/>
                <w:color w:val="0000EE"/>
                <w:w w:val="93"/>
              </w:rPr>
            </w:pPr>
            <w:hyperlink w:anchor="page19">
              <w:r>
                <w:rPr>
                  <w:rFonts w:ascii="Arial" w:cs="Arial" w:eastAsia="Arial" w:hAnsi="Arial"/>
                  <w:sz w:val="16"/>
                  <w:szCs w:val="16"/>
                  <w:color w:val="0000EE"/>
                  <w:w w:val="93"/>
                </w:rPr>
                <w:t>Board of Directors Meetings and Committees</w:t>
              </w:r>
            </w:hyperlink>
          </w:p>
        </w:tc>
        <w:tc>
          <w:tcPr>
            <w:tcW w:w="1240" w:type="dxa"/>
            <w:vAlign w:val="bottom"/>
            <w:tcBorders>
              <w:top w:val="single" w:sz="8" w:color="0000EE"/>
            </w:tcBorders>
            <w:gridSpan w:val="12"/>
          </w:tcPr>
          <w:p>
            <w:pPr>
              <w:spacing w:after="0"/>
              <w:rPr>
                <w:sz w:val="15"/>
                <w:szCs w:val="15"/>
                <w:color w:val="auto"/>
              </w:rPr>
            </w:pPr>
          </w:p>
        </w:tc>
        <w:tc>
          <w:tcPr>
            <w:tcW w:w="5460" w:type="dxa"/>
            <w:vAlign w:val="bottom"/>
            <w:gridSpan w:val="10"/>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14</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22">
              <w:r>
                <w:rPr>
                  <w:rFonts w:ascii="Arial" w:cs="Arial" w:eastAsia="Arial" w:hAnsi="Arial"/>
                  <w:sz w:val="16"/>
                  <w:szCs w:val="16"/>
                  <w:color w:val="0000EE"/>
                </w:rPr>
                <w:t>Risk Considerations in Our Compensation Program</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17</w:t>
            </w:r>
          </w:p>
        </w:tc>
      </w:tr>
      <w:tr>
        <w:trPr>
          <w:trHeight w:val="182"/>
        </w:trPr>
        <w:tc>
          <w:tcPr>
            <w:tcW w:w="400" w:type="dxa"/>
            <w:vAlign w:val="bottom"/>
          </w:tcPr>
          <w:p>
            <w:pPr>
              <w:spacing w:after="0"/>
              <w:rPr>
                <w:sz w:val="15"/>
                <w:szCs w:val="15"/>
                <w:color w:val="auto"/>
              </w:rPr>
            </w:pPr>
          </w:p>
        </w:tc>
        <w:tc>
          <w:tcPr>
            <w:tcW w:w="2060" w:type="dxa"/>
            <w:vAlign w:val="bottom"/>
            <w:tcBorders>
              <w:top w:val="single" w:sz="8" w:color="0000EE"/>
              <w:bottom w:val="single" w:sz="8" w:color="0000EE"/>
            </w:tcBorders>
            <w:gridSpan w:val="12"/>
          </w:tcPr>
          <w:p>
            <w:pPr>
              <w:spacing w:after="0" w:line="181" w:lineRule="exact"/>
              <w:rPr>
                <w:rFonts w:ascii="Arial" w:cs="Arial" w:eastAsia="Arial" w:hAnsi="Arial"/>
                <w:sz w:val="16"/>
                <w:szCs w:val="16"/>
                <w:color w:val="0000EE"/>
                <w:w w:val="94"/>
              </w:rPr>
            </w:pPr>
            <w:hyperlink w:anchor="page23">
              <w:r>
                <w:rPr>
                  <w:rFonts w:ascii="Arial" w:cs="Arial" w:eastAsia="Arial" w:hAnsi="Arial"/>
                  <w:sz w:val="16"/>
                  <w:szCs w:val="16"/>
                  <w:color w:val="0000EE"/>
                  <w:w w:val="94"/>
                </w:rPr>
                <w:t>Report of the Audit Committee</w:t>
              </w:r>
            </w:hyperlink>
          </w:p>
        </w:tc>
        <w:tc>
          <w:tcPr>
            <w:tcW w:w="1320" w:type="dxa"/>
            <w:vAlign w:val="bottom"/>
            <w:tcBorders>
              <w:top w:val="single" w:sz="8" w:color="0000EE"/>
            </w:tcBorders>
            <w:gridSpan w:val="17"/>
          </w:tcPr>
          <w:p>
            <w:pPr>
              <w:spacing w:after="0"/>
              <w:rPr>
                <w:sz w:val="15"/>
                <w:szCs w:val="15"/>
                <w:color w:val="auto"/>
              </w:rPr>
            </w:pPr>
          </w:p>
        </w:tc>
        <w:tc>
          <w:tcPr>
            <w:tcW w:w="6320" w:type="dxa"/>
            <w:vAlign w:val="bottom"/>
            <w:gridSpan w:val="16"/>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18</w:t>
            </w:r>
          </w:p>
        </w:tc>
      </w:tr>
      <w:tr>
        <w:trPr>
          <w:trHeight w:val="182"/>
        </w:trPr>
        <w:tc>
          <w:tcPr>
            <w:tcW w:w="400" w:type="dxa"/>
            <w:vAlign w:val="bottom"/>
          </w:tcPr>
          <w:p>
            <w:pPr>
              <w:spacing w:after="0"/>
              <w:rPr>
                <w:sz w:val="15"/>
                <w:szCs w:val="15"/>
                <w:color w:val="auto"/>
              </w:rPr>
            </w:pPr>
          </w:p>
        </w:tc>
        <w:tc>
          <w:tcPr>
            <w:tcW w:w="4760" w:type="dxa"/>
            <w:vAlign w:val="bottom"/>
            <w:tcBorders>
              <w:bottom w:val="single" w:sz="8" w:color="0000EE"/>
            </w:tcBorders>
            <w:gridSpan w:val="37"/>
          </w:tcPr>
          <w:p>
            <w:pPr>
              <w:spacing w:after="0" w:line="181" w:lineRule="exact"/>
              <w:rPr>
                <w:rFonts w:ascii="Arial" w:cs="Arial" w:eastAsia="Arial" w:hAnsi="Arial"/>
                <w:sz w:val="16"/>
                <w:szCs w:val="16"/>
                <w:color w:val="0000EE"/>
                <w:w w:val="92"/>
              </w:rPr>
            </w:pPr>
            <w:hyperlink w:anchor="page24">
              <w:r>
                <w:rPr>
                  <w:rFonts w:ascii="Arial" w:cs="Arial" w:eastAsia="Arial" w:hAnsi="Arial"/>
                  <w:sz w:val="16"/>
                  <w:szCs w:val="16"/>
                  <w:color w:val="0000EE"/>
                  <w:w w:val="92"/>
                </w:rPr>
                <w:t>Independent Registered Public Accounting Firm Fees and Other Matters</w:t>
              </w:r>
            </w:hyperlink>
          </w:p>
        </w:tc>
        <w:tc>
          <w:tcPr>
            <w:tcW w:w="4940" w:type="dxa"/>
            <w:vAlign w:val="bottom"/>
            <w:gridSpan w:val="8"/>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19</w:t>
            </w:r>
          </w:p>
        </w:tc>
      </w:tr>
      <w:tr>
        <w:trPr>
          <w:trHeight w:val="182"/>
        </w:trPr>
        <w:tc>
          <w:tcPr>
            <w:tcW w:w="400" w:type="dxa"/>
            <w:vAlign w:val="bottom"/>
          </w:tcPr>
          <w:p>
            <w:pPr>
              <w:spacing w:after="0"/>
              <w:rPr>
                <w:sz w:val="15"/>
                <w:szCs w:val="15"/>
                <w:color w:val="auto"/>
              </w:rPr>
            </w:pPr>
          </w:p>
        </w:tc>
        <w:tc>
          <w:tcPr>
            <w:tcW w:w="1540" w:type="dxa"/>
            <w:vAlign w:val="bottom"/>
            <w:tcBorders>
              <w:bottom w:val="single" w:sz="8" w:color="0000EE"/>
            </w:tcBorders>
            <w:gridSpan w:val="7"/>
          </w:tcPr>
          <w:p>
            <w:pPr>
              <w:spacing w:after="0" w:line="181" w:lineRule="exact"/>
              <w:rPr>
                <w:rFonts w:ascii="Arial" w:cs="Arial" w:eastAsia="Arial" w:hAnsi="Arial"/>
                <w:sz w:val="16"/>
                <w:szCs w:val="16"/>
                <w:color w:val="0000EE"/>
                <w:w w:val="92"/>
              </w:rPr>
            </w:pPr>
            <w:hyperlink w:anchor="page26">
              <w:r>
                <w:rPr>
                  <w:rFonts w:ascii="Arial" w:cs="Arial" w:eastAsia="Arial" w:hAnsi="Arial"/>
                  <w:sz w:val="16"/>
                  <w:szCs w:val="16"/>
                  <w:color w:val="0000EE"/>
                  <w:w w:val="92"/>
                </w:rPr>
                <w:t>Director Compensation</w:t>
              </w:r>
            </w:hyperlink>
          </w:p>
        </w:tc>
        <w:tc>
          <w:tcPr>
            <w:tcW w:w="8160" w:type="dxa"/>
            <w:vAlign w:val="bottom"/>
            <w:gridSpan w:val="38"/>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21</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28">
              <w:r>
                <w:rPr>
                  <w:rFonts w:ascii="Arial" w:cs="Arial" w:eastAsia="Arial" w:hAnsi="Arial"/>
                  <w:sz w:val="16"/>
                  <w:szCs w:val="16"/>
                  <w:color w:val="0000EE"/>
                </w:rPr>
                <w:t>Certain Relationships and Related Transactions</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23</w:t>
            </w:r>
          </w:p>
        </w:tc>
      </w:tr>
      <w:tr>
        <w:trPr>
          <w:trHeight w:val="20"/>
        </w:trPr>
        <w:tc>
          <w:tcPr>
            <w:tcW w:w="40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2"/>
        </w:trPr>
        <w:tc>
          <w:tcPr>
            <w:tcW w:w="5320" w:type="dxa"/>
            <w:vAlign w:val="bottom"/>
            <w:tcBorders>
              <w:bottom w:val="single" w:sz="8" w:color="0000EE"/>
            </w:tcBorders>
            <w:gridSpan w:val="40"/>
          </w:tcPr>
          <w:p>
            <w:pPr>
              <w:spacing w:after="0" w:line="181"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PROPOSAL 2 — ADVISORY VOTE ON EXECUTIVE COMPENSATION</w:t>
              </w:r>
            </w:hyperlink>
          </w:p>
        </w:tc>
        <w:tc>
          <w:tcPr>
            <w:tcW w:w="4780" w:type="dxa"/>
            <w:vAlign w:val="bottom"/>
            <w:gridSpan w:val="6"/>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26</w:t>
            </w:r>
          </w:p>
        </w:tc>
      </w:tr>
      <w:tr>
        <w:trPr>
          <w:trHeight w:val="182"/>
        </w:trPr>
        <w:tc>
          <w:tcPr>
            <w:tcW w:w="4240" w:type="dxa"/>
            <w:vAlign w:val="bottom"/>
            <w:tcBorders>
              <w:bottom w:val="single" w:sz="8" w:color="0000EE"/>
            </w:tcBorders>
            <w:gridSpan w:val="34"/>
          </w:tcPr>
          <w:p>
            <w:pPr>
              <w:spacing w:after="0" w:line="181"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INFORMATION ABOUT EXECUTIVE COMPENSATION</w:t>
              </w:r>
            </w:hyperlink>
          </w:p>
        </w:tc>
        <w:tc>
          <w:tcPr>
            <w:tcW w:w="5860" w:type="dxa"/>
            <w:vAlign w:val="bottom"/>
            <w:gridSpan w:val="12"/>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27</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32">
              <w:r>
                <w:rPr>
                  <w:rFonts w:ascii="Arial" w:cs="Arial" w:eastAsia="Arial" w:hAnsi="Arial"/>
                  <w:sz w:val="16"/>
                  <w:szCs w:val="16"/>
                  <w:color w:val="0000EE"/>
                </w:rPr>
                <w:t>Compensation Discussion and Analysis</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27</w:t>
            </w:r>
          </w:p>
        </w:tc>
      </w:tr>
      <w:tr>
        <w:trPr>
          <w:trHeight w:val="182"/>
        </w:trPr>
        <w:tc>
          <w:tcPr>
            <w:tcW w:w="40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5"/>
          </w:tcPr>
          <w:p>
            <w:pPr>
              <w:spacing w:after="0" w:line="181" w:lineRule="exact"/>
              <w:rPr>
                <w:rFonts w:ascii="Arial" w:cs="Arial" w:eastAsia="Arial" w:hAnsi="Arial"/>
                <w:sz w:val="16"/>
                <w:szCs w:val="16"/>
                <w:color w:val="0000EE"/>
                <w:w w:val="92"/>
              </w:rPr>
            </w:pPr>
            <w:hyperlink w:anchor="page32">
              <w:r>
                <w:rPr>
                  <w:rFonts w:ascii="Arial" w:cs="Arial" w:eastAsia="Arial" w:hAnsi="Arial"/>
                  <w:sz w:val="16"/>
                  <w:szCs w:val="16"/>
                  <w:color w:val="0000EE"/>
                  <w:w w:val="92"/>
                </w:rPr>
                <w:t>Executive Summary</w:t>
              </w:r>
            </w:hyperlink>
          </w:p>
        </w:tc>
        <w:tc>
          <w:tcPr>
            <w:tcW w:w="1260" w:type="dxa"/>
            <w:vAlign w:val="bottom"/>
            <w:tcBorders>
              <w:top w:val="single" w:sz="8" w:color="0000EE"/>
            </w:tcBorders>
            <w:gridSpan w:val="14"/>
          </w:tcPr>
          <w:p>
            <w:pPr>
              <w:spacing w:after="0"/>
              <w:rPr>
                <w:sz w:val="15"/>
                <w:szCs w:val="15"/>
                <w:color w:val="auto"/>
              </w:rPr>
            </w:pPr>
          </w:p>
        </w:tc>
        <w:tc>
          <w:tcPr>
            <w:tcW w:w="7100" w:type="dxa"/>
            <w:vAlign w:val="bottom"/>
            <w:gridSpan w:val="26"/>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27</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36">
              <w:r>
                <w:rPr>
                  <w:rFonts w:ascii="Arial" w:cs="Arial" w:eastAsia="Arial" w:hAnsi="Arial"/>
                  <w:sz w:val="16"/>
                  <w:szCs w:val="16"/>
                  <w:color w:val="0000EE"/>
                </w:rPr>
                <w:t>Compensation Processes and Philosophy</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31</w:t>
            </w:r>
          </w:p>
        </w:tc>
      </w:tr>
      <w:tr>
        <w:trPr>
          <w:trHeight w:val="20"/>
        </w:trPr>
        <w:tc>
          <w:tcPr>
            <w:tcW w:w="400" w:type="dxa"/>
            <w:vAlign w:val="bottom"/>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180" w:type="dxa"/>
            <w:vAlign w:val="bottom"/>
            <w:gridSpan w:val="1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2700" w:type="dxa"/>
            <w:vAlign w:val="bottom"/>
            <w:tcBorders>
              <w:bottom w:val="single" w:sz="8" w:color="0000EE"/>
            </w:tcBorders>
            <w:gridSpan w:val="21"/>
          </w:tcPr>
          <w:p>
            <w:pPr>
              <w:spacing w:after="0" w:line="181" w:lineRule="exact"/>
              <w:rPr>
                <w:rFonts w:ascii="Arial" w:cs="Arial" w:eastAsia="Arial" w:hAnsi="Arial"/>
                <w:sz w:val="16"/>
                <w:szCs w:val="16"/>
                <w:color w:val="0000EE"/>
                <w:w w:val="92"/>
              </w:rPr>
            </w:pPr>
            <w:hyperlink w:anchor="page38">
              <w:r>
                <w:rPr>
                  <w:rFonts w:ascii="Arial" w:cs="Arial" w:eastAsia="Arial" w:hAnsi="Arial"/>
                  <w:sz w:val="16"/>
                  <w:szCs w:val="16"/>
                  <w:color w:val="0000EE"/>
                  <w:w w:val="92"/>
                </w:rPr>
                <w:t>Components of Executive Compensation</w:t>
              </w:r>
            </w:hyperlink>
          </w:p>
        </w:tc>
        <w:tc>
          <w:tcPr>
            <w:tcW w:w="7000" w:type="dxa"/>
            <w:vAlign w:val="bottom"/>
            <w:gridSpan w:val="24"/>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33</w:t>
            </w:r>
          </w:p>
        </w:tc>
      </w:tr>
      <w:tr>
        <w:trPr>
          <w:trHeight w:val="182"/>
        </w:trPr>
        <w:tc>
          <w:tcPr>
            <w:tcW w:w="400" w:type="dxa"/>
            <w:vAlign w:val="bottom"/>
          </w:tcPr>
          <w:p>
            <w:pPr>
              <w:spacing w:after="0"/>
              <w:rPr>
                <w:sz w:val="15"/>
                <w:szCs w:val="15"/>
                <w:color w:val="auto"/>
              </w:rPr>
            </w:pPr>
          </w:p>
        </w:tc>
        <w:tc>
          <w:tcPr>
            <w:tcW w:w="3000" w:type="dxa"/>
            <w:vAlign w:val="bottom"/>
            <w:tcBorders>
              <w:bottom w:val="single" w:sz="8" w:color="0000EE"/>
            </w:tcBorders>
            <w:gridSpan w:val="23"/>
          </w:tcPr>
          <w:p>
            <w:pPr>
              <w:spacing w:after="0" w:line="181" w:lineRule="exact"/>
              <w:rPr>
                <w:rFonts w:ascii="Arial" w:cs="Arial" w:eastAsia="Arial" w:hAnsi="Arial"/>
                <w:sz w:val="16"/>
                <w:szCs w:val="16"/>
                <w:color w:val="0000EE"/>
                <w:w w:val="94"/>
              </w:rPr>
            </w:pPr>
            <w:hyperlink w:anchor="page44">
              <w:r>
                <w:rPr>
                  <w:rFonts w:ascii="Arial" w:cs="Arial" w:eastAsia="Arial" w:hAnsi="Arial"/>
                  <w:sz w:val="16"/>
                  <w:szCs w:val="16"/>
                  <w:color w:val="0000EE"/>
                  <w:w w:val="94"/>
                </w:rPr>
                <w:t>Agreements with our Chief Executive Officer</w:t>
              </w:r>
            </w:hyperlink>
          </w:p>
        </w:tc>
        <w:tc>
          <w:tcPr>
            <w:tcW w:w="6700" w:type="dxa"/>
            <w:vAlign w:val="bottom"/>
            <w:gridSpan w:val="22"/>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39</w:t>
            </w:r>
          </w:p>
        </w:tc>
      </w:tr>
      <w:tr>
        <w:trPr>
          <w:trHeight w:val="182"/>
        </w:trPr>
        <w:tc>
          <w:tcPr>
            <w:tcW w:w="400" w:type="dxa"/>
            <w:vAlign w:val="bottom"/>
          </w:tcPr>
          <w:p>
            <w:pPr>
              <w:spacing w:after="0"/>
              <w:rPr>
                <w:sz w:val="15"/>
                <w:szCs w:val="15"/>
                <w:color w:val="auto"/>
              </w:rPr>
            </w:pPr>
          </w:p>
        </w:tc>
        <w:tc>
          <w:tcPr>
            <w:tcW w:w="3520" w:type="dxa"/>
            <w:vAlign w:val="bottom"/>
            <w:tcBorders>
              <w:bottom w:val="single" w:sz="8" w:color="0000EE"/>
            </w:tcBorders>
            <w:gridSpan w:val="31"/>
          </w:tcPr>
          <w:p>
            <w:pPr>
              <w:spacing w:after="0" w:line="181" w:lineRule="exact"/>
              <w:rPr>
                <w:rFonts w:ascii="Arial" w:cs="Arial" w:eastAsia="Arial" w:hAnsi="Arial"/>
                <w:sz w:val="16"/>
                <w:szCs w:val="16"/>
                <w:color w:val="0000EE"/>
                <w:w w:val="91"/>
              </w:rPr>
            </w:pPr>
            <w:hyperlink w:anchor="page46">
              <w:r>
                <w:rPr>
                  <w:rFonts w:ascii="Arial" w:cs="Arial" w:eastAsia="Arial" w:hAnsi="Arial"/>
                  <w:sz w:val="16"/>
                  <w:szCs w:val="16"/>
                  <w:color w:val="0000EE"/>
                  <w:w w:val="91"/>
                </w:rPr>
                <w:t>Severance, Retention and Change in Control Benefits</w:t>
              </w:r>
            </w:hyperlink>
          </w:p>
        </w:tc>
        <w:tc>
          <w:tcPr>
            <w:tcW w:w="6180" w:type="dxa"/>
            <w:vAlign w:val="bottom"/>
            <w:gridSpan w:val="14"/>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41</w:t>
            </w:r>
          </w:p>
        </w:tc>
      </w:tr>
      <w:tr>
        <w:trPr>
          <w:trHeight w:val="182"/>
        </w:trPr>
        <w:tc>
          <w:tcPr>
            <w:tcW w:w="400" w:type="dxa"/>
            <w:vAlign w:val="bottom"/>
          </w:tcPr>
          <w:p>
            <w:pPr>
              <w:spacing w:after="0"/>
              <w:rPr>
                <w:sz w:val="15"/>
                <w:szCs w:val="15"/>
                <w:color w:val="auto"/>
              </w:rPr>
            </w:pPr>
          </w:p>
        </w:tc>
        <w:tc>
          <w:tcPr>
            <w:tcW w:w="2140" w:type="dxa"/>
            <w:vAlign w:val="bottom"/>
            <w:tcBorders>
              <w:bottom w:val="single" w:sz="8" w:color="0000EE"/>
            </w:tcBorders>
            <w:gridSpan w:val="14"/>
          </w:tcPr>
          <w:p>
            <w:pPr>
              <w:spacing w:after="0" w:line="181" w:lineRule="exact"/>
              <w:rPr>
                <w:rFonts w:ascii="Arial" w:cs="Arial" w:eastAsia="Arial" w:hAnsi="Arial"/>
                <w:sz w:val="16"/>
                <w:szCs w:val="16"/>
                <w:color w:val="0000EE"/>
                <w:w w:val="94"/>
              </w:rPr>
            </w:pPr>
            <w:hyperlink w:anchor="page47">
              <w:r>
                <w:rPr>
                  <w:rFonts w:ascii="Arial" w:cs="Arial" w:eastAsia="Arial" w:hAnsi="Arial"/>
                  <w:sz w:val="16"/>
                  <w:szCs w:val="16"/>
                  <w:color w:val="0000EE"/>
                  <w:w w:val="94"/>
                </w:rPr>
                <w:t>Equity Award Grant Date Policy</w:t>
              </w:r>
            </w:hyperlink>
          </w:p>
        </w:tc>
        <w:tc>
          <w:tcPr>
            <w:tcW w:w="7560" w:type="dxa"/>
            <w:vAlign w:val="bottom"/>
            <w:gridSpan w:val="31"/>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42</w:t>
            </w:r>
          </w:p>
        </w:tc>
      </w:tr>
      <w:tr>
        <w:trPr>
          <w:trHeight w:val="182"/>
        </w:trPr>
        <w:tc>
          <w:tcPr>
            <w:tcW w:w="400" w:type="dxa"/>
            <w:vAlign w:val="bottom"/>
          </w:tcPr>
          <w:p>
            <w:pPr>
              <w:spacing w:after="0"/>
              <w:rPr>
                <w:sz w:val="15"/>
                <w:szCs w:val="15"/>
                <w:color w:val="auto"/>
              </w:rPr>
            </w:pPr>
          </w:p>
        </w:tc>
        <w:tc>
          <w:tcPr>
            <w:tcW w:w="2360" w:type="dxa"/>
            <w:vAlign w:val="bottom"/>
            <w:tcBorders>
              <w:bottom w:val="single" w:sz="8" w:color="0000EE"/>
            </w:tcBorders>
            <w:gridSpan w:val="17"/>
          </w:tcPr>
          <w:p>
            <w:pPr>
              <w:spacing w:after="0" w:line="181" w:lineRule="exact"/>
              <w:rPr>
                <w:rFonts w:ascii="Arial" w:cs="Arial" w:eastAsia="Arial" w:hAnsi="Arial"/>
                <w:sz w:val="16"/>
                <w:szCs w:val="16"/>
                <w:color w:val="0000EE"/>
                <w:w w:val="92"/>
              </w:rPr>
            </w:pPr>
            <w:hyperlink w:anchor="page47">
              <w:r>
                <w:rPr>
                  <w:rFonts w:ascii="Arial" w:cs="Arial" w:eastAsia="Arial" w:hAnsi="Arial"/>
                  <w:sz w:val="16"/>
                  <w:szCs w:val="16"/>
                  <w:color w:val="0000EE"/>
                  <w:w w:val="92"/>
                </w:rPr>
                <w:t>Tax and Accounting Considerations</w:t>
              </w:r>
            </w:hyperlink>
          </w:p>
        </w:tc>
        <w:tc>
          <w:tcPr>
            <w:tcW w:w="7340" w:type="dxa"/>
            <w:vAlign w:val="bottom"/>
            <w:gridSpan w:val="28"/>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42</w:t>
            </w: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48">
              <w:r>
                <w:rPr>
                  <w:rFonts w:ascii="Arial" w:cs="Arial" w:eastAsia="Arial" w:hAnsi="Arial"/>
                  <w:sz w:val="16"/>
                  <w:szCs w:val="16"/>
                  <w:color w:val="0000EE"/>
                </w:rPr>
                <w:t>Summary Compensation</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43</w:t>
            </w:r>
          </w:p>
        </w:tc>
      </w:tr>
      <w:tr>
        <w:trPr>
          <w:trHeight w:val="20"/>
        </w:trPr>
        <w:tc>
          <w:tcPr>
            <w:tcW w:w="400" w:type="dxa"/>
            <w:vAlign w:val="bottom"/>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1620" w:type="dxa"/>
            <w:vAlign w:val="bottom"/>
            <w:gridSpan w:val="18"/>
          </w:tcPr>
          <w:p>
            <w:pPr>
              <w:spacing w:after="0" w:line="20" w:lineRule="exact"/>
              <w:rPr>
                <w:sz w:val="1"/>
                <w:szCs w:val="1"/>
                <w:color w:val="auto"/>
              </w:rPr>
            </w:pPr>
          </w:p>
        </w:tc>
        <w:tc>
          <w:tcPr>
            <w:tcW w:w="6460" w:type="dxa"/>
            <w:vAlign w:val="bottom"/>
            <w:gridSpan w:val="1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9700" w:type="dxa"/>
            <w:vAlign w:val="bottom"/>
            <w:gridSpan w:val="45"/>
          </w:tcPr>
          <w:p>
            <w:pPr>
              <w:spacing w:after="0" w:line="181" w:lineRule="exact"/>
              <w:rPr>
                <w:rFonts w:ascii="Arial" w:cs="Arial" w:eastAsia="Arial" w:hAnsi="Arial"/>
                <w:sz w:val="16"/>
                <w:szCs w:val="16"/>
                <w:color w:val="0000EE"/>
              </w:rPr>
            </w:pPr>
            <w:hyperlink w:anchor="page51">
              <w:r>
                <w:rPr>
                  <w:rFonts w:ascii="Arial" w:cs="Arial" w:eastAsia="Arial" w:hAnsi="Arial"/>
                  <w:sz w:val="16"/>
                  <w:szCs w:val="16"/>
                  <w:color w:val="0000EE"/>
                </w:rPr>
                <w:t>Grants of Plan-Based Awards in Fiscal Year 2011</w:t>
              </w:r>
            </w:hyperlink>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46</w:t>
            </w:r>
          </w:p>
        </w:tc>
      </w:tr>
      <w:tr>
        <w:trPr>
          <w:trHeight w:val="20"/>
        </w:trPr>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340"/>
          </w:cols>
          <w:pgMar w:left="240" w:top="439" w:right="3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8260" w:type="dxa"/>
            <w:vAlign w:val="bottom"/>
            <w:gridSpan w:val="12"/>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Outstanding Equity Awards at Fiscal Year-End 2011</w:t>
              </w:r>
            </w:hyperlink>
          </w:p>
        </w:tc>
        <w:tc>
          <w:tcPr>
            <w:tcW w:w="26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4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3600" w:type="dxa"/>
            <w:vAlign w:val="bottom"/>
            <w:tcBorders>
              <w:bottom w:val="single" w:sz="8" w:color="0000EE"/>
            </w:tcBorders>
            <w:gridSpan w:val="8"/>
          </w:tcPr>
          <w:p>
            <w:pPr>
              <w:spacing w:after="0" w:line="181" w:lineRule="exact"/>
              <w:rPr>
                <w:rFonts w:ascii="Arial" w:cs="Arial" w:eastAsia="Arial" w:hAnsi="Arial"/>
                <w:sz w:val="16"/>
                <w:szCs w:val="16"/>
                <w:color w:val="0000EE"/>
                <w:w w:val="92"/>
              </w:rPr>
            </w:pPr>
            <w:hyperlink w:anchor="page54">
              <w:r>
                <w:rPr>
                  <w:rFonts w:ascii="Arial" w:cs="Arial" w:eastAsia="Arial" w:hAnsi="Arial"/>
                  <w:sz w:val="16"/>
                  <w:szCs w:val="16"/>
                  <w:color w:val="0000EE"/>
                  <w:w w:val="92"/>
                </w:rPr>
                <w:t>Option Exercises and Stock Vested During Fiscal 2011</w:t>
              </w:r>
            </w:hyperlink>
          </w:p>
        </w:tc>
        <w:tc>
          <w:tcPr>
            <w:tcW w:w="4660" w:type="dxa"/>
            <w:vAlign w:val="bottom"/>
            <w:gridSpan w:val="4"/>
          </w:tcPr>
          <w:p>
            <w:pPr>
              <w:spacing w:after="0"/>
              <w:rPr>
                <w:sz w:val="15"/>
                <w:szCs w:val="15"/>
                <w:color w:val="auto"/>
              </w:rPr>
            </w:pPr>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49</w:t>
            </w:r>
          </w:p>
        </w:tc>
      </w:tr>
      <w:tr>
        <w:trPr>
          <w:trHeight w:val="182"/>
        </w:trPr>
        <w:tc>
          <w:tcPr>
            <w:tcW w:w="400" w:type="dxa"/>
            <w:vAlign w:val="bottom"/>
          </w:tcPr>
          <w:p>
            <w:pPr>
              <w:spacing w:after="0"/>
              <w:rPr>
                <w:sz w:val="15"/>
                <w:szCs w:val="15"/>
                <w:color w:val="auto"/>
              </w:rPr>
            </w:pPr>
          </w:p>
        </w:tc>
        <w:tc>
          <w:tcPr>
            <w:tcW w:w="8260" w:type="dxa"/>
            <w:vAlign w:val="bottom"/>
            <w:gridSpan w:val="12"/>
          </w:tcPr>
          <w:p>
            <w:pPr>
              <w:spacing w:after="0" w:line="181" w:lineRule="exact"/>
              <w:rPr>
                <w:rFonts w:ascii="Arial" w:cs="Arial" w:eastAsia="Arial" w:hAnsi="Arial"/>
                <w:sz w:val="16"/>
                <w:szCs w:val="16"/>
                <w:color w:val="0000EE"/>
              </w:rPr>
            </w:pPr>
            <w:hyperlink w:anchor="page55">
              <w:r>
                <w:rPr>
                  <w:rFonts w:ascii="Arial" w:cs="Arial" w:eastAsia="Arial" w:hAnsi="Arial"/>
                  <w:sz w:val="16"/>
                  <w:szCs w:val="16"/>
                  <w:color w:val="0000EE"/>
                </w:rPr>
                <w:t>Pension Benefits</w:t>
              </w:r>
            </w:hyperlink>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49</w:t>
            </w:r>
          </w:p>
        </w:tc>
      </w:tr>
      <w:tr>
        <w:trPr>
          <w:trHeight w:val="20"/>
        </w:trPr>
        <w:tc>
          <w:tcPr>
            <w:tcW w:w="4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8260" w:type="dxa"/>
            <w:vAlign w:val="bottom"/>
            <w:gridSpan w:val="12"/>
          </w:tcPr>
          <w:p>
            <w:pPr>
              <w:spacing w:after="0" w:line="181" w:lineRule="exact"/>
              <w:rPr>
                <w:rFonts w:ascii="Arial" w:cs="Arial" w:eastAsia="Arial" w:hAnsi="Arial"/>
                <w:sz w:val="16"/>
                <w:szCs w:val="16"/>
                <w:color w:val="0000EE"/>
              </w:rPr>
            </w:pPr>
            <w:hyperlink w:anchor="page56">
              <w:r>
                <w:rPr>
                  <w:rFonts w:ascii="Arial" w:cs="Arial" w:eastAsia="Arial" w:hAnsi="Arial"/>
                  <w:sz w:val="16"/>
                  <w:szCs w:val="16"/>
                  <w:color w:val="0000EE"/>
                </w:rPr>
                <w:t>Non-Qualified Deferred Compensation Plan</w:t>
              </w:r>
            </w:hyperlink>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51</w:t>
            </w:r>
          </w:p>
        </w:tc>
      </w:tr>
      <w:tr>
        <w:trPr>
          <w:trHeight w:val="182"/>
        </w:trPr>
        <w:tc>
          <w:tcPr>
            <w:tcW w:w="400" w:type="dxa"/>
            <w:vAlign w:val="bottom"/>
          </w:tcPr>
          <w:p>
            <w:pPr>
              <w:spacing w:after="0"/>
              <w:rPr>
                <w:sz w:val="15"/>
                <w:szCs w:val="15"/>
                <w:color w:val="auto"/>
              </w:rPr>
            </w:pPr>
          </w:p>
        </w:tc>
        <w:tc>
          <w:tcPr>
            <w:tcW w:w="2900" w:type="dxa"/>
            <w:vAlign w:val="bottom"/>
            <w:tcBorders>
              <w:top w:val="single" w:sz="8" w:color="0000EE"/>
            </w:tcBorders>
            <w:gridSpan w:val="6"/>
          </w:tcPr>
          <w:p>
            <w:pPr>
              <w:spacing w:after="0" w:line="181" w:lineRule="exact"/>
              <w:rPr>
                <w:rFonts w:ascii="Arial" w:cs="Arial" w:eastAsia="Arial" w:hAnsi="Arial"/>
                <w:sz w:val="16"/>
                <w:szCs w:val="16"/>
                <w:color w:val="0000EE"/>
                <w:w w:val="98"/>
              </w:rPr>
            </w:pPr>
            <w:hyperlink w:anchor="page57">
              <w:r>
                <w:rPr>
                  <w:rFonts w:ascii="Arial" w:cs="Arial" w:eastAsia="Arial" w:hAnsi="Arial"/>
                  <w:sz w:val="16"/>
                  <w:szCs w:val="16"/>
                  <w:color w:val="0000EE"/>
                  <w:w w:val="98"/>
                </w:rPr>
                <w:t>Change in Control Retention Agreements</w:t>
              </w:r>
            </w:hyperlink>
          </w:p>
        </w:tc>
        <w:tc>
          <w:tcPr>
            <w:tcW w:w="5360" w:type="dxa"/>
            <w:vAlign w:val="bottom"/>
            <w:gridSpan w:val="6"/>
          </w:tcPr>
          <w:p>
            <w:pPr>
              <w:spacing w:after="0"/>
              <w:rPr>
                <w:sz w:val="15"/>
                <w:szCs w:val="15"/>
                <w:color w:val="auto"/>
              </w:rPr>
            </w:pPr>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52</w:t>
            </w:r>
          </w:p>
        </w:tc>
      </w:tr>
      <w:tr>
        <w:trPr>
          <w:trHeight w:val="20"/>
        </w:trPr>
        <w:tc>
          <w:tcPr>
            <w:tcW w:w="4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3940" w:type="dxa"/>
            <w:vAlign w:val="bottom"/>
            <w:tcBorders>
              <w:bottom w:val="single" w:sz="8" w:color="0000EE"/>
            </w:tcBorders>
            <w:gridSpan w:val="9"/>
          </w:tcPr>
          <w:p>
            <w:pPr>
              <w:spacing w:after="0" w:line="181" w:lineRule="exact"/>
              <w:rPr>
                <w:rFonts w:ascii="Arial" w:cs="Arial" w:eastAsia="Arial" w:hAnsi="Arial"/>
                <w:sz w:val="16"/>
                <w:szCs w:val="16"/>
                <w:color w:val="0000EE"/>
                <w:w w:val="92"/>
              </w:rPr>
            </w:pPr>
            <w:hyperlink w:anchor="page57">
              <w:r>
                <w:rPr>
                  <w:rFonts w:ascii="Arial" w:cs="Arial" w:eastAsia="Arial" w:hAnsi="Arial"/>
                  <w:sz w:val="16"/>
                  <w:szCs w:val="16"/>
                  <w:color w:val="0000EE"/>
                  <w:w w:val="92"/>
                </w:rPr>
                <w:t>Potential Payments Upon Termination or Change in Control</w:t>
              </w:r>
            </w:hyperlink>
          </w:p>
        </w:tc>
        <w:tc>
          <w:tcPr>
            <w:tcW w:w="4320" w:type="dxa"/>
            <w:vAlign w:val="bottom"/>
            <w:gridSpan w:val="3"/>
          </w:tcPr>
          <w:p>
            <w:pPr>
              <w:spacing w:after="0"/>
              <w:rPr>
                <w:sz w:val="15"/>
                <w:szCs w:val="15"/>
                <w:color w:val="auto"/>
              </w:rPr>
            </w:pPr>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52</w:t>
            </w:r>
          </w:p>
        </w:tc>
      </w:tr>
      <w:tr>
        <w:trPr>
          <w:trHeight w:val="182"/>
        </w:trPr>
        <w:tc>
          <w:tcPr>
            <w:tcW w:w="400" w:type="dxa"/>
            <w:vAlign w:val="bottom"/>
          </w:tcPr>
          <w:p>
            <w:pPr>
              <w:spacing w:after="0"/>
              <w:rPr>
                <w:sz w:val="15"/>
                <w:szCs w:val="15"/>
                <w:color w:val="auto"/>
              </w:rPr>
            </w:pPr>
          </w:p>
        </w:tc>
        <w:tc>
          <w:tcPr>
            <w:tcW w:w="8260" w:type="dxa"/>
            <w:vAlign w:val="bottom"/>
            <w:gridSpan w:val="12"/>
          </w:tcPr>
          <w:p>
            <w:pPr>
              <w:spacing w:after="0" w:line="181" w:lineRule="exact"/>
              <w:rPr>
                <w:rFonts w:ascii="Arial" w:cs="Arial" w:eastAsia="Arial" w:hAnsi="Arial"/>
                <w:sz w:val="16"/>
                <w:szCs w:val="16"/>
                <w:color w:val="0000EE"/>
              </w:rPr>
            </w:pPr>
            <w:hyperlink w:anchor="page60">
              <w:r>
                <w:rPr>
                  <w:rFonts w:ascii="Arial" w:cs="Arial" w:eastAsia="Arial" w:hAnsi="Arial"/>
                  <w:sz w:val="16"/>
                  <w:szCs w:val="16"/>
                  <w:color w:val="0000EE"/>
                </w:rPr>
                <w:t>Equity Award Program Description</w:t>
              </w:r>
            </w:hyperlink>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55</w:t>
            </w:r>
          </w:p>
        </w:tc>
      </w:tr>
      <w:tr>
        <w:trPr>
          <w:trHeight w:val="20"/>
        </w:trPr>
        <w:tc>
          <w:tcPr>
            <w:tcW w:w="4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4580" w:type="dxa"/>
            <w:vAlign w:val="bottom"/>
            <w:tcBorders>
              <w:bottom w:val="single" w:sz="8" w:color="0000EE"/>
            </w:tcBorders>
            <w:gridSpan w:val="11"/>
          </w:tcPr>
          <w:p>
            <w:pPr>
              <w:spacing w:after="0" w:line="181" w:lineRule="exact"/>
              <w:rPr>
                <w:rFonts w:ascii="Arial" w:cs="Arial" w:eastAsia="Arial" w:hAnsi="Arial"/>
                <w:sz w:val="16"/>
                <w:szCs w:val="16"/>
                <w:color w:val="0000EE"/>
                <w:w w:val="92"/>
              </w:rPr>
            </w:pPr>
            <w:hyperlink w:anchor="page60">
              <w:r>
                <w:rPr>
                  <w:rFonts w:ascii="Arial" w:cs="Arial" w:eastAsia="Arial" w:hAnsi="Arial"/>
                  <w:sz w:val="16"/>
                  <w:szCs w:val="16"/>
                  <w:color w:val="0000EE"/>
                  <w:w w:val="92"/>
                </w:rPr>
                <w:t>Securities Authorized for Issuance Under Equity Compensation Plans</w:t>
              </w:r>
            </w:hyperlink>
          </w:p>
        </w:tc>
        <w:tc>
          <w:tcPr>
            <w:tcW w:w="3680" w:type="dxa"/>
            <w:vAlign w:val="bottom"/>
          </w:tcPr>
          <w:p>
            <w:pPr>
              <w:spacing w:after="0"/>
              <w:rPr>
                <w:sz w:val="15"/>
                <w:szCs w:val="15"/>
                <w:color w:val="auto"/>
              </w:rPr>
            </w:pPr>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55</w:t>
            </w:r>
          </w:p>
        </w:tc>
      </w:tr>
      <w:tr>
        <w:trPr>
          <w:trHeight w:val="182"/>
        </w:trPr>
        <w:tc>
          <w:tcPr>
            <w:tcW w:w="400" w:type="dxa"/>
            <w:vAlign w:val="bottom"/>
          </w:tcPr>
          <w:p>
            <w:pPr>
              <w:spacing w:after="0"/>
              <w:rPr>
                <w:sz w:val="15"/>
                <w:szCs w:val="15"/>
                <w:color w:val="auto"/>
              </w:rPr>
            </w:pPr>
          </w:p>
        </w:tc>
        <w:tc>
          <w:tcPr>
            <w:tcW w:w="8260" w:type="dxa"/>
            <w:vAlign w:val="bottom"/>
            <w:gridSpan w:val="12"/>
          </w:tcPr>
          <w:p>
            <w:pPr>
              <w:spacing w:after="0" w:line="181" w:lineRule="exact"/>
              <w:rPr>
                <w:rFonts w:ascii="Arial" w:cs="Arial" w:eastAsia="Arial" w:hAnsi="Arial"/>
                <w:sz w:val="16"/>
                <w:szCs w:val="16"/>
                <w:color w:val="0000EE"/>
              </w:rPr>
            </w:pPr>
            <w:hyperlink w:anchor="page61">
              <w:r>
                <w:rPr>
                  <w:rFonts w:ascii="Arial" w:cs="Arial" w:eastAsia="Arial" w:hAnsi="Arial"/>
                  <w:sz w:val="16"/>
                  <w:szCs w:val="16"/>
                  <w:color w:val="0000EE"/>
                </w:rPr>
                <w:t>Compensation Committee Interlocks and Insider Participation</w:t>
              </w:r>
            </w:hyperlink>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56</w:t>
            </w:r>
          </w:p>
        </w:tc>
      </w:tr>
      <w:tr>
        <w:trPr>
          <w:trHeight w:val="182"/>
        </w:trPr>
        <w:tc>
          <w:tcPr>
            <w:tcW w:w="400" w:type="dxa"/>
            <w:vAlign w:val="bottom"/>
          </w:tcPr>
          <w:p>
            <w:pPr>
              <w:spacing w:after="0"/>
              <w:rPr>
                <w:sz w:val="15"/>
                <w:szCs w:val="15"/>
                <w:color w:val="auto"/>
              </w:rPr>
            </w:pPr>
          </w:p>
        </w:tc>
        <w:tc>
          <w:tcPr>
            <w:tcW w:w="4060" w:type="dxa"/>
            <w:vAlign w:val="bottom"/>
            <w:tcBorders>
              <w:top w:val="single" w:sz="8" w:color="0000EE"/>
            </w:tcBorders>
            <w:gridSpan w:val="10"/>
          </w:tcPr>
          <w:p>
            <w:pPr>
              <w:spacing w:after="0" w:line="181" w:lineRule="exact"/>
              <w:rPr>
                <w:rFonts w:ascii="Arial" w:cs="Arial" w:eastAsia="Arial" w:hAnsi="Arial"/>
                <w:sz w:val="16"/>
                <w:szCs w:val="16"/>
                <w:color w:val="0000EE"/>
              </w:rPr>
            </w:pPr>
            <w:hyperlink w:anchor="page62">
              <w:r>
                <w:rPr>
                  <w:rFonts w:ascii="Arial" w:cs="Arial" w:eastAsia="Arial" w:hAnsi="Arial"/>
                  <w:sz w:val="16"/>
                  <w:szCs w:val="16"/>
                  <w:color w:val="0000EE"/>
                </w:rPr>
                <w:t>Compensation Committee Report</w:t>
              </w:r>
            </w:hyperlink>
          </w:p>
        </w:tc>
        <w:tc>
          <w:tcPr>
            <w:tcW w:w="4200" w:type="dxa"/>
            <w:vAlign w:val="bottom"/>
            <w:gridSpan w:val="2"/>
          </w:tcPr>
          <w:p>
            <w:pPr>
              <w:spacing w:after="0"/>
              <w:rPr>
                <w:sz w:val="15"/>
                <w:szCs w:val="15"/>
                <w:color w:val="auto"/>
              </w:rPr>
            </w:pPr>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57</w:t>
            </w:r>
          </w:p>
        </w:tc>
      </w:tr>
      <w:tr>
        <w:trPr>
          <w:trHeight w:val="20"/>
        </w:trPr>
        <w:tc>
          <w:tcPr>
            <w:tcW w:w="4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82"/>
        </w:trPr>
        <w:tc>
          <w:tcPr>
            <w:tcW w:w="8660" w:type="dxa"/>
            <w:vAlign w:val="bottom"/>
            <w:tcBorders>
              <w:bottom w:val="single" w:sz="8" w:color="0000EE"/>
            </w:tcBorders>
            <w:gridSpan w:val="13"/>
          </w:tcPr>
          <w:p>
            <w:pPr>
              <w:spacing w:after="0" w:line="181" w:lineRule="exact"/>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PROPOSAL 3 — RATIFICATION OF SELECTION OF INDEPENDENT REGISTERED PUBLIC ACCOUNTING FIRM</w:t>
              </w:r>
            </w:hyperlink>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58</w:t>
            </w:r>
          </w:p>
        </w:tc>
      </w:tr>
      <w:tr>
        <w:trPr>
          <w:trHeight w:val="182"/>
        </w:trPr>
        <w:tc>
          <w:tcPr>
            <w:tcW w:w="1500" w:type="dxa"/>
            <w:vAlign w:val="bottom"/>
            <w:tcBorders>
              <w:bottom w:val="single" w:sz="8" w:color="0000EE"/>
            </w:tcBorders>
            <w:gridSpan w:val="2"/>
          </w:tcPr>
          <w:p>
            <w:pPr>
              <w:spacing w:after="0" w:line="181" w:lineRule="exact"/>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OTHER MATTERS</w:t>
              </w:r>
            </w:hyperlink>
          </w:p>
        </w:tc>
        <w:tc>
          <w:tcPr>
            <w:tcW w:w="7160" w:type="dxa"/>
            <w:vAlign w:val="bottom"/>
            <w:gridSpan w:val="11"/>
          </w:tcPr>
          <w:p>
            <w:pPr>
              <w:spacing w:after="0"/>
              <w:rPr>
                <w:sz w:val="15"/>
                <w:szCs w:val="15"/>
                <w:color w:val="auto"/>
              </w:rPr>
            </w:pPr>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58</w:t>
            </w:r>
          </w:p>
        </w:tc>
      </w:tr>
      <w:tr>
        <w:trPr>
          <w:trHeight w:val="182"/>
        </w:trPr>
        <w:tc>
          <w:tcPr>
            <w:tcW w:w="8660" w:type="dxa"/>
            <w:vAlign w:val="bottom"/>
            <w:gridSpan w:val="13"/>
          </w:tcPr>
          <w:p>
            <w:pPr>
              <w:spacing w:after="0" w:line="181" w:lineRule="exact"/>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ELECTRONIC VOTING</w:t>
              </w:r>
            </w:hyperlink>
          </w:p>
        </w:tc>
        <w:tc>
          <w:tcPr>
            <w:tcW w:w="2680" w:type="dxa"/>
            <w:vAlign w:val="bottom"/>
          </w:tcPr>
          <w:p>
            <w:pPr>
              <w:jc w:val="right"/>
              <w:spacing w:after="0" w:line="181" w:lineRule="exact"/>
              <w:rPr>
                <w:sz w:val="20"/>
                <w:szCs w:val="20"/>
                <w:color w:val="auto"/>
              </w:rPr>
            </w:pPr>
            <w:r>
              <w:rPr>
                <w:rFonts w:ascii="Arial" w:cs="Arial" w:eastAsia="Arial" w:hAnsi="Arial"/>
                <w:sz w:val="16"/>
                <w:szCs w:val="16"/>
                <w:color w:val="auto"/>
              </w:rPr>
              <w:t>58</w:t>
            </w:r>
          </w:p>
        </w:tc>
      </w:tr>
      <w:tr>
        <w:trPr>
          <w:trHeight w:val="20"/>
        </w:trPr>
        <w:tc>
          <w:tcPr>
            <w:tcW w:w="40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40"/>
          </w:cols>
          <w:pgMar w:left="240" w:top="439" w:right="3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ANALOG DEVICES,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ONE TECHNOLOGY WAY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NORWOOD, MASSACHUSETTS 02062-9106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 FOR ANNUAL MEETING OF SHAREHOLDERS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March 13, 2012</w:t>
      </w:r>
    </w:p>
    <w:p>
      <w:pPr>
        <w:spacing w:after="0" w:line="160" w:lineRule="exact"/>
        <w:rPr>
          <w:sz w:val="20"/>
          <w:szCs w:val="20"/>
          <w:color w:val="auto"/>
        </w:rPr>
      </w:pPr>
    </w:p>
    <w:p>
      <w:pPr>
        <w:ind w:right="80" w:firstLine="457"/>
        <w:spacing w:after="0" w:line="273" w:lineRule="auto"/>
        <w:rPr>
          <w:sz w:val="20"/>
          <w:szCs w:val="20"/>
          <w:color w:val="auto"/>
        </w:rPr>
      </w:pPr>
      <w:r>
        <w:rPr>
          <w:rFonts w:ascii="Arial" w:cs="Arial" w:eastAsia="Arial" w:hAnsi="Arial"/>
          <w:sz w:val="16"/>
          <w:szCs w:val="16"/>
          <w:color w:val="auto"/>
        </w:rPr>
        <w:t>This proxy statement contains information about the 2012 Annual Meeting of Shareholders of Analog Devices, Inc. The meeting will be held on Tuesday, March 13, 2012, beginning at 9:00 a.m. local time, at our headquarters at Three Technology Way, Norwood, Massachusetts 02062. You may obtain directions to the location of the annual meeting by visiting our website at www.analog.comor by contacting our Director of Investor Relations at Analog Devices, Inc., One Technology Way, Norwood, MA 02062; telephone: 781-329-4700.</w:t>
      </w:r>
    </w:p>
    <w:p>
      <w:pPr>
        <w:spacing w:after="0" w:line="120"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We are furnishing this proxy statement to you in connection with the solicitation of proxies by the Board of Directors of Analog Devices, Inc. (which we also refer to as Analog Devices, ADI, or the Company) for use at the annual meeting and at any adjournment of that meeting. All proxies will be voted in accordance with the instructions they contain. If you do not specify your voting instructions on the proxy you submit for the meeting, it will be voted in accordance with the recommendation of the Board of Directors. You may revoke your proxy at any time before it is exercised at the meeting by giving our Secretary written notice to that effect.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mailing our Annual Report to Shareholders for the fiscal year ended October 29, 2011 with these proxy materials on or about February 2, 2012.</w:t>
      </w:r>
    </w:p>
    <w:p>
      <w:pPr>
        <w:spacing w:after="0" w:line="16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Meeting of Shareholders to be Held on March 13, 2012: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This proxy statement and the 2011 Annual Report to Shareholders are available for viewing, printing and downloading at www.analog.com/AnnualMeeting.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ABOUT THE ANNUAL MEETING AND VOTING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purpose of the annual meeting?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annual meeting, shareholders will consider and vote on the following matters:</w:t>
      </w:r>
    </w:p>
    <w:p>
      <w:pPr>
        <w:spacing w:after="0" w:line="93" w:lineRule="exact"/>
        <w:rPr>
          <w:sz w:val="20"/>
          <w:szCs w:val="20"/>
          <w:color w:val="auto"/>
        </w:rPr>
      </w:pPr>
    </w:p>
    <w:p>
      <w:pPr>
        <w:ind w:left="620" w:hanging="162"/>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election of the nine nominees named in this proxy statement to our Board of Directors, each for a term of one year.</w:t>
      </w:r>
    </w:p>
    <w:p>
      <w:pPr>
        <w:spacing w:after="0" w:line="93" w:lineRule="exact"/>
        <w:rPr>
          <w:rFonts w:ascii="Arial" w:cs="Arial" w:eastAsia="Arial" w:hAnsi="Arial"/>
          <w:sz w:val="16"/>
          <w:szCs w:val="16"/>
          <w:color w:val="auto"/>
        </w:rPr>
      </w:pPr>
    </w:p>
    <w:p>
      <w:pPr>
        <w:ind w:firstLine="458"/>
        <w:spacing w:after="0" w:line="294" w:lineRule="auto"/>
        <w:tabs>
          <w:tab w:leader="none" w:pos="621" w:val="left"/>
        </w:tabs>
        <w:numPr>
          <w:ilvl w:val="0"/>
          <w:numId w:val="5"/>
        </w:numPr>
        <w:rPr>
          <w:rFonts w:ascii="Arial" w:cs="Arial" w:eastAsia="Arial" w:hAnsi="Arial"/>
          <w:sz w:val="16"/>
          <w:szCs w:val="16"/>
          <w:color w:val="auto"/>
        </w:rPr>
      </w:pPr>
      <w:r>
        <w:rPr>
          <w:rFonts w:ascii="Arial" w:cs="Arial" w:eastAsia="Arial" w:hAnsi="Arial"/>
          <w:sz w:val="16"/>
          <w:szCs w:val="16"/>
          <w:color w:val="auto"/>
        </w:rPr>
        <w:t>A non-binding “say on pay” vote regarding the compensation of our named executive officers, as described in the Compensation Discussion and Analysis, executive compensation tables and accompanying narrative disclosures in this proxy statement.</w:t>
      </w:r>
    </w:p>
    <w:p>
      <w:pPr>
        <w:spacing w:after="0" w:line="27" w:lineRule="exact"/>
        <w:rPr>
          <w:rFonts w:ascii="Arial" w:cs="Arial" w:eastAsia="Arial" w:hAnsi="Arial"/>
          <w:sz w:val="16"/>
          <w:szCs w:val="16"/>
          <w:color w:val="auto"/>
        </w:rPr>
      </w:pPr>
    </w:p>
    <w:p>
      <w:pPr>
        <w:ind w:left="620" w:hanging="162"/>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our independent registered public accounting firm for the fiscal year ending November 3, 2012.</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shareholders will also act on any other business that may properly come before the meeting.</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vote?</w:t>
      </w:r>
    </w:p>
    <w:p>
      <w:pPr>
        <w:spacing w:after="0" w:line="97" w:lineRule="exact"/>
        <w:rPr>
          <w:sz w:val="20"/>
          <w:szCs w:val="20"/>
          <w:color w:val="auto"/>
        </w:rPr>
      </w:pPr>
    </w:p>
    <w:p>
      <w:pPr>
        <w:ind w:right="440" w:firstLine="457"/>
        <w:spacing w:after="0" w:line="329" w:lineRule="auto"/>
        <w:rPr>
          <w:sz w:val="20"/>
          <w:szCs w:val="20"/>
          <w:color w:val="auto"/>
        </w:rPr>
      </w:pPr>
      <w:r>
        <w:rPr>
          <w:rFonts w:ascii="Arial" w:cs="Arial" w:eastAsia="Arial" w:hAnsi="Arial"/>
          <w:sz w:val="15"/>
          <w:szCs w:val="15"/>
          <w:color w:val="auto"/>
        </w:rPr>
        <w:t>To be able to vote, you must have been an Analog Devices shareholder of record at the close of business on January 13, 2012. This date is the record date for the annual meeting. The number of outstanding shares entitled to vote on each proposal at the meeting is 297,688,468 shares of our common stock.</w:t>
      </w:r>
    </w:p>
    <w:p>
      <w:pPr>
        <w:sectPr>
          <w:pgSz w:w="11900" w:h="16838" w:orient="portrait"/>
          <w:cols w:equalWidth="0" w:num="1">
            <w:col w:w="11420"/>
          </w:cols>
          <w:pgMar w:left="240" w:top="439"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do I have?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share of our common stock that you owned on the record date entitles you to one vote on each matter that is voted on.</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 my vote important?</w:t>
      </w:r>
    </w:p>
    <w:p>
      <w:pPr>
        <w:spacing w:after="0" w:line="97" w:lineRule="exact"/>
        <w:rPr>
          <w:sz w:val="20"/>
          <w:szCs w:val="20"/>
          <w:color w:val="auto"/>
        </w:rPr>
      </w:pPr>
    </w:p>
    <w:p>
      <w:pPr>
        <w:ind w:right="160" w:firstLine="457"/>
        <w:spacing w:after="0" w:line="294" w:lineRule="auto"/>
        <w:rPr>
          <w:sz w:val="20"/>
          <w:szCs w:val="20"/>
          <w:color w:val="auto"/>
        </w:rPr>
      </w:pPr>
      <w:r>
        <w:rPr>
          <w:rFonts w:ascii="Arial" w:cs="Arial" w:eastAsia="Arial" w:hAnsi="Arial"/>
          <w:sz w:val="16"/>
          <w:szCs w:val="16"/>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97" w:lineRule="exact"/>
        <w:rPr>
          <w:sz w:val="20"/>
          <w:szCs w:val="20"/>
          <w:color w:val="auto"/>
        </w:rPr>
      </w:pPr>
    </w:p>
    <w:p>
      <w:pPr>
        <w:ind w:right="140" w:firstLine="457"/>
        <w:spacing w:after="0" w:line="294" w:lineRule="auto"/>
        <w:rPr>
          <w:sz w:val="20"/>
          <w:szCs w:val="20"/>
          <w:color w:val="auto"/>
        </w:rPr>
      </w:pPr>
      <w:r>
        <w:rPr>
          <w:rFonts w:ascii="Arial" w:cs="Arial" w:eastAsia="Arial" w:hAnsi="Arial"/>
          <w:sz w:val="16"/>
          <w:szCs w:val="16"/>
          <w:color w:val="auto"/>
        </w:rPr>
        <w:t>If you are the “record holder” of your shares, meaning that you own your shares in your own name and not through a bank or brokerage firm, you may vote in one of four ways.</w:t>
      </w:r>
    </w:p>
    <w:p>
      <w:pPr>
        <w:spacing w:after="0" w:line="28" w:lineRule="exact"/>
        <w:rPr>
          <w:sz w:val="20"/>
          <w:szCs w:val="20"/>
          <w:color w:val="auto"/>
        </w:rPr>
      </w:pPr>
    </w:p>
    <w:p>
      <w:pPr>
        <w:ind w:right="720" w:firstLine="458"/>
        <w:spacing w:after="0" w:line="294" w:lineRule="auto"/>
        <w:tabs>
          <w:tab w:leader="none" w:pos="68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You may vote over the Internet. </w:t>
      </w:r>
      <w:r>
        <w:rPr>
          <w:rFonts w:ascii="Arial" w:cs="Arial" w:eastAsia="Arial" w:hAnsi="Arial"/>
          <w:sz w:val="16"/>
          <w:szCs w:val="16"/>
          <w:color w:val="auto"/>
        </w:rPr>
        <w:t>If you have Internet access, you may vote your shares from any location in the world by following the “Vote by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on the enclosed proxy card.</w:t>
      </w:r>
    </w:p>
    <w:p>
      <w:pPr>
        <w:spacing w:after="0" w:line="27" w:lineRule="exact"/>
        <w:rPr>
          <w:rFonts w:ascii="Arial" w:cs="Arial" w:eastAsia="Arial" w:hAnsi="Arial"/>
          <w:sz w:val="16"/>
          <w:szCs w:val="16"/>
          <w:color w:val="auto"/>
        </w:rPr>
      </w:pPr>
    </w:p>
    <w:p>
      <w:pPr>
        <w:ind w:left="680" w:hanging="222"/>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You may vote by telephone. </w:t>
      </w:r>
      <w:r>
        <w:rPr>
          <w:rFonts w:ascii="Arial" w:cs="Arial" w:eastAsia="Arial" w:hAnsi="Arial"/>
          <w:sz w:val="16"/>
          <w:szCs w:val="16"/>
          <w:color w:val="auto"/>
        </w:rPr>
        <w:t>You may vote your shares by following the “Vote by Telephone” instructions on the enclosed proxy card.</w:t>
      </w:r>
    </w:p>
    <w:p>
      <w:pPr>
        <w:spacing w:after="0" w:line="93" w:lineRule="exact"/>
        <w:rPr>
          <w:rFonts w:ascii="Arial" w:cs="Arial" w:eastAsia="Arial" w:hAnsi="Arial"/>
          <w:sz w:val="16"/>
          <w:szCs w:val="16"/>
          <w:color w:val="auto"/>
        </w:rPr>
      </w:pPr>
    </w:p>
    <w:p>
      <w:pPr>
        <w:ind w:firstLine="458"/>
        <w:spacing w:after="0" w:line="270" w:lineRule="auto"/>
        <w:tabs>
          <w:tab w:leader="none" w:pos="68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You may vote by mail. </w:t>
      </w:r>
      <w:r>
        <w:rPr>
          <w:rFonts w:ascii="Arial" w:cs="Arial" w:eastAsia="Arial" w:hAnsi="Arial"/>
          <w:sz w:val="16"/>
          <w:szCs w:val="16"/>
          <w:color w:val="auto"/>
        </w:rPr>
        <w:t xml:space="preserve">You may vote by completing and signing the proxy card enclosed with this proxy statement and promptly mailing it in the enclosed postage-prepaid envelope. You do not need to put a stamp on the enclosed envelope if you mail it in the United States. The shares you own will be voted according to your instructions on the proxy card you mail. </w:t>
      </w:r>
      <w:r>
        <w:rPr>
          <w:rFonts w:ascii="Arial" w:cs="Arial" w:eastAsia="Arial" w:hAnsi="Arial"/>
          <w:sz w:val="16"/>
          <w:szCs w:val="16"/>
          <w:b w:val="1"/>
          <w:bCs w:val="1"/>
          <w:color w:val="auto"/>
        </w:rPr>
        <w:t>If you return the proxy card, but do not give any instructions on a particular matter described in this proxy statement,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shares you own will be voted in accordance with the recommendations of our Board of Directors. </w:t>
      </w:r>
      <w:r>
        <w:rPr>
          <w:rFonts w:ascii="Arial" w:cs="Arial" w:eastAsia="Arial" w:hAnsi="Arial"/>
          <w:sz w:val="16"/>
          <w:szCs w:val="16"/>
          <w:color w:val="auto"/>
        </w:rPr>
        <w:t>The Board of Directors recommends that you vote FOR Proposals 1, 2</w:t>
      </w:r>
      <w:r>
        <w:rPr>
          <w:rFonts w:ascii="Arial" w:cs="Arial" w:eastAsia="Arial" w:hAnsi="Arial"/>
          <w:sz w:val="16"/>
          <w:szCs w:val="16"/>
          <w:b w:val="1"/>
          <w:bCs w:val="1"/>
          <w:color w:val="auto"/>
        </w:rPr>
        <w:t xml:space="preserve"> </w:t>
      </w:r>
      <w:r>
        <w:rPr>
          <w:rFonts w:ascii="Arial" w:cs="Arial" w:eastAsia="Arial" w:hAnsi="Arial"/>
          <w:sz w:val="16"/>
          <w:szCs w:val="16"/>
          <w:color w:val="auto"/>
        </w:rPr>
        <w:t>and 3.</w:t>
      </w:r>
    </w:p>
    <w:p>
      <w:pPr>
        <w:spacing w:after="0" w:line="48" w:lineRule="exact"/>
        <w:rPr>
          <w:rFonts w:ascii="Arial" w:cs="Arial" w:eastAsia="Arial" w:hAnsi="Arial"/>
          <w:sz w:val="16"/>
          <w:szCs w:val="16"/>
          <w:color w:val="auto"/>
        </w:rPr>
      </w:pPr>
    </w:p>
    <w:p>
      <w:pPr>
        <w:ind w:right="420" w:firstLine="458"/>
        <w:spacing w:after="0" w:line="294" w:lineRule="auto"/>
        <w:tabs>
          <w:tab w:leader="none" w:pos="68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You may vote in person. </w:t>
      </w:r>
      <w:r>
        <w:rPr>
          <w:rFonts w:ascii="Arial" w:cs="Arial" w:eastAsia="Arial" w:hAnsi="Arial"/>
          <w:sz w:val="16"/>
          <w:szCs w:val="16"/>
          <w:color w:val="auto"/>
        </w:rPr>
        <w:t>If you attend the meeting, you may vote by delivering your completed proxy card in person or by completing a ballot. Ballots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at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I have mailed my proxy card or after I have voted my shares over the Internet or by telephone?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93" w:lineRule="exact"/>
        <w:rPr>
          <w:sz w:val="20"/>
          <w:szCs w:val="20"/>
          <w:color w:val="auto"/>
        </w:rPr>
      </w:pPr>
    </w:p>
    <w:p>
      <w:pPr>
        <w:ind w:left="900" w:hanging="332"/>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signing another proxy with a later date;</w:t>
      </w:r>
    </w:p>
    <w:p>
      <w:pPr>
        <w:spacing w:after="0" w:line="93" w:lineRule="exact"/>
        <w:rPr>
          <w:rFonts w:ascii="Arial" w:cs="Arial" w:eastAsia="Arial" w:hAnsi="Arial"/>
          <w:sz w:val="16"/>
          <w:szCs w:val="16"/>
          <w:color w:val="auto"/>
        </w:rPr>
      </w:pPr>
    </w:p>
    <w:p>
      <w:pPr>
        <w:ind w:left="900" w:hanging="332"/>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giving our Secretary a written notice before or at the meeting that you want to revoke your proxy; or</w:t>
      </w:r>
    </w:p>
    <w:p>
      <w:pPr>
        <w:spacing w:after="0" w:line="93" w:lineRule="exact"/>
        <w:rPr>
          <w:rFonts w:ascii="Arial" w:cs="Arial" w:eastAsia="Arial" w:hAnsi="Arial"/>
          <w:sz w:val="16"/>
          <w:szCs w:val="16"/>
          <w:color w:val="auto"/>
        </w:rPr>
      </w:pPr>
    </w:p>
    <w:p>
      <w:pPr>
        <w:ind w:left="900" w:hanging="332"/>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voting in person at the meeting.</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attendance at the meeting alone will not revoke your proxy.</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vote if my shares are held in “street name”?</w:t>
      </w:r>
    </w:p>
    <w:p>
      <w:pPr>
        <w:spacing w:after="0" w:line="97"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voting over the Internet or by telephone, instructions for which would be provided by your brokerage firm on your vote instruction form.</w:t>
      </w:r>
    </w:p>
    <w:p>
      <w:pPr>
        <w:spacing w:after="0" w:line="117" w:lineRule="exact"/>
        <w:rPr>
          <w:sz w:val="20"/>
          <w:szCs w:val="20"/>
          <w:color w:val="auto"/>
        </w:rPr>
      </w:pPr>
    </w:p>
    <w:p>
      <w:pPr>
        <w:ind w:right="80" w:firstLine="457"/>
        <w:spacing w:after="0" w:line="294" w:lineRule="auto"/>
        <w:rPr>
          <w:sz w:val="20"/>
          <w:szCs w:val="20"/>
          <w:color w:val="auto"/>
        </w:rPr>
      </w:pPr>
      <w:r>
        <w:rPr>
          <w:rFonts w:ascii="Arial" w:cs="Arial" w:eastAsia="Arial" w:hAnsi="Arial"/>
          <w:sz w:val="16"/>
          <w:szCs w:val="16"/>
          <w:color w:val="auto"/>
        </w:rPr>
        <w:t>Under the current rules of the New York Stock Exchange, or NYSE, if you do not give instructions to your brokerage firm, it will still be able to vote your shares with respect to certain “discretionary” items, but it will not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39"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be allowed to vote your shares with respect to certain “non-discretionary” items. The ratification of Ernst &amp; Young LLP as our independent registered public accounting firm (Proposal 3) is considered to be a discretionary item under the NYSE rules and your brokerage firm will be able to vote on that item even if it does not receive instructions from you, so long as it holds your shares in its name. </w:t>
      </w:r>
      <w:r>
        <w:rPr>
          <w:rFonts w:ascii="Arial" w:cs="Arial" w:eastAsia="Arial" w:hAnsi="Arial"/>
          <w:sz w:val="16"/>
          <w:szCs w:val="16"/>
          <w:b w:val="1"/>
          <w:bCs w:val="1"/>
          <w:color w:val="auto"/>
        </w:rPr>
        <w:t>The election of directors (Proposal 1) and the “say on pay” advisory vote (Proposal 2) are “non-discretionary”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items. If you do not instruct your broker how to vote with respect to these items, your broker may not vote with respect to these proposals and those votes will be counted as “broker non-votes.” </w:t>
      </w:r>
      <w:r>
        <w:rPr>
          <w:rFonts w:ascii="Arial" w:cs="Arial" w:eastAsia="Arial" w:hAnsi="Arial"/>
          <w:sz w:val="16"/>
          <w:szCs w:val="16"/>
          <w:color w:val="auto"/>
        </w:rPr>
        <w:t>“Broker non-votes” are shares that are held in “street name” by a bank or brokerage firm that indicates on its proxy that it does not have or</w:t>
      </w:r>
      <w:r>
        <w:rPr>
          <w:rFonts w:ascii="Arial" w:cs="Arial" w:eastAsia="Arial" w:hAnsi="Arial"/>
          <w:sz w:val="16"/>
          <w:szCs w:val="16"/>
          <w:b w:val="1"/>
          <w:bCs w:val="1"/>
          <w:color w:val="auto"/>
        </w:rPr>
        <w:t xml:space="preserve"> </w:t>
      </w:r>
      <w:r>
        <w:rPr>
          <w:rFonts w:ascii="Arial" w:cs="Arial" w:eastAsia="Arial" w:hAnsi="Arial"/>
          <w:sz w:val="16"/>
          <w:szCs w:val="16"/>
          <w:color w:val="auto"/>
        </w:rPr>
        <w:t>did not exercise discretionary authority to vote on a particular matter.</w:t>
      </w:r>
    </w:p>
    <w:p>
      <w:pPr>
        <w:spacing w:after="0" w:line="12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If your shares are held in street name, you must bring an account statement or letter from your bank or brokerage firm showing that you are the beneficial owner of the shares as of the record date (January 13, 2012) in order to be admitted to the meeting on March 13, 2012. To be able to vote your shares held in street name at the meeting, you will need to obtain a proxy card from the holder of record.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my 401(k) shares?</w:t>
      </w:r>
    </w:p>
    <w:p>
      <w:pPr>
        <w:spacing w:after="0" w:line="97"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You should sign the proxy card and return it in the enclosed envelope to Broadridge Financial Solutions, Inc., or you may submit your proxy over the Internet or by telephone by following the instructions on the enclosed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March 8, 2012,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my shares held in trust in the Analog Ireland Success Sharing Share Plan?</w:t>
      </w:r>
    </w:p>
    <w:p>
      <w:pPr>
        <w:spacing w:after="0" w:line="97"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If you participate in the Analog Ireland Success Sharing Share Plan (the Ireland share plan), you may instruct Irish Pensions Trust Limited, which serves as the trustee of the Ireland share plan, to vote the amount of shares of common stock which they hold on your behalf as of the record date. You will receive a voting card that you may use to direct Mercer Ireland Limited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Friday, March 2, 2012, Mercer will not vote your shares.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constitutes a quorum?</w:t>
      </w:r>
    </w:p>
    <w:p>
      <w:pPr>
        <w:spacing w:after="0" w:line="97"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In order for business to be conducted at the meeting, a quorum must be present in person or represented by valid proxies. For each of the proposals to be presented at the meeting, a quorum consists of the holders of a majority of the shares of common stock issued and outstanding on January 13, 2012, the record date, or at least 148,844,235 shares.</w:t>
      </w:r>
    </w:p>
    <w:p>
      <w:pPr>
        <w:spacing w:after="0" w:line="117" w:lineRule="exact"/>
        <w:rPr>
          <w:sz w:val="20"/>
          <w:szCs w:val="20"/>
          <w:color w:val="auto"/>
        </w:rPr>
      </w:pPr>
    </w:p>
    <w:p>
      <w:pPr>
        <w:ind w:right="120" w:firstLine="457"/>
        <w:spacing w:after="0" w:line="294"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a particular proposal) will be counted for the purpose of determining whether a quorum exists at the meeting for that proposal.</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quorum is not present, the meeting will be adjourned until a quorum is obtained.</w:t>
      </w:r>
    </w:p>
    <w:p>
      <w:pPr>
        <w:spacing w:after="0" w:line="156"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80"/>
          </w:cols>
          <w:pgMar w:left="240" w:top="439" w:right="2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vote is required for each item?</w:t>
      </w:r>
    </w:p>
    <w:p>
      <w:pPr>
        <w:spacing w:after="0" w:line="97" w:lineRule="exact"/>
        <w:rPr>
          <w:sz w:val="20"/>
          <w:szCs w:val="20"/>
          <w:color w:val="auto"/>
        </w:rPr>
      </w:pPr>
    </w:p>
    <w:p>
      <w:pPr>
        <w:ind w:right="80" w:firstLine="457"/>
        <w:spacing w:after="0" w:line="268"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Under our bylaws, a nominee will be elected to the Board of Directors if the votes cast “for” the nominee’s election exceed the votes cast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“against” the nominee’s election, with abstentions and “broker non-votes” not counting as votes “for” or “against.” If the shares you own are held in “street name” by a brokerage firm, your brokerage firm, as the record holder of your shares, is required to vote your shares according to your instructions. </w:t>
      </w:r>
      <w:r>
        <w:rPr>
          <w:rFonts w:ascii="Arial" w:cs="Arial" w:eastAsia="Arial" w:hAnsi="Arial"/>
          <w:sz w:val="16"/>
          <w:szCs w:val="16"/>
          <w:b w:val="1"/>
          <w:bCs w:val="1"/>
          <w:color w:val="auto"/>
        </w:rPr>
        <w:t>If you do not instruct your broker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how to vote with respect to this item, your broker may not vote your shares with respect to the election of directors. </w:t>
      </w:r>
      <w:r>
        <w:rPr>
          <w:rFonts w:ascii="Arial" w:cs="Arial" w:eastAsia="Arial" w:hAnsi="Arial"/>
          <w:sz w:val="16"/>
          <w:szCs w:val="16"/>
          <w:color w:val="auto"/>
        </w:rPr>
        <w:t>If an uncontested incumbent director nominee</w:t>
      </w:r>
      <w:r>
        <w:rPr>
          <w:rFonts w:ascii="Arial" w:cs="Arial" w:eastAsia="Arial" w:hAnsi="Arial"/>
          <w:sz w:val="16"/>
          <w:szCs w:val="16"/>
          <w:b w:val="1"/>
          <w:bCs w:val="1"/>
          <w:color w:val="auto"/>
        </w:rPr>
        <w:t xml:space="preserve"> </w:t>
      </w:r>
      <w:r>
        <w:rPr>
          <w:rFonts w:ascii="Arial" w:cs="Arial" w:eastAsia="Arial" w:hAnsi="Arial"/>
          <w:sz w:val="16"/>
          <w:szCs w:val="16"/>
          <w:color w:val="auto"/>
        </w:rPr>
        <w:t>receives a majority of votes “against” his election, the director must tender a resignation from the Board. The Board will then decide whether to accept the resignation within 90 days following certification of the shareholder vote (based on the recommendation of a committee of independent directors). We will publicly disclose the Board’s decision and its reasoning with regard to the offered resignation.</w:t>
      </w:r>
    </w:p>
    <w:p>
      <w:pPr>
        <w:spacing w:after="0" w:line="124"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i w:val="1"/>
          <w:iCs w:val="1"/>
          <w:color w:val="auto"/>
        </w:rPr>
        <w:t xml:space="preserve">Say on Pay. </w:t>
      </w:r>
      <w:r>
        <w:rPr>
          <w:rFonts w:ascii="Arial" w:cs="Arial" w:eastAsia="Arial" w:hAnsi="Arial"/>
          <w:sz w:val="16"/>
          <w:szCs w:val="16"/>
          <w:color w:val="auto"/>
        </w:rPr>
        <w:t>Our Board of Directors is seeking a non-binding advisory vote regarding the compensation of our named executive officers, as described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Compensation Discussion and Analysis, executive compensation tables and accompanying narrative disclosures contained in this proxy statement. Under our bylaws, the affirmative vote of a majority of the total number of votes cast at the meeting is needed to approve this resolution. The vote is advisory and non-binding in nature but our Compensation Committee will take into account the outcome of the vote when considering future executive compensation arrangements. </w:t>
      </w:r>
      <w:r>
        <w:rPr>
          <w:rFonts w:ascii="Arial" w:cs="Arial" w:eastAsia="Arial" w:hAnsi="Arial"/>
          <w:sz w:val="16"/>
          <w:szCs w:val="16"/>
          <w:b w:val="1"/>
          <w:bCs w:val="1"/>
          <w:color w:val="auto"/>
        </w:rPr>
        <w:t>If you do not instruct your broker</w:t>
      </w:r>
      <w:r>
        <w:rPr>
          <w:rFonts w:ascii="Arial" w:cs="Arial" w:eastAsia="Arial" w:hAnsi="Arial"/>
          <w:sz w:val="16"/>
          <w:szCs w:val="16"/>
          <w:color w:val="auto"/>
        </w:rPr>
        <w:t xml:space="preserve"> </w:t>
      </w:r>
      <w:r>
        <w:rPr>
          <w:rFonts w:ascii="Arial" w:cs="Arial" w:eastAsia="Arial" w:hAnsi="Arial"/>
          <w:sz w:val="16"/>
          <w:szCs w:val="16"/>
          <w:b w:val="1"/>
          <w:bCs w:val="1"/>
          <w:color w:val="auto"/>
        </w:rPr>
        <w:t>how to vote with respect to this item, your broker may not vote with respect to this proposal.</w:t>
      </w:r>
    </w:p>
    <w:p>
      <w:pPr>
        <w:spacing w:after="0" w:line="124" w:lineRule="exact"/>
        <w:rPr>
          <w:sz w:val="20"/>
          <w:szCs w:val="20"/>
          <w:color w:val="auto"/>
        </w:rPr>
      </w:pPr>
    </w:p>
    <w:p>
      <w:pPr>
        <w:ind w:right="180" w:firstLine="457"/>
        <w:spacing w:after="0" w:line="294"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Under our bylaws, the affirmative vote of a majority of the total number of votes cast at the meeting is</w:t>
      </w:r>
      <w:r>
        <w:rPr>
          <w:rFonts w:ascii="Arial" w:cs="Arial" w:eastAsia="Arial" w:hAnsi="Arial"/>
          <w:sz w:val="16"/>
          <w:szCs w:val="16"/>
          <w:i w:val="1"/>
          <w:iCs w:val="1"/>
          <w:color w:val="auto"/>
        </w:rPr>
        <w:t xml:space="preserve"> </w:t>
      </w:r>
      <w:r>
        <w:rPr>
          <w:rFonts w:ascii="Arial" w:cs="Arial" w:eastAsia="Arial" w:hAnsi="Arial"/>
          <w:sz w:val="16"/>
          <w:szCs w:val="16"/>
          <w:color w:val="auto"/>
        </w:rPr>
        <w:t>needed to ratify the selection of Ernst &amp; Young LLP as our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will votes be counted?</w:t>
      </w:r>
    </w:p>
    <w:p>
      <w:pPr>
        <w:spacing w:after="0" w:line="97"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Each share of common stock will be counted as one vote according to the instructions contained on a proper proxy card, whether submitted in person, by mail, over the Internet or by telephone, or on a ballot voted in person at the meeting. With respect to all proposals, shares will not be voted in favor of the matter, and will not be counted as voting on the matter, if they either (1) abstain from voting on a particular matter, or (2) are broker non-votes. Brokers who do not receive instructions with respect to Proposals 1 or 2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count the votes?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votes will be counted, tabulated and certified by Broadridge Financial Solutions, Inc.</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my vote be kept confidential?</w:t>
      </w:r>
    </w:p>
    <w:p>
      <w:pPr>
        <w:spacing w:after="0" w:line="97" w:lineRule="exact"/>
        <w:rPr>
          <w:sz w:val="20"/>
          <w:szCs w:val="20"/>
          <w:color w:val="auto"/>
        </w:rPr>
      </w:pPr>
    </w:p>
    <w:p>
      <w:pPr>
        <w:ind w:right="220" w:firstLine="457"/>
        <w:spacing w:after="0" w:line="305" w:lineRule="auto"/>
        <w:rPr>
          <w:sz w:val="20"/>
          <w:szCs w:val="20"/>
          <w:color w:val="auto"/>
        </w:rPr>
      </w:pPr>
      <w:r>
        <w:rPr>
          <w:rFonts w:ascii="Arial" w:cs="Arial" w:eastAsia="Arial" w:hAnsi="Arial"/>
          <w:sz w:val="15"/>
          <w:szCs w:val="15"/>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439"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Board of Directors recommend that I vote on the proposals?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recommends that you vote: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election of each of the nine nominees to serve as directors on the Board of Directors, each for a term of one year (Proposal 1);</w:t>
      </w:r>
    </w:p>
    <w:p>
      <w:pPr>
        <w:spacing w:after="0" w:line="93" w:lineRule="exact"/>
        <w:rPr>
          <w:sz w:val="20"/>
          <w:szCs w:val="20"/>
          <w:color w:val="auto"/>
        </w:rPr>
      </w:pPr>
    </w:p>
    <w:p>
      <w:pPr>
        <w:ind w:right="40" w:firstLine="457"/>
        <w:spacing w:after="0" w:line="294" w:lineRule="auto"/>
        <w:rPr>
          <w:sz w:val="20"/>
          <w:szCs w:val="20"/>
          <w:color w:val="auto"/>
        </w:rPr>
      </w:pPr>
      <w:r>
        <w:rPr>
          <w:rFonts w:ascii="Arial" w:cs="Arial" w:eastAsia="Arial" w:hAnsi="Arial"/>
          <w:sz w:val="16"/>
          <w:szCs w:val="16"/>
          <w:color w:val="auto"/>
        </w:rPr>
        <w:t>FOR the compensation of our named executive officers, as described in the Compensation Discussion and Analysis, executive compensation tables and accompanying narrative disclosures contained in this proxy statement (Proposal 2); and</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ratification of the selection of Ernst &amp; Young LLP as our independent registered public accounting firm for the 2012 fiscal year (Proposal 3).</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any other matters be voted on at this meeting?</w:t>
      </w:r>
    </w:p>
    <w:p>
      <w:pPr>
        <w:spacing w:after="0" w:line="97" w:lineRule="exact"/>
        <w:rPr>
          <w:sz w:val="20"/>
          <w:szCs w:val="20"/>
          <w:color w:val="auto"/>
        </w:rPr>
      </w:pPr>
    </w:p>
    <w:p>
      <w:pPr>
        <w:jc w:val="both"/>
        <w:ind w:right="420" w:firstLine="457"/>
        <w:spacing w:after="0" w:line="278" w:lineRule="auto"/>
        <w:rPr>
          <w:sz w:val="20"/>
          <w:szCs w:val="20"/>
          <w:color w:val="auto"/>
        </w:rPr>
      </w:pPr>
      <w:r>
        <w:rPr>
          <w:rFonts w:ascii="Arial" w:cs="Arial" w:eastAsia="Arial" w:hAnsi="Arial"/>
          <w:sz w:val="16"/>
          <w:szCs w:val="16"/>
          <w:color w:val="auto"/>
        </w:rPr>
        <w:t xml:space="preserve">No. Under Massachusetts law,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6"/>
          <w:szCs w:val="16"/>
          <w:b w:val="1"/>
          <w:bCs w:val="1"/>
          <w:i w:val="1"/>
          <w:iCs w:val="1"/>
          <w:color w:val="auto"/>
        </w:rPr>
        <w:t>“How and when may I submit a shareholder proposal, including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shareholder nomination for director, for the 2013 annual meeting?” </w:t>
      </w:r>
      <w:r>
        <w:rPr>
          <w:rFonts w:ascii="Arial" w:cs="Arial" w:eastAsia="Arial" w:hAnsi="Arial"/>
          <w:sz w:val="16"/>
          <w:szCs w:val="16"/>
          <w:color w:val="auto"/>
        </w:rPr>
        <w:t>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report the voting results in a Form 8-K filed with the SEC within four business days after the end of our annual meeting.</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and when may I submit a shareholder proposal, including a shareholder nomination for director, for the 2013 annual meeting?</w:t>
      </w:r>
    </w:p>
    <w:p>
      <w:pPr>
        <w:spacing w:after="0" w:line="97"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If you are interested in submitting a proposal for inclusion in our proxy statement for the 2013 annual meeting, you need to follow the procedures outlined in Rule 14a-8 of the Securities Exchange Act of 1934, or the Exchange Act. To be eligible for inclusion, we must receive your shareholder proposal for our proxy statement for the 2013 annual meeting of shareholders at our principal corporate offices in Norwood, Massachusetts at the address below no later than October 5, 2012.</w:t>
      </w:r>
    </w:p>
    <w:p>
      <w:pPr>
        <w:spacing w:after="0" w:line="98" w:lineRule="exact"/>
        <w:rPr>
          <w:sz w:val="20"/>
          <w:szCs w:val="20"/>
          <w:color w:val="auto"/>
        </w:rPr>
      </w:pPr>
    </w:p>
    <w:p>
      <w:pPr>
        <w:ind w:right="40" w:firstLine="457"/>
        <w:spacing w:after="0" w:line="286" w:lineRule="auto"/>
        <w:rPr>
          <w:sz w:val="20"/>
          <w:szCs w:val="20"/>
          <w:color w:val="auto"/>
        </w:rPr>
      </w:pPr>
      <w:r>
        <w:rPr>
          <w:rFonts w:ascii="Arial" w:cs="Arial" w:eastAsia="Arial" w:hAnsi="Arial"/>
          <w:sz w:val="15"/>
          <w:szCs w:val="15"/>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 Assuming that the 2013 annual meeting is not advanced by more than 20 days nor delayed by more than 60 days from the anniversary date of the 2012 annual meeting, you would need to give us appropriate notice at the address noted below no earlier than November 13, 2012, and no later than December 13, 2012. If a shareholder does not provide timely notice of a nomination or other matter to be presented at the 2013 annual meeting, under Massachusetts law, it may not be brought before our shareholders at a meeting.</w:t>
      </w:r>
    </w:p>
    <w:p>
      <w:pPr>
        <w:spacing w:after="0" w:line="115"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Securities and Exchange Commission and publicly available on our website.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439"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proposals, nominations or notices should be sent to:</w:t>
      </w:r>
    </w:p>
    <w:p>
      <w:pPr>
        <w:spacing w:after="0" w:line="9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Secretary, Analog Devices, Inc.</w:t>
      </w:r>
    </w:p>
    <w:p>
      <w:pPr>
        <w:spacing w:after="0" w:line="24"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Margaret Seif</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Analog Devices, Inc.</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One Technology Way</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Norwood, MA 02062</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Phone: 781-461-3367</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Fax: 781-461-3491</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Email: margaret.seif@analog.com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costs of soliciting these proxies and who will pay?</w:t>
      </w:r>
    </w:p>
    <w:p>
      <w:pPr>
        <w:spacing w:after="0" w:line="9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We will bear the costs of solicitation of proxies. We have engaged Alliance Advisors LLC to assist us with the solicitation of proxies and expect to pay Alliance Advisors approximately $10,000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obtain an Annual Report on Form 10-K?</w:t>
      </w:r>
    </w:p>
    <w:p>
      <w:pPr>
        <w:spacing w:after="0" w:line="97" w:lineRule="exact"/>
        <w:rPr>
          <w:sz w:val="20"/>
          <w:szCs w:val="20"/>
          <w:color w:val="auto"/>
        </w:rPr>
      </w:pPr>
    </w:p>
    <w:p>
      <w:pPr>
        <w:ind w:right="80" w:firstLine="457"/>
        <w:spacing w:after="0" w:line="294" w:lineRule="auto"/>
        <w:rPr>
          <w:sz w:val="20"/>
          <w:szCs w:val="20"/>
          <w:color w:val="auto"/>
        </w:rPr>
      </w:pPr>
      <w:r>
        <w:rPr>
          <w:rFonts w:ascii="Arial" w:cs="Arial" w:eastAsia="Arial" w:hAnsi="Arial"/>
          <w:sz w:val="16"/>
          <w:szCs w:val="16"/>
          <w:color w:val="auto"/>
        </w:rPr>
        <w:t>Our Annual Report on Form 10-K for the fiscal year ended October 29, 2011 is available on our website at www.analog.com. If you would like a copy of our Annual Report on Form 10-K or any of its exhibits, we will send you one without charge. Please contact:</w:t>
      </w:r>
    </w:p>
    <w:p>
      <w:pPr>
        <w:spacing w:after="0" w:line="2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Director of Investor Relations</w:t>
      </w:r>
    </w:p>
    <w:p>
      <w:pPr>
        <w:spacing w:after="0" w:line="24"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Analog Devices, Inc.</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One Technology Way</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Norwood, MA 02062</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Phone: 781-329-4700</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Email: investor.relations@analog.com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Whom should I contact if I have any questions?</w:t>
      </w:r>
    </w:p>
    <w:p>
      <w:pPr>
        <w:spacing w:after="0" w:line="97" w:lineRule="exact"/>
        <w:rPr>
          <w:sz w:val="20"/>
          <w:szCs w:val="20"/>
          <w:color w:val="auto"/>
        </w:rPr>
      </w:pPr>
    </w:p>
    <w:p>
      <w:pPr>
        <w:ind w:right="560" w:firstLine="457"/>
        <w:spacing w:after="0" w:line="294" w:lineRule="auto"/>
        <w:rPr>
          <w:sz w:val="20"/>
          <w:szCs w:val="20"/>
          <w:color w:val="auto"/>
        </w:rPr>
      </w:pPr>
      <w:r>
        <w:rPr>
          <w:rFonts w:ascii="Arial" w:cs="Arial" w:eastAsia="Arial" w:hAnsi="Arial"/>
          <w:sz w:val="16"/>
          <w:szCs w:val="16"/>
          <w:color w:val="auto"/>
        </w:rPr>
        <w:t>If you have any questions about the annual meeting or your ownership of our common stock, please contact our Director of Investor Relations, at the address, telephone number or email address listed above.</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HOUSEHOLDING OF ANNUAL MEETING MATERIALS</w:t>
      </w:r>
    </w:p>
    <w:p>
      <w:pPr>
        <w:spacing w:after="0" w:line="173" w:lineRule="exact"/>
        <w:rPr>
          <w:sz w:val="20"/>
          <w:szCs w:val="20"/>
          <w:color w:val="auto"/>
        </w:rPr>
      </w:pPr>
    </w:p>
    <w:p>
      <w:pPr>
        <w:ind w:right="160" w:firstLine="457"/>
        <w:spacing w:after="0" w:line="314" w:lineRule="auto"/>
        <w:rPr>
          <w:sz w:val="20"/>
          <w:szCs w:val="20"/>
          <w:color w:val="auto"/>
        </w:rPr>
      </w:pPr>
      <w:r>
        <w:rPr>
          <w:rFonts w:ascii="Arial" w:cs="Arial" w:eastAsia="Arial" w:hAnsi="Arial"/>
          <w:sz w:val="14"/>
          <w:szCs w:val="14"/>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or telephone number: Investor Relations Department, Analog Devices, Inc., One Technology Way, Norwood, Massachusetts 02062, telephone: 781-329-4700.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60"/>
          </w:cols>
          <w:pgMar w:left="240" w:top="439" w:right="2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460" w:right="2480" w:firstLine="2028"/>
        <w:spacing w:after="0" w:line="441" w:lineRule="auto"/>
        <w:rPr>
          <w:sz w:val="20"/>
          <w:szCs w:val="20"/>
          <w:color w:val="auto"/>
        </w:rPr>
      </w:pPr>
      <w:r>
        <w:rPr>
          <w:rFonts w:ascii="Arial" w:cs="Arial" w:eastAsia="Arial" w:hAnsi="Arial"/>
          <w:sz w:val="15"/>
          <w:szCs w:val="15"/>
          <w:b w:val="1"/>
          <w:bCs w:val="1"/>
          <w:color w:val="auto"/>
        </w:rPr>
        <w:t xml:space="preserve">SECURITY OWNERSHIP OF CERTAIN BENEFICIAL OWNERS AND MANAGEMENT </w:t>
      </w:r>
      <w:r>
        <w:rPr>
          <w:rFonts w:ascii="Arial" w:cs="Arial" w:eastAsia="Arial" w:hAnsi="Arial"/>
          <w:sz w:val="15"/>
          <w:szCs w:val="15"/>
          <w:color w:val="auto"/>
        </w:rPr>
        <w:t>The following table contains information regarding the beneficial ownership of our common stock as of January 13, 2012 by:</w:t>
      </w:r>
    </w:p>
    <w:p>
      <w:pPr>
        <w:ind w:left="900" w:hanging="332"/>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shareholders we know to beneficially own more than 5% of our outstanding common stock;</w:t>
      </w:r>
    </w:p>
    <w:p>
      <w:pPr>
        <w:spacing w:after="0" w:line="93" w:lineRule="exact"/>
        <w:rPr>
          <w:rFonts w:ascii="Arial" w:cs="Arial" w:eastAsia="Arial" w:hAnsi="Arial"/>
          <w:sz w:val="16"/>
          <w:szCs w:val="16"/>
          <w:color w:val="auto"/>
        </w:rPr>
      </w:pPr>
    </w:p>
    <w:p>
      <w:pPr>
        <w:ind w:left="900" w:hanging="332"/>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director named in this proxy statement;</w:t>
      </w:r>
    </w:p>
    <w:p>
      <w:pPr>
        <w:spacing w:after="0" w:line="93" w:lineRule="exact"/>
        <w:rPr>
          <w:rFonts w:ascii="Arial" w:cs="Arial" w:eastAsia="Arial" w:hAnsi="Arial"/>
          <w:sz w:val="16"/>
          <w:szCs w:val="16"/>
          <w:color w:val="auto"/>
        </w:rPr>
      </w:pPr>
    </w:p>
    <w:p>
      <w:pPr>
        <w:ind w:left="900" w:hanging="332"/>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executive officer named in the Summary Compensation Table included in this proxy statement; and</w:t>
      </w:r>
    </w:p>
    <w:p>
      <w:pPr>
        <w:spacing w:after="0" w:line="93" w:lineRule="exact"/>
        <w:rPr>
          <w:rFonts w:ascii="Arial" w:cs="Arial" w:eastAsia="Arial" w:hAnsi="Arial"/>
          <w:sz w:val="16"/>
          <w:szCs w:val="16"/>
          <w:color w:val="auto"/>
        </w:rPr>
      </w:pPr>
    </w:p>
    <w:p>
      <w:pPr>
        <w:ind w:left="900" w:hanging="332"/>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Percent of</w:t>
            </w:r>
          </w:p>
        </w:tc>
        <w:tc>
          <w:tcPr>
            <w:tcW w:w="0" w:type="dxa"/>
            <w:vAlign w:val="bottom"/>
          </w:tcPr>
          <w:p>
            <w:pPr>
              <w:spacing w:after="0"/>
              <w:rPr>
                <w:sz w:val="1"/>
                <w:szCs w:val="1"/>
                <w:color w:val="auto"/>
              </w:rPr>
            </w:pPr>
          </w:p>
        </w:tc>
      </w:tr>
      <w:tr>
        <w:trPr>
          <w:trHeight w:val="139"/>
        </w:trPr>
        <w:tc>
          <w:tcPr>
            <w:tcW w:w="6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2"/>
              </w:rPr>
              <w:t>Number of</w:t>
            </w: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2"/>
              </w:rPr>
              <w:t>Shares</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88"/>
              </w:rPr>
              <w:t>Common</w:t>
            </w:r>
          </w:p>
        </w:tc>
        <w:tc>
          <w:tcPr>
            <w:tcW w:w="0" w:type="dxa"/>
            <w:vAlign w:val="bottom"/>
          </w:tcPr>
          <w:p>
            <w:pPr>
              <w:spacing w:after="0"/>
              <w:rPr>
                <w:sz w:val="1"/>
                <w:szCs w:val="1"/>
                <w:color w:val="auto"/>
              </w:rPr>
            </w:pPr>
          </w:p>
        </w:tc>
      </w:tr>
      <w:tr>
        <w:trPr>
          <w:trHeight w:val="139"/>
        </w:trPr>
        <w:tc>
          <w:tcPr>
            <w:tcW w:w="6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82"/>
              </w:rPr>
              <w:t>Shares</w:t>
            </w: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Acquirable</w:t>
            </w:r>
          </w:p>
        </w:tc>
        <w:tc>
          <w:tcPr>
            <w:tcW w:w="820" w:type="dxa"/>
            <w:vAlign w:val="bottom"/>
          </w:tcPr>
          <w:p>
            <w:pPr>
              <w:spacing w:after="0"/>
              <w:rPr>
                <w:sz w:val="12"/>
                <w:szCs w:val="12"/>
                <w:color w:val="auto"/>
              </w:rPr>
            </w:pPr>
          </w:p>
        </w:tc>
        <w:tc>
          <w:tcPr>
            <w:tcW w:w="12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89"/>
              </w:rPr>
              <w:t>Total</w:t>
            </w: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39"/>
        </w:trPr>
        <w:tc>
          <w:tcPr>
            <w:tcW w:w="6340" w:type="dxa"/>
            <w:vAlign w:val="bottom"/>
            <w:vMerge w:val="restart"/>
          </w:tcPr>
          <w:p>
            <w:pPr>
              <w:ind w:left="2040"/>
              <w:spacing w:after="0"/>
              <w:rPr>
                <w:sz w:val="20"/>
                <w:szCs w:val="20"/>
                <w:color w:val="auto"/>
              </w:rPr>
            </w:pPr>
            <w:r>
              <w:rPr>
                <w:rFonts w:ascii="Arial" w:cs="Arial" w:eastAsia="Arial" w:hAnsi="Arial"/>
                <w:sz w:val="13"/>
                <w:szCs w:val="13"/>
                <w:b w:val="1"/>
                <w:bCs w:val="1"/>
                <w:color w:val="auto"/>
              </w:rPr>
              <w:t>Name and Address of Beneficial Owner(1)</w:t>
            </w:r>
          </w:p>
        </w:tc>
        <w:tc>
          <w:tcPr>
            <w:tcW w:w="320" w:type="dxa"/>
            <w:vAlign w:val="bottom"/>
          </w:tcPr>
          <w:p>
            <w:pPr>
              <w:spacing w:after="0"/>
              <w:rPr>
                <w:sz w:val="12"/>
                <w:szCs w:val="12"/>
                <w:color w:val="auto"/>
              </w:rPr>
            </w:pPr>
          </w:p>
        </w:tc>
        <w:tc>
          <w:tcPr>
            <w:tcW w:w="122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88"/>
              </w:rPr>
              <w:t>Beneficially</w:t>
            </w: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0"/>
              </w:rPr>
              <w:t>within</w:t>
            </w:r>
          </w:p>
        </w:tc>
        <w:tc>
          <w:tcPr>
            <w:tcW w:w="820" w:type="dxa"/>
            <w:vAlign w:val="bottom"/>
          </w:tcPr>
          <w:p>
            <w:pPr>
              <w:spacing w:after="0"/>
              <w:rPr>
                <w:sz w:val="12"/>
                <w:szCs w:val="12"/>
                <w:color w:val="auto"/>
              </w:rPr>
            </w:pPr>
          </w:p>
        </w:tc>
        <w:tc>
          <w:tcPr>
            <w:tcW w:w="120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87"/>
              </w:rPr>
              <w:t>Beneficial</w:t>
            </w:r>
          </w:p>
        </w:tc>
        <w:tc>
          <w:tcPr>
            <w:tcW w:w="82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8"/>
              </w:rPr>
              <w:t>Beneficially</w:t>
            </w:r>
          </w:p>
        </w:tc>
        <w:tc>
          <w:tcPr>
            <w:tcW w:w="0" w:type="dxa"/>
            <w:vAlign w:val="bottom"/>
          </w:tcPr>
          <w:p>
            <w:pPr>
              <w:spacing w:after="0"/>
              <w:rPr>
                <w:sz w:val="1"/>
                <w:szCs w:val="1"/>
                <w:color w:val="auto"/>
              </w:rPr>
            </w:pPr>
          </w:p>
        </w:tc>
      </w:tr>
      <w:tr>
        <w:trPr>
          <w:trHeight w:val="151"/>
        </w:trPr>
        <w:tc>
          <w:tcPr>
            <w:tcW w:w="6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7"/>
              </w:rPr>
              <w:t>Owned(2)</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60 Days(3)</w:t>
            </w:r>
          </w:p>
        </w:tc>
        <w:tc>
          <w:tcPr>
            <w:tcW w:w="82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Ownership</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Owned(4)</w:t>
            </w:r>
          </w:p>
        </w:tc>
        <w:tc>
          <w:tcPr>
            <w:tcW w:w="0" w:type="dxa"/>
            <w:vAlign w:val="bottom"/>
          </w:tcPr>
          <w:p>
            <w:pPr>
              <w:spacing w:after="0"/>
              <w:rPr>
                <w:sz w:val="1"/>
                <w:szCs w:val="1"/>
                <w:color w:val="auto"/>
              </w:rPr>
            </w:pPr>
          </w:p>
        </w:tc>
      </w:tr>
      <w:tr>
        <w:trPr>
          <w:trHeight w:val="194"/>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5% Shareholders:</w:t>
            </w: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40" w:type="dxa"/>
            <w:vAlign w:val="bottom"/>
          </w:tcPr>
          <w:p>
            <w:pPr>
              <w:ind w:left="400"/>
              <w:spacing w:after="0"/>
              <w:rPr>
                <w:sz w:val="20"/>
                <w:szCs w:val="20"/>
                <w:color w:val="auto"/>
              </w:rPr>
            </w:pPr>
            <w:r>
              <w:rPr>
                <w:rFonts w:ascii="Arial" w:cs="Arial" w:eastAsia="Arial" w:hAnsi="Arial"/>
                <w:sz w:val="16"/>
                <w:szCs w:val="16"/>
                <w:color w:val="auto"/>
              </w:rPr>
              <w:t>Wellington Management Company, LLP(5)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26,889,472</w:t>
            </w:r>
          </w:p>
        </w:tc>
        <w:tc>
          <w:tcPr>
            <w:tcW w:w="42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26,889,472</w:t>
            </w:r>
          </w:p>
        </w:tc>
        <w:tc>
          <w:tcPr>
            <w:tcW w:w="4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2"/>
        </w:trPr>
        <w:tc>
          <w:tcPr>
            <w:tcW w:w="6340" w:type="dxa"/>
            <w:vAlign w:val="bottom"/>
          </w:tcPr>
          <w:p>
            <w:pPr>
              <w:ind w:left="800"/>
              <w:spacing w:after="0"/>
              <w:rPr>
                <w:sz w:val="20"/>
                <w:szCs w:val="20"/>
                <w:color w:val="auto"/>
              </w:rPr>
            </w:pPr>
            <w:r>
              <w:rPr>
                <w:rFonts w:ascii="Arial" w:cs="Arial" w:eastAsia="Arial" w:hAnsi="Arial"/>
                <w:sz w:val="16"/>
                <w:szCs w:val="16"/>
                <w:color w:val="auto"/>
              </w:rPr>
              <w:t>280 Congress Street</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800"/>
              <w:spacing w:after="0"/>
              <w:rPr>
                <w:sz w:val="20"/>
                <w:szCs w:val="20"/>
                <w:color w:val="auto"/>
              </w:rPr>
            </w:pPr>
            <w:r>
              <w:rPr>
                <w:rFonts w:ascii="Arial" w:cs="Arial" w:eastAsia="Arial" w:hAnsi="Arial"/>
                <w:sz w:val="16"/>
                <w:szCs w:val="16"/>
                <w:color w:val="auto"/>
              </w:rPr>
              <w:t>Boston, Massachusetts 02210</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FMR, LLC(6)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17,600,163</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17,600,163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82 Devonshire Street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Boston, Massachusetts 02109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6340" w:type="dxa"/>
            <w:vAlign w:val="bottom"/>
          </w:tcPr>
          <w:p>
            <w:pPr>
              <w:spacing w:after="0"/>
              <w:rPr>
                <w:sz w:val="20"/>
                <w:szCs w:val="20"/>
                <w:color w:val="auto"/>
              </w:rPr>
            </w:pPr>
            <w:r>
              <w:rPr>
                <w:rFonts w:ascii="Arial" w:cs="Arial" w:eastAsia="Arial" w:hAnsi="Arial"/>
                <w:sz w:val="16"/>
                <w:szCs w:val="16"/>
                <w:i w:val="1"/>
                <w:iCs w:val="1"/>
                <w:color w:val="auto"/>
              </w:rPr>
              <w:t>Directors and Named Executive Officers: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James A. Champy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79,350</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52,465</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131,815</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tcPr>
          <w:p>
            <w:pPr>
              <w:ind w:left="400"/>
              <w:spacing w:after="0"/>
              <w:rPr>
                <w:sz w:val="20"/>
                <w:szCs w:val="20"/>
                <w:color w:val="auto"/>
              </w:rPr>
            </w:pPr>
            <w:r>
              <w:rPr>
                <w:rFonts w:ascii="Arial" w:cs="Arial" w:eastAsia="Arial" w:hAnsi="Arial"/>
                <w:sz w:val="16"/>
                <w:szCs w:val="16"/>
                <w:color w:val="auto"/>
              </w:rPr>
              <w:t>John L. Doyle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9,728</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130,465</w:t>
            </w:r>
          </w:p>
        </w:tc>
        <w:tc>
          <w:tcPr>
            <w:tcW w:w="8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140,193</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Jerald G. Fishman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421,348</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1,785,000</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2,206,348</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tcPr>
          <w:p>
            <w:pPr>
              <w:ind w:left="400"/>
              <w:spacing w:after="0"/>
              <w:rPr>
                <w:sz w:val="20"/>
                <w:szCs w:val="20"/>
                <w:color w:val="auto"/>
              </w:rPr>
            </w:pPr>
            <w:r>
              <w:rPr>
                <w:rFonts w:ascii="Arial" w:cs="Arial" w:eastAsia="Arial" w:hAnsi="Arial"/>
                <w:sz w:val="16"/>
                <w:szCs w:val="16"/>
                <w:color w:val="auto"/>
              </w:rPr>
              <w:t>John C. Hodgson</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6,350</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81,215</w:t>
            </w:r>
          </w:p>
        </w:tc>
        <w:tc>
          <w:tcPr>
            <w:tcW w:w="8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87,565</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Yves-Andre Istel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13,350</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40,615</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53,965</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tcPr>
          <w:p>
            <w:pPr>
              <w:ind w:left="400"/>
              <w:spacing w:after="0"/>
              <w:rPr>
                <w:sz w:val="20"/>
                <w:szCs w:val="20"/>
                <w:color w:val="auto"/>
              </w:rPr>
            </w:pPr>
            <w:r>
              <w:rPr>
                <w:rFonts w:ascii="Arial" w:cs="Arial" w:eastAsia="Arial" w:hAnsi="Arial"/>
                <w:sz w:val="16"/>
                <w:szCs w:val="16"/>
                <w:color w:val="auto"/>
              </w:rPr>
              <w:t>Robert R. Marshall</w:t>
            </w:r>
          </w:p>
        </w:tc>
        <w:tc>
          <w:tcPr>
            <w:tcW w:w="320" w:type="dxa"/>
            <w:vAlign w:val="bottom"/>
          </w:tcPr>
          <w:p>
            <w:pPr>
              <w:spacing w:after="0"/>
              <w:rPr>
                <w:sz w:val="17"/>
                <w:szCs w:val="17"/>
                <w:color w:val="auto"/>
              </w:rPr>
            </w:pPr>
          </w:p>
        </w:tc>
        <w:tc>
          <w:tcPr>
            <w:tcW w:w="12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466,783</w:t>
            </w:r>
          </w:p>
        </w:tc>
        <w:tc>
          <w:tcPr>
            <w:tcW w:w="8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466,783</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Robert P. McAdam</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186,601</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416,679</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603,280</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tcPr>
          <w:p>
            <w:pPr>
              <w:ind w:left="400"/>
              <w:spacing w:after="0"/>
              <w:rPr>
                <w:sz w:val="20"/>
                <w:szCs w:val="20"/>
                <w:color w:val="auto"/>
              </w:rPr>
            </w:pPr>
            <w:r>
              <w:rPr>
                <w:rFonts w:ascii="Arial" w:cs="Arial" w:eastAsia="Arial" w:hAnsi="Arial"/>
                <w:sz w:val="16"/>
                <w:szCs w:val="16"/>
                <w:color w:val="auto"/>
              </w:rPr>
              <w:t>Neil Novich</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9,350</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38,768</w:t>
            </w:r>
          </w:p>
        </w:tc>
        <w:tc>
          <w:tcPr>
            <w:tcW w:w="8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48,118</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Vincent T. Roche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460,043</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460,143</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tcPr>
          <w:p>
            <w:pPr>
              <w:ind w:left="400"/>
              <w:spacing w:after="0"/>
              <w:rPr>
                <w:sz w:val="20"/>
                <w:szCs w:val="20"/>
                <w:color w:val="auto"/>
              </w:rPr>
            </w:pPr>
            <w:r>
              <w:rPr>
                <w:rFonts w:ascii="Arial" w:cs="Arial" w:eastAsia="Arial" w:hAnsi="Arial"/>
                <w:sz w:val="16"/>
                <w:szCs w:val="16"/>
                <w:color w:val="auto"/>
              </w:rPr>
              <w:t>F. Grant Saviers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8,850</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130,465</w:t>
            </w:r>
          </w:p>
        </w:tc>
        <w:tc>
          <w:tcPr>
            <w:tcW w:w="8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139,315</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Paul J. Severino</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17,550</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74,465</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92,015</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tcPr>
          <w:p>
            <w:pPr>
              <w:ind w:left="400"/>
              <w:spacing w:after="0"/>
              <w:rPr>
                <w:sz w:val="20"/>
                <w:szCs w:val="20"/>
                <w:color w:val="auto"/>
              </w:rPr>
            </w:pPr>
            <w:r>
              <w:rPr>
                <w:rFonts w:ascii="Arial" w:cs="Arial" w:eastAsia="Arial" w:hAnsi="Arial"/>
                <w:sz w:val="16"/>
                <w:szCs w:val="16"/>
                <w:color w:val="auto"/>
              </w:rPr>
              <w:t>Kenton J. Sicchitano</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6,850</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127,465</w:t>
            </w:r>
          </w:p>
        </w:tc>
        <w:tc>
          <w:tcPr>
            <w:tcW w:w="8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134,315</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Ray Stata(7)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4,238,994</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422,790</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4,661,784</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2"/>
        </w:trPr>
        <w:tc>
          <w:tcPr>
            <w:tcW w:w="6340" w:type="dxa"/>
            <w:vAlign w:val="bottom"/>
          </w:tcPr>
          <w:p>
            <w:pPr>
              <w:ind w:left="400"/>
              <w:spacing w:after="0"/>
              <w:rPr>
                <w:sz w:val="20"/>
                <w:szCs w:val="20"/>
                <w:color w:val="auto"/>
              </w:rPr>
            </w:pPr>
            <w:r>
              <w:rPr>
                <w:rFonts w:ascii="Arial" w:cs="Arial" w:eastAsia="Arial" w:hAnsi="Arial"/>
                <w:sz w:val="16"/>
                <w:szCs w:val="16"/>
                <w:color w:val="auto"/>
              </w:rPr>
              <w:t>David A. Zinsner</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8,772</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102,022</w:t>
            </w:r>
          </w:p>
        </w:tc>
        <w:tc>
          <w:tcPr>
            <w:tcW w:w="8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110,794</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w w:val="94"/>
              </w:rPr>
              <w:t>All directors and executive officers as a group (18 persons, consisting of 10 officers and 8 non-</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directors)(8)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5,031,271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4,689,906</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9,721,177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0" w:lineRule="exact"/>
        <w:rPr>
          <w:sz w:val="20"/>
          <w:szCs w:val="20"/>
          <w:color w:val="auto"/>
        </w:rPr>
      </w:pPr>
    </w:p>
    <w:p>
      <w:pPr>
        <w:ind w:left="460" w:hanging="459"/>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Less than 1% of our outstanding common stock.</w:t>
      </w:r>
    </w:p>
    <w:p>
      <w:pPr>
        <w:spacing w:after="0" w:line="24"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Unless otherwise indicated, the address of each beneficial owner listed is c/o Analog Devices, Inc., One Technology Way, Norwood, MA 02062.</w:t>
      </w:r>
    </w:p>
    <w:p>
      <w:pPr>
        <w:spacing w:after="0" w:line="17" w:lineRule="exact"/>
        <w:rPr>
          <w:rFonts w:ascii="Arial" w:cs="Arial" w:eastAsia="Arial" w:hAnsi="Arial"/>
          <w:sz w:val="16"/>
          <w:szCs w:val="16"/>
          <w:color w:val="auto"/>
        </w:rPr>
      </w:pPr>
    </w:p>
    <w:p>
      <w:pPr>
        <w:ind w:left="460" w:right="160" w:hanging="459"/>
        <w:spacing w:after="0" w:line="30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439"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left="460" w:hanging="459"/>
        <w:spacing w:after="0" w:line="26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the rules of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that vest within 60 days after January 13, 2012.</w:t>
      </w:r>
    </w:p>
    <w:p>
      <w:pPr>
        <w:spacing w:after="0" w:line="2" w:lineRule="exact"/>
        <w:rPr>
          <w:rFonts w:ascii="Arial" w:cs="Arial" w:eastAsia="Arial" w:hAnsi="Arial"/>
          <w:sz w:val="16"/>
          <w:szCs w:val="16"/>
          <w:color w:val="auto"/>
        </w:rPr>
      </w:pPr>
    </w:p>
    <w:p>
      <w:pPr>
        <w:ind w:left="460" w:hanging="459"/>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percent ownership for each shareholder on January 13, 2012 is calculated by dividing (1) the total number of shares beneficially owned by the shareholder by</w:t>
      </w:r>
    </w:p>
    <w:p>
      <w:pPr>
        <w:spacing w:after="0" w:line="29" w:lineRule="exact"/>
        <w:rPr>
          <w:rFonts w:ascii="Arial" w:cs="Arial" w:eastAsia="Arial" w:hAnsi="Arial"/>
          <w:sz w:val="15"/>
          <w:szCs w:val="15"/>
          <w:color w:val="auto"/>
        </w:rPr>
      </w:pPr>
    </w:p>
    <w:p>
      <w:pPr>
        <w:ind w:left="460" w:right="40"/>
        <w:spacing w:after="0" w:line="262" w:lineRule="auto"/>
        <w:rPr>
          <w:rFonts w:ascii="Arial" w:cs="Arial" w:eastAsia="Arial" w:hAnsi="Arial"/>
          <w:sz w:val="15"/>
          <w:szCs w:val="15"/>
          <w:color w:val="auto"/>
        </w:rPr>
      </w:pPr>
      <w:r>
        <w:rPr>
          <w:rFonts w:ascii="Arial" w:cs="Arial" w:eastAsia="Arial" w:hAnsi="Arial"/>
          <w:sz w:val="16"/>
          <w:szCs w:val="16"/>
          <w:color w:val="auto"/>
        </w:rPr>
        <w:t>(2) the number of shares of our common stock outstanding on January 13, 2012 (297,688,468 shares) plus any shares acquirable (including exercisable stock options) by the shareholder in question within 60 days after January 13, 2012.</w:t>
      </w:r>
    </w:p>
    <w:p>
      <w:pPr>
        <w:spacing w:after="0" w:line="1" w:lineRule="exact"/>
        <w:rPr>
          <w:rFonts w:ascii="Arial" w:cs="Arial" w:eastAsia="Arial" w:hAnsi="Arial"/>
          <w:sz w:val="15"/>
          <w:szCs w:val="15"/>
          <w:color w:val="auto"/>
        </w:rPr>
      </w:pPr>
    </w:p>
    <w:p>
      <w:pPr>
        <w:ind w:left="460" w:right="480" w:hanging="459"/>
        <w:spacing w:after="0" w:line="26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solely on a Form 13F-HR filed by Wellington Management Company, LLP on November 14, 2011 reporting stock ownership as of September 30, 2011. Wellington Management Company, LLP reports that it has sole voting authority with respect to 13,000,462 shares, sole investment discretion with respect to 25,149,834 shares and shared investment discretion with respect to 1,739,638 shares.</w:t>
      </w:r>
    </w:p>
    <w:p>
      <w:pPr>
        <w:spacing w:after="0" w:line="2" w:lineRule="exact"/>
        <w:rPr>
          <w:rFonts w:ascii="Arial" w:cs="Arial" w:eastAsia="Arial" w:hAnsi="Arial"/>
          <w:sz w:val="16"/>
          <w:szCs w:val="16"/>
          <w:color w:val="auto"/>
        </w:rPr>
      </w:pPr>
    </w:p>
    <w:p>
      <w:pPr>
        <w:ind w:left="460" w:right="140" w:hanging="459"/>
        <w:spacing w:after="0" w:line="26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solely on a Form 13F-HR filed by FMR, LLC on November 14, 2011 reporting stock ownership as of September 30, 2011. FMR, LLC reports that it has sole voting authority with respect to 833,961 shares and shared investment discretion with respect to 17,600,163 shares.</w:t>
      </w:r>
    </w:p>
    <w:p>
      <w:pPr>
        <w:spacing w:after="0" w:line="1" w:lineRule="exact"/>
        <w:rPr>
          <w:rFonts w:ascii="Arial" w:cs="Arial" w:eastAsia="Arial" w:hAnsi="Arial"/>
          <w:sz w:val="16"/>
          <w:szCs w:val="16"/>
          <w:color w:val="auto"/>
        </w:rPr>
      </w:pPr>
    </w:p>
    <w:p>
      <w:pPr>
        <w:ind w:left="460" w:right="200" w:hanging="459"/>
        <w:spacing w:after="0" w:line="26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1,108,709 shares held by Mr. Stata’s wife, 400,277 shares held in trusts for the benefit of Mr. Stata’s children, and 1,628,808 shares held in charitable lead trusts, as to which Mr. Stata disclaims beneficial ownership.</w:t>
      </w:r>
    </w:p>
    <w:p>
      <w:pPr>
        <w:spacing w:after="0" w:line="1" w:lineRule="exact"/>
        <w:rPr>
          <w:rFonts w:ascii="Arial" w:cs="Arial" w:eastAsia="Arial" w:hAnsi="Arial"/>
          <w:sz w:val="16"/>
          <w:szCs w:val="16"/>
          <w:color w:val="auto"/>
        </w:rPr>
      </w:pPr>
    </w:p>
    <w:p>
      <w:pPr>
        <w:ind w:left="460" w:hanging="459"/>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directors and executive officers as a group disclaim beneficial ownership of a total of 3,137,794 shares.</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173"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40"/>
          </w:cols>
          <w:pgMar w:left="240" w:top="439" w:right="3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1 — ELECTION OF DIRECTORS</w:t>
      </w:r>
    </w:p>
    <w:p>
      <w:pPr>
        <w:spacing w:after="0" w:line="173" w:lineRule="exact"/>
        <w:rPr>
          <w:sz w:val="20"/>
          <w:szCs w:val="20"/>
          <w:color w:val="auto"/>
        </w:rPr>
      </w:pPr>
    </w:p>
    <w:p>
      <w:pPr>
        <w:ind w:right="60" w:firstLine="457"/>
        <w:spacing w:after="0" w:line="269" w:lineRule="auto"/>
        <w:rPr>
          <w:sz w:val="20"/>
          <w:szCs w:val="20"/>
          <w:color w:val="auto"/>
        </w:rPr>
      </w:pPr>
      <w:r>
        <w:rPr>
          <w:rFonts w:ascii="Arial" w:cs="Arial" w:eastAsia="Arial" w:hAnsi="Arial"/>
          <w:sz w:val="16"/>
          <w:szCs w:val="16"/>
          <w:color w:val="auto"/>
        </w:rPr>
        <w:t>Our entire Board of Directors is elected annually by our shareholders and currently consists of 10 members. However, John L. Doyle, a member of our Board since 1987, has decided to retire at the end of his current term which expires on the date of our annual meeting. Mr. Doyle will not seek re-election. At the meeting, shareholders will have an opportunity to vote for each of the nine nominees listed below. The persons named in the enclosed proxy card will vote for each of these nominees, unless you instruct them to vote otherwise on the proxy card (whether executed by you or through Internet or telephonic voting). Each of the nominees has indicated his willingness to serve, if elected. However, if any or all of the nominees should be unable or unwilling to serve, the proxies may be voted for a substitute nominee designated by our Board of Directors or our Board may reduce the number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97"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The following paragraphs provide information as of the date of this proxy statement about each nominee. The information presented includes information each director has given us about his age, all positions he holds, his principal occupation and business experience, and the names of other publicly-held companies of which he currently serves as a director or has served as a director during the past five years. In addition to the information presented below regarding each nominee’s specific experience, qualifications, attributes and skills that led our Board to the conclusion that 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Finally, we value their significant experience on other public company boards of directors and board committees.</w:t>
      </w:r>
    </w:p>
    <w:p>
      <w:pPr>
        <w:spacing w:after="0" w:line="110"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RAY STATA, </w:t>
      </w:r>
      <w:r>
        <w:rPr>
          <w:rFonts w:ascii="Arial" w:cs="Arial" w:eastAsia="Arial" w:hAnsi="Arial"/>
          <w:sz w:val="16"/>
          <w:szCs w:val="16"/>
          <w:b w:val="1"/>
          <w:bCs w:val="1"/>
          <w:i w:val="1"/>
          <w:iCs w:val="1"/>
          <w:color w:val="auto"/>
        </w:rPr>
        <w:t>Chairman of the Board of Directors; Director since 1965</w:t>
      </w:r>
    </w:p>
    <w:p>
      <w:pPr>
        <w:spacing w:after="0" w:line="97"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Mr. Stata, age 77, has served as our Chairman of the Board of Directors since 1973 and an executive officer of our company since its inception. Mr. Stata served as our Chief Executive Officer from 1973 to November 1996 and as our President from 1971 to November 1991. We believe Mr. Stata’s qualifications to sit on our Board of Directors include his 47 years of experience in the semiconductor industry, including as our founder, our Chairman for 39 years and formerly as our President for 20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JERALD G. FISHMAN, </w:t>
      </w:r>
      <w:r>
        <w:rPr>
          <w:rFonts w:ascii="Arial" w:cs="Arial" w:eastAsia="Arial" w:hAnsi="Arial"/>
          <w:sz w:val="16"/>
          <w:szCs w:val="16"/>
          <w:b w:val="1"/>
          <w:bCs w:val="1"/>
          <w:i w:val="1"/>
          <w:iCs w:val="1"/>
          <w:color w:val="auto"/>
        </w:rPr>
        <w:t>President and Chief Executive Officer; Director since 1991</w:t>
      </w:r>
    </w:p>
    <w:p>
      <w:pPr>
        <w:spacing w:after="0" w:line="97" w:lineRule="exact"/>
        <w:rPr>
          <w:sz w:val="20"/>
          <w:szCs w:val="20"/>
          <w:color w:val="auto"/>
        </w:rPr>
      </w:pPr>
    </w:p>
    <w:p>
      <w:pPr>
        <w:ind w:right="80" w:firstLine="457"/>
        <w:spacing w:after="0" w:line="273" w:lineRule="auto"/>
        <w:rPr>
          <w:sz w:val="20"/>
          <w:szCs w:val="20"/>
          <w:color w:val="auto"/>
        </w:rPr>
      </w:pPr>
      <w:r>
        <w:rPr>
          <w:rFonts w:ascii="Arial" w:cs="Arial" w:eastAsia="Arial" w:hAnsi="Arial"/>
          <w:sz w:val="16"/>
          <w:szCs w:val="16"/>
          <w:color w:val="auto"/>
        </w:rPr>
        <w:t>Mr. Fishman, age 66, has been our President and Chief Executive Officer since November 1996 and served as our President and Chief Operating Officer from November 1991 to November 1996. Mr. Fishman served as our Executive Vice President from 1988 to November 1991. He served as our Group Vice President-Components from 1982 to 1988. Mr. Fishman also currently serves as a director of Cognex Corporation and Xilinx, Inc. We believe Mr. Fishman’s qualifications to sit on our Board of Directors include his four decades of experience in the semiconductor industry, including 21 years as our President.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JAMES A. CHAMPY, </w:t>
      </w:r>
      <w:r>
        <w:rPr>
          <w:rFonts w:ascii="Arial" w:cs="Arial" w:eastAsia="Arial" w:hAnsi="Arial"/>
          <w:sz w:val="16"/>
          <w:szCs w:val="16"/>
          <w:b w:val="1"/>
          <w:bCs w:val="1"/>
          <w:i w:val="1"/>
          <w:iCs w:val="1"/>
          <w:color w:val="auto"/>
        </w:rPr>
        <w:t>Director since March 2003</w:t>
      </w:r>
    </w:p>
    <w:p>
      <w:pPr>
        <w:spacing w:after="0" w:line="97" w:lineRule="exact"/>
        <w:rPr>
          <w:sz w:val="20"/>
          <w:szCs w:val="20"/>
          <w:color w:val="auto"/>
        </w:rPr>
      </w:pPr>
    </w:p>
    <w:p>
      <w:pPr>
        <w:ind w:right="340" w:firstLine="457"/>
        <w:spacing w:after="0" w:line="278" w:lineRule="auto"/>
        <w:rPr>
          <w:sz w:val="20"/>
          <w:szCs w:val="20"/>
          <w:color w:val="auto"/>
        </w:rPr>
      </w:pPr>
      <w:r>
        <w:rPr>
          <w:rFonts w:ascii="Arial" w:cs="Arial" w:eastAsia="Arial" w:hAnsi="Arial"/>
          <w:sz w:val="16"/>
          <w:szCs w:val="16"/>
          <w:color w:val="auto"/>
        </w:rPr>
        <w:t>Mr. Champy, age 69,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currently a Research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439"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Fellow at the Harvard Business School. We believe Mr. Champy’s qualifications to serve on our Board of Directors include his expertise in corporate strategy development and his organizational acumen.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JOHN C. HODGSON, </w:t>
      </w:r>
      <w:r>
        <w:rPr>
          <w:rFonts w:ascii="Arial" w:cs="Arial" w:eastAsia="Arial" w:hAnsi="Arial"/>
          <w:sz w:val="16"/>
          <w:szCs w:val="16"/>
          <w:b w:val="1"/>
          <w:bCs w:val="1"/>
          <w:i w:val="1"/>
          <w:iCs w:val="1"/>
          <w:color w:val="auto"/>
        </w:rPr>
        <w:t>Director since September 2005</w:t>
      </w:r>
    </w:p>
    <w:p>
      <w:pPr>
        <w:spacing w:after="0" w:line="97" w:lineRule="exact"/>
        <w:rPr>
          <w:sz w:val="20"/>
          <w:szCs w:val="20"/>
          <w:color w:val="auto"/>
        </w:rPr>
      </w:pPr>
    </w:p>
    <w:p>
      <w:pPr>
        <w:ind w:right="100" w:firstLine="457"/>
        <w:spacing w:after="0" w:line="292" w:lineRule="auto"/>
        <w:rPr>
          <w:sz w:val="20"/>
          <w:szCs w:val="20"/>
          <w:color w:val="auto"/>
        </w:rPr>
      </w:pPr>
      <w:r>
        <w:rPr>
          <w:rFonts w:ascii="Arial" w:cs="Arial" w:eastAsia="Arial" w:hAnsi="Arial"/>
          <w:sz w:val="15"/>
          <w:szCs w:val="15"/>
          <w:color w:val="auto"/>
        </w:rPr>
        <w:t>Mr. Hodgson, age 68,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 We believe Mr. Hodgson’s qualifications to sit on our Board of Directors include his extensive sales and marketing experience with a complex, global technology company, as well as his executive leadership and experience with strategic, operational and financial matters.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YVES-ANDRE ISTEL, </w:t>
      </w:r>
      <w:r>
        <w:rPr>
          <w:rFonts w:ascii="Arial" w:cs="Arial" w:eastAsia="Arial" w:hAnsi="Arial"/>
          <w:sz w:val="16"/>
          <w:szCs w:val="16"/>
          <w:b w:val="1"/>
          <w:bCs w:val="1"/>
          <w:i w:val="1"/>
          <w:iCs w:val="1"/>
          <w:color w:val="auto"/>
        </w:rPr>
        <w:t>Director since December 2007</w:t>
      </w:r>
    </w:p>
    <w:p>
      <w:pPr>
        <w:spacing w:after="0" w:line="97"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Mr. Istel, age 75,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served as a director of Imperial Sugar Company, a processor and marketer of refined sugar during the past five years. Mr. Istel is deputy chairman of Compagnie Financiere Richemont S.A., the parent group owning luxury goods companies, including Cartier and Montblanc. We believe Mr. Istel’s qualifications to sit on our Board of Directors include his extensive experience with global companies, his financial expertise and his years of experience providing strategic advisory services to complex organizations.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NEIL NOVICH, </w:t>
      </w:r>
      <w:r>
        <w:rPr>
          <w:rFonts w:ascii="Arial" w:cs="Arial" w:eastAsia="Arial" w:hAnsi="Arial"/>
          <w:sz w:val="16"/>
          <w:szCs w:val="16"/>
          <w:b w:val="1"/>
          <w:bCs w:val="1"/>
          <w:i w:val="1"/>
          <w:iCs w:val="1"/>
          <w:color w:val="auto"/>
        </w:rPr>
        <w:t>Director since May 2008</w:t>
      </w:r>
    </w:p>
    <w:p>
      <w:pPr>
        <w:spacing w:after="0" w:line="97" w:lineRule="exact"/>
        <w:rPr>
          <w:sz w:val="20"/>
          <w:szCs w:val="20"/>
          <w:color w:val="auto"/>
        </w:rPr>
      </w:pPr>
    </w:p>
    <w:p>
      <w:pPr>
        <w:ind w:right="480" w:firstLine="457"/>
        <w:spacing w:after="0" w:line="292" w:lineRule="auto"/>
        <w:rPr>
          <w:sz w:val="20"/>
          <w:szCs w:val="20"/>
          <w:color w:val="auto"/>
        </w:rPr>
      </w:pPr>
      <w:r>
        <w:rPr>
          <w:rFonts w:ascii="Arial" w:cs="Arial" w:eastAsia="Arial" w:hAnsi="Arial"/>
          <w:sz w:val="15"/>
          <w:szCs w:val="15"/>
          <w:color w:val="auto"/>
        </w:rPr>
        <w:t>Mr. Novich, age 57, is the former Chairman, President and Chief Executive Officer of Ryerson Inc., a leading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and Hillenbrand Inc. and served as a director of Ryerson, Inc. during the past five years. We believe Mr. Novich’s qualifications to sit on our Board of Directors include his experience as a CEO leading complex global organizations, combined with his broad operational and corporate governance expertise.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 GRANT SAVIERS, </w:t>
      </w:r>
      <w:r>
        <w:rPr>
          <w:rFonts w:ascii="Arial" w:cs="Arial" w:eastAsia="Arial" w:hAnsi="Arial"/>
          <w:sz w:val="16"/>
          <w:szCs w:val="16"/>
          <w:b w:val="1"/>
          <w:bCs w:val="1"/>
          <w:i w:val="1"/>
          <w:iCs w:val="1"/>
          <w:color w:val="auto"/>
        </w:rPr>
        <w:t>Director since December 1997</w:t>
      </w:r>
    </w:p>
    <w:p>
      <w:pPr>
        <w:spacing w:after="0" w:line="9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Mr. Saviers, age 67, has been retired since 1998. He served as Chairman of the Board of Adaptec, Inc., a provider of high performance computer input/output products, from 1997 to 1998, President from 1992 to 1995, and Chief Executive Officer from 1995 to 1998. Prior to Adaptec, Mr. Saviers was employed by Digital Equipment Corporation, where he served as Vice President, Storage Systems from 1981 to 1989, and as Vice President, Personal Computers and Peripherals from 1989 to 1992. We believe Mr. Saviers’ qualifications to serve on our Board of Directors include his experience in leading complex technology enterprises and his experience as a CEO of a semiconductor company.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J. SEVERINO, </w:t>
      </w:r>
      <w:r>
        <w:rPr>
          <w:rFonts w:ascii="Arial" w:cs="Arial" w:eastAsia="Arial" w:hAnsi="Arial"/>
          <w:sz w:val="16"/>
          <w:szCs w:val="16"/>
          <w:b w:val="1"/>
          <w:bCs w:val="1"/>
          <w:i w:val="1"/>
          <w:iCs w:val="1"/>
          <w:color w:val="auto"/>
        </w:rPr>
        <w:t>Director since November 2005</w:t>
      </w:r>
    </w:p>
    <w:p>
      <w:pPr>
        <w:spacing w:after="0" w:line="97" w:lineRule="exact"/>
        <w:rPr>
          <w:sz w:val="20"/>
          <w:szCs w:val="20"/>
          <w:color w:val="auto"/>
        </w:rPr>
      </w:pPr>
    </w:p>
    <w:p>
      <w:pPr>
        <w:ind w:right="380" w:firstLine="457"/>
        <w:spacing w:after="0" w:line="278" w:lineRule="auto"/>
        <w:rPr>
          <w:sz w:val="20"/>
          <w:szCs w:val="20"/>
          <w:color w:val="auto"/>
        </w:rPr>
      </w:pPr>
      <w:r>
        <w:rPr>
          <w:rFonts w:ascii="Arial" w:cs="Arial" w:eastAsia="Arial" w:hAnsi="Arial"/>
          <w:sz w:val="16"/>
          <w:szCs w:val="16"/>
          <w:color w:val="auto"/>
        </w:rPr>
        <w:t>Mr. Severino, age 65, has been an advisor to emerging technology companies since 1996. From 1994 to 1996, he was Chairman of Bay Networks, Inc., a data networking products services company, after its formation from the merger of Wellfleet Communications, Inc. and Synoptics Communications, Inc. Prior to that merger, Mr. Severino was a founder, President and Chief Executive Officer of Wellfleet Communications,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39"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Mr. Severino is also a trustee of Rensselaer Polytechnic Institute and the Dana Farber Cancer Institute. Mr. Severino served as a director of Sonus Networks, Inc. during the past five years. We believe Mr. Severino’s qualifications to serve on our Board of Directors include his experience as a CEO of a global technology company, as well as his management and corporate governance expertise.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KENTON J. SICCHITANO, </w:t>
      </w:r>
      <w:r>
        <w:rPr>
          <w:rFonts w:ascii="Arial" w:cs="Arial" w:eastAsia="Arial" w:hAnsi="Arial"/>
          <w:sz w:val="16"/>
          <w:szCs w:val="16"/>
          <w:b w:val="1"/>
          <w:bCs w:val="1"/>
          <w:i w:val="1"/>
          <w:iCs w:val="1"/>
          <w:color w:val="auto"/>
        </w:rPr>
        <w:t>Director since March 2003</w:t>
      </w:r>
    </w:p>
    <w:p>
      <w:pPr>
        <w:spacing w:after="0" w:line="9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Mr. Sicchitano, age 67, has been retired since July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 Mr. Sicchitano also serves as a director of PerkinElmer, Inc. and MetLife, Inc. We believe Mr. Sicchitano’s qualifications to sit on our Board of Directors include his extensive experience with public and financial accounting matters for complex global organizations.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Board of Directors recommends that you vote FOR the election of each of the above nominees.</w:t>
      </w:r>
    </w:p>
    <w:p>
      <w:pPr>
        <w:spacing w:after="0" w:line="15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00"/>
          </w:cols>
          <w:pgMar w:left="240" w:top="439" w:right="3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97" w:lineRule="exact"/>
        <w:rPr>
          <w:sz w:val="20"/>
          <w:szCs w:val="20"/>
          <w:color w:val="auto"/>
        </w:rPr>
      </w:pPr>
    </w:p>
    <w:p>
      <w:pPr>
        <w:ind w:right="60" w:firstLine="457"/>
        <w:spacing w:after="0" w:line="273"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120" w:lineRule="exact"/>
        <w:rPr>
          <w:sz w:val="20"/>
          <w:szCs w:val="20"/>
          <w:color w:val="auto"/>
        </w:rPr>
      </w:pPr>
    </w:p>
    <w:p>
      <w:pPr>
        <w:jc w:val="both"/>
        <w:ind w:right="80" w:firstLine="457"/>
        <w:spacing w:after="0" w:line="294" w:lineRule="auto"/>
        <w:rPr>
          <w:sz w:val="20"/>
          <w:szCs w:val="20"/>
          <w:color w:val="auto"/>
        </w:rPr>
      </w:pPr>
      <w:r>
        <w:rPr>
          <w:rFonts w:ascii="Arial" w:cs="Arial" w:eastAsia="Arial" w:hAnsi="Arial"/>
          <w:sz w:val="16"/>
          <w:szCs w:val="16"/>
          <w:i w:val="1"/>
          <w:iCs w:val="1"/>
          <w:color w:val="auto"/>
        </w:rPr>
        <w:t xml:space="preserve">Declassified Board of Directors. </w:t>
      </w:r>
      <w:r>
        <w:rPr>
          <w:rFonts w:ascii="Arial" w:cs="Arial" w:eastAsia="Arial" w:hAnsi="Arial"/>
          <w:sz w:val="16"/>
          <w:szCs w:val="16"/>
          <w:color w:val="auto"/>
        </w:rPr>
        <w:t>We have a declassified Board and our bylaws provide for one-year terms for our directors. All of our directors will stand for 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to one-year terms at this annual meeting.</w:t>
      </w:r>
    </w:p>
    <w:p>
      <w:pPr>
        <w:spacing w:after="0" w:line="104" w:lineRule="exact"/>
        <w:rPr>
          <w:sz w:val="20"/>
          <w:szCs w:val="20"/>
          <w:color w:val="auto"/>
        </w:rPr>
      </w:pPr>
    </w:p>
    <w:p>
      <w:pPr>
        <w:jc w:val="both"/>
        <w:ind w:right="80" w:firstLine="457"/>
        <w:spacing w:after="0" w:line="335" w:lineRule="auto"/>
        <w:rPr>
          <w:sz w:val="20"/>
          <w:szCs w:val="20"/>
          <w:color w:val="auto"/>
        </w:rPr>
      </w:pPr>
      <w:r>
        <w:rPr>
          <w:rFonts w:ascii="Arial" w:cs="Arial" w:eastAsia="Arial" w:hAnsi="Arial"/>
          <w:sz w:val="14"/>
          <w:szCs w:val="14"/>
          <w:i w:val="1"/>
          <w:iCs w:val="1"/>
          <w:color w:val="auto"/>
        </w:rPr>
        <w:t xml:space="preserve">Majority Voting for Election of Directors. </w:t>
      </w:r>
      <w:r>
        <w:rPr>
          <w:rFonts w:ascii="Arial" w:cs="Arial" w:eastAsia="Arial" w:hAnsi="Arial"/>
          <w:sz w:val="14"/>
          <w:szCs w:val="14"/>
          <w:color w:val="auto"/>
        </w:rPr>
        <w:t>Our bylaws provide for a majority voting standard in uncontested director elections, so a nominee is elected to the Board if</w:t>
      </w:r>
      <w:r>
        <w:rPr>
          <w:rFonts w:ascii="Arial" w:cs="Arial" w:eastAsia="Arial" w:hAnsi="Arial"/>
          <w:sz w:val="14"/>
          <w:szCs w:val="14"/>
          <w:i w:val="1"/>
          <w:iCs w:val="1"/>
          <w:color w:val="auto"/>
        </w:rPr>
        <w:t xml:space="preserve"> </w:t>
      </w:r>
      <w:r>
        <w:rPr>
          <w:rFonts w:ascii="Arial" w:cs="Arial" w:eastAsia="Arial" w:hAnsi="Arial"/>
          <w:sz w:val="14"/>
          <w:szCs w:val="14"/>
          <w:color w:val="auto"/>
        </w:rPr>
        <w:t>the votes “for” that director exceed the votes “against” (with abstentions and broker non-votes not counted as for or against the election). If a nominee does not receive more “for” votes than “against” votes, the director must offer his or her resignation, which the Board must determine whether to accept and publicly disclose that determination.</w:t>
      </w:r>
    </w:p>
    <w:p>
      <w:pPr>
        <w:spacing w:after="0" w:line="82" w:lineRule="exact"/>
        <w:rPr>
          <w:sz w:val="20"/>
          <w:szCs w:val="20"/>
          <w:color w:val="auto"/>
        </w:rPr>
      </w:pPr>
    </w:p>
    <w:p>
      <w:pPr>
        <w:jc w:val="both"/>
        <w:ind w:right="100" w:firstLine="457"/>
        <w:spacing w:after="0" w:line="278" w:lineRule="auto"/>
        <w:rPr>
          <w:sz w:val="20"/>
          <w:szCs w:val="20"/>
          <w:color w:val="auto"/>
        </w:rPr>
      </w:pPr>
      <w:r>
        <w:rPr>
          <w:rFonts w:ascii="Arial" w:cs="Arial" w:eastAsia="Arial" w:hAnsi="Arial"/>
          <w:sz w:val="16"/>
          <w:szCs w:val="16"/>
          <w:i w:val="1"/>
          <w:iCs w:val="1"/>
          <w:color w:val="auto"/>
        </w:rPr>
        <w:t xml:space="preserve">Executive Sessions. </w:t>
      </w:r>
      <w:r>
        <w:rPr>
          <w:rFonts w:ascii="Arial" w:cs="Arial" w:eastAsia="Arial" w:hAnsi="Arial"/>
          <w:sz w:val="16"/>
          <w:szCs w:val="16"/>
          <w:color w:val="auto"/>
        </w:rPr>
        <w:t>At each regular meeting, our Board holds executive sessions of non-employee directors, who are all independent as defined under the rules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NYSE. Our lead director, James A. Champy, presides at these executive sessions. In addition, the committees of our Board also regularly hold executive sessions with their advisors without management present.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No Hedging Policy. </w:t>
      </w:r>
      <w:r>
        <w:rPr>
          <w:rFonts w:ascii="Arial" w:cs="Arial" w:eastAsia="Arial" w:hAnsi="Arial"/>
          <w:sz w:val="15"/>
          <w:szCs w:val="15"/>
          <w:color w:val="auto"/>
        </w:rPr>
        <w:t>We prohibit all hedging transactions or short sales involving Company securities by our directors and employees, including our executive officers.</w:t>
      </w:r>
    </w:p>
    <w:p>
      <w:pPr>
        <w:spacing w:after="0" w:line="180"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i w:val="1"/>
          <w:iCs w:val="1"/>
          <w:color w:val="auto"/>
        </w:rPr>
        <w:t xml:space="preserve">Equity Award Grant Date Policy. </w:t>
      </w:r>
      <w:r>
        <w:rPr>
          <w:rFonts w:ascii="Arial" w:cs="Arial" w:eastAsia="Arial" w:hAnsi="Arial"/>
          <w:sz w:val="15"/>
          <w:szCs w:val="15"/>
          <w:color w:val="auto"/>
        </w:rPr>
        <w:t>We do not time or select the grant dates of any stock options or stock-based awards in coordination with our release of 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“Director Compensation” and “INFORMATION ABOUT EXECUTIVE COMPENSATION — Compensation Discussion and Analysis — Equity Award Grant Date Policy” below for more information.</w:t>
      </w:r>
    </w:p>
    <w:p>
      <w:pPr>
        <w:spacing w:after="0" w:line="107" w:lineRule="exact"/>
        <w:rPr>
          <w:sz w:val="20"/>
          <w:szCs w:val="20"/>
          <w:color w:val="auto"/>
        </w:rPr>
      </w:pPr>
    </w:p>
    <w:p>
      <w:pPr>
        <w:ind w:right="500" w:firstLine="457"/>
        <w:spacing w:after="0" w:line="356" w:lineRule="auto"/>
        <w:rPr>
          <w:sz w:val="20"/>
          <w:szCs w:val="20"/>
          <w:color w:val="auto"/>
        </w:rPr>
      </w:pPr>
      <w:r>
        <w:rPr>
          <w:rFonts w:ascii="Arial" w:cs="Arial" w:eastAsia="Arial" w:hAnsi="Arial"/>
          <w:sz w:val="14"/>
          <w:szCs w:val="14"/>
          <w:color w:val="auto"/>
        </w:rPr>
        <w:t>You can access the current charters for our Audit Committee, Compensation Committee and Nominating and Corporate Governance Committee, our Corporate Governance Guidelines, our Code of Business Conduct and Ethics and our Equity Award Grant Date Policy at www.analog.com/governance or by writing to:</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 of Investor Relations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Analog Devices, Inc.</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Technology Way</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Norwood, MA 02062</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Phone: 781-329-4700</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Fax: 781-461-3491</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Email: investor.relations@analog.com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Determination of Independence</w:t>
      </w:r>
    </w:p>
    <w:p>
      <w:pPr>
        <w:spacing w:after="0" w:line="97"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Under current NYSE rules, a director of Analog Devices only qualifies as “independent” if our Board of Directors affirmatively determines that the director has no material relationship with Analog Devices (either directly or as a partner, shareholder or officer of an organization that has a relationship with Analog Devices). Our Board of Directors has established guidelines (within our Corporate Governance Guidelines) to assist it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39"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determining whether a director has a material relationship with Analog Devices. These guidelines are posted on our website under analog.com/governance. For relationships not covered by the guidelines, the determination of whether a material relationship exists is made by the members of our Board of Directors who are independent (as defined above).</w:t>
      </w:r>
    </w:p>
    <w:p>
      <w:pPr>
        <w:spacing w:after="0" w:line="117"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Our Board of Directors has determined that each of Messrs. Champy, Doyle, Hodgson, Istel, Novich, Saviers, Severino and Sicchitano is “independent” within the meaning of Section 303A.02(b) of the NYSE Listed Company Manual. None of these directors has any relationship with Analog Devices, other than a relationship that is not material under the guidelines and other than as disclosed in this proxy statement under “— Director Compensation” and “— Certain Relationships and Related Transactions.” Messrs. Stata and Fishman are not “independent” because they are employed by the Company. We considered the Company’s annual laboratory membership with The Massachusetts Institute of Technology (of which James Champy is a board member) and determined that the relationship was established in the ordinary course of business on an arms-length basis without the involvement of Mr. Champy, and is not material to MIT or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Candidates</w:t>
      </w:r>
    </w:p>
    <w:p>
      <w:pPr>
        <w:spacing w:after="0" w:line="97" w:lineRule="exact"/>
        <w:rPr>
          <w:sz w:val="20"/>
          <w:szCs w:val="20"/>
          <w:color w:val="auto"/>
        </w:rPr>
      </w:pPr>
    </w:p>
    <w:p>
      <w:pPr>
        <w:ind w:right="140" w:firstLine="457"/>
        <w:spacing w:after="0" w:line="273" w:lineRule="auto"/>
        <w:rPr>
          <w:sz w:val="20"/>
          <w:szCs w:val="20"/>
          <w:color w:val="auto"/>
        </w:rPr>
      </w:pPr>
      <w:r>
        <w:rPr>
          <w:rFonts w:ascii="Arial" w:cs="Arial" w:eastAsia="Arial" w:hAnsi="Arial"/>
          <w:sz w:val="16"/>
          <w:szCs w:val="16"/>
          <w:color w:val="auto"/>
        </w:rPr>
        <w:t>Shareholders of record of Analog Devices may recommend director candidates for inclusion by the Board of Directors in the slate of nominees that the Board recommends to our shareholders for election. The qualifications of recommended candidates will be reviewed by the Nominating and Corporate Governance Committee. If the 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20"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Analog Devices, Inc., One Technology Way, PO Box 9106, Norwood, MA 02062. The Nominating and Corporate Governance Committee will consider a recommendation only if appropriate biographical information and background material is provided on a timely basis.</w:t>
      </w:r>
    </w:p>
    <w:p>
      <w:pPr>
        <w:spacing w:after="0" w:line="124"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23" w:lineRule="exact"/>
        <w:rPr>
          <w:sz w:val="20"/>
          <w:szCs w:val="20"/>
          <w:color w:val="auto"/>
        </w:rPr>
      </w:pPr>
    </w:p>
    <w:p>
      <w:pPr>
        <w:ind w:right="160" w:firstLine="457"/>
        <w:spacing w:after="0" w:line="305" w:lineRule="auto"/>
        <w:rPr>
          <w:sz w:val="20"/>
          <w:szCs w:val="20"/>
          <w:color w:val="auto"/>
        </w:rPr>
      </w:pPr>
      <w:r>
        <w:rPr>
          <w:rFonts w:ascii="Arial" w:cs="Arial" w:eastAsia="Arial" w:hAnsi="Arial"/>
          <w:sz w:val="15"/>
          <w:szCs w:val="15"/>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5"/>
          <w:szCs w:val="15"/>
          <w:b w:val="1"/>
          <w:bCs w:val="1"/>
          <w:color w:val="auto"/>
        </w:rPr>
        <w:t>“How and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when may I submit a shareholder proposal, including a shareholder nomination for director, for the 2013 annual meeting?” </w:t>
      </w:r>
      <w:r>
        <w:rPr>
          <w:rFonts w:ascii="Arial" w:cs="Arial" w:eastAsia="Arial" w:hAnsi="Arial"/>
          <w:sz w:val="15"/>
          <w:szCs w:val="15"/>
          <w:color w:val="auto"/>
        </w:rPr>
        <w:t>above.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Criteria and Diversity</w:t>
      </w:r>
    </w:p>
    <w:p>
      <w:pPr>
        <w:spacing w:after="0" w:line="93" w:lineRule="exact"/>
        <w:rPr>
          <w:sz w:val="20"/>
          <w:szCs w:val="20"/>
          <w:color w:val="auto"/>
        </w:rPr>
      </w:pPr>
    </w:p>
    <w:p>
      <w:pPr>
        <w:ind w:right="360" w:firstLine="457"/>
        <w:spacing w:after="0" w:line="294"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39"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Governance Committee will apply the criteria set forth in our Corporate Governance Guidelines. These criteria include the candidate’s integrity, business acumen, experience, commitment, diligence, the presence of any conflicts of interest and the ability of the candidate to act in the interests of all shareholders. Our Corporate Governance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 While we do not have a policy regarding Board diversity, the Committee has instructed its director search firm to include gender, racial and ethnic diversity as part of its search criteria, consistent with the requirement for relevant experience, skills and industry familiarity.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from Shareholders and Other Interested Parties</w:t>
      </w:r>
    </w:p>
    <w:p>
      <w:pPr>
        <w:spacing w:after="0" w:line="97" w:lineRule="exact"/>
        <w:rPr>
          <w:sz w:val="20"/>
          <w:szCs w:val="20"/>
          <w:color w:val="auto"/>
        </w:rPr>
      </w:pPr>
    </w:p>
    <w:p>
      <w:pPr>
        <w:ind w:right="120" w:firstLine="457"/>
        <w:spacing w:after="0" w:line="273" w:lineRule="auto"/>
        <w:rPr>
          <w:sz w:val="20"/>
          <w:szCs w:val="20"/>
          <w:color w:val="auto"/>
        </w:rPr>
      </w:pPr>
      <w:r>
        <w:rPr>
          <w:rFonts w:ascii="Arial" w:cs="Arial" w:eastAsia="Arial" w:hAnsi="Arial"/>
          <w:sz w:val="16"/>
          <w:szCs w:val="16"/>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120"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20"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Shareholders and other interested parties who wish to send communications on any topic to the Board (including the presiding director or the independent directors as a group) should address such communications to James A. Champy, Presiding Director, c/o General Counsel, Analog Devices, Inc., One Technology Way, PO Box 9106, Norwood, MA 02062.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Meetings and Committees</w:t>
      </w:r>
    </w:p>
    <w:p>
      <w:pPr>
        <w:spacing w:after="0" w:line="9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Board of Directors has responsibility for reviewing our overall performance rather than day-to-day operations. The Board’s primary responsibility is to oversee the management of the Company and, in so doing, serve the best interests of the Company and its shareholders. The Board provides for the succession of the chief executive officer, nominates for election at annual shareholder meetings individuals to serve as directors of Analog Devices and elects individuals to fill any vacancies on the Board.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23"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The Board of Directors met eleven times in fiscal 2011, including by telephone conference. During fiscal 2011, each of our directors attended 75% or more of the total number of meetings of the Board of Directors and the committees on which he served. The Board has standing Audit, Compensation, and Nominating and Corporate Governance Committees. Each committee has a charter that has been approved by the Board. Each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39"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committee must review its charter and perform a self-evaluation at least annually. Messrs. Stata and Fishman are the only directors who are also employees of Analog Devices and they do not serve on any standing Board committee. They do not participate in the portion of any Board or committee meeting during which their compensation is evaluated. All members of all three committees are independent, non-employee directors.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Board Leadership Structure</w:t>
      </w:r>
    </w:p>
    <w:p>
      <w:pPr>
        <w:spacing w:after="0" w:line="93" w:lineRule="exact"/>
        <w:rPr>
          <w:sz w:val="20"/>
          <w:szCs w:val="20"/>
          <w:color w:val="auto"/>
        </w:rPr>
      </w:pPr>
    </w:p>
    <w:p>
      <w:pPr>
        <w:ind w:right="120" w:firstLine="457"/>
        <w:spacing w:after="0" w:line="270" w:lineRule="auto"/>
        <w:rPr>
          <w:sz w:val="20"/>
          <w:szCs w:val="20"/>
          <w:color w:val="auto"/>
        </w:rPr>
      </w:pPr>
      <w:r>
        <w:rPr>
          <w:rFonts w:ascii="Arial" w:cs="Arial" w:eastAsia="Arial" w:hAnsi="Arial"/>
          <w:sz w:val="16"/>
          <w:szCs w:val="16"/>
          <w:color w:val="auto"/>
        </w:rPr>
        <w:t>We separate the roles of CEO and Chairman of the Board in recognition of the differences between the two roles. The CEO is responsible for setting the strategic direction for the Company and the day to day leadership and performance of the Company, while the Chairman of the Board provides guidance to the CEO, sets the agenda for Board meetings and presides over meetings of the full Board. Because Mr. Stata, our Chairman, is an employee of the Company and is therefore not independent, our Board of Directors has appointed James A. Champy, as presiding director to preside at all executive sessions of non-management directors, who are all independent, as defined under the rules of the NYSE. The Board holds executive sessions at each regular meeting.</w:t>
      </w:r>
    </w:p>
    <w:p>
      <w:pPr>
        <w:spacing w:after="0" w:line="124" w:lineRule="exact"/>
        <w:rPr>
          <w:sz w:val="20"/>
          <w:szCs w:val="20"/>
          <w:color w:val="auto"/>
        </w:rPr>
      </w:pPr>
    </w:p>
    <w:p>
      <w:pPr>
        <w:ind w:firstLine="457"/>
        <w:spacing w:after="0" w:line="294" w:lineRule="auto"/>
        <w:rPr>
          <w:sz w:val="20"/>
          <w:szCs w:val="20"/>
          <w:color w:val="auto"/>
        </w:rPr>
      </w:pPr>
      <w:r>
        <w:rPr>
          <w:rFonts w:ascii="Arial" w:cs="Arial" w:eastAsia="Arial" w:hAnsi="Arial"/>
          <w:sz w:val="16"/>
          <w:szCs w:val="16"/>
          <w:color w:val="auto"/>
        </w:rPr>
        <w:t>Our Corporate Governance Guidelines set forth our policy that directors are expected to attend annual meetings of shareholders. All of our directors attended the 2011 Annual Meeting of Shareholders.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current members of our Audit Committee are Messrs. Sicchitano (Chair), Doyle and Hodgson. The Board of Directors has determined that each of</w:t>
      </w:r>
    </w:p>
    <w:p>
      <w:pPr>
        <w:spacing w:after="0" w:line="2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Messrs. Sicchitano, Doyle and Hodgson qualifies as an “audit committee financial expert” under the rules of the SEC. Each of Messrs. Sicchitano, Doyle and Hodgson is an “independent director” under the rules of the NYSE governing the qualifications of the members of audit committees and Rule 10A-3(b)(1) of the Exchange Act. In addition, our Board of Directors has determined that each member of the Audit Committee is financially literate and has accounting and/or related financial management expertise as required under the rules of the NYSE. None of Messrs. Sicchitano, Doyle or Hodgson serves on the audit committees of more than two other public companies. Mr. Doyle plans to retire from the Board on the date of our annual meeting and will not seek re-election. We expect that Yves-Andre Istel, who also qualifies as an “audit committee financial expert,” will join the Audit Committee upon Mr. Doyle’s departure.</w:t>
      </w:r>
    </w:p>
    <w:p>
      <w:pPr>
        <w:spacing w:after="0" w:line="126" w:lineRule="exact"/>
        <w:rPr>
          <w:sz w:val="20"/>
          <w:szCs w:val="20"/>
          <w:color w:val="auto"/>
        </w:rPr>
      </w:pPr>
    </w:p>
    <w:p>
      <w:pPr>
        <w:ind w:right="40" w:firstLine="457"/>
        <w:spacing w:after="0" w:line="288" w:lineRule="auto"/>
        <w:rPr>
          <w:sz w:val="20"/>
          <w:szCs w:val="20"/>
          <w:color w:val="auto"/>
        </w:rPr>
      </w:pPr>
      <w:r>
        <w:rPr>
          <w:rFonts w:ascii="Arial" w:cs="Arial" w:eastAsia="Arial" w:hAnsi="Arial"/>
          <w:sz w:val="15"/>
          <w:szCs w:val="15"/>
          <w:color w:val="auto"/>
        </w:rPr>
        <w:t>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to cause the Company to pay the compensation of those advisors as established by the Audit Committee. The Audit Committee was responsible for selecting and appointing Ernst &amp; Young, our independent registered public accounting firm, and did not retain any other advisors during fiscal 2011. The Audit Committee met ten times during fiscal 2011 (including by telephone conference). The responsibilities of our Audit Committee and its activities during fiscal 2011 are described in the Report of the Audit Committee below.</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93"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The current members of our Compensation Committee are Messrs. Novich (Chair), Saviers and Severino. The Board has determined that each of Messrs. Novich, Saviers and Severino is independent as defined under the rules of the NYSE. The Compensation Committee evaluates and sets the compensation of our Chief Executive Officer and our other executive officers, and makes recommendations to our Board of Directors regarding the compensation of our directors. The Compensation Committee reviews the CEO’s evaluation of senior management. In connection with its oversight and administration of ADI’s cash and equity incentive plans, the</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60"/>
          </w:cols>
          <w:pgMar w:left="240" w:top="439" w:right="2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Compensation Committee grants stock options, restricted stock units and other stock incentives (within guidelines established by our Board of Directors and in accordance with our equity granting policy) to our officers and employees. In accordance with the terms of the 2006 Stock Incentive Plan, the Compensation Committee has delegated to our Chief Executive Officer the power to grant options, restricted stock units and other stock awards to employees who are not executive officers or directors, subject to specified thresholds and applicable law. Our Compensation Committee held six meetings (including by telephone conference) during fiscal 2011.</w:t>
      </w:r>
    </w:p>
    <w:p>
      <w:pPr>
        <w:spacing w:after="0" w:line="107"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i w:val="1"/>
          <w:iCs w:val="1"/>
          <w:color w:val="auto"/>
        </w:rPr>
        <w:t xml:space="preserve">Compensation Committee Consultant. </w:t>
      </w:r>
      <w:r>
        <w:rPr>
          <w:rFonts w:ascii="Arial" w:cs="Arial" w:eastAsia="Arial" w:hAnsi="Arial"/>
          <w:sz w:val="14"/>
          <w:szCs w:val="14"/>
          <w:color w:val="auto"/>
        </w:rPr>
        <w:t>The Compensation Committee has the sole authority to engage and terminate any independent legal, accounting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advisors it deems necessary or appropriate to carry out its responsibilities. These independent advisors may be the regular advisors to the Company. The Compensation Committee is empowered, without further action by the Board, to cause the Company to pay the compensation of these advisors as established by the Compensation Committee. The Compensation Committee retained Pearl Meyer and Partners (PM&amp;P), an independent compensation consultant, during fiscal 2011. PM&amp;P reports directly to the Compensation Committee and assists the Committee in evaluating and designing our executive and director compensation program and policies. In fiscal 2011, the Compensation Committee instructed PM&amp;P to assist it in defining a peer group of companies, compare our executive and director compensation arrangements to those of the peer group, and provide market data and advice regarding executive and director compensation plan design. PM&amp;P conducted a detailed analysis of the competitiveness and appropriateness of the Company’s total executive compensation opportunity in comparison to our peer group. PM&amp;P also conducted a risk assessment of our executive compensation program. In connection with its work for the Compensation Committee, PM&amp;P is invited to attend many of the Committee’s meetings and, upon request of the Committee, attends executive sessions with the Compensation Committee. PM&amp;P is retained only by the Compensation Committee and does not provide any other consulting services to Analog Devices. The Committee requested and received an independence letter from PM&amp;P for 2011 stating that they meet the independence standards prescribed by the SEC for all work performed for the Committee during fiscal 2011. The activities of our Compensation Committee and the services PM&amp;P performed for the Committee during fiscal 2011 are further described in “INFORMATION ABOUT EXECUTIVE COMPENSATION — Compensation Discussion and Analysis” below.</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93" w:lineRule="exact"/>
        <w:rPr>
          <w:sz w:val="20"/>
          <w:szCs w:val="20"/>
          <w:color w:val="auto"/>
        </w:rPr>
      </w:pPr>
    </w:p>
    <w:p>
      <w:pPr>
        <w:ind w:right="60" w:firstLine="457"/>
        <w:spacing w:after="0" w:line="307" w:lineRule="auto"/>
        <w:rPr>
          <w:sz w:val="20"/>
          <w:szCs w:val="20"/>
          <w:color w:val="auto"/>
        </w:rPr>
      </w:pPr>
      <w:r>
        <w:rPr>
          <w:rFonts w:ascii="Arial" w:cs="Arial" w:eastAsia="Arial" w:hAnsi="Arial"/>
          <w:sz w:val="14"/>
          <w:szCs w:val="14"/>
          <w:color w:val="auto"/>
        </w:rPr>
        <w:t>The current members of our Nominating and Corporate Governance Committee are Messrs. Doyle (Chair), Istel and Champy. The Board has determined that each of Messrs. Doyle, Istel and Champy is independent as defined under the rules of the NYSE. Mr. Doyle plans to retire from the Board on the date of our annual meeting and will not seek re-election. We expect that Grant Saviers will join the Nominating and Corporate Governance Committee upon Mr. Doyle’s departure and that Mr. Champy will become Chairman of the Committee.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review of succession planning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Committee is empowered, without further action by the Board, to cause the Company to pay the compensation of these advisors as established by the Committee. For information relating to nominations of directors by our shareholders, see “— Director Candidates” above. Our Nominating and Corporate Governance Committee held ten meetings during fiscal 2011 (including by telephone conference).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39"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Board’s Role in Risk Oversight</w:t>
      </w:r>
    </w:p>
    <w:p>
      <w:pPr>
        <w:spacing w:after="0" w:line="93"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Management is responsible for day to day risk management activities. The Board’s role in the Company’s risk oversight process includes receiving regular reports from members of senior management on areas of material risk to the Company, including operational, financial, legal and regulatory, and strategic and reputational risks. We have formed an internal risk management committee made up of representatives from internal audit, legal, finance/treasury and supply chain management. We believe the work of this group will assist the Board in keeping apprised of the Company’s risk management activities. The full Board (or the appropriate Committee in the case of risks that are under the purview of a particular Committee) receives reports from the appropriate “risk owner” within the organization to enable it to understand our risk identification, risk management and risk mitigation strategies. When a Committee receives the report, the Chairman of the relevant Committee reports on the discussion to the full Board during the Committee reports portion of the next Board meeting. This enables the Board and its Committees to coordinate the risk oversight role, particularly with respect to risk interrelationships. The Audit Committee discusses ADI’s policies with respect to risk assessment and risk management, and the Compensation Committee considers whether ADI’s executive compensation program encourages excessive or inappropriate risk taking.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Considerations in our Compensation Program</w:t>
      </w:r>
    </w:p>
    <w:p>
      <w:pPr>
        <w:spacing w:after="0" w:line="97"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Our Compensation Committee has reviewed our incentive compensation programs, discussed the concept of risk as it relates to our compensation program, considered various mitigating factors and reviewed these items with its independent consultant, Pearl Meyer &amp; Partners (PM&amp;P). In addition, our Compensation Committee asked PM&amp;P to conduct an independent risk assessment of our executive compensation program. Based on these reviews and discussions, the Committee does not believe our compensation program encourages excessive or inappropriate risk taking for the following reasons:</w:t>
      </w:r>
    </w:p>
    <w:p>
      <w:pPr>
        <w:spacing w:after="0" w:line="45" w:lineRule="exact"/>
        <w:rPr>
          <w:sz w:val="20"/>
          <w:szCs w:val="20"/>
          <w:color w:val="auto"/>
        </w:rPr>
      </w:pPr>
    </w:p>
    <w:p>
      <w:pPr>
        <w:ind w:left="900" w:right="40" w:hanging="446"/>
        <w:spacing w:after="0" w:line="28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structure our pay to consist of both fixed and variable compensation. The fixed (salary) portion of compensation is designed to provide a steady income regardless of ADI’s stock price performance so that executives do not feel pressured to focus exclusively on stock price performance to the detriment of other important business metrics. The variable (cash bonus and equity) portions of compensation are designed to reward both short- and long-term corporate performance. For short-term performance, our cash bonus is awarded based on operating profit before taxes (OPBT) and revenue growth targets. For long-term performance, our stock option awards generally vest over five years and our restricted stock units generally vest in full on the third anniversary of the grant date. Their value is exclusively dependent on our stock price performance.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38" w:lineRule="exact"/>
        <w:rPr>
          <w:rFonts w:ascii="Arial" w:cs="Arial" w:eastAsia="Arial" w:hAnsi="Arial"/>
          <w:sz w:val="15"/>
          <w:szCs w:val="15"/>
          <w:color w:val="auto"/>
        </w:rPr>
      </w:pPr>
    </w:p>
    <w:p>
      <w:pPr>
        <w:ind w:left="900" w:hanging="446"/>
        <w:spacing w:after="0" w:line="27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Because OPBT and revenue growth are the performance measures for determining our cash incentive payments, we believe our executives are encouraged to take a balanced approach that focuses on corporate operating profits before taxes and revenue growth. If we are not achieving positive revenue growth, there are no bonus payments for that element of the program, and if we are not achieving OPBT of at least 15%, there are no payments under the performance incentive plan at all.</w:t>
      </w:r>
    </w:p>
    <w:p>
      <w:pPr>
        <w:spacing w:after="0" w:line="44"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believe that our focus on both OPBT and revenue growth through our cash bonus program, and stock price performance through our equity compensation program provides a check on excessive risk taking. That is, even if our executives could inappropriately increase OPBT or revenue by excessively reducing expenses or adding new revenue sources that are inconsistent with our business model, this would be detrimental to ADI in the long run and could ultimately harm our stock price and the value of their equity awards. Conversely, if our executives were to add revenue sources at low margins in order to generate a higher growth multiple and increased stock prices, it could decrease OPBT and the value of their cash bonus payments. That is, we believe our plan is structured to prevent our executives from trading operating profits for revenue growth.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3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00" w:hanging="446"/>
        <w:spacing w:after="0" w:line="305"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OPBT and revenue targets are applicable to our executives and employees alike, regardless of business unit. We believe this encourages consistent behavior across the organization, rather than establishing different performance incentives depending on a person’s position in ADI or his or her business unit. For example, we believe a person in our most profitable business line is not encouraged to take more risk than someone in a less profitable business line.</w:t>
      </w:r>
    </w:p>
    <w:p>
      <w:pPr>
        <w:spacing w:after="0" w:line="22" w:lineRule="exact"/>
        <w:rPr>
          <w:rFonts w:ascii="Arial" w:cs="Arial" w:eastAsia="Arial" w:hAnsi="Arial"/>
          <w:sz w:val="15"/>
          <w:szCs w:val="15"/>
          <w:color w:val="auto"/>
        </w:rPr>
      </w:pPr>
    </w:p>
    <w:p>
      <w:pPr>
        <w:ind w:left="900" w:right="20" w:hanging="446"/>
        <w:spacing w:after="0" w:line="335" w:lineRule="auto"/>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cap our cash bonus at 300% of the OPBT and revenue targets, which we believe mitigates excessive risk taking. Even if we dramatically exceed our OPBT or revenue targets, bonus payments are limited. Conversely, we have a floor on the OPBT target so that profitability below a certain level will result in no bonus payments, regardless of revenue growth levels. We believe this avoids incentivizing management to drive revenue levels without regard to cost structure.</w:t>
      </w:r>
    </w:p>
    <w:p>
      <w:pPr>
        <w:spacing w:after="0" w:line="6" w:lineRule="exact"/>
        <w:rPr>
          <w:rFonts w:ascii="Arial" w:cs="Arial" w:eastAsia="Arial" w:hAnsi="Arial"/>
          <w:sz w:val="14"/>
          <w:szCs w:val="14"/>
          <w:color w:val="auto"/>
        </w:rPr>
      </w:pPr>
    </w:p>
    <w:p>
      <w:pPr>
        <w:ind w:left="900" w:right="40" w:hanging="446"/>
        <w:spacing w:after="0" w:line="27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strict accounting policies and internal controls over the measurement and calculation of OPBT and revenue. For example, we do not recognize product revenue until our distributors sell those products to their customers. As a result, our product revenue fully reflects end customer purchases and is not impacted by distributor inventory levels.</w:t>
      </w:r>
    </w:p>
    <w:p>
      <w:pPr>
        <w:spacing w:after="0" w:line="40" w:lineRule="exact"/>
        <w:rPr>
          <w:rFonts w:ascii="Arial" w:cs="Arial" w:eastAsia="Arial" w:hAnsi="Arial"/>
          <w:sz w:val="16"/>
          <w:szCs w:val="16"/>
          <w:color w:val="auto"/>
        </w:rPr>
      </w:pPr>
    </w:p>
    <w:p>
      <w:pPr>
        <w:ind w:left="900" w:right="220" w:hanging="446"/>
        <w:spacing w:after="0" w:line="27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stock ownership guidelines, which we believe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40" w:lineRule="exact"/>
        <w:rPr>
          <w:rFonts w:ascii="Arial" w:cs="Arial" w:eastAsia="Arial" w:hAnsi="Arial"/>
          <w:sz w:val="16"/>
          <w:szCs w:val="16"/>
          <w:color w:val="auto"/>
        </w:rPr>
      </w:pPr>
    </w:p>
    <w:p>
      <w:pPr>
        <w:ind w:left="900" w:right="520" w:hanging="446"/>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equity award grant date guidelines that require our equity awards be granted at specified, pre-determined times, so the equity component of our compensation program cannot be timed or coordinated with the release of material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97" w:lineRule="exact"/>
        <w:rPr>
          <w:sz w:val="20"/>
          <w:szCs w:val="20"/>
          <w:color w:val="auto"/>
        </w:rPr>
      </w:pPr>
    </w:p>
    <w:p>
      <w:pPr>
        <w:ind w:right="20" w:firstLine="457"/>
        <w:spacing w:after="0" w:line="284" w:lineRule="auto"/>
        <w:rPr>
          <w:sz w:val="20"/>
          <w:szCs w:val="20"/>
          <w:color w:val="auto"/>
        </w:rPr>
      </w:pPr>
      <w:r>
        <w:rPr>
          <w:rFonts w:ascii="Arial" w:cs="Arial" w:eastAsia="Arial" w:hAnsi="Arial"/>
          <w:sz w:val="15"/>
          <w:szCs w:val="15"/>
          <w:color w:val="auto"/>
        </w:rPr>
        <w:t>The Audit Committee of the Board of Directors assisted the Board’s oversight of the integrity of our financial statements, the qualifications and independence of our independent registered public accounting firm, and the performance of our internal audit function and independent registered public accounting firm. The Audit Committee also met privately with our independent registered public accounting firm and our internal auditors to discuss our financial statements and disclosures, accounting policies and their application, internal controls over financial reporting, and other matters of importance to the Audit Committee, the independent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2011,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1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Doyle and Hodgson qualifies as an “audit committee financial expert” under the rules of the Securities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39"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Exchange Commission. In addition, the Board of Directors has determined that each member of the Audit Committee is financially literate and has accounting and/or related financial management expertise as required under the rules of the NYSE. Mr. Doyle plans to retire from the Board on the date of our annual meeting and will not seek re-election. The Company expects that Yves-Andre Istel will join the Audit Committee upon Mr. Doyle’s departure.</w:t>
      </w:r>
    </w:p>
    <w:p>
      <w:pPr>
        <w:spacing w:after="0" w:line="117" w:lineRule="exact"/>
        <w:rPr>
          <w:sz w:val="20"/>
          <w:szCs w:val="20"/>
          <w:color w:val="auto"/>
        </w:rPr>
      </w:pPr>
    </w:p>
    <w:p>
      <w:pPr>
        <w:jc w:val="both"/>
        <w:ind w:right="60" w:firstLine="457"/>
        <w:spacing w:after="0" w:line="278" w:lineRule="auto"/>
        <w:rPr>
          <w:sz w:val="20"/>
          <w:szCs w:val="20"/>
          <w:color w:val="auto"/>
        </w:rPr>
      </w:pPr>
      <w:r>
        <w:rPr>
          <w:rFonts w:ascii="Arial" w:cs="Arial" w:eastAsia="Arial" w:hAnsi="Arial"/>
          <w:sz w:val="16"/>
          <w:szCs w:val="16"/>
          <w:color w:val="auto"/>
        </w:rPr>
        <w:t>The Audit Committee held ten meetings (including by telephone conference) during the fiscal year ended October 29, 2011. The meetings were designed to facilitate and encourage communication between members of the Audit Committee and management as well as private communication between the members of the Audit Committee, our internal auditors and our independent registered public accounting firm, Ernst &amp; Young LLP.</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 xml:space="preserve">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Statement on Auditing Standards No. 61, as amended (AICPA, </w:t>
      </w:r>
      <w:r>
        <w:rPr>
          <w:rFonts w:ascii="Arial" w:cs="Arial" w:eastAsia="Arial" w:hAnsi="Arial"/>
          <w:sz w:val="16"/>
          <w:szCs w:val="16"/>
          <w:i w:val="1"/>
          <w:iCs w:val="1"/>
          <w:color w:val="auto"/>
        </w:rPr>
        <w:t>Professional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Standards, </w:t>
      </w:r>
      <w:r>
        <w:rPr>
          <w:rFonts w:ascii="Arial" w:cs="Arial" w:eastAsia="Arial" w:hAnsi="Arial"/>
          <w:sz w:val="16"/>
          <w:szCs w:val="16"/>
          <w:color w:val="auto"/>
        </w:rPr>
        <w:t>Vol. 1 AU Section 380) as adopted by the Public Company Accounting Oversight Board and (ii) the independent registered public accounting firm’s independence</w:t>
      </w:r>
      <w:r>
        <w:rPr>
          <w:rFonts w:ascii="Arial" w:cs="Arial" w:eastAsia="Arial" w:hAnsi="Arial"/>
          <w:sz w:val="16"/>
          <w:szCs w:val="16"/>
          <w:i w:val="1"/>
          <w:iCs w:val="1"/>
          <w:color w:val="auto"/>
        </w:rPr>
        <w:t xml:space="preserve"> </w:t>
      </w:r>
      <w:r>
        <w:rPr>
          <w:rFonts w:ascii="Arial" w:cs="Arial" w:eastAsia="Arial" w:hAnsi="Arial"/>
          <w:sz w:val="16"/>
          <w:szCs w:val="16"/>
          <w:color w:val="auto"/>
        </w:rPr>
        <w:t>from Analog Devices and its management, including the matters in the written disclosures and the letter we received from the independent registered public accounting firm required by the applicable requirements of the Public Company Accounting Oversight Board regarding the independent accountant’s communications with the Audit Committee on independence. The Audit Committee considered the appropriateness of the provision of non-audit services by the independent registered public accounting firm relative to their independence.</w:t>
      </w:r>
    </w:p>
    <w:p>
      <w:pPr>
        <w:spacing w:after="0" w:line="130" w:lineRule="exact"/>
        <w:rPr>
          <w:sz w:val="20"/>
          <w:szCs w:val="20"/>
          <w:color w:val="auto"/>
        </w:rPr>
      </w:pPr>
    </w:p>
    <w:p>
      <w:pPr>
        <w:jc w:val="both"/>
        <w:ind w:right="140" w:firstLine="457"/>
        <w:spacing w:after="0" w:line="278" w:lineRule="auto"/>
        <w:rPr>
          <w:sz w:val="20"/>
          <w:szCs w:val="20"/>
          <w:color w:val="auto"/>
        </w:rPr>
      </w:pPr>
      <w:r>
        <w:rPr>
          <w:rFonts w:ascii="Arial" w:cs="Arial" w:eastAsia="Arial" w:hAnsi="Arial"/>
          <w:sz w:val="16"/>
          <w:szCs w:val="16"/>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October 29, 2011. The Audit Committee also selected Ernst &amp; Young LLP as our independent registered public accounting firm for the fiscal year ending November 3, 2012.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Audit Committee,</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Kenton J. Sicchitano, </w:t>
      </w:r>
      <w:r>
        <w:rPr>
          <w:rFonts w:ascii="Arial" w:cs="Arial" w:eastAsia="Arial" w:hAnsi="Arial"/>
          <w:sz w:val="16"/>
          <w:szCs w:val="16"/>
          <w:i w:val="1"/>
          <w:iCs w:val="1"/>
          <w:color w:val="auto"/>
        </w:rPr>
        <w:t>Chairman</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John L. Doyle</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John C. Hodgson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Accounting Firm Fees and Other Matters</w:t>
      </w:r>
    </w:p>
    <w:p>
      <w:pPr>
        <w:spacing w:after="0" w:line="97" w:lineRule="exact"/>
        <w:rPr>
          <w:sz w:val="20"/>
          <w:szCs w:val="20"/>
          <w:color w:val="auto"/>
        </w:rPr>
      </w:pPr>
    </w:p>
    <w:p>
      <w:pPr>
        <w:ind w:right="200" w:firstLine="457"/>
        <w:spacing w:after="0" w:line="294" w:lineRule="auto"/>
        <w:rPr>
          <w:sz w:val="20"/>
          <w:szCs w:val="20"/>
          <w:color w:val="auto"/>
        </w:rPr>
      </w:pPr>
      <w:r>
        <w:rPr>
          <w:rFonts w:ascii="Arial" w:cs="Arial" w:eastAsia="Arial" w:hAnsi="Arial"/>
          <w:sz w:val="16"/>
          <w:szCs w:val="16"/>
          <w:color w:val="auto"/>
        </w:rPr>
        <w:t>The following table presents the aggregate fees billed for services rendered by Ernst &amp; Young LLP, our independent registered public accounting firm, for the fiscal years ended October 29, 2011 and October 30, 2010.</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51"/>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Fiscal 2011</w:t>
            </w: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Fiscal 2010</w:t>
            </w:r>
          </w:p>
        </w:tc>
      </w:tr>
      <w:tr>
        <w:trPr>
          <w:trHeight w:val="194"/>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Audit Fees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2,111,000</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2"/>
        </w:trPr>
        <w:tc>
          <w:tcPr>
            <w:tcW w:w="6240" w:type="dxa"/>
            <w:vAlign w:val="bottom"/>
          </w:tcPr>
          <w:p>
            <w:pPr>
              <w:spacing w:after="0"/>
              <w:rPr>
                <w:sz w:val="20"/>
                <w:szCs w:val="20"/>
                <w:color w:val="auto"/>
              </w:rPr>
            </w:pPr>
            <w:r>
              <w:rPr>
                <w:rFonts w:ascii="Arial" w:cs="Arial" w:eastAsia="Arial" w:hAnsi="Arial"/>
                <w:sz w:val="16"/>
                <w:szCs w:val="16"/>
                <w:color w:val="auto"/>
              </w:rPr>
              <w:t>Audit-Related Fees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81,000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84,000</w:t>
            </w:r>
          </w:p>
        </w:tc>
        <w:tc>
          <w:tcPr>
            <w:tcW w:w="120" w:type="dxa"/>
            <w:vAlign w:val="bottom"/>
          </w:tcPr>
          <w:p>
            <w:pPr>
              <w:spacing w:after="0"/>
              <w:rPr>
                <w:sz w:val="17"/>
                <w:szCs w:val="17"/>
                <w:color w:val="auto"/>
              </w:rPr>
            </w:pPr>
          </w:p>
        </w:tc>
      </w:tr>
      <w:tr>
        <w:trPr>
          <w:trHeight w:val="202"/>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629,000</w:t>
            </w:r>
          </w:p>
        </w:tc>
        <w:tc>
          <w:tcPr>
            <w:tcW w:w="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718,000</w:t>
            </w:r>
          </w:p>
        </w:tc>
        <w:tc>
          <w:tcPr>
            <w:tcW w:w="120" w:type="dxa"/>
            <w:vAlign w:val="bottom"/>
            <w:shd w:val="clear" w:color="auto" w:fill="CCEEFF"/>
          </w:tcPr>
          <w:p>
            <w:pPr>
              <w:spacing w:after="0"/>
              <w:rPr>
                <w:sz w:val="17"/>
                <w:szCs w:val="17"/>
                <w:color w:val="auto"/>
              </w:rPr>
            </w:pPr>
          </w:p>
        </w:tc>
      </w:tr>
      <w:tr>
        <w:trPr>
          <w:trHeight w:val="206"/>
        </w:trPr>
        <w:tc>
          <w:tcPr>
            <w:tcW w:w="6240" w:type="dxa"/>
            <w:vAlign w:val="bottom"/>
          </w:tcPr>
          <w:p>
            <w:pPr>
              <w:ind w:left="400"/>
              <w:spacing w:after="0"/>
              <w:rPr>
                <w:sz w:val="20"/>
                <w:szCs w:val="20"/>
                <w:color w:val="auto"/>
              </w:rPr>
            </w:pPr>
            <w:r>
              <w:rPr>
                <w:rFonts w:ascii="Arial" w:cs="Arial" w:eastAsia="Arial" w:hAnsi="Arial"/>
                <w:sz w:val="16"/>
                <w:szCs w:val="16"/>
                <w:color w:val="auto"/>
              </w:rPr>
              <w:t>Total Fees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2,821,000</w:t>
            </w:r>
          </w:p>
        </w:tc>
        <w:tc>
          <w:tcPr>
            <w:tcW w:w="6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2,766,000</w:t>
            </w:r>
          </w:p>
        </w:tc>
        <w:tc>
          <w:tcPr>
            <w:tcW w:w="1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related to professional services rendered in connection with the audit of our consolidated financial statements, the audit of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internal control over financial reporting, the reviews of our interim financial statements included in each of our Quarterly Reports on Form 10-Q, international statutory audits, reviews and comfort letter procedures related to our filings on Form S-3, assistance</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39"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with registration statements and other periodic filings, and accounting consultations that relate to the audited financial statements and are necessary to comply with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accepted accounting principles.</w:t>
      </w:r>
    </w:p>
    <w:p>
      <w:pPr>
        <w:spacing w:after="0" w:line="162" w:lineRule="exact"/>
        <w:rPr>
          <w:sz w:val="20"/>
          <w:szCs w:val="20"/>
          <w:color w:val="auto"/>
        </w:rPr>
      </w:pPr>
    </w:p>
    <w:p>
      <w:pPr>
        <w:ind w:right="360" w:firstLine="457"/>
        <w:spacing w:after="0" w:line="294"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These are fees for assurance and related services and consisted primarily of audits of employee benefit plans, due diligence and consultations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proposed transactions and accounting matters not related to the annual audit.</w:t>
      </w:r>
    </w:p>
    <w:p>
      <w:pPr>
        <w:spacing w:after="0" w:line="104"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These are fees for professional services related to tax return preparation services for our expatriates, international tax returns, tax advice and assistance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tax audits. Included in this amount are fees of $615,000 in fiscal 2011 and $635,000 in fiscal 2010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Committee’s Pre-Approval Policy and Procedures</w:t>
      </w:r>
    </w:p>
    <w:p>
      <w:pPr>
        <w:spacing w:after="0" w:line="93"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15"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23" w:lineRule="exact"/>
        <w:rPr>
          <w:sz w:val="20"/>
          <w:szCs w:val="20"/>
          <w:color w:val="auto"/>
        </w:rPr>
      </w:pPr>
    </w:p>
    <w:p>
      <w:pPr>
        <w:jc w:val="both"/>
        <w:ind w:right="440" w:firstLine="457"/>
        <w:spacing w:after="0" w:line="278" w:lineRule="auto"/>
        <w:rPr>
          <w:sz w:val="20"/>
          <w:szCs w:val="20"/>
          <w:color w:val="auto"/>
        </w:rPr>
      </w:pPr>
      <w:r>
        <w:rPr>
          <w:rFonts w:ascii="Arial" w:cs="Arial" w:eastAsia="Arial" w:hAnsi="Arial"/>
          <w:sz w:val="16"/>
          <w:szCs w:val="16"/>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2011 and 2010, no services were provided to Analog Devices by Ernst &amp; Young LLP other than in accordance with the pre-approval policies and procedures described above.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39"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97"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We grant equity awards to our non-employee directors as follows: 50% of each award consists of stock options and 50% of the award consists of restricted stock units. These stock options and restricted stock units vest in one installment on the first anniversary of the date of grant. In accordance with the equity award policy described below, on March 8, 2011 we granted to each non-employee director a stock option to purchase 7,210 shares of common stock, with an exercise price of $39.82 per share, and 1,580 restricted stock units, for services to be provided during fiscal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the total compensation earned by our non-employee directors in fiscal 2011.</w:t>
      </w:r>
    </w:p>
    <w:p>
      <w:pPr>
        <w:spacing w:after="0" w:line="16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2011 Director Compensation</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Fees Earned</w:t>
            </w: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Option</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Name(1)</w:t>
            </w:r>
          </w:p>
        </w:tc>
        <w:tc>
          <w:tcPr>
            <w:tcW w:w="5140" w:type="dxa"/>
            <w:vAlign w:val="bottom"/>
            <w:vMerge w:val="restart"/>
          </w:tcPr>
          <w:p>
            <w:pPr>
              <w:spacing w:after="0"/>
              <w:rPr>
                <w:sz w:val="12"/>
                <w:szCs w:val="12"/>
                <w:color w:val="auto"/>
              </w:rPr>
            </w:pPr>
          </w:p>
        </w:tc>
        <w:tc>
          <w:tcPr>
            <w:tcW w:w="11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w w:val="87"/>
              </w:rPr>
              <w:t>or Paid in</w:t>
            </w:r>
          </w:p>
        </w:tc>
        <w:tc>
          <w:tcPr>
            <w:tcW w:w="100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Awards</w:t>
            </w:r>
          </w:p>
        </w:tc>
        <w:tc>
          <w:tcPr>
            <w:tcW w:w="102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Awards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0" w:type="dxa"/>
            <w:vAlign w:val="bottom"/>
            <w:tcBorders>
              <w:bottom w:val="single" w:sz="8" w:color="auto"/>
            </w:tcBorders>
            <w:vMerge w:val="continue"/>
          </w:tcPr>
          <w:p>
            <w:pPr>
              <w:spacing w:after="0"/>
              <w:rPr>
                <w:sz w:val="13"/>
                <w:szCs w:val="13"/>
                <w:color w:val="auto"/>
              </w:rPr>
            </w:pPr>
          </w:p>
        </w:tc>
        <w:tc>
          <w:tcPr>
            <w:tcW w:w="5140" w:type="dxa"/>
            <w:vAlign w:val="bottom"/>
            <w:vMerge w:val="continue"/>
          </w:tcPr>
          <w:p>
            <w:pPr>
              <w:spacing w:after="0"/>
              <w:rPr>
                <w:sz w:val="13"/>
                <w:szCs w:val="13"/>
                <w:color w:val="auto"/>
              </w:rPr>
            </w:pPr>
          </w:p>
        </w:tc>
        <w:tc>
          <w:tcPr>
            <w:tcW w:w="11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w w:val="89"/>
              </w:rPr>
              <w:t>Cash ($)(2)</w:t>
            </w:r>
          </w:p>
        </w:tc>
        <w:tc>
          <w:tcPr>
            <w:tcW w:w="540" w:type="dxa"/>
            <w:vAlign w:val="bottom"/>
          </w:tcPr>
          <w:p>
            <w:pPr>
              <w:ind w:left="60"/>
              <w:spacing w:after="0" w:line="139" w:lineRule="exact"/>
              <w:rPr>
                <w:sz w:val="20"/>
                <w:szCs w:val="20"/>
                <w:color w:val="auto"/>
              </w:rPr>
            </w:pPr>
            <w:r>
              <w:rPr>
                <w:rFonts w:ascii="Arial" w:cs="Arial" w:eastAsia="Arial" w:hAnsi="Arial"/>
                <w:sz w:val="13"/>
                <w:szCs w:val="13"/>
                <w:b w:val="1"/>
                <w:bCs w:val="1"/>
                <w:u w:val="single" w:color="auto"/>
                <w:color w:val="auto"/>
                <w:w w:val="96"/>
              </w:rPr>
              <w:t>($</w:t>
            </w:r>
            <w:r>
              <w:rPr>
                <w:rFonts w:ascii="Arial" w:cs="Arial" w:eastAsia="Arial" w:hAnsi="Arial"/>
                <w:sz w:val="13"/>
                <w:szCs w:val="13"/>
                <w:b w:val="1"/>
                <w:bCs w:val="1"/>
                <w:color w:val="auto"/>
                <w:w w:val="96"/>
              </w:rPr>
              <w:t>)(3)(4)</w:t>
            </w:r>
          </w:p>
        </w:tc>
        <w:tc>
          <w:tcPr>
            <w:tcW w:w="460" w:type="dxa"/>
            <w:vAlign w:val="bottom"/>
          </w:tcPr>
          <w:p>
            <w:pPr>
              <w:spacing w:after="0"/>
              <w:rPr>
                <w:sz w:val="13"/>
                <w:szCs w:val="13"/>
                <w:color w:val="auto"/>
              </w:rPr>
            </w:pPr>
          </w:p>
        </w:tc>
        <w:tc>
          <w:tcPr>
            <w:tcW w:w="540" w:type="dxa"/>
            <w:vAlign w:val="bottom"/>
          </w:tcPr>
          <w:p>
            <w:pPr>
              <w:ind w:left="60"/>
              <w:spacing w:after="0" w:line="139" w:lineRule="exact"/>
              <w:rPr>
                <w:sz w:val="20"/>
                <w:szCs w:val="20"/>
                <w:color w:val="auto"/>
              </w:rPr>
            </w:pPr>
            <w:r>
              <w:rPr>
                <w:rFonts w:ascii="Arial" w:cs="Arial" w:eastAsia="Arial" w:hAnsi="Arial"/>
                <w:sz w:val="13"/>
                <w:szCs w:val="13"/>
                <w:b w:val="1"/>
                <w:bCs w:val="1"/>
                <w:u w:val="single" w:color="auto"/>
                <w:color w:val="auto"/>
                <w:w w:val="96"/>
              </w:rPr>
              <w:t>($</w:t>
            </w:r>
            <w:r>
              <w:rPr>
                <w:rFonts w:ascii="Arial" w:cs="Arial" w:eastAsia="Arial" w:hAnsi="Arial"/>
                <w:sz w:val="13"/>
                <w:szCs w:val="13"/>
                <w:b w:val="1"/>
                <w:bCs w:val="1"/>
                <w:color w:val="auto"/>
                <w:w w:val="96"/>
              </w:rPr>
              <w:t>)(3)(4)</w:t>
            </w:r>
          </w:p>
        </w:tc>
        <w:tc>
          <w:tcPr>
            <w:tcW w:w="480" w:type="dxa"/>
            <w:vAlign w:val="bottom"/>
          </w:tcPr>
          <w:p>
            <w:pPr>
              <w:spacing w:after="0"/>
              <w:rPr>
                <w:sz w:val="13"/>
                <w:szCs w:val="13"/>
                <w:color w:val="auto"/>
              </w:rPr>
            </w:pPr>
          </w:p>
        </w:tc>
        <w:tc>
          <w:tcPr>
            <w:tcW w:w="740" w:type="dxa"/>
            <w:vAlign w:val="bottom"/>
            <w:gridSpan w:val="2"/>
          </w:tcPr>
          <w:p>
            <w:pPr>
              <w:ind w:left="100"/>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7"/>
        </w:trPr>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James A. Champy</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78,000</w:t>
            </w:r>
          </w:p>
        </w:tc>
        <w:tc>
          <w:tcPr>
            <w:tcW w:w="4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61,525</w:t>
            </w:r>
          </w:p>
        </w:tc>
        <w:tc>
          <w:tcPr>
            <w:tcW w:w="4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5"/>
              </w:rPr>
              <w:t>61,523</w:t>
            </w: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86"/>
              </w:rPr>
              <w:t>201,048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spacing w:after="0"/>
              <w:rPr>
                <w:sz w:val="20"/>
                <w:szCs w:val="20"/>
                <w:color w:val="auto"/>
              </w:rPr>
            </w:pPr>
            <w:r>
              <w:rPr>
                <w:rFonts w:ascii="Arial" w:cs="Arial" w:eastAsia="Arial" w:hAnsi="Arial"/>
                <w:sz w:val="16"/>
                <w:szCs w:val="16"/>
                <w:color w:val="auto"/>
              </w:rPr>
              <w:t>John L. Doyle</w:t>
            </w:r>
          </w:p>
        </w:tc>
        <w:tc>
          <w:tcPr>
            <w:tcW w:w="720" w:type="dxa"/>
            <w:vAlign w:val="bottom"/>
          </w:tcPr>
          <w:p>
            <w:pPr>
              <w:jc w:val="right"/>
              <w:spacing w:after="0"/>
              <w:rPr>
                <w:sz w:val="20"/>
                <w:szCs w:val="20"/>
                <w:color w:val="auto"/>
              </w:rPr>
            </w:pPr>
            <w:r>
              <w:rPr>
                <w:rFonts w:ascii="Arial" w:cs="Arial" w:eastAsia="Arial" w:hAnsi="Arial"/>
                <w:sz w:val="16"/>
                <w:szCs w:val="16"/>
                <w:color w:val="auto"/>
              </w:rPr>
              <w:t>81,000</w:t>
            </w:r>
          </w:p>
        </w:tc>
        <w:tc>
          <w:tcPr>
            <w:tcW w:w="4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61,525</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61,523</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204,048</w:t>
            </w:r>
          </w:p>
        </w:tc>
        <w:tc>
          <w:tcPr>
            <w:tcW w:w="0" w:type="dxa"/>
            <w:vAlign w:val="bottom"/>
          </w:tcPr>
          <w:p>
            <w:pPr>
              <w:spacing w:after="0"/>
              <w:rPr>
                <w:sz w:val="1"/>
                <w:szCs w:val="1"/>
                <w:color w:val="auto"/>
              </w:rPr>
            </w:pPr>
          </w:p>
        </w:tc>
      </w:tr>
      <w:tr>
        <w:trPr>
          <w:trHeight w:val="202"/>
        </w:trPr>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C. Hodgson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61,525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61,523</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189,048</w:t>
            </w:r>
          </w:p>
        </w:tc>
        <w:tc>
          <w:tcPr>
            <w:tcW w:w="0" w:type="dxa"/>
            <w:vAlign w:val="bottom"/>
          </w:tcPr>
          <w:p>
            <w:pPr>
              <w:spacing w:after="0"/>
              <w:rPr>
                <w:sz w:val="1"/>
                <w:szCs w:val="1"/>
                <w:color w:val="auto"/>
              </w:rPr>
            </w:pPr>
          </w:p>
        </w:tc>
      </w:tr>
      <w:tr>
        <w:trPr>
          <w:trHeight w:val="202"/>
        </w:trPr>
        <w:tc>
          <w:tcPr>
            <w:tcW w:w="5640" w:type="dxa"/>
            <w:vAlign w:val="bottom"/>
            <w:gridSpan w:val="2"/>
          </w:tcPr>
          <w:p>
            <w:pPr>
              <w:spacing w:after="0"/>
              <w:rPr>
                <w:sz w:val="20"/>
                <w:szCs w:val="20"/>
                <w:color w:val="auto"/>
              </w:rPr>
            </w:pPr>
            <w:r>
              <w:rPr>
                <w:rFonts w:ascii="Arial" w:cs="Arial" w:eastAsia="Arial" w:hAnsi="Arial"/>
                <w:sz w:val="16"/>
                <w:szCs w:val="16"/>
                <w:color w:val="auto"/>
              </w:rPr>
              <w:t>Yves-Andre Istel</w:t>
            </w:r>
          </w:p>
        </w:tc>
        <w:tc>
          <w:tcPr>
            <w:tcW w:w="720" w:type="dxa"/>
            <w:vAlign w:val="bottom"/>
          </w:tcPr>
          <w:p>
            <w:pPr>
              <w:jc w:val="right"/>
              <w:spacing w:after="0"/>
              <w:rPr>
                <w:sz w:val="20"/>
                <w:szCs w:val="20"/>
                <w:color w:val="auto"/>
              </w:rPr>
            </w:pPr>
            <w:r>
              <w:rPr>
                <w:rFonts w:ascii="Arial" w:cs="Arial" w:eastAsia="Arial" w:hAnsi="Arial"/>
                <w:sz w:val="16"/>
                <w:szCs w:val="16"/>
                <w:color w:val="auto"/>
              </w:rPr>
              <w:t>63,000</w:t>
            </w:r>
          </w:p>
        </w:tc>
        <w:tc>
          <w:tcPr>
            <w:tcW w:w="4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61,525</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61,523</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186,048</w:t>
            </w:r>
          </w:p>
        </w:tc>
        <w:tc>
          <w:tcPr>
            <w:tcW w:w="0" w:type="dxa"/>
            <w:vAlign w:val="bottom"/>
          </w:tcPr>
          <w:p>
            <w:pPr>
              <w:spacing w:after="0"/>
              <w:rPr>
                <w:sz w:val="1"/>
                <w:szCs w:val="1"/>
                <w:color w:val="auto"/>
              </w:rPr>
            </w:pPr>
          </w:p>
        </w:tc>
      </w:tr>
      <w:tr>
        <w:trPr>
          <w:trHeight w:val="202"/>
        </w:trPr>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Neil Novich</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61,525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61,523</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198,048</w:t>
            </w:r>
          </w:p>
        </w:tc>
        <w:tc>
          <w:tcPr>
            <w:tcW w:w="0" w:type="dxa"/>
            <w:vAlign w:val="bottom"/>
          </w:tcPr>
          <w:p>
            <w:pPr>
              <w:spacing w:after="0"/>
              <w:rPr>
                <w:sz w:val="1"/>
                <w:szCs w:val="1"/>
                <w:color w:val="auto"/>
              </w:rPr>
            </w:pPr>
          </w:p>
        </w:tc>
      </w:tr>
      <w:tr>
        <w:trPr>
          <w:trHeight w:val="202"/>
        </w:trPr>
        <w:tc>
          <w:tcPr>
            <w:tcW w:w="5640" w:type="dxa"/>
            <w:vAlign w:val="bottom"/>
            <w:gridSpan w:val="2"/>
          </w:tcPr>
          <w:p>
            <w:pPr>
              <w:spacing w:after="0"/>
              <w:rPr>
                <w:sz w:val="20"/>
                <w:szCs w:val="20"/>
                <w:color w:val="auto"/>
              </w:rPr>
            </w:pPr>
            <w:r>
              <w:rPr>
                <w:rFonts w:ascii="Arial" w:cs="Arial" w:eastAsia="Arial" w:hAnsi="Arial"/>
                <w:sz w:val="16"/>
                <w:szCs w:val="16"/>
                <w:color w:val="auto"/>
              </w:rPr>
              <w:t>F. Grant Saviers</w:t>
            </w:r>
          </w:p>
        </w:tc>
        <w:tc>
          <w:tcPr>
            <w:tcW w:w="720" w:type="dxa"/>
            <w:vAlign w:val="bottom"/>
          </w:tcPr>
          <w:p>
            <w:pPr>
              <w:jc w:val="right"/>
              <w:spacing w:after="0"/>
              <w:rPr>
                <w:sz w:val="20"/>
                <w:szCs w:val="20"/>
                <w:color w:val="auto"/>
              </w:rPr>
            </w:pPr>
            <w:r>
              <w:rPr>
                <w:rFonts w:ascii="Arial" w:cs="Arial" w:eastAsia="Arial" w:hAnsi="Arial"/>
                <w:sz w:val="16"/>
                <w:szCs w:val="16"/>
                <w:color w:val="auto"/>
              </w:rPr>
              <w:t>63,000</w:t>
            </w:r>
          </w:p>
        </w:tc>
        <w:tc>
          <w:tcPr>
            <w:tcW w:w="4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61,525</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61,523</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186,048</w:t>
            </w:r>
          </w:p>
        </w:tc>
        <w:tc>
          <w:tcPr>
            <w:tcW w:w="0" w:type="dxa"/>
            <w:vAlign w:val="bottom"/>
          </w:tcPr>
          <w:p>
            <w:pPr>
              <w:spacing w:after="0"/>
              <w:rPr>
                <w:sz w:val="1"/>
                <w:szCs w:val="1"/>
                <w:color w:val="auto"/>
              </w:rPr>
            </w:pPr>
          </w:p>
        </w:tc>
      </w:tr>
      <w:tr>
        <w:trPr>
          <w:trHeight w:val="202"/>
        </w:trPr>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J. Severino</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61,525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61,523</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186,048</w:t>
            </w:r>
          </w:p>
        </w:tc>
        <w:tc>
          <w:tcPr>
            <w:tcW w:w="0" w:type="dxa"/>
            <w:vAlign w:val="bottom"/>
          </w:tcPr>
          <w:p>
            <w:pPr>
              <w:spacing w:after="0"/>
              <w:rPr>
                <w:sz w:val="1"/>
                <w:szCs w:val="1"/>
                <w:color w:val="auto"/>
              </w:rPr>
            </w:pPr>
          </w:p>
        </w:tc>
      </w:tr>
      <w:tr>
        <w:trPr>
          <w:trHeight w:val="208"/>
        </w:trPr>
        <w:tc>
          <w:tcPr>
            <w:tcW w:w="5640" w:type="dxa"/>
            <w:vAlign w:val="bottom"/>
            <w:gridSpan w:val="2"/>
          </w:tcPr>
          <w:p>
            <w:pPr>
              <w:spacing w:after="0"/>
              <w:rPr>
                <w:sz w:val="20"/>
                <w:szCs w:val="20"/>
                <w:color w:val="auto"/>
              </w:rPr>
            </w:pPr>
            <w:r>
              <w:rPr>
                <w:rFonts w:ascii="Arial" w:cs="Arial" w:eastAsia="Arial" w:hAnsi="Arial"/>
                <w:sz w:val="16"/>
                <w:szCs w:val="16"/>
                <w:color w:val="auto"/>
              </w:rPr>
              <w:t>Kenton J. Sicchitano</w:t>
            </w:r>
          </w:p>
        </w:tc>
        <w:tc>
          <w:tcPr>
            <w:tcW w:w="720" w:type="dxa"/>
            <w:vAlign w:val="bottom"/>
          </w:tcPr>
          <w:p>
            <w:pPr>
              <w:jc w:val="right"/>
              <w:spacing w:after="0"/>
              <w:rPr>
                <w:sz w:val="20"/>
                <w:szCs w:val="20"/>
                <w:color w:val="auto"/>
              </w:rPr>
            </w:pPr>
            <w:r>
              <w:rPr>
                <w:rFonts w:ascii="Arial" w:cs="Arial" w:eastAsia="Arial" w:hAnsi="Arial"/>
                <w:sz w:val="16"/>
                <w:szCs w:val="16"/>
                <w:color w:val="auto"/>
              </w:rPr>
              <w:t>80,000</w:t>
            </w:r>
          </w:p>
        </w:tc>
        <w:tc>
          <w:tcPr>
            <w:tcW w:w="4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61,525</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61,523</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203,048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77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03" w:lineRule="exact"/>
        <w:rPr>
          <w:sz w:val="20"/>
          <w:szCs w:val="20"/>
          <w:color w:val="auto"/>
        </w:rPr>
      </w:pPr>
    </w:p>
    <w:p>
      <w:pPr>
        <w:ind w:left="460" w:right="380" w:hanging="459"/>
        <w:spacing w:after="0" w:line="27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Messrs. Fishman and Stata were the only directors during fiscal 2011 who were also employees of ADI. Neither received any compensation in their capacities as directors of ADI. Mr. Fishman’s compensation is included in the Summary Compensation Table and Mr. Stata’s compensation is included under “— Certain Relationships and Related Transactions.” Mr. Doyle will retire from the Board effective March 13, 2012.</w:t>
      </w:r>
    </w:p>
    <w:p>
      <w:pPr>
        <w:spacing w:after="0" w:line="40" w:lineRule="exact"/>
        <w:rPr>
          <w:rFonts w:ascii="Arial" w:cs="Arial" w:eastAsia="Arial" w:hAnsi="Arial"/>
          <w:sz w:val="16"/>
          <w:szCs w:val="16"/>
          <w:color w:val="auto"/>
        </w:rPr>
      </w:pPr>
    </w:p>
    <w:p>
      <w:pPr>
        <w:ind w:left="460" w:right="20" w:hanging="459"/>
        <w:spacing w:after="0" w:line="29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This amount includes a $60,000 annual board retainer. An additional annual retainer of $20,000 is paid to the chair of the Audit Committee (Mr. Sicchitano). An additional annual retainer of $15,000 is paid to the chairs of the Compensation Committee (Mr. Novich) and the Nominating and Corporate Governance Committee (Mr. Doyle, who will retire from the Board effective March 13, 2012). The Presiding Director (Mr. Champy) also receives an annual retainer of $15,000. Beginning in fiscal 2011, the members of the Audit Committee (other than the chair) received an additional annual retainer of $6,000 and the members of the Compensation and Nominating and Corporate Governance Committees (other than the chairs) received an additional annual retainer of $3,000. All cash retainers are paid in quarterly installments each on the 15</w:t>
      </w:r>
      <w:r>
        <w:rPr>
          <w:rFonts w:ascii="Arial" w:cs="Arial" w:eastAsia="Arial" w:hAnsi="Arial"/>
          <w:sz w:val="9"/>
          <w:szCs w:val="9"/>
          <w:color w:val="auto"/>
        </w:rPr>
        <w:t>th</w:t>
      </w:r>
      <w:r>
        <w:rPr>
          <w:rFonts w:ascii="Arial" w:cs="Arial" w:eastAsia="Arial" w:hAnsi="Arial"/>
          <w:sz w:val="15"/>
          <w:szCs w:val="15"/>
          <w:color w:val="auto"/>
        </w:rPr>
        <w:t xml:space="preserve"> day of December, March, June and September of each fiscal year.</w:t>
      </w:r>
    </w:p>
    <w:p>
      <w:pPr>
        <w:spacing w:after="0" w:line="34" w:lineRule="exact"/>
        <w:rPr>
          <w:rFonts w:ascii="Arial" w:cs="Arial" w:eastAsia="Arial" w:hAnsi="Arial"/>
          <w:sz w:val="15"/>
          <w:szCs w:val="15"/>
          <w:color w:val="auto"/>
        </w:rPr>
      </w:pPr>
    </w:p>
    <w:p>
      <w:pPr>
        <w:jc w:val="both"/>
        <w:ind w:left="460" w:right="160" w:hanging="459"/>
        <w:spacing w:after="0" w:line="27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amounts represent the aggregate grant date fair value of awards for grants of restricted stock units or stock options to each listed director in fiscal 2011. These amounts do not represent the actual amounts paid to or realized by the directors during fiscal 2011. We recognize the value as of the grant date for stock options and restricted stock units over the number of days of service required for the award to become vested.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439" w:right="2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right="140" w:hanging="459"/>
        <w:spacing w:after="0" w:line="29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aggregate number of restricted stock awards and stock option awards outstanding held by each director (representing unexercised stock options, both exercisable and unexercisable, and unvested restricted stock units) at October 29, 2011 is as follows:</w:t>
      </w:r>
    </w:p>
    <w:p>
      <w:pPr>
        <w:spacing w:after="0" w:line="1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Number of Units</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100" w:type="dxa"/>
            <w:vAlign w:val="bottom"/>
            <w:gridSpan w:val="2"/>
          </w:tcPr>
          <w:p>
            <w:pPr>
              <w:jc w:val="center"/>
              <w:ind w:right="1120"/>
              <w:spacing w:after="0" w:line="139" w:lineRule="exact"/>
              <w:rPr>
                <w:sz w:val="20"/>
                <w:szCs w:val="20"/>
                <w:color w:val="auto"/>
              </w:rPr>
            </w:pPr>
            <w:r>
              <w:rPr>
                <w:rFonts w:ascii="Arial" w:cs="Arial" w:eastAsia="Arial" w:hAnsi="Arial"/>
                <w:sz w:val="13"/>
                <w:szCs w:val="13"/>
                <w:b w:val="1"/>
                <w:bCs w:val="1"/>
                <w:color w:val="auto"/>
                <w:w w:val="87"/>
              </w:rPr>
              <w:t>Number of Shares</w:t>
            </w:r>
          </w:p>
        </w:tc>
        <w:tc>
          <w:tcPr>
            <w:tcW w:w="10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8"/>
              </w:rPr>
              <w:t>of Stock that</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100" w:type="dxa"/>
            <w:vAlign w:val="bottom"/>
            <w:gridSpan w:val="2"/>
          </w:tcPr>
          <w:p>
            <w:pPr>
              <w:jc w:val="center"/>
              <w:ind w:right="1120"/>
              <w:spacing w:after="0" w:line="139" w:lineRule="exact"/>
              <w:rPr>
                <w:sz w:val="20"/>
                <w:szCs w:val="20"/>
                <w:color w:val="auto"/>
              </w:rPr>
            </w:pPr>
            <w:r>
              <w:rPr>
                <w:rFonts w:ascii="Arial" w:cs="Arial" w:eastAsia="Arial" w:hAnsi="Arial"/>
                <w:sz w:val="13"/>
                <w:szCs w:val="13"/>
                <w:b w:val="1"/>
                <w:bCs w:val="1"/>
                <w:color w:val="auto"/>
                <w:w w:val="86"/>
              </w:rPr>
              <w:t>Subject to Option</w:t>
            </w:r>
          </w:p>
        </w:tc>
        <w:tc>
          <w:tcPr>
            <w:tcW w:w="100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4"/>
              </w:rPr>
              <w:t>have not Vested</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100" w:type="dxa"/>
            <w:vAlign w:val="bottom"/>
            <w:gridSpan w:val="2"/>
          </w:tcPr>
          <w:p>
            <w:pPr>
              <w:jc w:val="center"/>
              <w:ind w:right="1140"/>
              <w:spacing w:after="0" w:line="139" w:lineRule="exact"/>
              <w:rPr>
                <w:sz w:val="20"/>
                <w:szCs w:val="20"/>
                <w:color w:val="auto"/>
              </w:rPr>
            </w:pPr>
            <w:r>
              <w:rPr>
                <w:rFonts w:ascii="Arial" w:cs="Arial" w:eastAsia="Arial" w:hAnsi="Arial"/>
                <w:sz w:val="13"/>
                <w:szCs w:val="13"/>
                <w:b w:val="1"/>
                <w:bCs w:val="1"/>
                <w:color w:val="auto"/>
                <w:w w:val="86"/>
              </w:rPr>
              <w:t>Awards Held as</w:t>
            </w:r>
          </w:p>
        </w:tc>
        <w:tc>
          <w:tcPr>
            <w:tcW w:w="10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5240" w:type="dxa"/>
            <w:vAlign w:val="bottom"/>
            <w:vMerge w:val="restart"/>
          </w:tcPr>
          <w:p>
            <w:pPr>
              <w:spacing w:after="0"/>
              <w:rPr>
                <w:sz w:val="12"/>
                <w:szCs w:val="12"/>
                <w:color w:val="auto"/>
              </w:rPr>
            </w:pPr>
          </w:p>
        </w:tc>
        <w:tc>
          <w:tcPr>
            <w:tcW w:w="2100" w:type="dxa"/>
            <w:vAlign w:val="bottom"/>
            <w:gridSpan w:val="2"/>
          </w:tcPr>
          <w:p>
            <w:pPr>
              <w:jc w:val="center"/>
              <w:ind w:right="1140"/>
              <w:spacing w:after="0" w:line="139" w:lineRule="exact"/>
              <w:rPr>
                <w:sz w:val="20"/>
                <w:szCs w:val="20"/>
                <w:color w:val="auto"/>
              </w:rPr>
            </w:pPr>
            <w:r>
              <w:rPr>
                <w:rFonts w:ascii="Arial" w:cs="Arial" w:eastAsia="Arial" w:hAnsi="Arial"/>
                <w:sz w:val="13"/>
                <w:szCs w:val="13"/>
                <w:b w:val="1"/>
                <w:bCs w:val="1"/>
                <w:color w:val="auto"/>
                <w:w w:val="86"/>
              </w:rPr>
              <w:t>of October 29,</w:t>
            </w:r>
          </w:p>
        </w:tc>
        <w:tc>
          <w:tcPr>
            <w:tcW w:w="10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6"/>
              </w:rPr>
              <w:t>October 29,</w:t>
            </w: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5240" w:type="dxa"/>
            <w:vAlign w:val="bottom"/>
            <w:vMerge w:val="continue"/>
          </w:tcPr>
          <w:p>
            <w:pPr>
              <w:spacing w:after="0"/>
              <w:rPr>
                <w:sz w:val="13"/>
                <w:szCs w:val="13"/>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6"/>
              </w:rPr>
              <w:t>2011 (#)</w:t>
            </w:r>
          </w:p>
        </w:tc>
        <w:tc>
          <w:tcPr>
            <w:tcW w:w="1120" w:type="dxa"/>
            <w:vAlign w:val="bottom"/>
          </w:tcPr>
          <w:p>
            <w:pPr>
              <w:spacing w:after="0"/>
              <w:rPr>
                <w:sz w:val="13"/>
                <w:szCs w:val="13"/>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6"/>
              </w:rPr>
              <w:t>2011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James A. Champy</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52,710</w:t>
            </w:r>
          </w:p>
        </w:tc>
        <w:tc>
          <w:tcPr>
            <w:tcW w:w="1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80" w:type="dxa"/>
            <w:vAlign w:val="bottom"/>
            <w:gridSpan w:val="2"/>
          </w:tcPr>
          <w:p>
            <w:pPr>
              <w:spacing w:after="0"/>
              <w:rPr>
                <w:sz w:val="20"/>
                <w:szCs w:val="20"/>
                <w:color w:val="auto"/>
              </w:rPr>
            </w:pPr>
            <w:r>
              <w:rPr>
                <w:rFonts w:ascii="Arial" w:cs="Arial" w:eastAsia="Arial" w:hAnsi="Arial"/>
                <w:sz w:val="16"/>
                <w:szCs w:val="16"/>
                <w:color w:val="auto"/>
              </w:rPr>
              <w:t>John L. Doyle</w:t>
            </w:r>
          </w:p>
        </w:tc>
        <w:tc>
          <w:tcPr>
            <w:tcW w:w="2100" w:type="dxa"/>
            <w:vAlign w:val="bottom"/>
            <w:gridSpan w:val="2"/>
          </w:tcPr>
          <w:p>
            <w:pPr>
              <w:jc w:val="right"/>
              <w:ind w:right="1120"/>
              <w:spacing w:after="0"/>
              <w:rPr>
                <w:sz w:val="20"/>
                <w:szCs w:val="20"/>
                <w:color w:val="auto"/>
              </w:rPr>
            </w:pPr>
            <w:r>
              <w:rPr>
                <w:rFonts w:ascii="Arial" w:cs="Arial" w:eastAsia="Arial" w:hAnsi="Arial"/>
                <w:sz w:val="16"/>
                <w:szCs w:val="16"/>
                <w:color w:val="auto"/>
              </w:rPr>
              <w:t>130,710</w:t>
            </w:r>
          </w:p>
        </w:tc>
        <w:tc>
          <w:tcPr>
            <w:tcW w:w="900" w:type="dxa"/>
            <w:vAlign w:val="bottom"/>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C. Hodgson</w:t>
            </w: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6"/>
                <w:szCs w:val="16"/>
                <w:color w:val="auto"/>
              </w:rPr>
              <w:t>81,460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gridSpan w:val="2"/>
          </w:tcPr>
          <w:p>
            <w:pPr>
              <w:spacing w:after="0"/>
              <w:rPr>
                <w:sz w:val="20"/>
                <w:szCs w:val="20"/>
                <w:color w:val="auto"/>
              </w:rPr>
            </w:pPr>
            <w:r>
              <w:rPr>
                <w:rFonts w:ascii="Arial" w:cs="Arial" w:eastAsia="Arial" w:hAnsi="Arial"/>
                <w:sz w:val="16"/>
                <w:szCs w:val="16"/>
                <w:color w:val="auto"/>
              </w:rPr>
              <w:t>Yves-Andre Istel</w:t>
            </w:r>
          </w:p>
        </w:tc>
        <w:tc>
          <w:tcPr>
            <w:tcW w:w="2100" w:type="dxa"/>
            <w:vAlign w:val="bottom"/>
            <w:gridSpan w:val="2"/>
          </w:tcPr>
          <w:p>
            <w:pPr>
              <w:jc w:val="right"/>
              <w:ind w:right="1120"/>
              <w:spacing w:after="0"/>
              <w:rPr>
                <w:sz w:val="20"/>
                <w:szCs w:val="20"/>
                <w:color w:val="auto"/>
              </w:rPr>
            </w:pPr>
            <w:r>
              <w:rPr>
                <w:rFonts w:ascii="Arial" w:cs="Arial" w:eastAsia="Arial" w:hAnsi="Arial"/>
                <w:sz w:val="16"/>
                <w:szCs w:val="16"/>
                <w:color w:val="auto"/>
              </w:rPr>
              <w:t>40,860</w:t>
            </w:r>
          </w:p>
        </w:tc>
        <w:tc>
          <w:tcPr>
            <w:tcW w:w="900" w:type="dxa"/>
            <w:vAlign w:val="bottom"/>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Neil Novich</w:t>
            </w: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6"/>
                <w:szCs w:val="16"/>
                <w:color w:val="auto"/>
              </w:rPr>
              <w:t>39,013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gridSpan w:val="2"/>
          </w:tcPr>
          <w:p>
            <w:pPr>
              <w:spacing w:after="0"/>
              <w:rPr>
                <w:sz w:val="20"/>
                <w:szCs w:val="20"/>
                <w:color w:val="auto"/>
              </w:rPr>
            </w:pPr>
            <w:r>
              <w:rPr>
                <w:rFonts w:ascii="Arial" w:cs="Arial" w:eastAsia="Arial" w:hAnsi="Arial"/>
                <w:sz w:val="16"/>
                <w:szCs w:val="16"/>
                <w:color w:val="auto"/>
              </w:rPr>
              <w:t>F. Grant Saviers</w:t>
            </w:r>
          </w:p>
        </w:tc>
        <w:tc>
          <w:tcPr>
            <w:tcW w:w="2100" w:type="dxa"/>
            <w:vAlign w:val="bottom"/>
            <w:gridSpan w:val="2"/>
          </w:tcPr>
          <w:p>
            <w:pPr>
              <w:jc w:val="right"/>
              <w:ind w:right="1120"/>
              <w:spacing w:after="0"/>
              <w:rPr>
                <w:sz w:val="20"/>
                <w:szCs w:val="20"/>
                <w:color w:val="auto"/>
              </w:rPr>
            </w:pPr>
            <w:r>
              <w:rPr>
                <w:rFonts w:ascii="Arial" w:cs="Arial" w:eastAsia="Arial" w:hAnsi="Arial"/>
                <w:sz w:val="16"/>
                <w:szCs w:val="16"/>
                <w:color w:val="auto"/>
              </w:rPr>
              <w:t>130,710</w:t>
            </w:r>
          </w:p>
        </w:tc>
        <w:tc>
          <w:tcPr>
            <w:tcW w:w="900" w:type="dxa"/>
            <w:vAlign w:val="bottom"/>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J. Severino</w:t>
            </w: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6"/>
                <w:szCs w:val="16"/>
                <w:color w:val="auto"/>
              </w:rPr>
              <w:t>74,710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gridSpan w:val="2"/>
          </w:tcPr>
          <w:p>
            <w:pPr>
              <w:spacing w:after="0"/>
              <w:rPr>
                <w:sz w:val="20"/>
                <w:szCs w:val="20"/>
                <w:color w:val="auto"/>
              </w:rPr>
            </w:pPr>
            <w:r>
              <w:rPr>
                <w:rFonts w:ascii="Arial" w:cs="Arial" w:eastAsia="Arial" w:hAnsi="Arial"/>
                <w:sz w:val="16"/>
                <w:szCs w:val="16"/>
                <w:color w:val="auto"/>
              </w:rPr>
              <w:t>Kenton J. Sicchitano</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127,710</w:t>
            </w:r>
          </w:p>
        </w:tc>
        <w:tc>
          <w:tcPr>
            <w:tcW w:w="1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6"/>
                <w:szCs w:val="16"/>
                <w:color w:val="auto"/>
              </w:rPr>
              <w:t>677,883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340" w:firstLine="457"/>
        <w:spacing w:after="0" w:line="294" w:lineRule="auto"/>
        <w:rPr>
          <w:sz w:val="20"/>
          <w:szCs w:val="20"/>
          <w:color w:val="auto"/>
        </w:rPr>
      </w:pPr>
      <w:r>
        <w:rPr>
          <w:rFonts w:ascii="Arial" w:cs="Arial" w:eastAsia="Arial" w:hAnsi="Arial"/>
          <w:sz w:val="16"/>
          <w:szCs w:val="16"/>
          <w:color w:val="auto"/>
        </w:rPr>
        <w:t>The following table includes the assumptions used to calculate the grant date fair value amounts included in the “Stock Awards” and “Option Awards” column for fiscal 2011 Director Compensation.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Assumption</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1"/>
        </w:trPr>
        <w:tc>
          <w:tcPr>
            <w:tcW w:w="3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tcPr>
          <w:p>
            <w:pPr>
              <w:jc w:val="center"/>
              <w:ind w:right="420"/>
              <w:spacing w:after="0" w:line="111" w:lineRule="exact"/>
              <w:rPr>
                <w:sz w:val="20"/>
                <w:szCs w:val="20"/>
                <w:color w:val="auto"/>
              </w:rPr>
            </w:pPr>
            <w:r>
              <w:rPr>
                <w:rFonts w:ascii="Arial" w:cs="Arial" w:eastAsia="Arial" w:hAnsi="Arial"/>
                <w:sz w:val="12"/>
                <w:szCs w:val="12"/>
                <w:b w:val="1"/>
                <w:bCs w:val="1"/>
                <w:color w:val="auto"/>
                <w:w w:val="95"/>
              </w:rPr>
              <w:t>Risk-Free</w:t>
            </w: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7"/>
              </w:rPr>
              <w:t>Grant Date</w:t>
            </w:r>
          </w:p>
        </w:tc>
        <w:tc>
          <w:tcPr>
            <w:tcW w:w="100" w:type="dxa"/>
            <w:vAlign w:val="bottom"/>
          </w:tcPr>
          <w:p>
            <w:pPr>
              <w:spacing w:after="0"/>
              <w:rPr>
                <w:sz w:val="9"/>
                <w:szCs w:val="9"/>
                <w:color w:val="auto"/>
              </w:rPr>
            </w:pPr>
          </w:p>
        </w:tc>
      </w:tr>
      <w:tr>
        <w:trPr>
          <w:trHeight w:val="139"/>
        </w:trPr>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85"/>
              </w:rPr>
              <w:t>Exercise</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86"/>
              </w:rPr>
              <w:t>Expected</w:t>
            </w:r>
          </w:p>
        </w:tc>
        <w:tc>
          <w:tcPr>
            <w:tcW w:w="98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85"/>
              </w:rPr>
              <w:t>Interest</w:t>
            </w:r>
          </w:p>
        </w:tc>
        <w:tc>
          <w:tcPr>
            <w:tcW w:w="96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87"/>
              </w:rPr>
              <w:t>Dividend</w:t>
            </w: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0"/>
              </w:rPr>
              <w:t>Fair Value</w:t>
            </w:r>
          </w:p>
        </w:tc>
      </w:tr>
      <w:tr>
        <w:trPr>
          <w:trHeight w:val="139"/>
        </w:trPr>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85"/>
              </w:rPr>
              <w:t>Shares/RSUs</w:t>
            </w:r>
          </w:p>
        </w:tc>
        <w:tc>
          <w:tcPr>
            <w:tcW w:w="90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87"/>
              </w:rPr>
              <w:t>Price</w:t>
            </w:r>
          </w:p>
        </w:tc>
        <w:tc>
          <w:tcPr>
            <w:tcW w:w="9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2"/>
              </w:rPr>
              <w:t>Volatility</w:t>
            </w:r>
          </w:p>
        </w:tc>
        <w:tc>
          <w:tcPr>
            <w:tcW w:w="9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4"/>
              </w:rPr>
              <w:t>Life</w:t>
            </w:r>
          </w:p>
        </w:tc>
        <w:tc>
          <w:tcPr>
            <w:tcW w:w="98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2"/>
              </w:rPr>
              <w:t>Rate</w:t>
            </w:r>
          </w:p>
        </w:tc>
        <w:tc>
          <w:tcPr>
            <w:tcW w:w="96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89"/>
              </w:rPr>
              <w:t>Yield</w:t>
            </w:r>
          </w:p>
        </w:tc>
        <w:tc>
          <w:tcPr>
            <w:tcW w:w="7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5"/>
              </w:rPr>
              <w:t>Per Share</w:t>
            </w:r>
          </w:p>
        </w:tc>
      </w:tr>
      <w:tr>
        <w:trPr>
          <w:trHeight w:val="151"/>
        </w:trPr>
        <w:tc>
          <w:tcPr>
            <w:tcW w:w="36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Grant Date</w:t>
            </w:r>
          </w:p>
        </w:tc>
        <w:tc>
          <w:tcPr>
            <w:tcW w:w="11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9"/>
              </w:rPr>
              <w:t>Granted (#)</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40" w:type="dxa"/>
            <w:vAlign w:val="bottom"/>
          </w:tcPr>
          <w:p>
            <w:pPr>
              <w:spacing w:after="0"/>
              <w:rPr>
                <w:sz w:val="13"/>
                <w:szCs w:val="13"/>
                <w:color w:val="auto"/>
              </w:rPr>
            </w:pPr>
          </w:p>
        </w:tc>
        <w:tc>
          <w:tcPr>
            <w:tcW w:w="520" w:type="dxa"/>
            <w:vAlign w:val="bottom"/>
          </w:tcPr>
          <w:p>
            <w:pPr>
              <w:jc w:val="right"/>
              <w:ind w:right="88"/>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6"/>
              </w:rPr>
              <w:t>(Years)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w:t>
            </w:r>
          </w:p>
        </w:tc>
        <w:tc>
          <w:tcPr>
            <w:tcW w:w="420" w:type="dxa"/>
            <w:vAlign w:val="bottom"/>
          </w:tcPr>
          <w:p>
            <w:pPr>
              <w:spacing w:after="0"/>
              <w:rPr>
                <w:sz w:val="13"/>
                <w:szCs w:val="13"/>
                <w:color w:val="auto"/>
              </w:rPr>
            </w:pPr>
          </w:p>
        </w:tc>
        <w:tc>
          <w:tcPr>
            <w:tcW w:w="520" w:type="dxa"/>
            <w:vAlign w:val="bottom"/>
          </w:tcPr>
          <w:p>
            <w:pPr>
              <w:ind w:left="16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94"/>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options</w:t>
            </w:r>
          </w:p>
        </w:tc>
        <w:tc>
          <w:tcPr>
            <w:tcW w:w="7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9"/>
              </w:rPr>
              <w:t>3/08/2011</w:t>
            </w:r>
          </w:p>
        </w:tc>
        <w:tc>
          <w:tcPr>
            <w:tcW w:w="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7,210</w:t>
            </w:r>
          </w:p>
        </w:tc>
        <w:tc>
          <w:tcPr>
            <w:tcW w:w="4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4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26.620</w:t>
            </w:r>
          </w:p>
        </w:tc>
        <w:tc>
          <w:tcPr>
            <w:tcW w:w="4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4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84"/>
              </w:rPr>
              <w:t>2.210</w:t>
            </w: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8.5330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366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3/08/2011</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1,580</w:t>
            </w: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0.260</w:t>
            </w:r>
          </w:p>
        </w:tc>
        <w:tc>
          <w:tcPr>
            <w:tcW w:w="960" w:type="dxa"/>
            <w:vAlign w:val="bottom"/>
            <w:gridSpan w:val="2"/>
          </w:tcPr>
          <w:p>
            <w:pPr>
              <w:ind w:left="160"/>
              <w:spacing w:after="0"/>
              <w:rPr>
                <w:sz w:val="20"/>
                <w:szCs w:val="20"/>
                <w:color w:val="auto"/>
              </w:rPr>
            </w:pPr>
            <w:r>
              <w:rPr>
                <w:rFonts w:ascii="Arial" w:cs="Arial" w:eastAsia="Arial" w:hAnsi="Arial"/>
                <w:sz w:val="16"/>
                <w:szCs w:val="16"/>
                <w:color w:val="auto"/>
              </w:rPr>
              <w:t>2.210</w:t>
            </w:r>
          </w:p>
        </w:tc>
        <w:tc>
          <w:tcPr>
            <w:tcW w:w="640" w:type="dxa"/>
            <w:vAlign w:val="bottom"/>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Pr>
          <w:p>
            <w:pPr>
              <w:spacing w:after="0"/>
              <w:rPr>
                <w:sz w:val="18"/>
                <w:szCs w:val="18"/>
                <w:color w:val="auto"/>
              </w:rPr>
            </w:pPr>
          </w:p>
        </w:tc>
      </w:tr>
    </w:tbl>
    <w:p>
      <w:pPr>
        <w:spacing w:after="0" w:line="136"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The grant date fair value of restricted stock units represents the value of our common stock on the date of grant, reduced by the present value of dividends expected to be paid on our common stock prior to vesting. We compute the grant date fair value of stock options using a Black Scholes valuation methodology.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October 29, 2011.</w:t>
      </w:r>
    </w:p>
    <w:p>
      <w:pPr>
        <w:spacing w:after="0" w:line="124" w:lineRule="exact"/>
        <w:rPr>
          <w:sz w:val="20"/>
          <w:szCs w:val="20"/>
          <w:color w:val="auto"/>
        </w:rPr>
      </w:pPr>
    </w:p>
    <w:p>
      <w:pPr>
        <w:ind w:right="540" w:firstLine="457"/>
        <w:spacing w:after="0" w:line="294" w:lineRule="auto"/>
        <w:rPr>
          <w:sz w:val="20"/>
          <w:szCs w:val="20"/>
          <w:color w:val="auto"/>
        </w:rPr>
      </w:pPr>
      <w:r>
        <w:rPr>
          <w:rFonts w:ascii="Arial" w:cs="Arial" w:eastAsia="Arial" w:hAnsi="Arial"/>
          <w:sz w:val="16"/>
          <w:szCs w:val="16"/>
          <w:color w:val="auto"/>
        </w:rPr>
        <w:t>We also reimburse our directors for travel to Board meetings and related expenses. Each director can elect to defer receipt of his or her fees under our Deferred Compensation Plan. See “INFORMATION ABOUT EXECUTIVE COMPENSATION — Non-Qualified Deferred Compensation Plan” below.</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Stock Ownership Guidelines for Directors</w:t>
      </w:r>
    </w:p>
    <w:p>
      <w:pPr>
        <w:spacing w:after="0" w:line="93" w:lineRule="exact"/>
        <w:rPr>
          <w:sz w:val="20"/>
          <w:szCs w:val="20"/>
          <w:color w:val="auto"/>
        </w:rPr>
      </w:pPr>
    </w:p>
    <w:p>
      <w:pPr>
        <w:ind w:right="180" w:firstLine="457"/>
        <w:spacing w:after="0" w:line="335" w:lineRule="auto"/>
        <w:rPr>
          <w:sz w:val="20"/>
          <w:szCs w:val="20"/>
          <w:color w:val="auto"/>
        </w:rPr>
      </w:pPr>
      <w:r>
        <w:rPr>
          <w:rFonts w:ascii="Arial" w:cs="Arial" w:eastAsia="Arial" w:hAnsi="Arial"/>
          <w:sz w:val="14"/>
          <w:szCs w:val="14"/>
          <w:color w:val="auto"/>
        </w:rPr>
        <w:t>Under our stock ownership guidelines, the target share ownership levels are two times the directors’ annual cash retainer. Directors (including the CEO) have three years to achieve their targeted level. Shares subject to unexercised options, whether or not vested, will not be counted for purposes of satisfying these guidelines. Restricted stock units (whether or not vested) are counted for purposes of satisfying the guidelines. All directors satisfied our stock ownership guidelines as of the end of fiscal 2011.</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39"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Equity Award Policy for Non-employee Directors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equity award grant policy for non-employee directors for fiscal 2011 was:</w:t>
      </w:r>
    </w:p>
    <w:p>
      <w:pPr>
        <w:spacing w:after="0" w:line="93" w:lineRule="exact"/>
        <w:rPr>
          <w:sz w:val="20"/>
          <w:szCs w:val="20"/>
          <w:color w:val="auto"/>
        </w:rPr>
      </w:pPr>
    </w:p>
    <w:p>
      <w:pPr>
        <w:ind w:left="900" w:right="60" w:hanging="446"/>
        <w:spacing w:after="0" w:line="296"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Each newly elected non-employee director is automatically granted under our 2006 Stock Incentive Plan (the 2006 Plan): (a) a non-qualified stock option to purchase a number of shares of our common stock approved by the Board at an exercise price equal to the closing price of our common stock on the grant date; and (b) a restricted stock unit award for a number of shares of our common stock approved by the Board, each on the 15th day of the month following the date of initial election as a director, or if the NYSE is closed on that day, the next succeeding business day that the NYSE is open.</w:t>
      </w:r>
    </w:p>
    <w:p>
      <w:pPr>
        <w:spacing w:after="0" w:line="30" w:lineRule="exact"/>
        <w:rPr>
          <w:rFonts w:ascii="Arial" w:cs="Arial" w:eastAsia="Arial" w:hAnsi="Arial"/>
          <w:sz w:val="15"/>
          <w:szCs w:val="15"/>
          <w:color w:val="auto"/>
        </w:rPr>
      </w:pPr>
    </w:p>
    <w:p>
      <w:pPr>
        <w:ind w:left="900" w:hanging="446"/>
        <w:spacing w:after="0" w:line="270"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an annual basis, each incumbent non-employee director is automatically granted under the 2006 Plan: (a) a non-qualified stock option to purchase a number of shares of our common stock approved by the Board at an exercise price equal to the closing price of our common stock on the grant date; and (b) a restricted stock unit award for a number of shares of our common stock approved by the Board, each on the date of our annual meeting of shareholders (with the number of shares subject to the first annual grant of options and restricted stock units to be pro-rated based on the length of service between the director’s initial election date and the date of the annual meeting of shareholders).</w:t>
      </w:r>
    </w:p>
    <w:p>
      <w:pPr>
        <w:spacing w:after="0" w:line="124" w:lineRule="exact"/>
        <w:rPr>
          <w:sz w:val="20"/>
          <w:szCs w:val="20"/>
          <w:color w:val="auto"/>
        </w:rPr>
      </w:pPr>
    </w:p>
    <w:p>
      <w:pPr>
        <w:ind w:right="20" w:firstLine="457"/>
        <w:spacing w:after="0" w:line="317" w:lineRule="auto"/>
        <w:rPr>
          <w:sz w:val="20"/>
          <w:szCs w:val="20"/>
          <w:color w:val="auto"/>
        </w:rPr>
      </w:pPr>
      <w:r>
        <w:rPr>
          <w:rFonts w:ascii="Arial" w:cs="Arial" w:eastAsia="Arial" w:hAnsi="Arial"/>
          <w:sz w:val="14"/>
          <w:szCs w:val="14"/>
          <w:color w:val="auto"/>
        </w:rPr>
        <w:t>For fiscal 2011, stock options and restricted stock units granted to our non-employee directors under the 2006 Plan vested on the first anniversary of the date of grant, subject to acceleration as described below. These awards vest in full upon the occurrence of a Change in Control Event (as defined in the 2006 Plan) or the director’s death. If the director ceases to serve as a director by reason of his disability, as determined by the Board, each RSU will vest in full and each option will continue to vest over its remaining term on the dates it otherwise would have vested if the director’s service had not been terminated for disability. In addition, upon the occurrence of a Change in Control Event or in the event of the director’s death, disability or retirement after age 60, each vested option will continue to be exercisable for the balance of its term.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Transactions with Related Persons</w:t>
      </w:r>
    </w:p>
    <w:p>
      <w:pPr>
        <w:spacing w:after="0" w:line="93" w:lineRule="exact"/>
        <w:rPr>
          <w:sz w:val="20"/>
          <w:szCs w:val="20"/>
          <w:color w:val="auto"/>
        </w:rPr>
      </w:pPr>
    </w:p>
    <w:p>
      <w:pPr>
        <w:ind w:right="120" w:firstLine="457"/>
        <w:spacing w:after="0" w:line="305" w:lineRule="auto"/>
        <w:rPr>
          <w:sz w:val="20"/>
          <w:szCs w:val="20"/>
          <w:color w:val="auto"/>
        </w:rPr>
      </w:pPr>
      <w:r>
        <w:rPr>
          <w:rFonts w:ascii="Arial" w:cs="Arial" w:eastAsia="Arial" w:hAnsi="Arial"/>
          <w:sz w:val="15"/>
          <w:szCs w:val="15"/>
          <w:color w:val="auto"/>
        </w:rPr>
        <w:t>During fiscal 2011, we paid Mr. Stata, our founder and Chairman of the Board of Directors, a salary for his services as an employee of Analog Devices in the amount of $250,000 and other compensation of $20,000 representing the amount contributed or accrued by us in fiscal 2011 under applicable retirement arrangements. Consistent with the compensation we pay our non-employee directors, Mr. Stata did not participate in our executive performance incentive plan during fiscal 2011.</w:t>
      </w:r>
    </w:p>
    <w:p>
      <w:pPr>
        <w:spacing w:after="0" w:line="98" w:lineRule="exact"/>
        <w:rPr>
          <w:sz w:val="20"/>
          <w:szCs w:val="20"/>
          <w:color w:val="auto"/>
        </w:rPr>
      </w:pPr>
    </w:p>
    <w:p>
      <w:pPr>
        <w:ind w:right="320" w:firstLine="457"/>
        <w:spacing w:after="0" w:line="294" w:lineRule="auto"/>
        <w:rPr>
          <w:sz w:val="20"/>
          <w:szCs w:val="20"/>
          <w:color w:val="auto"/>
        </w:rPr>
      </w:pPr>
      <w:r>
        <w:rPr>
          <w:rFonts w:ascii="Arial" w:cs="Arial" w:eastAsia="Arial" w:hAnsi="Arial"/>
          <w:sz w:val="16"/>
          <w:szCs w:val="16"/>
          <w:color w:val="auto"/>
        </w:rPr>
        <w:t>On March 8, 2011, we granted a stock option to Mr. Stata for the purchase of 7,210 shares of our common stock at an exercise price of $39.82 per share and 1,580 restricted stock units. These awards vest, subject to Mr. Stata’s continued employment with us, on the first anniversary of the grant date.</w:t>
      </w:r>
    </w:p>
    <w:p>
      <w:pPr>
        <w:spacing w:after="0" w:line="104" w:lineRule="exact"/>
        <w:rPr>
          <w:sz w:val="20"/>
          <w:szCs w:val="20"/>
          <w:color w:val="auto"/>
        </w:rPr>
      </w:pPr>
    </w:p>
    <w:p>
      <w:pPr>
        <w:ind w:right="120" w:firstLine="457"/>
        <w:spacing w:after="0" w:line="287" w:lineRule="auto"/>
        <w:rPr>
          <w:sz w:val="20"/>
          <w:szCs w:val="20"/>
          <w:color w:val="auto"/>
        </w:rPr>
      </w:pPr>
      <w:r>
        <w:rPr>
          <w:rFonts w:ascii="Arial" w:cs="Arial" w:eastAsia="Arial" w:hAnsi="Arial"/>
          <w:sz w:val="15"/>
          <w:szCs w:val="15"/>
          <w:color w:val="auto"/>
        </w:rPr>
        <w:t>In June 2011, ADI acquired Lyric Semiconductor, Inc. (Lyric) for $14 million in the aggregate at closing, with additional contingent earn out payments based on the achievement of certain product-based milestones of up to $15 million and royalty payments of up to $25 million based on product sales following the closing. Mr. Stata, our founder and Chairman of the Board, served as Chairman of the Board of Lyric through the closing of the transaction. In addition, Stata Venture Partners II, LLC, a venture capital fund, held a significant equity position in Lyric. Mr. Stata serves as a general partner of Stata Venture Holdings II, LLC, which is a general partner of Stata Venture Partners II, LLC. Stata Venture Partners II, LLC was paid $4.5 million at the closing of the acquisition, and will be paid additional amounts up to an aggregate of approximately $8.1 million if all possible milestone and royalty payments are ultimately made. ADI has been informed that Mr. Stata’s economic interest in the payments to Stata Venture Partners II, LLC vary based on the satisfaction of conditions set forth in the partnership agreement for Stata Venture Partners II, LLC. During 2011, Mr. Stata received no proceeds from the consideration paid to Stata Venture Partners II, LLC at the closing of the acquisition. In addition, the maximum</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39"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potential additional payments to Mr. Stata from the consideration paid or potentially payable to Stata Venture Partners II, LLC as a result of the acquisition are approximately $1,051,266 if all possible milestone and royalty payments are ultimately made and all conditions set forth in the partnership agreement for Stata Venture Partners II, LLC are satisfied. Mr. Stata recused himself from the votes regarding the acquisition. The acquisition, and Mr. Stata’s interests therein, were reviewed and approved by the Nominating and Corporate Governance Committee in accordance with our policies and procedures for related person transactions described below.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Policies and Procedures for Related Person Transactions</w:t>
      </w:r>
    </w:p>
    <w:p>
      <w:pPr>
        <w:spacing w:after="0" w:line="93" w:lineRule="exact"/>
        <w:rPr>
          <w:sz w:val="20"/>
          <w:szCs w:val="20"/>
          <w:color w:val="auto"/>
        </w:rPr>
      </w:pPr>
    </w:p>
    <w:p>
      <w:pPr>
        <w:ind w:right="220" w:firstLine="457"/>
        <w:spacing w:after="0" w:line="278" w:lineRule="auto"/>
        <w:rPr>
          <w:sz w:val="20"/>
          <w:szCs w:val="20"/>
          <w:color w:val="auto"/>
        </w:rPr>
      </w:pPr>
      <w:r>
        <w:rPr>
          <w:rFonts w:ascii="Arial" w:cs="Arial" w:eastAsia="Arial" w:hAnsi="Arial"/>
          <w:sz w:val="16"/>
          <w:szCs w:val="16"/>
          <w:color w:val="auto"/>
        </w:rPr>
        <w:t>Our Board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17"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Board’s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124"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4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related person’s interest in the related person transaction;</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approximate dollar value of the amount involved in the related person transaction;</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transaction was undertaken in the ordinary course of our business;</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purpose of, and the potential benefits to us of, the transaction; and</w:t>
      </w:r>
    </w:p>
    <w:p>
      <w:pPr>
        <w:spacing w:after="0" w:line="93"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04" w:lineRule="exact"/>
        <w:rPr>
          <w:sz w:val="20"/>
          <w:szCs w:val="20"/>
          <w:color w:val="auto"/>
        </w:rPr>
      </w:pPr>
    </w:p>
    <w:p>
      <w:pPr>
        <w:ind w:right="80" w:firstLine="457"/>
        <w:spacing w:after="0" w:line="294" w:lineRule="auto"/>
        <w:rPr>
          <w:sz w:val="20"/>
          <w:szCs w:val="20"/>
          <w:color w:val="auto"/>
        </w:rPr>
      </w:pPr>
      <w:r>
        <w:rPr>
          <w:rFonts w:ascii="Arial" w:cs="Arial" w:eastAsia="Arial" w:hAnsi="Arial"/>
          <w:sz w:val="16"/>
          <w:szCs w:val="16"/>
          <w:color w:val="auto"/>
        </w:rPr>
        <w:t>The Committee may approve or ratify the transaction only if the Committee determines that, under all of the circumstances, the transaction is in Analog Devices’ best interests. The Committee may impose any conditions on the related person transaction that it deems appropriate.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39"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firstLine="457"/>
        <w:spacing w:after="0" w:line="356" w:lineRule="auto"/>
        <w:rPr>
          <w:sz w:val="20"/>
          <w:szCs w:val="20"/>
          <w:color w:val="auto"/>
        </w:rPr>
      </w:pPr>
      <w:r>
        <w:rPr>
          <w:rFonts w:ascii="Arial" w:cs="Arial" w:eastAsia="Arial" w:hAnsi="Arial"/>
          <w:sz w:val="14"/>
          <w:szCs w:val="14"/>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1" w:lineRule="exact"/>
        <w:rPr>
          <w:sz w:val="20"/>
          <w:szCs w:val="20"/>
          <w:color w:val="auto"/>
        </w:rPr>
      </w:pPr>
    </w:p>
    <w:p>
      <w:pPr>
        <w:ind w:left="900" w:right="20" w:hanging="446"/>
        <w:spacing w:after="0" w:line="305"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interests arising solely from the related person’s position as an executive officer of another entity (whether or not the person is also a director of that entity), that is a participant in the transaction, where (a) the related person and all other related persons own in the aggregate less than a 10% equity interest in the entity,</w:t>
      </w:r>
    </w:p>
    <w:p>
      <w:pPr>
        <w:ind w:left="900"/>
        <w:spacing w:after="0" w:line="270" w:lineRule="auto"/>
        <w:rPr>
          <w:rFonts w:ascii="Arial" w:cs="Arial" w:eastAsia="Arial" w:hAnsi="Arial"/>
          <w:sz w:val="14"/>
          <w:szCs w:val="14"/>
          <w:color w:val="auto"/>
        </w:rPr>
      </w:pPr>
      <w:r>
        <w:rPr>
          <w:rFonts w:ascii="Arial" w:cs="Arial" w:eastAsia="Arial" w:hAnsi="Arial"/>
          <w:sz w:val="16"/>
          <w:szCs w:val="16"/>
          <w:color w:val="auto"/>
        </w:rPr>
        <w:t>(b)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or 2% of the annual consolidated gross revenues of the other entity that is a party to the transaction, and (d) the amount involved in the transaction equals less than 2% of Analog Devices’ annual consolidated gross revenues; and</w:t>
      </w:r>
    </w:p>
    <w:p>
      <w:pPr>
        <w:spacing w:after="0" w:line="47" w:lineRule="exact"/>
        <w:rPr>
          <w:rFonts w:ascii="Arial" w:cs="Arial" w:eastAsia="Arial" w:hAnsi="Arial"/>
          <w:sz w:val="14"/>
          <w:szCs w:val="14"/>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transactions that are specifically contemplated by provisions of Analog Devices’ charter or bylaws.</w:t>
      </w:r>
    </w:p>
    <w:p>
      <w:pPr>
        <w:spacing w:after="0" w:line="169" w:lineRule="exact"/>
        <w:rPr>
          <w:sz w:val="20"/>
          <w:szCs w:val="20"/>
          <w:color w:val="auto"/>
        </w:rPr>
      </w:pPr>
    </w:p>
    <w:p>
      <w:pPr>
        <w:ind w:right="40" w:firstLine="457"/>
        <w:spacing w:after="0" w:line="294" w:lineRule="auto"/>
        <w:rPr>
          <w:sz w:val="20"/>
          <w:szCs w:val="20"/>
          <w:color w:val="auto"/>
        </w:rPr>
      </w:pPr>
      <w:r>
        <w:rPr>
          <w:rFonts w:ascii="Arial" w:cs="Arial" w:eastAsia="Arial" w:hAnsi="Arial"/>
          <w:sz w:val="16"/>
          <w:szCs w:val="16"/>
          <w:color w:val="auto"/>
        </w:rPr>
        <w:t>The policy provides that the transactions involving compensation of executive officers shall be reviewed and approved by the Compensation Committee in the manner specified in its charter.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Matters</w:t>
      </w:r>
    </w:p>
    <w:p>
      <w:pPr>
        <w:spacing w:after="0" w:line="93" w:lineRule="exact"/>
        <w:rPr>
          <w:sz w:val="20"/>
          <w:szCs w:val="20"/>
          <w:color w:val="auto"/>
        </w:rPr>
      </w:pPr>
    </w:p>
    <w:p>
      <w:pPr>
        <w:ind w:right="120" w:firstLine="457"/>
        <w:spacing w:after="0" w:line="270" w:lineRule="auto"/>
        <w:rPr>
          <w:sz w:val="20"/>
          <w:szCs w:val="20"/>
          <w:color w:val="auto"/>
        </w:rPr>
      </w:pPr>
      <w:r>
        <w:rPr>
          <w:rFonts w:ascii="Arial" w:cs="Arial" w:eastAsia="Arial" w:hAnsi="Arial"/>
          <w:sz w:val="16"/>
          <w:szCs w:val="16"/>
          <w:color w:val="auto"/>
        </w:rPr>
        <w:t>In May 2008, the Company and Mr. Fishman settled an SEC inquiry into the Company’s stock option granting practices by agreeing to the entry of an administrative cease and desist order without admitting or denying wrongdoing. Under the order, the Company agreed to cease and desist from committing or causing any violations of Section 10(b) of the Securities Exchange Act and Rule 10b-5 thereunder, paid a civil money penalty, and repriced certain options granted in prior years. Mr. Fishman agreed to cease and desist from committing or causing any violations of Sections 17(a)(2) and (3) of the Securities Act, paid a civil money penalty, and made a disgorgement payment with respect to certain stock options received in prior years.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39"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2 — ADVISORY VOTE ON EXECUTIVE COMPENSATION</w:t>
      </w:r>
    </w:p>
    <w:p>
      <w:pPr>
        <w:spacing w:after="0" w:line="173" w:lineRule="exact"/>
        <w:rPr>
          <w:sz w:val="20"/>
          <w:szCs w:val="20"/>
          <w:color w:val="auto"/>
        </w:rPr>
      </w:pPr>
    </w:p>
    <w:p>
      <w:pPr>
        <w:ind w:right="400" w:firstLine="457"/>
        <w:spacing w:after="0" w:line="329" w:lineRule="auto"/>
        <w:rPr>
          <w:sz w:val="20"/>
          <w:szCs w:val="20"/>
          <w:color w:val="auto"/>
        </w:rPr>
      </w:pPr>
      <w:r>
        <w:rPr>
          <w:rFonts w:ascii="Arial" w:cs="Arial" w:eastAsia="Arial" w:hAnsi="Arial"/>
          <w:sz w:val="15"/>
          <w:szCs w:val="15"/>
          <w:color w:val="auto"/>
        </w:rPr>
        <w:t>We are requesting shareholder approval of the compensation of the executive officers named in our Summary Compensation Table below, who we refer to as our “named executive officers” or NEOs. Our Board of Directors is asking shareholders to approve a non-binding advisory vote on the following resolution:</w:t>
      </w:r>
    </w:p>
    <w:p>
      <w:pPr>
        <w:spacing w:after="0" w:line="6" w:lineRule="exact"/>
        <w:rPr>
          <w:sz w:val="20"/>
          <w:szCs w:val="20"/>
          <w:color w:val="auto"/>
        </w:rPr>
      </w:pPr>
    </w:p>
    <w:p>
      <w:pPr>
        <w:ind w:left="460" w:right="920"/>
        <w:spacing w:after="0" w:line="329" w:lineRule="auto"/>
        <w:rPr>
          <w:sz w:val="20"/>
          <w:szCs w:val="20"/>
          <w:color w:val="auto"/>
        </w:rPr>
      </w:pPr>
      <w:r>
        <w:rPr>
          <w:rFonts w:ascii="Arial" w:cs="Arial" w:eastAsia="Arial" w:hAnsi="Arial"/>
          <w:sz w:val="15"/>
          <w:szCs w:val="15"/>
          <w:color w:val="auto"/>
        </w:rPr>
        <w:t>RESOLVED, that the compensation paid to the Company’s named executive officers, as disclosed pursuant to Item 402 of Regulation S-K, including the Compensation Discussion and Analysis, compensation tables and accompanying narrative disclosures in this proxy statement, is hereby approved.</w:t>
      </w:r>
    </w:p>
    <w:p>
      <w:pPr>
        <w:spacing w:after="0" w:line="8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As required by the Dodd-Frank Act, this is an advisory vote, which means that this proposal is not binding on us. But our Compensation Committee values the opinions expressed by our shareholders and will carefully consider the outcome of the vote when making future compensation decisions for our NEOs. You may vote for, against or abstain from voting on this matter.</w:t>
      </w:r>
    </w:p>
    <w:p>
      <w:pPr>
        <w:spacing w:after="0" w:line="117" w:lineRule="exact"/>
        <w:rPr>
          <w:sz w:val="20"/>
          <w:szCs w:val="20"/>
          <w:color w:val="auto"/>
        </w:rPr>
      </w:pPr>
    </w:p>
    <w:p>
      <w:pPr>
        <w:ind w:right="200" w:firstLine="457"/>
        <w:spacing w:after="0" w:line="273" w:lineRule="auto"/>
        <w:rPr>
          <w:sz w:val="20"/>
          <w:szCs w:val="20"/>
          <w:color w:val="auto"/>
        </w:rPr>
      </w:pPr>
      <w:r>
        <w:rPr>
          <w:rFonts w:ascii="Arial" w:cs="Arial" w:eastAsia="Arial" w:hAnsi="Arial"/>
          <w:sz w:val="16"/>
          <w:szCs w:val="16"/>
          <w:color w:val="auto"/>
        </w:rPr>
        <w:t>Our compensation program is designed to pay more when business performance is robust and less when it is not, providing built-in variability to our operating expenses and enabling us to preserve strategic programs when economic conditions are unfavorable. We believe this is also important to our shareholders. We believe our compensation program is working as intended and appropriately aligns executive pay with Company performance. As you cast your vote on this Proposal 2, here are a few things about our executive compensation program we think you should know:</w:t>
      </w:r>
    </w:p>
    <w:p>
      <w:pPr>
        <w:spacing w:after="0" w:line="45" w:lineRule="exact"/>
        <w:rPr>
          <w:sz w:val="20"/>
          <w:szCs w:val="20"/>
          <w:color w:val="auto"/>
        </w:rPr>
      </w:pPr>
    </w:p>
    <w:p>
      <w:pPr>
        <w:ind w:left="460" w:hanging="459"/>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compensation program has three basic elements:</w:t>
      </w:r>
    </w:p>
    <w:p>
      <w:pPr>
        <w:spacing w:after="0" w:line="59" w:lineRule="exact"/>
        <w:rPr>
          <w:rFonts w:ascii="Arial" w:cs="Arial" w:eastAsia="Arial" w:hAnsi="Arial"/>
          <w:sz w:val="16"/>
          <w:szCs w:val="16"/>
          <w:color w:val="auto"/>
        </w:rPr>
      </w:pPr>
    </w:p>
    <w:p>
      <w:pPr>
        <w:ind w:left="900" w:hanging="332"/>
        <w:spacing w:after="0"/>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Base salary</w:t>
      </w:r>
    </w:p>
    <w:p>
      <w:pPr>
        <w:spacing w:after="0" w:line="46" w:lineRule="exact"/>
        <w:rPr>
          <w:rFonts w:ascii="Arial" w:cs="Arial" w:eastAsia="Arial" w:hAnsi="Arial"/>
          <w:sz w:val="21"/>
          <w:szCs w:val="21"/>
          <w:color w:val="auto"/>
          <w:vertAlign w:val="superscript"/>
        </w:rPr>
      </w:pPr>
    </w:p>
    <w:p>
      <w:pPr>
        <w:ind w:left="900" w:hanging="332"/>
        <w:spacing w:after="0" w:line="229" w:lineRule="auto"/>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Cash incentive awards, and</w:t>
      </w:r>
    </w:p>
    <w:p>
      <w:pPr>
        <w:spacing w:after="0" w:line="46" w:lineRule="exact"/>
        <w:rPr>
          <w:rFonts w:ascii="Arial" w:cs="Arial" w:eastAsia="Arial" w:hAnsi="Arial"/>
          <w:sz w:val="21"/>
          <w:szCs w:val="21"/>
          <w:color w:val="auto"/>
          <w:vertAlign w:val="superscript"/>
        </w:rPr>
      </w:pPr>
    </w:p>
    <w:p>
      <w:pPr>
        <w:ind w:left="900" w:hanging="332"/>
        <w:spacing w:after="0" w:line="229" w:lineRule="auto"/>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Long-term equity awards (50% stock options and 50% restricted stock units)</w:t>
      </w:r>
    </w:p>
    <w:p>
      <w:pPr>
        <w:spacing w:after="0" w:line="69" w:lineRule="exact"/>
        <w:rPr>
          <w:rFonts w:ascii="Arial" w:cs="Arial" w:eastAsia="Arial" w:hAnsi="Arial"/>
          <w:sz w:val="21"/>
          <w:szCs w:val="21"/>
          <w:color w:val="auto"/>
          <w:vertAlign w:val="superscript"/>
        </w:rPr>
      </w:pPr>
    </w:p>
    <w:p>
      <w:pPr>
        <w:ind w:left="460" w:hanging="459"/>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cash incentive plan is simple in design and execution:</w:t>
      </w:r>
    </w:p>
    <w:p>
      <w:pPr>
        <w:spacing w:after="0" w:line="93" w:lineRule="exact"/>
        <w:rPr>
          <w:rFonts w:ascii="Arial" w:cs="Arial" w:eastAsia="Arial" w:hAnsi="Arial"/>
          <w:sz w:val="16"/>
          <w:szCs w:val="16"/>
          <w:color w:val="auto"/>
        </w:rPr>
      </w:pPr>
    </w:p>
    <w:p>
      <w:pPr>
        <w:ind w:left="900" w:right="360" w:hanging="332"/>
        <w:spacing w:after="0" w:line="230" w:lineRule="auto"/>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It is based on two equally-weighted performance metrics: operating profits before taxes as a percentage of revenue and (new in 2011) year-to-year revenue growth.</w:t>
      </w:r>
    </w:p>
    <w:p>
      <w:pPr>
        <w:spacing w:after="0" w:line="37" w:lineRule="exact"/>
        <w:rPr>
          <w:rFonts w:ascii="Arial" w:cs="Arial" w:eastAsia="Arial" w:hAnsi="Arial"/>
          <w:sz w:val="21"/>
          <w:szCs w:val="21"/>
          <w:color w:val="auto"/>
          <w:vertAlign w:val="superscript"/>
        </w:rPr>
      </w:pPr>
    </w:p>
    <w:p>
      <w:pPr>
        <w:ind w:left="900" w:hanging="332"/>
        <w:spacing w:after="0"/>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It applies equally to employees and executives alike, driving consistent business goals.</w:t>
      </w:r>
    </w:p>
    <w:p>
      <w:pPr>
        <w:spacing w:after="0" w:line="69" w:lineRule="exact"/>
        <w:rPr>
          <w:rFonts w:ascii="Arial" w:cs="Arial" w:eastAsia="Arial" w:hAnsi="Arial"/>
          <w:sz w:val="21"/>
          <w:szCs w:val="21"/>
          <w:color w:val="auto"/>
          <w:vertAlign w:val="superscript"/>
        </w:rPr>
      </w:pPr>
    </w:p>
    <w:p>
      <w:pPr>
        <w:ind w:left="460" w:hanging="459"/>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cash incentive and equity incentive plans are designed to align management and shareholder interests:</w:t>
      </w:r>
    </w:p>
    <w:p>
      <w:pPr>
        <w:spacing w:after="0" w:line="93" w:lineRule="exact"/>
        <w:rPr>
          <w:rFonts w:ascii="Arial" w:cs="Arial" w:eastAsia="Arial" w:hAnsi="Arial"/>
          <w:sz w:val="16"/>
          <w:szCs w:val="16"/>
          <w:color w:val="auto"/>
        </w:rPr>
      </w:pPr>
    </w:p>
    <w:p>
      <w:pPr>
        <w:ind w:left="900" w:right="200" w:hanging="332"/>
        <w:spacing w:after="0" w:line="230" w:lineRule="auto"/>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The value of our cash incentive awards is directly linked to our business performance, measured by operating profits before taxes and revenue growth, which we believe are important to shareholders because they should increase share price.</w:t>
      </w:r>
    </w:p>
    <w:p>
      <w:pPr>
        <w:spacing w:after="0" w:line="37" w:lineRule="exact"/>
        <w:rPr>
          <w:rFonts w:ascii="Arial" w:cs="Arial" w:eastAsia="Arial" w:hAnsi="Arial"/>
          <w:sz w:val="21"/>
          <w:szCs w:val="21"/>
          <w:color w:val="auto"/>
          <w:vertAlign w:val="superscript"/>
        </w:rPr>
      </w:pPr>
    </w:p>
    <w:p>
      <w:pPr>
        <w:ind w:left="900" w:hanging="332"/>
        <w:spacing w:after="0"/>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The value of our equity awards is directly linked to our stock price performance.</w:t>
      </w:r>
    </w:p>
    <w:p>
      <w:pPr>
        <w:spacing w:after="0" w:line="69" w:lineRule="exact"/>
        <w:rPr>
          <w:rFonts w:ascii="Arial" w:cs="Arial" w:eastAsia="Arial" w:hAnsi="Arial"/>
          <w:sz w:val="21"/>
          <w:szCs w:val="21"/>
          <w:color w:val="auto"/>
          <w:vertAlign w:val="superscript"/>
        </w:rPr>
      </w:pPr>
    </w:p>
    <w:p>
      <w:pPr>
        <w:ind w:left="900" w:right="620" w:hanging="332"/>
        <w:spacing w:after="0" w:line="230" w:lineRule="auto"/>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Stock options reward stock price appreciation and RSUs promote long-term retention and enable our executives to accumulate equity ownership in the Company.</w:t>
      </w:r>
    </w:p>
    <w:p>
      <w:pPr>
        <w:spacing w:after="0" w:line="60" w:lineRule="exact"/>
        <w:rPr>
          <w:rFonts w:ascii="Arial" w:cs="Arial" w:eastAsia="Arial" w:hAnsi="Arial"/>
          <w:sz w:val="21"/>
          <w:szCs w:val="21"/>
          <w:color w:val="auto"/>
          <w:vertAlign w:val="superscript"/>
        </w:rPr>
      </w:pPr>
    </w:p>
    <w:p>
      <w:pPr>
        <w:ind w:left="900" w:hanging="332"/>
        <w:spacing w:after="0"/>
        <w:tabs>
          <w:tab w:leader="none" w:pos="900" w:val="left"/>
        </w:tabs>
        <w:numPr>
          <w:ilvl w:val="1"/>
          <w:numId w:val="19"/>
        </w:numPr>
        <w:rPr>
          <w:rFonts w:ascii="Arial" w:cs="Arial" w:eastAsia="Arial" w:hAnsi="Arial"/>
          <w:sz w:val="19"/>
          <w:szCs w:val="19"/>
          <w:color w:val="auto"/>
          <w:vertAlign w:val="superscript"/>
        </w:rPr>
      </w:pPr>
      <w:r>
        <w:rPr>
          <w:rFonts w:ascii="Arial" w:cs="Arial" w:eastAsia="Arial" w:hAnsi="Arial"/>
          <w:sz w:val="15"/>
          <w:szCs w:val="15"/>
          <w:color w:val="auto"/>
        </w:rPr>
        <w:t>Our dilution rate is 1.6% on a gross basis and 0.6% on a net basis, compared to an average of 3.6% on a gross basis and 2.3% on a net basis for our peers.</w:t>
      </w:r>
    </w:p>
    <w:p>
      <w:pPr>
        <w:spacing w:after="0" w:line="69" w:lineRule="exact"/>
        <w:rPr>
          <w:rFonts w:ascii="Arial" w:cs="Arial" w:eastAsia="Arial" w:hAnsi="Arial"/>
          <w:sz w:val="19"/>
          <w:szCs w:val="19"/>
          <w:color w:val="auto"/>
          <w:vertAlign w:val="superscript"/>
        </w:rPr>
      </w:pPr>
    </w:p>
    <w:p>
      <w:pPr>
        <w:ind w:left="460" w:hanging="459"/>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overall compensation program is designed to reward corporate performance:</w:t>
      </w:r>
    </w:p>
    <w:p>
      <w:pPr>
        <w:spacing w:after="0" w:line="93" w:lineRule="exact"/>
        <w:rPr>
          <w:rFonts w:ascii="Arial" w:cs="Arial" w:eastAsia="Arial" w:hAnsi="Arial"/>
          <w:sz w:val="16"/>
          <w:szCs w:val="16"/>
          <w:color w:val="auto"/>
        </w:rPr>
      </w:pPr>
    </w:p>
    <w:p>
      <w:pPr>
        <w:ind w:left="900" w:hanging="332"/>
        <w:spacing w:after="0" w:line="230" w:lineRule="auto"/>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The program has three distinct corporate performance metrics: operating profits before taxes as a percentage of revenue, year-to-year revenue growth, and stock price appreciation.</w:t>
      </w:r>
    </w:p>
    <w:p>
      <w:pPr>
        <w:spacing w:after="0" w:line="70" w:lineRule="exact"/>
        <w:rPr>
          <w:rFonts w:ascii="Arial" w:cs="Arial" w:eastAsia="Arial" w:hAnsi="Arial"/>
          <w:sz w:val="21"/>
          <w:szCs w:val="21"/>
          <w:color w:val="auto"/>
          <w:vertAlign w:val="superscript"/>
        </w:rPr>
      </w:pPr>
    </w:p>
    <w:p>
      <w:pPr>
        <w:ind w:left="900" w:right="140" w:hanging="332"/>
        <w:spacing w:after="0" w:line="230" w:lineRule="auto"/>
        <w:tabs>
          <w:tab w:leader="none" w:pos="900" w:val="left"/>
        </w:tabs>
        <w:numPr>
          <w:ilvl w:val="1"/>
          <w:numId w:val="19"/>
        </w:numPr>
        <w:rPr>
          <w:rFonts w:ascii="Arial" w:cs="Arial" w:eastAsia="Arial" w:hAnsi="Arial"/>
          <w:sz w:val="21"/>
          <w:szCs w:val="21"/>
          <w:color w:val="auto"/>
          <w:vertAlign w:val="superscript"/>
        </w:rPr>
      </w:pPr>
      <w:r>
        <w:rPr>
          <w:rFonts w:ascii="Arial" w:cs="Arial" w:eastAsia="Arial" w:hAnsi="Arial"/>
          <w:sz w:val="16"/>
          <w:szCs w:val="16"/>
          <w:color w:val="auto"/>
        </w:rPr>
        <w:t>In fiscal 2011, 89% of our CEO’s total compensation and 72% of the average total compensation of our other NEOs was variable (bonus payments and equity awards) and tied to these elements of corporate performance.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39"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these reasons and as described more fully below under “Information About Executive Compensation —Compensation Discussion and Analysis”: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recommend that you vote FOR approval of the compensation of our named executive officers as disclosed in this proxy statement.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ABOUT EXECUTIVE COMPENSATION</w:t>
      </w:r>
    </w:p>
    <w:p>
      <w:pPr>
        <w:sectPr>
          <w:pgSz w:w="11900" w:h="16838" w:orient="portrait"/>
          <w:cols w:equalWidth="0" w:num="1">
            <w:col w:w="11420"/>
          </w:cols>
          <w:pgMar w:left="240" w:top="439"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Compensation Discussion and Analysis</w:t>
      </w:r>
    </w:p>
    <w:p>
      <w:pPr>
        <w:spacing w:after="0" w:line="47" w:lineRule="exact"/>
        <w:rPr>
          <w:sz w:val="20"/>
          <w:szCs w:val="20"/>
          <w:color w:val="auto"/>
        </w:rPr>
      </w:pPr>
    </w:p>
    <w:p>
      <w:pPr>
        <w:ind w:left="400"/>
        <w:spacing w:after="0"/>
        <w:tabs>
          <w:tab w:leader="none" w:pos="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Executive summary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page 27</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page 27</w:t>
      </w:r>
    </w:p>
    <w:p>
      <w:pPr>
        <w:spacing w:after="0" w:line="52" w:lineRule="exact"/>
        <w:rPr>
          <w:sz w:val="20"/>
          <w:szCs w:val="20"/>
          <w:color w:val="auto"/>
        </w:rPr>
      </w:pPr>
    </w:p>
    <w:p>
      <w:pPr>
        <w:sectPr>
          <w:pgSz w:w="11900" w:h="16838" w:orient="portrait"/>
          <w:cols w:equalWidth="0" w:num="2">
            <w:col w:w="10200" w:space="720"/>
            <w:col w:w="500"/>
          </w:cols>
          <w:pgMar w:left="240" w:top="439" w:right="239" w:bottom="1440" w:gutter="0" w:footer="0" w:header="0"/>
          <w:type w:val="continuous"/>
        </w:sectPr>
      </w:pPr>
    </w:p>
    <w:p>
      <w:pPr>
        <w:ind w:left="1440" w:hanging="230"/>
        <w:spacing w:after="0"/>
        <w:tabs>
          <w:tab w:leader="none" w:pos="1440" w:val="left"/>
        </w:tabs>
        <w:numPr>
          <w:ilvl w:val="0"/>
          <w:numId w:val="20"/>
        </w:numPr>
        <w:rPr>
          <w:rFonts w:ascii="Arial" w:cs="Arial" w:eastAsia="Arial" w:hAnsi="Arial"/>
          <w:sz w:val="10"/>
          <w:szCs w:val="10"/>
          <w:color w:val="auto"/>
        </w:rPr>
      </w:pPr>
      <w:r>
        <w:rPr>
          <w:rFonts w:ascii="Arial" w:cs="Arial" w:eastAsia="Arial" w:hAnsi="Arial"/>
          <w:sz w:val="16"/>
          <w:szCs w:val="16"/>
          <w:color w:val="auto"/>
        </w:rPr>
        <w:t>Say on pay feedback from shareholders</w:t>
      </w:r>
    </w:p>
    <w:p>
      <w:pPr>
        <w:spacing w:after="0" w:line="17" w:lineRule="exact"/>
        <w:rPr>
          <w:rFonts w:ascii="Arial" w:cs="Arial" w:eastAsia="Arial" w:hAnsi="Arial"/>
          <w:sz w:val="10"/>
          <w:szCs w:val="10"/>
          <w:color w:val="auto"/>
        </w:rPr>
      </w:pPr>
    </w:p>
    <w:p>
      <w:pPr>
        <w:ind w:left="1440" w:hanging="230"/>
        <w:spacing w:after="0"/>
        <w:tabs>
          <w:tab w:leader="none" w:pos="1440" w:val="left"/>
        </w:tabs>
        <w:numPr>
          <w:ilvl w:val="0"/>
          <w:numId w:val="20"/>
        </w:numPr>
        <w:rPr>
          <w:rFonts w:ascii="Arial" w:cs="Arial" w:eastAsia="Arial" w:hAnsi="Arial"/>
          <w:sz w:val="10"/>
          <w:szCs w:val="10"/>
          <w:color w:val="auto"/>
        </w:rPr>
      </w:pPr>
      <w:r>
        <w:rPr>
          <w:rFonts w:ascii="Arial" w:cs="Arial" w:eastAsia="Arial" w:hAnsi="Arial"/>
          <w:sz w:val="16"/>
          <w:szCs w:val="16"/>
          <w:color w:val="auto"/>
        </w:rPr>
        <w:t>2011 business results</w:t>
      </w:r>
    </w:p>
    <w:p>
      <w:pPr>
        <w:spacing w:after="0" w:line="17" w:lineRule="exact"/>
        <w:rPr>
          <w:rFonts w:ascii="Arial" w:cs="Arial" w:eastAsia="Arial" w:hAnsi="Arial"/>
          <w:sz w:val="10"/>
          <w:szCs w:val="10"/>
          <w:color w:val="auto"/>
        </w:rPr>
      </w:pPr>
    </w:p>
    <w:p>
      <w:pPr>
        <w:ind w:left="1440" w:hanging="230"/>
        <w:spacing w:after="0"/>
        <w:tabs>
          <w:tab w:leader="none" w:pos="1440" w:val="left"/>
        </w:tabs>
        <w:numPr>
          <w:ilvl w:val="0"/>
          <w:numId w:val="20"/>
        </w:numPr>
        <w:rPr>
          <w:rFonts w:ascii="Arial" w:cs="Arial" w:eastAsia="Arial" w:hAnsi="Arial"/>
          <w:sz w:val="10"/>
          <w:szCs w:val="10"/>
          <w:color w:val="auto"/>
        </w:rPr>
      </w:pPr>
      <w:r>
        <w:rPr>
          <w:rFonts w:ascii="Arial" w:cs="Arial" w:eastAsia="Arial" w:hAnsi="Arial"/>
          <w:sz w:val="16"/>
          <w:szCs w:val="16"/>
          <w:color w:val="auto"/>
        </w:rPr>
        <w:t>Compensation program changes</w:t>
      </w:r>
    </w:p>
    <w:p>
      <w:pPr>
        <w:spacing w:after="0" w:line="17" w:lineRule="exact"/>
        <w:rPr>
          <w:rFonts w:ascii="Arial" w:cs="Arial" w:eastAsia="Arial" w:hAnsi="Arial"/>
          <w:sz w:val="10"/>
          <w:szCs w:val="10"/>
          <w:color w:val="auto"/>
        </w:rPr>
      </w:pPr>
    </w:p>
    <w:p>
      <w:pPr>
        <w:ind w:left="1440" w:hanging="230"/>
        <w:spacing w:after="0"/>
        <w:tabs>
          <w:tab w:leader="none" w:pos="1440" w:val="left"/>
        </w:tabs>
        <w:numPr>
          <w:ilvl w:val="0"/>
          <w:numId w:val="20"/>
        </w:numPr>
        <w:rPr>
          <w:rFonts w:ascii="Arial" w:cs="Arial" w:eastAsia="Arial" w:hAnsi="Arial"/>
          <w:sz w:val="10"/>
          <w:szCs w:val="10"/>
          <w:color w:val="auto"/>
        </w:rPr>
      </w:pPr>
      <w:r>
        <w:rPr>
          <w:rFonts w:ascii="Arial" w:cs="Arial" w:eastAsia="Arial" w:hAnsi="Arial"/>
          <w:sz w:val="16"/>
          <w:szCs w:val="16"/>
          <w:color w:val="auto"/>
        </w:rPr>
        <w:t>Pay for performance</w:t>
      </w:r>
    </w:p>
    <w:p>
      <w:pPr>
        <w:spacing w:after="0" w:line="17" w:lineRule="exact"/>
        <w:rPr>
          <w:rFonts w:ascii="Arial" w:cs="Arial" w:eastAsia="Arial" w:hAnsi="Arial"/>
          <w:sz w:val="10"/>
          <w:szCs w:val="10"/>
          <w:color w:val="auto"/>
        </w:rPr>
      </w:pPr>
    </w:p>
    <w:p>
      <w:pPr>
        <w:ind w:left="1440" w:hanging="230"/>
        <w:spacing w:after="0"/>
        <w:tabs>
          <w:tab w:leader="none" w:pos="1440" w:val="left"/>
        </w:tabs>
        <w:numPr>
          <w:ilvl w:val="0"/>
          <w:numId w:val="20"/>
        </w:numPr>
        <w:rPr>
          <w:rFonts w:ascii="Arial" w:cs="Arial" w:eastAsia="Arial" w:hAnsi="Arial"/>
          <w:sz w:val="10"/>
          <w:szCs w:val="10"/>
          <w:color w:val="auto"/>
        </w:rPr>
      </w:pPr>
      <w:r>
        <w:rPr>
          <w:rFonts w:ascii="Arial" w:cs="Arial" w:eastAsia="Arial" w:hAnsi="Arial"/>
          <w:sz w:val="16"/>
          <w:szCs w:val="16"/>
          <w:color w:val="auto"/>
        </w:rPr>
        <w:t>Compensation program highlights</w:t>
      </w:r>
    </w:p>
    <w:p>
      <w:pPr>
        <w:spacing w:after="0" w:line="18"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6960" w:type="dxa"/>
            <w:vAlign w:val="bottom"/>
          </w:tcPr>
          <w:p>
            <w:pPr>
              <w:ind w:left="80"/>
              <w:spacing w:after="0"/>
              <w:rPr>
                <w:sz w:val="20"/>
                <w:szCs w:val="20"/>
                <w:color w:val="auto"/>
              </w:rPr>
            </w:pPr>
            <w:r>
              <w:rPr>
                <w:rFonts w:ascii="Arial" w:cs="Arial" w:eastAsia="Arial" w:hAnsi="Arial"/>
                <w:sz w:val="16"/>
                <w:szCs w:val="16"/>
                <w:color w:val="auto"/>
              </w:rPr>
              <w:t>Our compensation philosophy</w:t>
            </w:r>
          </w:p>
        </w:tc>
        <w:tc>
          <w:tcPr>
            <w:tcW w:w="3920" w:type="dxa"/>
            <w:vAlign w:val="bottom"/>
          </w:tcPr>
          <w:p>
            <w:pPr>
              <w:ind w:left="3420"/>
              <w:spacing w:after="0"/>
              <w:rPr>
                <w:sz w:val="20"/>
                <w:szCs w:val="20"/>
                <w:color w:val="auto"/>
              </w:rPr>
            </w:pPr>
            <w:r>
              <w:rPr>
                <w:rFonts w:ascii="Arial" w:cs="Arial" w:eastAsia="Arial" w:hAnsi="Arial"/>
                <w:sz w:val="16"/>
                <w:szCs w:val="16"/>
                <w:color w:val="auto"/>
                <w:w w:val="82"/>
              </w:rPr>
              <w:t>page 31</w:t>
            </w:r>
          </w:p>
        </w:tc>
      </w:tr>
      <w:tr>
        <w:trPr>
          <w:trHeight w:val="202"/>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6960" w:type="dxa"/>
            <w:vAlign w:val="bottom"/>
          </w:tcPr>
          <w:p>
            <w:pPr>
              <w:ind w:left="80"/>
              <w:spacing w:after="0"/>
              <w:rPr>
                <w:sz w:val="20"/>
                <w:szCs w:val="20"/>
                <w:color w:val="auto"/>
              </w:rPr>
            </w:pPr>
            <w:r>
              <w:rPr>
                <w:rFonts w:ascii="Arial" w:cs="Arial" w:eastAsia="Arial" w:hAnsi="Arial"/>
                <w:sz w:val="16"/>
                <w:szCs w:val="16"/>
                <w:color w:val="auto"/>
              </w:rPr>
              <w:t>Our peer group</w:t>
            </w:r>
          </w:p>
        </w:tc>
        <w:tc>
          <w:tcPr>
            <w:tcW w:w="3920" w:type="dxa"/>
            <w:vAlign w:val="bottom"/>
          </w:tcPr>
          <w:p>
            <w:pPr>
              <w:ind w:left="3420"/>
              <w:spacing w:after="0"/>
              <w:rPr>
                <w:sz w:val="20"/>
                <w:szCs w:val="20"/>
                <w:color w:val="auto"/>
              </w:rPr>
            </w:pPr>
            <w:r>
              <w:rPr>
                <w:rFonts w:ascii="Arial" w:cs="Arial" w:eastAsia="Arial" w:hAnsi="Arial"/>
                <w:sz w:val="16"/>
                <w:szCs w:val="16"/>
                <w:color w:val="auto"/>
                <w:w w:val="82"/>
              </w:rPr>
              <w:t>page 32</w:t>
            </w:r>
          </w:p>
        </w:tc>
      </w:tr>
      <w:tr>
        <w:trPr>
          <w:trHeight w:val="208"/>
        </w:trPr>
        <w:tc>
          <w:tcPr>
            <w:tcW w:w="7100" w:type="dxa"/>
            <w:vAlign w:val="bottom"/>
            <w:gridSpan w:val="2"/>
          </w:tcPr>
          <w:p>
            <w:pPr>
              <w:spacing w:after="0"/>
              <w:rPr>
                <w:sz w:val="20"/>
                <w:szCs w:val="20"/>
                <w:color w:val="auto"/>
              </w:rPr>
            </w:pPr>
            <w:r>
              <w:rPr>
                <w:rFonts w:ascii="Arial" w:cs="Arial" w:eastAsia="Arial" w:hAnsi="Arial"/>
                <w:sz w:val="16"/>
                <w:szCs w:val="16"/>
                <w:color w:val="auto"/>
              </w:rPr>
              <w:t>•  Components of our executive compensation program</w:t>
            </w:r>
          </w:p>
        </w:tc>
        <w:tc>
          <w:tcPr>
            <w:tcW w:w="3920" w:type="dxa"/>
            <w:vAlign w:val="bottom"/>
          </w:tcPr>
          <w:p>
            <w:pPr>
              <w:ind w:left="3420"/>
              <w:spacing w:after="0"/>
              <w:rPr>
                <w:sz w:val="20"/>
                <w:szCs w:val="20"/>
                <w:color w:val="auto"/>
              </w:rPr>
            </w:pPr>
            <w:r>
              <w:rPr>
                <w:rFonts w:ascii="Arial" w:cs="Arial" w:eastAsia="Arial" w:hAnsi="Arial"/>
                <w:sz w:val="16"/>
                <w:szCs w:val="16"/>
                <w:color w:val="auto"/>
                <w:w w:val="82"/>
              </w:rPr>
              <w:t>page 33</w:t>
            </w:r>
          </w:p>
        </w:tc>
      </w:tr>
    </w:tbl>
    <w:p>
      <w:pPr>
        <w:ind w:left="1440" w:hanging="230"/>
        <w:spacing w:after="0"/>
        <w:tabs>
          <w:tab w:leader="none" w:pos="1440" w:val="left"/>
        </w:tabs>
        <w:numPr>
          <w:ilvl w:val="0"/>
          <w:numId w:val="21"/>
        </w:numPr>
        <w:rPr>
          <w:rFonts w:ascii="Arial" w:cs="Arial" w:eastAsia="Arial" w:hAnsi="Arial"/>
          <w:sz w:val="10"/>
          <w:szCs w:val="10"/>
          <w:color w:val="auto"/>
        </w:rPr>
      </w:pPr>
      <w:r>
        <w:rPr>
          <w:rFonts w:ascii="Arial" w:cs="Arial" w:eastAsia="Arial" w:hAnsi="Arial"/>
          <w:sz w:val="16"/>
          <w:szCs w:val="16"/>
          <w:color w:val="auto"/>
        </w:rPr>
        <w:t>Why do we pay each element of compensation?</w:t>
      </w:r>
    </w:p>
    <w:p>
      <w:pPr>
        <w:spacing w:after="0" w:line="17" w:lineRule="exact"/>
        <w:rPr>
          <w:rFonts w:ascii="Arial" w:cs="Arial" w:eastAsia="Arial" w:hAnsi="Arial"/>
          <w:sz w:val="10"/>
          <w:szCs w:val="10"/>
          <w:color w:val="auto"/>
        </w:rPr>
      </w:pPr>
    </w:p>
    <w:p>
      <w:pPr>
        <w:ind w:left="1440" w:hanging="230"/>
        <w:spacing w:after="0"/>
        <w:tabs>
          <w:tab w:leader="none" w:pos="1440" w:val="left"/>
        </w:tabs>
        <w:numPr>
          <w:ilvl w:val="0"/>
          <w:numId w:val="21"/>
        </w:numPr>
        <w:rPr>
          <w:rFonts w:ascii="Arial" w:cs="Arial" w:eastAsia="Arial" w:hAnsi="Arial"/>
          <w:sz w:val="10"/>
          <w:szCs w:val="10"/>
          <w:color w:val="auto"/>
        </w:rPr>
      </w:pPr>
      <w:r>
        <w:rPr>
          <w:rFonts w:ascii="Arial" w:cs="Arial" w:eastAsia="Arial" w:hAnsi="Arial"/>
          <w:sz w:val="16"/>
          <w:szCs w:val="16"/>
          <w:color w:val="auto"/>
        </w:rPr>
        <w:t>How did we select our performance metrics and targets?</w:t>
      </w:r>
    </w:p>
    <w:p>
      <w:pPr>
        <w:spacing w:after="0" w:line="17" w:lineRule="exact"/>
        <w:rPr>
          <w:rFonts w:ascii="Arial" w:cs="Arial" w:eastAsia="Arial" w:hAnsi="Arial"/>
          <w:sz w:val="10"/>
          <w:szCs w:val="10"/>
          <w:color w:val="auto"/>
        </w:rPr>
      </w:pPr>
    </w:p>
    <w:p>
      <w:pPr>
        <w:ind w:left="1440" w:hanging="230"/>
        <w:spacing w:after="0"/>
        <w:tabs>
          <w:tab w:leader="none" w:pos="1440" w:val="left"/>
        </w:tabs>
        <w:numPr>
          <w:ilvl w:val="0"/>
          <w:numId w:val="21"/>
        </w:numPr>
        <w:rPr>
          <w:rFonts w:ascii="Arial" w:cs="Arial" w:eastAsia="Arial" w:hAnsi="Arial"/>
          <w:sz w:val="10"/>
          <w:szCs w:val="10"/>
          <w:color w:val="auto"/>
        </w:rPr>
      </w:pPr>
      <w:r>
        <w:rPr>
          <w:rFonts w:ascii="Arial" w:cs="Arial" w:eastAsia="Arial" w:hAnsi="Arial"/>
          <w:sz w:val="16"/>
          <w:szCs w:val="16"/>
          <w:color w:val="auto"/>
        </w:rPr>
        <w:t>How did we perform against those targets?</w:t>
      </w:r>
    </w:p>
    <w:p>
      <w:pPr>
        <w:spacing w:after="0" w:line="18" w:lineRule="exact"/>
        <w:rPr>
          <w:sz w:val="20"/>
          <w:szCs w:val="20"/>
          <w:color w:val="auto"/>
        </w:rPr>
      </w:pPr>
    </w:p>
    <w:p>
      <w:pPr>
        <w:ind w:left="400"/>
        <w:spacing w:after="0"/>
        <w:tabs>
          <w:tab w:leader="none" w:pos="600" w:val="left"/>
          <w:tab w:leader="none" w:pos="10900" w:val="left"/>
        </w:tabs>
        <w:rPr>
          <w:sz w:val="20"/>
          <w:szCs w:val="20"/>
          <w:color w:val="auto"/>
        </w:rPr>
      </w:pPr>
      <w:r>
        <w:rPr>
          <w:rFonts w:ascii="Arial" w:cs="Arial" w:eastAsia="Arial" w:hAnsi="Arial"/>
          <w:sz w:val="16"/>
          <w:szCs w:val="16"/>
          <w:color w:val="auto"/>
        </w:rPr>
        <w:t>•</w:t>
        <w:tab/>
        <w:t>Agreements with our CEO</w:t>
      </w:r>
      <w:r>
        <w:rPr>
          <w:sz w:val="20"/>
          <w:szCs w:val="20"/>
          <w:color w:val="auto"/>
        </w:rPr>
        <w:tab/>
      </w:r>
      <w:r>
        <w:rPr>
          <w:rFonts w:ascii="Arial" w:cs="Arial" w:eastAsia="Arial" w:hAnsi="Arial"/>
          <w:sz w:val="13"/>
          <w:szCs w:val="13"/>
          <w:color w:val="auto"/>
        </w:rPr>
        <w:t>page 39</w:t>
      </w:r>
    </w:p>
    <w:p>
      <w:pPr>
        <w:spacing w:after="0" w:line="18" w:lineRule="exact"/>
        <w:rPr>
          <w:sz w:val="20"/>
          <w:szCs w:val="20"/>
          <w:color w:val="auto"/>
        </w:rPr>
      </w:pPr>
    </w:p>
    <w:p>
      <w:pPr>
        <w:ind w:left="1440" w:hanging="230"/>
        <w:spacing w:after="0"/>
        <w:tabs>
          <w:tab w:leader="none" w:pos="1440" w:val="left"/>
        </w:tabs>
        <w:numPr>
          <w:ilvl w:val="0"/>
          <w:numId w:val="22"/>
        </w:numPr>
        <w:rPr>
          <w:rFonts w:ascii="Arial" w:cs="Arial" w:eastAsia="Arial" w:hAnsi="Arial"/>
          <w:sz w:val="10"/>
          <w:szCs w:val="10"/>
          <w:color w:val="auto"/>
        </w:rPr>
      </w:pPr>
      <w:r>
        <w:rPr>
          <w:rFonts w:ascii="Arial" w:cs="Arial" w:eastAsia="Arial" w:hAnsi="Arial"/>
          <w:sz w:val="16"/>
          <w:szCs w:val="16"/>
          <w:color w:val="auto"/>
        </w:rPr>
        <w:t>What comprised our CEO’s total compensation for 2011?</w:t>
      </w:r>
    </w:p>
    <w:p>
      <w:pPr>
        <w:spacing w:after="0" w:line="18" w:lineRule="exact"/>
        <w:rPr>
          <w:sz w:val="20"/>
          <w:szCs w:val="20"/>
          <w:color w:val="auto"/>
        </w:rPr>
      </w:pPr>
    </w:p>
    <w:p>
      <w:pPr>
        <w:ind w:left="400"/>
        <w:spacing w:after="0"/>
        <w:tabs>
          <w:tab w:leader="none" w:pos="600" w:val="left"/>
          <w:tab w:leader="none" w:pos="10900" w:val="left"/>
        </w:tabs>
        <w:rPr>
          <w:sz w:val="20"/>
          <w:szCs w:val="20"/>
          <w:color w:val="auto"/>
        </w:rPr>
      </w:pPr>
      <w:r>
        <w:rPr>
          <w:rFonts w:ascii="Arial" w:cs="Arial" w:eastAsia="Arial" w:hAnsi="Arial"/>
          <w:sz w:val="16"/>
          <w:szCs w:val="16"/>
          <w:color w:val="auto"/>
        </w:rPr>
        <w:t>•</w:t>
        <w:tab/>
        <w:t>Severance, retention and change in control benefits</w:t>
      </w:r>
      <w:r>
        <w:rPr>
          <w:sz w:val="20"/>
          <w:szCs w:val="20"/>
          <w:color w:val="auto"/>
        </w:rPr>
        <w:tab/>
      </w:r>
      <w:r>
        <w:rPr>
          <w:rFonts w:ascii="Arial" w:cs="Arial" w:eastAsia="Arial" w:hAnsi="Arial"/>
          <w:sz w:val="13"/>
          <w:szCs w:val="13"/>
          <w:color w:val="auto"/>
        </w:rPr>
        <w:t>page 41</w:t>
      </w:r>
    </w:p>
    <w:p>
      <w:pPr>
        <w:spacing w:after="0" w:line="18" w:lineRule="exact"/>
        <w:rPr>
          <w:sz w:val="20"/>
          <w:szCs w:val="20"/>
          <w:color w:val="auto"/>
        </w:rPr>
      </w:pPr>
    </w:p>
    <w:p>
      <w:pPr>
        <w:ind w:left="1440" w:hanging="230"/>
        <w:spacing w:after="0"/>
        <w:tabs>
          <w:tab w:leader="none" w:pos="1440" w:val="left"/>
        </w:tabs>
        <w:numPr>
          <w:ilvl w:val="0"/>
          <w:numId w:val="23"/>
        </w:numPr>
        <w:rPr>
          <w:rFonts w:ascii="Arial" w:cs="Arial" w:eastAsia="Arial" w:hAnsi="Arial"/>
          <w:sz w:val="10"/>
          <w:szCs w:val="10"/>
          <w:color w:val="auto"/>
        </w:rPr>
      </w:pPr>
      <w:r>
        <w:rPr>
          <w:rFonts w:ascii="Arial" w:cs="Arial" w:eastAsia="Arial" w:hAnsi="Arial"/>
          <w:sz w:val="16"/>
          <w:szCs w:val="16"/>
          <w:color w:val="auto"/>
        </w:rPr>
        <w:t>Why do we offer these benefits?</w:t>
      </w:r>
    </w:p>
    <w:p>
      <w:pPr>
        <w:spacing w:after="0" w:line="18" w:lineRule="exact"/>
        <w:rPr>
          <w:sz w:val="20"/>
          <w:szCs w:val="20"/>
          <w:color w:val="auto"/>
        </w:rPr>
      </w:pPr>
    </w:p>
    <w:p>
      <w:pPr>
        <w:spacing w:after="0"/>
        <w:tabs>
          <w:tab w:leader="none" w:pos="10900" w:val="left"/>
        </w:tabs>
        <w:rPr>
          <w:sz w:val="20"/>
          <w:szCs w:val="20"/>
          <w:color w:val="auto"/>
        </w:rPr>
      </w:pPr>
      <w:r>
        <w:rPr>
          <w:rFonts w:ascii="Arial" w:cs="Arial" w:eastAsia="Arial" w:hAnsi="Arial"/>
          <w:sz w:val="16"/>
          <w:szCs w:val="16"/>
          <w:color w:val="auto"/>
        </w:rPr>
        <w:t>Executive compensation tables</w:t>
      </w:r>
      <w:r>
        <w:rPr>
          <w:sz w:val="20"/>
          <w:szCs w:val="20"/>
          <w:color w:val="auto"/>
        </w:rPr>
        <w:tab/>
      </w:r>
      <w:r>
        <w:rPr>
          <w:rFonts w:ascii="Arial" w:cs="Arial" w:eastAsia="Arial" w:hAnsi="Arial"/>
          <w:sz w:val="13"/>
          <w:szCs w:val="13"/>
          <w:color w:val="auto"/>
        </w:rPr>
        <w:t>page 43</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Throughout this section, we use text boxes to highlight the rationale for many of the things we do in our compensation program.</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97"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auto"/>
        </w:rPr>
        <w:t>Our philosophy regarding executive compensation is straightforward: reward our executives for their contribution to ADI’s performance and shareholder value by tying a significant portion of their total compensation directly to ADI’s short- and long-term performance. The elements of our executives’ total compensation are base salary, cash incentive awards, stock incentive awards, and retirement and other employee benefits. We have designed a compensation program that makes a substantial percentage of executive pay variable, subject to increase when corporate targets are overachieved and reduction when corporate targets are not achieved.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Say on Pay Feedback from Shareholders</w:t>
      </w:r>
    </w:p>
    <w:p>
      <w:pPr>
        <w:spacing w:after="0" w:line="93" w:lineRule="exact"/>
        <w:rPr>
          <w:sz w:val="20"/>
          <w:szCs w:val="20"/>
          <w:color w:val="auto"/>
        </w:rPr>
      </w:pPr>
    </w:p>
    <w:p>
      <w:pPr>
        <w:ind w:right="100" w:firstLine="457"/>
        <w:spacing w:after="0" w:line="270" w:lineRule="auto"/>
        <w:rPr>
          <w:sz w:val="20"/>
          <w:szCs w:val="20"/>
          <w:color w:val="auto"/>
        </w:rPr>
      </w:pPr>
      <w:r>
        <w:rPr>
          <w:rFonts w:ascii="Arial" w:cs="Arial" w:eastAsia="Arial" w:hAnsi="Arial"/>
          <w:sz w:val="16"/>
          <w:szCs w:val="16"/>
          <w:color w:val="auto"/>
        </w:rPr>
        <w:t>In 2011, we submitted our executive compensation program to an advisory vote of our shareholders and it received the support of 82% of the total votes cast at our annual meeting. We pay careful attention to any feedback we receive from our shareholders about our executive compensation program, including the say on pay vote. After the annual meeting, we conducted a shareholder outreach program, where we held in-person and telephonic meetings with a variety of shareholders to seek more detailed feedback from them about our executive compensation program and how they voted on it. While the Compensation Committee had already approved our executive compensation program for 2011 by the time we held our say on pay vote in March 2011,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39" w:right="239" w:bottom="1440" w:gutter="0" w:footer="0" w:header="0"/>
          <w:type w:val="continuous"/>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Committee carefully considered and continues to consider this feedback in its subsequent executive compensation decision making. In addition, at our annual meeting a majority of our shareholders supported an annual vote on our executive compensation program and, in response, our Compensation Committee determined to hold an annual vote on the matter.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2011 Business Results</w:t>
      </w:r>
    </w:p>
    <w:p>
      <w:pPr>
        <w:spacing w:after="0" w:line="93" w:lineRule="exact"/>
        <w:rPr>
          <w:sz w:val="20"/>
          <w:szCs w:val="20"/>
          <w:color w:val="auto"/>
        </w:rPr>
      </w:pPr>
    </w:p>
    <w:p>
      <w:pPr>
        <w:ind w:right="80" w:firstLine="457"/>
        <w:spacing w:after="0" w:line="290" w:lineRule="auto"/>
        <w:rPr>
          <w:sz w:val="20"/>
          <w:szCs w:val="20"/>
          <w:color w:val="auto"/>
        </w:rPr>
      </w:pPr>
      <w:r>
        <w:rPr>
          <w:rFonts w:ascii="Arial" w:cs="Arial" w:eastAsia="Arial" w:hAnsi="Arial"/>
          <w:sz w:val="15"/>
          <w:szCs w:val="15"/>
          <w:color w:val="auto"/>
        </w:rPr>
        <w:t>In 2011, ADI achieved record levels of revenue and profitability. Our revenue increased 8%, diluted earnings per share from continuing operations increased 20% and operating profits before taxes increased 19% in fiscal 2011 compared to fiscal 2010. In addition, we generated strong free cash flow of $778 million. In fiscal 2011, we increased our quarterly dividend by 14%, paid approximately $282 million in cash dividends to our shareholders and repurchased approximately 9 million shares of our common stock for approximately $330 million. In early fiscal 2011, our Board of Directors also authorized the repurchase of an additional $1 billion of our common stock, for a total of $5 billion in shares available for repurchase under our existing repurchase program (of which $722 million remained available as of the end of fiscal 2011). In fiscal 2011, our total shareholder return (defined as share price appreciation plus dividends paid) was 15%.</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Program Changes</w:t>
      </w:r>
    </w:p>
    <w:p>
      <w:pPr>
        <w:spacing w:after="0" w:line="93" w:lineRule="exact"/>
        <w:rPr>
          <w:sz w:val="20"/>
          <w:szCs w:val="20"/>
          <w:color w:val="auto"/>
        </w:rPr>
      </w:pPr>
    </w:p>
    <w:p>
      <w:pPr>
        <w:ind w:left="900" w:right="160" w:hanging="446"/>
        <w:spacing w:after="0" w:line="27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amended our annual performance incentive plan for all employees (including our executives) to include a revenue growth element in addition to our historical performance metric, operating profits as a percentage of revenue. We made this change because we believe that revenue growth and profitability are both important to our shareholders because revenue growth and higher levels of operating profit should increase earnings per share and improve stock price performance.</w:t>
      </w:r>
    </w:p>
    <w:p>
      <w:pPr>
        <w:spacing w:after="0" w:line="44" w:lineRule="exact"/>
        <w:rPr>
          <w:rFonts w:ascii="Arial" w:cs="Arial" w:eastAsia="Arial" w:hAnsi="Arial"/>
          <w:sz w:val="16"/>
          <w:szCs w:val="16"/>
          <w:color w:val="auto"/>
        </w:rPr>
      </w:pPr>
    </w:p>
    <w:p>
      <w:pPr>
        <w:jc w:val="both"/>
        <w:ind w:left="900" w:right="380" w:hanging="446"/>
        <w:spacing w:after="0" w:line="27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Compensation Committee eliminated the provision in our executive performance incentive plan that gave the Committee the discretion to increase an executive’s award under the plan by up to 30%. The Committee has never used this provision to increase the bonus payment for an NEO and so decided to remove it from the plan.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Pay for Performance</w:t>
      </w:r>
    </w:p>
    <w:p>
      <w:pPr>
        <w:spacing w:after="0" w:line="93"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A significant portion of the total compensation of our NEOs is directly linked to our performance in the form of incentive cash and equity awards. We believe this provides our executives an opportunity to earn above average compensation if ADI delivers superior results. In fiscal 2011, 89% of our CEO’s total compensation and 72% of the average total compensation of our other NEOs was variable and tied to corporate performance, measured by operating profits before taxes, revenue growth and stock price performance.</w:t>
      </w:r>
    </w:p>
    <w:p>
      <w:pPr>
        <w:spacing w:after="0" w:line="120"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One way we link pay and performance is to pay a significant amount of our executives’ compensation in the form of equity awards, whose value is directly tied to our stock price performance. In 2011, 41% of the average total compensation of our NEOs (other than the CEO) was in the form of equity. In accordance with the terms of his employment agreement, our CEO did not receive an equity award for fiscal 2011.</w:t>
      </w:r>
    </w:p>
    <w:p>
      <w:pPr>
        <w:spacing w:after="0" w:line="117"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u w:val="single" w:color="auto"/>
          <w:color w:val="auto"/>
        </w:rPr>
        <w:t>Cash awards</w:t>
      </w:r>
      <w:r>
        <w:rPr>
          <w:rFonts w:ascii="Arial" w:cs="Arial" w:eastAsia="Arial" w:hAnsi="Arial"/>
          <w:sz w:val="16"/>
          <w:szCs w:val="16"/>
          <w:color w:val="auto"/>
        </w:rPr>
        <w:t>. We also link a significant portion of our executives’ cash compensation to Company performance, measured by our operating profit before taxes (OPBT) and year to year revenue growth, through our performance incentive plan. This provides us with a variable expense structure, allowing us to reduce our compensation costs in challenging times and reward performance when business conditions and results warrant. In 2011, 89% of our CEO’s total compensation was based on these performance metrics.</w:t>
      </w:r>
    </w:p>
    <w:p>
      <w:pPr>
        <w:spacing w:after="0" w:line="120" w:lineRule="exact"/>
        <w:rPr>
          <w:sz w:val="20"/>
          <w:szCs w:val="20"/>
          <w:color w:val="auto"/>
        </w:rPr>
      </w:pPr>
    </w:p>
    <w:p>
      <w:pPr>
        <w:ind w:right="100" w:firstLine="457"/>
        <w:spacing w:after="0" w:line="294" w:lineRule="auto"/>
        <w:rPr>
          <w:sz w:val="20"/>
          <w:szCs w:val="20"/>
          <w:color w:val="auto"/>
        </w:rPr>
      </w:pPr>
      <w:r>
        <w:rPr>
          <w:rFonts w:ascii="Arial" w:cs="Arial" w:eastAsia="Arial" w:hAnsi="Arial"/>
          <w:sz w:val="16"/>
          <w:szCs w:val="16"/>
          <w:color w:val="auto"/>
        </w:rPr>
        <w:t>The following graphs illustrate our OPBT and revenue growth in fiscal 2009, 2010 and 2011 as well as the percent of the target bonus delivered to our executives and employees in each of these years (as determined by the formula described below under “— 2011 Executive Performance Incentive Plan”).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39"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ADI Performance Compared to Performance Incentive Payments in Fiscal 2009, 2010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234950</wp:posOffset>
            </wp:positionV>
            <wp:extent cx="3855720" cy="3288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55720" cy="328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57"/>
        <w:spacing w:after="0" w:line="370" w:lineRule="auto"/>
        <w:rPr>
          <w:sz w:val="20"/>
          <w:szCs w:val="20"/>
          <w:color w:val="auto"/>
        </w:rPr>
      </w:pPr>
      <w:r>
        <w:rPr>
          <w:rFonts w:ascii="Arial" w:cs="Arial" w:eastAsia="Arial" w:hAnsi="Arial"/>
          <w:sz w:val="14"/>
          <w:szCs w:val="14"/>
          <w:color w:val="auto"/>
        </w:rPr>
        <w:t>In fiscal 2011, our strong operating profits (36%) supported a maximum payout of 300% of target for that element of the performance incentive plan. Our revenue growth (8%) supported a payout of 96% of target for that element of the plan. The average of these two generated the 198% of target payouts made by the plan in fiscal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162560</wp:posOffset>
            </wp:positionV>
            <wp:extent cx="3855720" cy="153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55720" cy="153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right="140" w:hanging="219"/>
        <w:spacing w:after="0" w:line="294"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Fiscal 2009, 2010 and 2011 OPBT numbers are adjusted to exclude restructuring-related expenses. In years prior to 2011, our sole performance metric was OPBT and it constituted 100% of our bonus weight. In fiscal 2011, the bonus was equally weighted between OPBT and revenue growth.</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439" w:right="2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color w:val="auto"/>
        </w:rPr>
        <w:t>Our performance incentive plan takes into consideration our actual business results compared to the strategic performance targets we set for our business. In setting our targets, we use an assessment of our business results relative to our peers to ensure that our performance targets are appropriately calibrated. In fiscal 2011, our Compensation Committee’s independent consultant, Pearl Meyer &amp; Partners (PM&amp;P), conducted an analysis which compared our performance against the five-year average performance of our peers, including revenue growth and operating profits. The five-year average OPBT for our peer group was 22.3%, compared to our target of 22.5%. The five-year average revenue growth level for our peer group was 9.3%, compared to our target of 10%. As a result of this analysis, our Compensation Committee believes that our performance targets are appropriately calibrated given the historical performance of our peer group and, as a result, our plan should pay out at the historical median for median performance and above the historical median for above median performance.</w:t>
      </w:r>
    </w:p>
    <w:p>
      <w:pPr>
        <w:spacing w:after="0" w:line="113" w:lineRule="exact"/>
        <w:rPr>
          <w:sz w:val="20"/>
          <w:szCs w:val="20"/>
          <w:color w:val="auto"/>
        </w:rPr>
      </w:pPr>
    </w:p>
    <w:p>
      <w:pPr>
        <w:ind w:right="220" w:firstLine="457"/>
        <w:spacing w:after="0" w:line="290" w:lineRule="auto"/>
        <w:rPr>
          <w:sz w:val="20"/>
          <w:szCs w:val="20"/>
          <w:color w:val="auto"/>
        </w:rPr>
      </w:pPr>
      <w:r>
        <w:rPr>
          <w:rFonts w:ascii="Arial" w:cs="Arial" w:eastAsia="Arial" w:hAnsi="Arial"/>
          <w:sz w:val="15"/>
          <w:szCs w:val="15"/>
          <w:color w:val="auto"/>
        </w:rPr>
        <w:t>Payments under the performance incentive plan take into consideration our actual business results compared to these targets. In fiscal 2010, we made significant payments under our performance incentive plan because our fiscal 2010 ratio of OPBT to revenue, at 33%, significantly exceeded our target ratio of OPBT to revenue of 22.5%. OPBT was our sole performance metric in fiscal 2010. By contrast, in fiscal 2011, payments under our performance incentive plan declined. This is because, while our fiscal 2011 ratio of OPBT to revenue (36%) exceeded our target ratio (22.5%), we added a revenue growth element to our plan and our year-to-year revenue growth (8%) fell below our target revenue growth level (10%). As a result, payments under our performance incentive plan declined in fiscal 2011 by 17%. Our total shareholder return (defined as share price appreciation plus dividends paid) was 24% in 2009, 35% in 2010 and 15% in 2011.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Program Highlights</w:t>
      </w:r>
    </w:p>
    <w:p>
      <w:pPr>
        <w:spacing w:after="0" w:line="93" w:lineRule="exact"/>
        <w:rPr>
          <w:sz w:val="20"/>
          <w:szCs w:val="20"/>
          <w:color w:val="auto"/>
        </w:rPr>
      </w:pPr>
    </w:p>
    <w:p>
      <w:pPr>
        <w:jc w:val="both"/>
        <w:ind w:right="480" w:firstLine="457"/>
        <w:spacing w:after="0" w:line="305" w:lineRule="auto"/>
        <w:rPr>
          <w:sz w:val="20"/>
          <w:szCs w:val="20"/>
          <w:color w:val="auto"/>
        </w:rPr>
      </w:pPr>
      <w:r>
        <w:rPr>
          <w:rFonts w:ascii="Arial" w:cs="Arial" w:eastAsia="Arial" w:hAnsi="Arial"/>
          <w:sz w:val="15"/>
          <w:szCs w:val="15"/>
          <w:color w:val="auto"/>
        </w:rPr>
        <w:t>Our compensation program is designed to pay more when business performance is robust and less when it is not, providing built-in variability to our operating expenses and enabling us to preserve strategic programs when economic conditions are unfavorable. For fiscal 2011, we believe our compensation programs delivered payments commensurate with a year of record profitability and revenue growth. Below are the highlights of our executive compensation program:</w:t>
      </w:r>
    </w:p>
    <w:p>
      <w:pPr>
        <w:spacing w:after="0" w:line="23" w:lineRule="exact"/>
        <w:rPr>
          <w:sz w:val="20"/>
          <w:szCs w:val="20"/>
          <w:color w:val="auto"/>
        </w:rPr>
      </w:pPr>
    </w:p>
    <w:p>
      <w:pPr>
        <w:ind w:left="460" w:hanging="459"/>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Elements of our Compensation Program</w:t>
      </w:r>
      <w:r>
        <w:rPr>
          <w:rFonts w:ascii="Arial" w:cs="Arial" w:eastAsia="Arial" w:hAnsi="Arial"/>
          <w:sz w:val="15"/>
          <w:szCs w:val="15"/>
          <w:color w:val="auto"/>
        </w:rPr>
        <w:t>. We have designed our executive compensation program to be largely performance-based. As further described below in</w:t>
      </w:r>
    </w:p>
    <w:p>
      <w:pPr>
        <w:spacing w:after="0" w:line="35" w:lineRule="exact"/>
        <w:rPr>
          <w:rFonts w:ascii="Arial" w:cs="Arial" w:eastAsia="Arial" w:hAnsi="Arial"/>
          <w:sz w:val="15"/>
          <w:szCs w:val="15"/>
          <w:color w:val="auto"/>
        </w:rPr>
      </w:pPr>
    </w:p>
    <w:p>
      <w:pPr>
        <w:ind w:left="460" w:right="40"/>
        <w:spacing w:after="0" w:line="285" w:lineRule="auto"/>
        <w:rPr>
          <w:rFonts w:ascii="Arial" w:cs="Arial" w:eastAsia="Arial" w:hAnsi="Arial"/>
          <w:sz w:val="15"/>
          <w:szCs w:val="15"/>
          <w:color w:val="auto"/>
        </w:rPr>
      </w:pPr>
      <w:r>
        <w:rPr>
          <w:rFonts w:ascii="Arial" w:cs="Arial" w:eastAsia="Arial" w:hAnsi="Arial"/>
          <w:sz w:val="16"/>
          <w:szCs w:val="16"/>
          <w:color w:val="auto"/>
        </w:rPr>
        <w:t>“— Components of Executive Compensation,” our executives’ compensation consists primarily of base salary, short-term cash incentive awards, and long-term equity incentive awards.</w:t>
      </w:r>
    </w:p>
    <w:p>
      <w:pPr>
        <w:spacing w:after="0" w:line="35" w:lineRule="exact"/>
        <w:rPr>
          <w:rFonts w:ascii="Arial" w:cs="Arial" w:eastAsia="Arial" w:hAnsi="Arial"/>
          <w:sz w:val="15"/>
          <w:szCs w:val="15"/>
          <w:color w:val="auto"/>
        </w:rPr>
      </w:pPr>
    </w:p>
    <w:p>
      <w:pPr>
        <w:ind w:left="900" w:right="80" w:hanging="446"/>
        <w:spacing w:after="0" w:line="265" w:lineRule="auto"/>
        <w:tabs>
          <w:tab w:leader="none" w:pos="900" w:val="left"/>
        </w:tabs>
        <w:numPr>
          <w:ilvl w:val="1"/>
          <w:numId w:val="26"/>
        </w:numPr>
        <w:rPr>
          <w:rFonts w:ascii="Arial" w:cs="Arial" w:eastAsia="Arial" w:hAnsi="Arial"/>
          <w:sz w:val="19"/>
          <w:szCs w:val="19"/>
          <w:color w:val="auto"/>
          <w:vertAlign w:val="superscript"/>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For fiscal years 2009 and 2010, we froze the salaries of our employees, including our executives, due to the economic uncertainty associated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recession. In fiscal 2011, we resumed modest salary increases for employees and executives due to improving economic conditions.</w:t>
      </w:r>
    </w:p>
    <w:p>
      <w:pPr>
        <w:spacing w:after="0" w:line="47" w:lineRule="exact"/>
        <w:rPr>
          <w:rFonts w:ascii="Arial" w:cs="Arial" w:eastAsia="Arial" w:hAnsi="Arial"/>
          <w:sz w:val="19"/>
          <w:szCs w:val="19"/>
          <w:color w:val="auto"/>
          <w:vertAlign w:val="superscript"/>
        </w:rPr>
      </w:pPr>
    </w:p>
    <w:p>
      <w:pPr>
        <w:ind w:left="900" w:right="80" w:hanging="446"/>
        <w:spacing w:after="0" w:line="267" w:lineRule="auto"/>
        <w:tabs>
          <w:tab w:leader="none" w:pos="900" w:val="left"/>
        </w:tabs>
        <w:numPr>
          <w:ilvl w:val="1"/>
          <w:numId w:val="26"/>
        </w:numPr>
        <w:rPr>
          <w:rFonts w:ascii="Arial" w:cs="Arial" w:eastAsia="Arial" w:hAnsi="Arial"/>
          <w:sz w:val="18"/>
          <w:szCs w:val="18"/>
          <w:color w:val="auto"/>
          <w:vertAlign w:val="superscript"/>
        </w:rPr>
      </w:pPr>
      <w:r>
        <w:rPr>
          <w:rFonts w:ascii="Arial" w:cs="Arial" w:eastAsia="Arial" w:hAnsi="Arial"/>
          <w:sz w:val="14"/>
          <w:szCs w:val="14"/>
          <w:i w:val="1"/>
          <w:iCs w:val="1"/>
          <w:color w:val="auto"/>
        </w:rPr>
        <w:t xml:space="preserve">Cash Incentive Awards. </w:t>
      </w:r>
      <w:r>
        <w:rPr>
          <w:rFonts w:ascii="Arial" w:cs="Arial" w:eastAsia="Arial" w:hAnsi="Arial"/>
          <w:sz w:val="14"/>
          <w:szCs w:val="14"/>
          <w:color w:val="auto"/>
        </w:rPr>
        <w:t>Our performance incentive plan is broad-based and applies to all employees and executives alike. Our target for performance incentive</w:t>
      </w:r>
      <w:r>
        <w:rPr>
          <w:rFonts w:ascii="Arial" w:cs="Arial" w:eastAsia="Arial" w:hAnsi="Arial"/>
          <w:sz w:val="14"/>
          <w:szCs w:val="14"/>
          <w:i w:val="1"/>
          <w:iCs w:val="1"/>
          <w:color w:val="auto"/>
        </w:rPr>
        <w:t xml:space="preserve"> </w:t>
      </w:r>
      <w:r>
        <w:rPr>
          <w:rFonts w:ascii="Arial" w:cs="Arial" w:eastAsia="Arial" w:hAnsi="Arial"/>
          <w:sz w:val="14"/>
          <w:szCs w:val="14"/>
          <w:color w:val="auto"/>
        </w:rPr>
        <w:t>payments at the 100% payout level for all employees and executives in 2011 required that we achieve both: (1) a ratio of OPBT to revenue of 22.5%, and</w:t>
      </w:r>
    </w:p>
    <w:p>
      <w:pPr>
        <w:ind w:left="900"/>
        <w:spacing w:after="0" w:line="270" w:lineRule="auto"/>
        <w:rPr>
          <w:rFonts w:ascii="Arial" w:cs="Arial" w:eastAsia="Arial" w:hAnsi="Arial"/>
          <w:sz w:val="18"/>
          <w:szCs w:val="18"/>
          <w:color w:val="auto"/>
          <w:vertAlign w:val="superscript"/>
        </w:rPr>
      </w:pPr>
      <w:r>
        <w:rPr>
          <w:rFonts w:ascii="Arial" w:cs="Arial" w:eastAsia="Arial" w:hAnsi="Arial"/>
          <w:sz w:val="16"/>
          <w:szCs w:val="16"/>
          <w:color w:val="auto"/>
        </w:rPr>
        <w:t>(2) quarterly revenue growth of 10% compared to the same quarter in the prior year. Our plan provides us with a variable cost structure that reduces compensation expenses when profit and revenue levels fall below target and pays more when profit and revenue levels exceed target. Awards under the plan can fall to zero if we do not achieve operating margins of at least 15%, regardless of revenue growth levels. We cap bonus payments under our performance incentive plan at three times the target payout.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39" w:right="2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00" w:right="80" w:hanging="446"/>
        <w:spacing w:after="0" w:line="274" w:lineRule="auto"/>
        <w:tabs>
          <w:tab w:leader="none" w:pos="900" w:val="left"/>
        </w:tabs>
        <w:numPr>
          <w:ilvl w:val="1"/>
          <w:numId w:val="27"/>
        </w:numPr>
        <w:rPr>
          <w:rFonts w:ascii="Arial" w:cs="Arial" w:eastAsia="Arial" w:hAnsi="Arial"/>
          <w:sz w:val="19"/>
          <w:szCs w:val="19"/>
          <w:color w:val="auto"/>
          <w:vertAlign w:val="superscript"/>
        </w:rPr>
      </w:pPr>
      <w:r>
        <w:rPr>
          <w:rFonts w:ascii="Arial" w:cs="Arial" w:eastAsia="Arial" w:hAnsi="Arial"/>
          <w:sz w:val="15"/>
          <w:szCs w:val="15"/>
          <w:i w:val="1"/>
          <w:iCs w:val="1"/>
          <w:color w:val="auto"/>
        </w:rPr>
        <w:t xml:space="preserve">Long-Term Equity Incentives. </w:t>
      </w:r>
      <w:r>
        <w:rPr>
          <w:rFonts w:ascii="Arial" w:cs="Arial" w:eastAsia="Arial" w:hAnsi="Arial"/>
          <w:sz w:val="15"/>
          <w:szCs w:val="15"/>
          <w:color w:val="auto"/>
        </w:rPr>
        <w:t>Every year we grant equity awards broadly among our employee population. As a group, our NEOs received only 7.3% of all</w:t>
      </w:r>
      <w:r>
        <w:rPr>
          <w:rFonts w:ascii="Arial" w:cs="Arial" w:eastAsia="Arial" w:hAnsi="Arial"/>
          <w:sz w:val="15"/>
          <w:szCs w:val="15"/>
          <w:i w:val="1"/>
          <w:iCs w:val="1"/>
          <w:color w:val="auto"/>
        </w:rPr>
        <w:t xml:space="preserve"> </w:t>
      </w:r>
      <w:r>
        <w:rPr>
          <w:rFonts w:ascii="Arial" w:cs="Arial" w:eastAsia="Arial" w:hAnsi="Arial"/>
          <w:sz w:val="15"/>
          <w:szCs w:val="15"/>
          <w:color w:val="auto"/>
        </w:rPr>
        <w:t>equity awards made to our employees in fiscal 2011. We use a mix of stock options and restricted stock units (RSUs) to reward long-term value creation, promote retention and enable our executives to accumulate ownership in the Company. Our options generally vest over five years and our RSUs generally cliff vest on the third anniversary of the date of grant. We set a goal each year to keep the shareholder dilution related to our equity ownership program to a certain percentage. Our gross dilution percentage in 2011 was 1.6%, compared to an average of 3.6% for our peer group.</w:t>
      </w:r>
    </w:p>
    <w:p>
      <w:pPr>
        <w:spacing w:after="0" w:line="46" w:lineRule="exact"/>
        <w:rPr>
          <w:rFonts w:ascii="Arial" w:cs="Arial" w:eastAsia="Arial" w:hAnsi="Arial"/>
          <w:sz w:val="19"/>
          <w:szCs w:val="19"/>
          <w:color w:val="auto"/>
          <w:vertAlign w:val="superscript"/>
        </w:rPr>
      </w:pPr>
    </w:p>
    <w:p>
      <w:pPr>
        <w:ind w:left="460" w:right="200" w:hanging="459"/>
        <w:spacing w:after="0" w:line="323"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Pay and Governance Practices</w:t>
      </w:r>
      <w:r>
        <w:rPr>
          <w:rFonts w:ascii="Arial" w:cs="Arial" w:eastAsia="Arial" w:hAnsi="Arial"/>
          <w:sz w:val="14"/>
          <w:szCs w:val="14"/>
          <w:color w:val="auto"/>
        </w:rPr>
        <w:t>. We do not use common pay practices that are considered to be unfriendly to shareholders. For example, we do not provide extensive perquisites to our executives. We have eliminated excess parachute payment tax gross-up provisions from all future executive compensation arrangements and our CEO is not eligible to receive any such payments. We have no guaranteed salary increases or non-performance-based bonuses. We do not change our performance targets mid-year, even in challenging years. We do not pay dividends on unvested equity awards. We do have stock ownership guidelines for our executives.</w:t>
      </w:r>
    </w:p>
    <w:p>
      <w:pPr>
        <w:spacing w:after="0" w:line="15" w:lineRule="exact"/>
        <w:rPr>
          <w:rFonts w:ascii="Arial" w:cs="Arial" w:eastAsia="Arial" w:hAnsi="Arial"/>
          <w:sz w:val="14"/>
          <w:szCs w:val="14"/>
          <w:color w:val="auto"/>
        </w:rPr>
      </w:pPr>
    </w:p>
    <w:p>
      <w:pPr>
        <w:jc w:val="both"/>
        <w:ind w:left="460" w:right="260" w:hanging="459"/>
        <w:spacing w:after="0" w:line="27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Consultant Independence</w:t>
      </w:r>
      <w:r>
        <w:rPr>
          <w:rFonts w:ascii="Arial" w:cs="Arial" w:eastAsia="Arial" w:hAnsi="Arial"/>
          <w:sz w:val="16"/>
          <w:szCs w:val="16"/>
          <w:color w:val="auto"/>
        </w:rPr>
        <w:t>. PM&amp;P, our Compensation Committee’s independent consultant, is retained directly by the Compensation Committee, provides no other services for ADI, and has provided the Committee with a written attestation of independence that reviewed potential relationships cited in the Dodd-Frank Act that would be considered to cause a conflict of interest.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Processes and Philosophy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has a two-fold philosophy regarding the total compensation of our senior executives:</w:t>
      </w:r>
    </w:p>
    <w:p>
      <w:pPr>
        <w:spacing w:after="0" w:line="93" w:lineRule="exact"/>
        <w:rPr>
          <w:sz w:val="20"/>
          <w:szCs w:val="20"/>
          <w:color w:val="auto"/>
        </w:rPr>
      </w:pPr>
    </w:p>
    <w:p>
      <w:pPr>
        <w:ind w:left="900" w:hanging="446"/>
        <w:spacing w:after="0" w:line="27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First, encourage and reward our executives for their contributions to ADI’s performance and shareholder value by tying a significant portion of their total compensation directly to ADI’s short- and long-term performance, measured by operating profits before taxes, revenue growth (which we believe should in turn increase stock price) and stock price appreciation.</w:t>
      </w:r>
    </w:p>
    <w:p>
      <w:pPr>
        <w:spacing w:after="0" w:line="40"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Second, ensure that our executive compensation is competitive by generally targeting the total compensation of our NEOs at approximately the 50</w:t>
      </w:r>
      <w:r>
        <w:rPr>
          <w:rFonts w:ascii="Arial" w:cs="Arial" w:eastAsia="Arial" w:hAnsi="Arial"/>
          <w:sz w:val="9"/>
          <w:szCs w:val="9"/>
          <w:color w:val="auto"/>
        </w:rPr>
        <w:t>th</w:t>
      </w:r>
      <w:r>
        <w:rPr>
          <w:rFonts w:ascii="Arial" w:cs="Arial" w:eastAsia="Arial" w:hAnsi="Arial"/>
          <w:sz w:val="15"/>
          <w:szCs w:val="15"/>
          <w:color w:val="auto"/>
        </w:rPr>
        <w:t xml:space="preserve"> percentile of our peer group at the target level of performance described below. Our current CEO’s pay is above the 50</w:t>
      </w:r>
      <w:r>
        <w:rPr>
          <w:rFonts w:ascii="Arial" w:cs="Arial" w:eastAsia="Arial" w:hAnsi="Arial"/>
          <w:sz w:val="9"/>
          <w:szCs w:val="9"/>
          <w:color w:val="auto"/>
        </w:rPr>
        <w:t>th</w:t>
      </w:r>
      <w:r>
        <w:rPr>
          <w:rFonts w:ascii="Arial" w:cs="Arial" w:eastAsia="Arial" w:hAnsi="Arial"/>
          <w:sz w:val="15"/>
          <w:szCs w:val="15"/>
          <w:color w:val="auto"/>
        </w:rPr>
        <w:t xml:space="preserve"> percentile because he is one of the most experienced and qualified chief executive officers in the semiconductor industry and because a larger portion of his total compensation is performance-based. Our CEO’s compensation is described in detail below under “— Agreements with our Chief Executive Officer.”</w:t>
      </w:r>
    </w:p>
    <w:p>
      <w:pPr>
        <w:spacing w:after="0" w:line="107"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The actual total compensation percentile may vary depending on our financial performance, each executive’s individual performance and importance to ADI, or internal equity considerations among all senior executives.</w:t>
      </w:r>
    </w:p>
    <w:p>
      <w:pPr>
        <w:spacing w:after="0" w:line="104" w:lineRule="exact"/>
        <w:rPr>
          <w:sz w:val="20"/>
          <w:szCs w:val="20"/>
          <w:color w:val="auto"/>
        </w:rPr>
      </w:pPr>
    </w:p>
    <w:p>
      <w:pPr>
        <w:ind w:right="20" w:firstLine="457"/>
        <w:spacing w:after="0" w:line="287" w:lineRule="auto"/>
        <w:rPr>
          <w:sz w:val="20"/>
          <w:szCs w:val="20"/>
          <w:color w:val="auto"/>
        </w:rPr>
      </w:pPr>
      <w:r>
        <w:rPr>
          <w:rFonts w:ascii="Arial" w:cs="Arial" w:eastAsia="Arial" w:hAnsi="Arial"/>
          <w:sz w:val="15"/>
          <w:szCs w:val="15"/>
          <w:color w:val="auto"/>
        </w:rPr>
        <w:t>Our Compensation Committee has retained PM&amp;P as its independent compensation consultant. In 2009, our Compensation Committee worked directly with PM&amp;P to develop recommendations for our Chief Executive Officer’s compensation, which are reflected in his employment agreement. The Committee asks PM&amp;P each year to review and make recommendations regarding the compensation of our other executive officers as well. Each year, our Compensation Committee reviews the non-CEO NEOs’ achievement of Company and individual objectives and receives the CEO’s recommendations about the compensation of those executives based on their achievement of those objectives. While approving executive compensation is solely the responsibility of the Compensation Committee, our Vice President of Human Resources and other members of our human resources department support the work of the Committee and PM&amp;P. In addition, at the request of the Compensation Committee, our CEO meets periodically with the Committee regarding the design of our compensation programs but all decisions regarding NEO compensation are ultimately made by the Committee. The Compensation Committee also meets periodically in executive session without management present.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39"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Benchmarking</w:t>
      </w:r>
    </w:p>
    <w:p>
      <w:pPr>
        <w:spacing w:after="0" w:line="93"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In making its compensation determinations, the Compensation Committee annually reviews the total compensation that each of our executives is eligible to receive against the compensation levels of comparable positions of a peer group of companies. The Compensation Committee strives to select peer companies that are publicly traded, headquartered in the United States, compete in the semiconductor industry, compete with us for talent, and are similar to ADI in their product and services offerings, business model, revenue size and market capitalization. The median annual revenue of our peer group was $2.4 billion, compared to our annual revenue of $3.0 billion. The median market capitalization of our peer group was $9.5 billion, compared to our market capitalization of $11 billion. Some companies in our peer group (such as Texas Instruments) fall outside our selection range and we include them in the peer group because they have similar product and services offerings as ADI, they are direct competitors of ADI, we compete with them for talent, and they include ADI in their own peer group. In addition, because executive compensation comparisons are done using percentiles, rather than averages, we do not believe the data becomes skewed if a company falls outside our selection range.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Below is the peer group the Committee used in fiscal 2011 to evaluate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2011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3632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line="124" w:lineRule="exact"/>
        <w:rPr>
          <w:sz w:val="20"/>
          <w:szCs w:val="20"/>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Altera Corp.</w:t>
      </w:r>
    </w:p>
    <w:p>
      <w:pPr>
        <w:spacing w:after="0" w:line="23"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Broadcom Corp.</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Freescale Semiconductor, Inc.</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Linear Technology Corp.</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LSI Corp.</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Marvell Technology Group Ltd.</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Maxim Integrated Products, Inc.</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Microchip Technology Inc.</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National Semiconductor Corp.</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Nvidia Corp.</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Texas Instruments Inc.</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Xilinx, Inc.</w:t>
      </w:r>
    </w:p>
    <w:p>
      <w:pPr>
        <w:spacing w:after="0" w:line="162"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For fiscal 2011, we eliminated Cypress Semiconductor Corp. from our peer group because its revenue and market capitalization falls below our target parameters and we eliminated ON Semiconductor because it has a dissimilar business model. Because of these eliminations and the fact that National Semiconductor has recently been acquired by Texas Instruments and will be eliminated from our 2012 peer group, we needed to add several peers for fiscal 2011 to maintain a robust sample size. As a result, we added the following four companies to our 2011 peer group because they offer similar products and services, and their revenue and market capitalization fall within our parameters: Altera, Freescale Semiconductor, Microchip Technology and Nvidia.</w:t>
      </w:r>
    </w:p>
    <w:p>
      <w:pPr>
        <w:spacing w:after="0" w:line="124" w:lineRule="exact"/>
        <w:rPr>
          <w:sz w:val="20"/>
          <w:szCs w:val="20"/>
          <w:color w:val="auto"/>
        </w:rPr>
      </w:pPr>
    </w:p>
    <w:p>
      <w:pPr>
        <w:ind w:right="20" w:firstLine="457"/>
        <w:spacing w:after="0" w:line="335" w:lineRule="auto"/>
        <w:rPr>
          <w:sz w:val="20"/>
          <w:szCs w:val="20"/>
          <w:color w:val="auto"/>
        </w:rPr>
      </w:pPr>
      <w:r>
        <w:rPr>
          <w:rFonts w:ascii="Arial" w:cs="Arial" w:eastAsia="Arial" w:hAnsi="Arial"/>
          <w:sz w:val="14"/>
          <w:szCs w:val="14"/>
          <w:color w:val="auto"/>
        </w:rPr>
        <w:t>For officers in positions for which the 2011 peer group companies do not publicly disclose compensation data, the Compensation Committee reviewed PM&amp;P’s 2011 CHiPS Executive and Senior Management Total Compensation Survey reflecting the average compensation, by position, of 15 semiconductor companies, which were considered the peer group for these officers. The Compensation Committee also reviewed Radford’s 2011 Executive and Senior Management Total Compensation Survey.</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20"/>
          </w:cols>
          <w:pgMar w:left="240" w:top="439"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Executive Compensation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 compensation for our executive officers consists of the following principal elements: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20" w:type="dxa"/>
            <w:vAlign w:val="bottom"/>
            <w:tcBorders>
              <w:top w:val="single" w:sz="8" w:color="auto"/>
              <w:left w:val="single" w:sz="8" w:color="auto"/>
            </w:tcBorders>
          </w:tcPr>
          <w:p>
            <w:pPr>
              <w:spacing w:after="0"/>
              <w:rPr>
                <w:sz w:val="13"/>
                <w:szCs w:val="13"/>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w w:val="86"/>
              </w:rPr>
              <w:t>Element</w:t>
            </w:r>
          </w:p>
        </w:tc>
        <w:tc>
          <w:tcPr>
            <w:tcW w:w="1720" w:type="dxa"/>
            <w:vAlign w:val="bottom"/>
            <w:tcBorders>
              <w:top w:val="single" w:sz="8" w:color="auto"/>
              <w:right w:val="single" w:sz="8" w:color="auto"/>
            </w:tcBorders>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29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Objective</w:t>
            </w: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Fixed/Variable</w:t>
            </w:r>
          </w:p>
        </w:tc>
        <w:tc>
          <w:tcPr>
            <w:tcW w:w="60" w:type="dxa"/>
            <w:vAlign w:val="bottom"/>
          </w:tcPr>
          <w:p>
            <w:pPr>
              <w:spacing w:after="0"/>
              <w:rPr>
                <w:sz w:val="13"/>
                <w:szCs w:val="13"/>
                <w:color w:val="auto"/>
              </w:rPr>
            </w:pPr>
          </w:p>
        </w:tc>
      </w:tr>
      <w:tr>
        <w:trPr>
          <w:trHeight w:val="20"/>
        </w:trPr>
        <w:tc>
          <w:tcPr>
            <w:tcW w:w="182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0"/>
        </w:trPr>
        <w:tc>
          <w:tcPr>
            <w:tcW w:w="18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Base salary</w:t>
            </w: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2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6"/>
                <w:szCs w:val="16"/>
                <w:color w:val="auto"/>
              </w:rPr>
              <w:t>Attract talent and provide stable source of income.</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Fixed</w:t>
            </w:r>
          </w:p>
        </w:tc>
        <w:tc>
          <w:tcPr>
            <w:tcW w:w="60" w:type="dxa"/>
            <w:vAlign w:val="bottom"/>
            <w:tcBorders>
              <w:bottom w:val="single" w:sz="8" w:color="auto"/>
              <w:right w:val="single" w:sz="8" w:color="auto"/>
            </w:tcBorders>
          </w:tcPr>
          <w:p>
            <w:pPr>
              <w:spacing w:after="0"/>
              <w:rPr>
                <w:sz w:val="24"/>
                <w:szCs w:val="24"/>
                <w:color w:val="auto"/>
              </w:rPr>
            </w:pPr>
          </w:p>
        </w:tc>
      </w:tr>
      <w:tr>
        <w:trPr>
          <w:trHeight w:val="413"/>
        </w:trPr>
        <w:tc>
          <w:tcPr>
            <w:tcW w:w="40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Cash incentive award</w:t>
            </w:r>
          </w:p>
        </w:tc>
        <w:tc>
          <w:tcPr>
            <w:tcW w:w="5920" w:type="dxa"/>
            <w:vAlign w:val="bottom"/>
            <w:tcBorders>
              <w:right w:val="single" w:sz="8" w:color="auto"/>
            </w:tcBorders>
            <w:gridSpan w:val="3"/>
          </w:tcPr>
          <w:p>
            <w:pPr>
              <w:ind w:left="540"/>
              <w:spacing w:after="0"/>
              <w:rPr>
                <w:sz w:val="20"/>
                <w:szCs w:val="20"/>
                <w:color w:val="auto"/>
              </w:rPr>
            </w:pPr>
            <w:r>
              <w:rPr>
                <w:rFonts w:ascii="Arial" w:cs="Arial" w:eastAsia="Arial" w:hAnsi="Arial"/>
                <w:sz w:val="16"/>
                <w:szCs w:val="16"/>
                <w:color w:val="auto"/>
                <w:w w:val="92"/>
              </w:rPr>
              <w:t>Reward business performance, measured by operating profits as a percentage of</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5"/>
              </w:rPr>
              <w:t>Variable</w:t>
            </w:r>
          </w:p>
        </w:tc>
        <w:tc>
          <w:tcPr>
            <w:tcW w:w="60" w:type="dxa"/>
            <w:vAlign w:val="bottom"/>
            <w:tcBorders>
              <w:right w:val="single" w:sz="8" w:color="auto"/>
            </w:tcBorders>
          </w:tcPr>
          <w:p>
            <w:pPr>
              <w:spacing w:after="0"/>
              <w:rPr>
                <w:sz w:val="24"/>
                <w:szCs w:val="24"/>
                <w:color w:val="auto"/>
              </w:rPr>
            </w:pPr>
          </w:p>
        </w:tc>
      </w:tr>
      <w:tr>
        <w:trPr>
          <w:trHeight w:val="209"/>
        </w:trPr>
        <w:tc>
          <w:tcPr>
            <w:tcW w:w="18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6"/>
                <w:szCs w:val="16"/>
                <w:color w:val="auto"/>
              </w:rPr>
              <w:t>revenue and year-to-year revenue growth.</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r>
      <w:tr>
        <w:trPr>
          <w:trHeight w:val="413"/>
        </w:trPr>
        <w:tc>
          <w:tcPr>
            <w:tcW w:w="40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Equity compensation (stock options and RSUs)</w:t>
            </w:r>
          </w:p>
        </w:tc>
        <w:tc>
          <w:tcPr>
            <w:tcW w:w="5920" w:type="dxa"/>
            <w:vAlign w:val="bottom"/>
            <w:tcBorders>
              <w:right w:val="single" w:sz="8" w:color="auto"/>
            </w:tcBorders>
            <w:gridSpan w:val="3"/>
          </w:tcPr>
          <w:p>
            <w:pPr>
              <w:ind w:left="540"/>
              <w:spacing w:after="0"/>
              <w:rPr>
                <w:sz w:val="20"/>
                <w:szCs w:val="20"/>
                <w:color w:val="auto"/>
              </w:rPr>
            </w:pPr>
            <w:r>
              <w:rPr>
                <w:rFonts w:ascii="Arial" w:cs="Arial" w:eastAsia="Arial" w:hAnsi="Arial"/>
                <w:sz w:val="16"/>
                <w:szCs w:val="16"/>
                <w:color w:val="auto"/>
              </w:rPr>
              <w:t>Reward stock price appreciation, promote long-term retention and permit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5"/>
              </w:rPr>
              <w:t>Variable</w:t>
            </w:r>
          </w:p>
        </w:tc>
        <w:tc>
          <w:tcPr>
            <w:tcW w:w="60" w:type="dxa"/>
            <w:vAlign w:val="bottom"/>
            <w:tcBorders>
              <w:right w:val="single" w:sz="8" w:color="auto"/>
            </w:tcBorders>
          </w:tcPr>
          <w:p>
            <w:pPr>
              <w:spacing w:after="0"/>
              <w:rPr>
                <w:sz w:val="24"/>
                <w:szCs w:val="24"/>
                <w:color w:val="auto"/>
              </w:rPr>
            </w:pPr>
          </w:p>
        </w:tc>
      </w:tr>
      <w:tr>
        <w:trPr>
          <w:trHeight w:val="209"/>
        </w:trPr>
        <w:tc>
          <w:tcPr>
            <w:tcW w:w="18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6"/>
                <w:szCs w:val="16"/>
                <w:color w:val="auto"/>
              </w:rPr>
              <w:t>executives to accumulate equity ownership in the Company.</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r>
      <w:tr>
        <w:trPr>
          <w:trHeight w:val="421"/>
        </w:trPr>
        <w:tc>
          <w:tcPr>
            <w:tcW w:w="40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Retirement and other employee benefits</w:t>
            </w:r>
          </w:p>
        </w:tc>
        <w:tc>
          <w:tcPr>
            <w:tcW w:w="592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6"/>
                <w:szCs w:val="16"/>
                <w:color w:val="auto"/>
              </w:rPr>
              <w:t>Attract talent by providing financial protection and security.</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Fixed</w:t>
            </w:r>
          </w:p>
        </w:tc>
        <w:tc>
          <w:tcPr>
            <w:tcW w:w="60" w:type="dxa"/>
            <w:vAlign w:val="bottom"/>
            <w:tcBorders>
              <w:bottom w:val="single" w:sz="8" w:color="auto"/>
              <w:right w:val="single" w:sz="8" w:color="auto"/>
            </w:tcBorders>
          </w:tcPr>
          <w:p>
            <w:pPr>
              <w:spacing w:after="0"/>
              <w:rPr>
                <w:sz w:val="24"/>
                <w:szCs w:val="24"/>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93" w:lineRule="exact"/>
        <w:rPr>
          <w:sz w:val="20"/>
          <w:szCs w:val="20"/>
          <w:color w:val="auto"/>
        </w:rPr>
      </w:pPr>
    </w:p>
    <w:p>
      <w:pPr>
        <w:jc w:val="both"/>
        <w:ind w:right="100" w:firstLine="457"/>
        <w:spacing w:after="0" w:line="294" w:lineRule="auto"/>
        <w:rPr>
          <w:sz w:val="20"/>
          <w:szCs w:val="20"/>
          <w:color w:val="auto"/>
        </w:rPr>
      </w:pPr>
      <w:r>
        <w:rPr>
          <w:rFonts w:ascii="Arial" w:cs="Arial" w:eastAsia="Arial" w:hAnsi="Arial"/>
          <w:sz w:val="16"/>
          <w:szCs w:val="16"/>
          <w:color w:val="auto"/>
        </w:rPr>
        <w:t>In fiscal 2011, we resumed regular salary increases for our employees and executives, which had been frozen at 2008 levels due to widespread economic uncertainty in the United States. During fiscal 2011, the Compensation Committee authorized base salaries for our NEOs, as follows:</w:t>
      </w:r>
    </w:p>
    <w:p>
      <w:pPr>
        <w:spacing w:after="0" w:line="137" w:lineRule="exact"/>
        <w:rPr>
          <w:sz w:val="20"/>
          <w:szCs w:val="20"/>
          <w:color w:val="auto"/>
        </w:rPr>
      </w:pPr>
    </w:p>
    <w:tbl>
      <w:tblPr>
        <w:tblLayout w:type="fixed"/>
        <w:tblInd w:w="1840" w:type="dxa"/>
        <w:tblCellMar>
          <w:top w:w="0" w:type="dxa"/>
          <w:left w:w="0" w:type="dxa"/>
          <w:bottom w:w="0" w:type="dxa"/>
          <w:right w:w="0" w:type="dxa"/>
        </w:tblCellMar>
      </w:tblPr>
      <w:tr>
        <w:trPr>
          <w:trHeight w:val="157"/>
        </w:trPr>
        <w:tc>
          <w:tcPr>
            <w:tcW w:w="2240" w:type="dxa"/>
            <w:vAlign w:val="bottom"/>
            <w:gridSpan w:val="3"/>
          </w:tcPr>
          <w:p>
            <w:pPr>
              <w:spacing w:after="0"/>
              <w:rPr>
                <w:sz w:val="20"/>
                <w:szCs w:val="20"/>
                <w:color w:val="auto"/>
              </w:rPr>
            </w:pPr>
            <w:r>
              <w:rPr>
                <w:rFonts w:ascii="Arial" w:cs="Arial" w:eastAsia="Arial" w:hAnsi="Arial"/>
                <w:sz w:val="13"/>
                <w:szCs w:val="13"/>
                <w:b w:val="1"/>
                <w:bCs w:val="1"/>
                <w:color w:val="auto"/>
              </w:rPr>
              <w:t>Name of Executive</w:t>
            </w:r>
          </w:p>
        </w:tc>
        <w:tc>
          <w:tcPr>
            <w:tcW w:w="1940" w:type="dxa"/>
            <w:vAlign w:val="bottom"/>
            <w:gridSpan w:val="3"/>
          </w:tcPr>
          <w:p>
            <w:pPr>
              <w:ind w:left="1000"/>
              <w:spacing w:after="0"/>
              <w:rPr>
                <w:sz w:val="20"/>
                <w:szCs w:val="20"/>
                <w:color w:val="auto"/>
              </w:rPr>
            </w:pPr>
            <w:r>
              <w:rPr>
                <w:rFonts w:ascii="Arial" w:cs="Arial" w:eastAsia="Arial" w:hAnsi="Arial"/>
                <w:sz w:val="13"/>
                <w:szCs w:val="13"/>
                <w:b w:val="1"/>
                <w:bCs w:val="1"/>
                <w:color w:val="auto"/>
                <w:w w:val="86"/>
              </w:rPr>
              <w:t>2011 Base Salary</w:t>
            </w:r>
          </w:p>
        </w:tc>
        <w:tc>
          <w:tcPr>
            <w:tcW w:w="1840" w:type="dxa"/>
            <w:vAlign w:val="bottom"/>
            <w:gridSpan w:val="3"/>
          </w:tcPr>
          <w:p>
            <w:pPr>
              <w:ind w:left="920"/>
              <w:spacing w:after="0"/>
              <w:rPr>
                <w:sz w:val="20"/>
                <w:szCs w:val="20"/>
                <w:color w:val="auto"/>
              </w:rPr>
            </w:pPr>
            <w:r>
              <w:rPr>
                <w:rFonts w:ascii="Arial" w:cs="Arial" w:eastAsia="Arial" w:hAnsi="Arial"/>
                <w:sz w:val="13"/>
                <w:szCs w:val="13"/>
                <w:b w:val="1"/>
                <w:bCs w:val="1"/>
                <w:color w:val="auto"/>
                <w:w w:val="84"/>
              </w:rPr>
              <w:t>2010 Base Salary</w:t>
            </w:r>
          </w:p>
        </w:tc>
        <w:tc>
          <w:tcPr>
            <w:tcW w:w="17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 Increase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930,935</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930,935</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00"/>
        </w:trPr>
        <w:tc>
          <w:tcPr>
            <w:tcW w:w="2240" w:type="dxa"/>
            <w:vAlign w:val="bottom"/>
            <w:gridSpan w:val="3"/>
          </w:tcPr>
          <w:p>
            <w:pPr>
              <w:spacing w:after="0"/>
              <w:rPr>
                <w:sz w:val="20"/>
                <w:szCs w:val="20"/>
                <w:color w:val="auto"/>
              </w:rPr>
            </w:pPr>
            <w:r>
              <w:rPr>
                <w:rFonts w:ascii="Arial" w:cs="Arial" w:eastAsia="Arial" w:hAnsi="Arial"/>
                <w:sz w:val="16"/>
                <w:szCs w:val="16"/>
                <w:color w:val="auto"/>
              </w:rPr>
              <w:t>David A. Zinsner</w:t>
            </w:r>
          </w:p>
        </w:tc>
        <w:tc>
          <w:tcPr>
            <w:tcW w:w="12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450,000</w:t>
            </w:r>
          </w:p>
        </w:tc>
        <w:tc>
          <w:tcPr>
            <w:tcW w:w="11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450,000</w:t>
            </w:r>
          </w:p>
        </w:tc>
        <w:tc>
          <w:tcPr>
            <w:tcW w:w="1740" w:type="dxa"/>
            <w:vAlign w:val="bottom"/>
            <w:gridSpan w:val="3"/>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398,580</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00"/>
        </w:trPr>
        <w:tc>
          <w:tcPr>
            <w:tcW w:w="2240" w:type="dxa"/>
            <w:vAlign w:val="bottom"/>
            <w:gridSpan w:val="3"/>
          </w:tcPr>
          <w:p>
            <w:pPr>
              <w:spacing w:after="0"/>
              <w:rPr>
                <w:sz w:val="20"/>
                <w:szCs w:val="20"/>
                <w:color w:val="auto"/>
              </w:rPr>
            </w:pPr>
            <w:r>
              <w:rPr>
                <w:rFonts w:ascii="Arial" w:cs="Arial" w:eastAsia="Arial" w:hAnsi="Arial"/>
                <w:sz w:val="16"/>
                <w:szCs w:val="16"/>
                <w:color w:val="auto"/>
              </w:rPr>
              <w:t>Robert P. McAdam</w:t>
            </w:r>
          </w:p>
        </w:tc>
        <w:tc>
          <w:tcPr>
            <w:tcW w:w="12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425,000</w:t>
            </w:r>
          </w:p>
        </w:tc>
        <w:tc>
          <w:tcPr>
            <w:tcW w:w="11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398,580</w:t>
            </w:r>
          </w:p>
        </w:tc>
        <w:tc>
          <w:tcPr>
            <w:tcW w:w="1740" w:type="dxa"/>
            <w:vAlign w:val="bottom"/>
            <w:gridSpan w:val="3"/>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390,012</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In accordance with the terms of Mr. Fishman’s employment agreement, the Compensation Committee maintained Mr. Fishman’s salary at the same level as it has been since 2003. The Compensation Committee maintained Mr. Zinsner’s base salary at 2010 levels and increased the base salaries of Messrs. Marshall, McAdam and Roche in order to maintain their salaries within the range of comparable salaries in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100965</wp:posOffset>
            </wp:positionV>
            <wp:extent cx="6732905" cy="500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500380"/>
                    </a:xfrm>
                    <a:prstGeom prst="rect">
                      <a:avLst/>
                    </a:prstGeom>
                    <a:noFill/>
                  </pic:spPr>
                </pic:pic>
              </a:graphicData>
            </a:graphic>
          </wp:anchor>
        </w:drawing>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How do we set the base salary element of our executive compensation program?</w:t>
      </w:r>
    </w:p>
    <w:p>
      <w:pPr>
        <w:spacing w:after="0" w:line="93" w:lineRule="exact"/>
        <w:rPr>
          <w:sz w:val="20"/>
          <w:szCs w:val="20"/>
          <w:color w:val="auto"/>
        </w:rPr>
      </w:pPr>
    </w:p>
    <w:p>
      <w:pPr>
        <w:ind w:left="1040"/>
        <w:spacing w:after="0" w:line="294" w:lineRule="auto"/>
        <w:rPr>
          <w:sz w:val="20"/>
          <w:szCs w:val="20"/>
          <w:color w:val="auto"/>
        </w:rPr>
      </w:pPr>
      <w:r>
        <w:rPr>
          <w:rFonts w:ascii="Arial" w:cs="Arial" w:eastAsia="Arial" w:hAnsi="Arial"/>
          <w:sz w:val="16"/>
          <w:szCs w:val="16"/>
          <w:color w:val="auto"/>
        </w:rPr>
        <w:t>We generally set base salaries at slightly below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 with the assumption that if we achieve our operating profit and revenue gro levels, the executive will receive total cash compensation at or above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w:t>
      </w:r>
    </w:p>
    <w:p>
      <w:pPr>
        <w:spacing w:after="0" w:line="14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520"/>
          </w:cols>
          <w:pgMar w:left="240" w:top="439" w:right="1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2011 Executive Performance Incentive Plan</w:t>
      </w:r>
    </w:p>
    <w:p>
      <w:pPr>
        <w:spacing w:after="0" w:line="93" w:lineRule="exact"/>
        <w:rPr>
          <w:sz w:val="20"/>
          <w:szCs w:val="20"/>
          <w:color w:val="auto"/>
        </w:rPr>
      </w:pPr>
    </w:p>
    <w:p>
      <w:pPr>
        <w:jc w:val="both"/>
        <w:ind w:right="120" w:firstLine="457"/>
        <w:spacing w:after="0" w:line="335" w:lineRule="auto"/>
        <w:rPr>
          <w:sz w:val="20"/>
          <w:szCs w:val="20"/>
          <w:color w:val="auto"/>
        </w:rPr>
      </w:pPr>
      <w:r>
        <w:rPr>
          <w:rFonts w:ascii="Arial" w:cs="Arial" w:eastAsia="Arial" w:hAnsi="Arial"/>
          <w:sz w:val="14"/>
          <w:szCs w:val="14"/>
          <w:color w:val="auto"/>
        </w:rPr>
        <w:t>In October 2010, the Compensation Committee approved the terms of our 2011 executive performance incentive plan and added a revenue growth element to the plan. The plan is designed to reward ADI’s absolute business performance as opposed to relative performance against our peers. While our Compensation Committee considers our peer group performance when setting ADI’s performance targets, the plan pays out based only on how ADI actually performed, without regard to how our peers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79375</wp:posOffset>
            </wp:positionV>
            <wp:extent cx="6732905" cy="1268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1268730"/>
                    </a:xfrm>
                    <a:prstGeom prst="rect">
                      <a:avLst/>
                    </a:prstGeom>
                    <a:noFill/>
                  </pic:spPr>
                </pic:pic>
              </a:graphicData>
            </a:graphic>
          </wp:anchor>
        </w:drawing>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Why did we change our Executive Performance Incentive Plan for fiscal 2011?</w:t>
      </w:r>
    </w:p>
    <w:p>
      <w:pPr>
        <w:spacing w:after="0" w:line="93" w:lineRule="exact"/>
        <w:rPr>
          <w:sz w:val="20"/>
          <w:szCs w:val="20"/>
          <w:color w:val="auto"/>
        </w:rPr>
      </w:pPr>
    </w:p>
    <w:p>
      <w:pPr>
        <w:jc w:val="both"/>
        <w:ind w:left="1040"/>
        <w:spacing w:after="0" w:line="287" w:lineRule="auto"/>
        <w:rPr>
          <w:sz w:val="20"/>
          <w:szCs w:val="20"/>
          <w:color w:val="auto"/>
        </w:rPr>
      </w:pPr>
      <w:r>
        <w:rPr>
          <w:rFonts w:ascii="Arial" w:cs="Arial" w:eastAsia="Arial" w:hAnsi="Arial"/>
          <w:sz w:val="15"/>
          <w:szCs w:val="15"/>
          <w:color w:val="auto"/>
        </w:rPr>
        <w:t>In the past several years, we structured our executive performance incentive plan to encourage all of our employees, including our executives to improve operat as a percentage of revenue because we believe shareholders value higher profitability levels. In recent years, our profitability levels have improved significantly consistent with our target model. In 2011, we added a revenue growth element to the plan in order to encourage focus on top line growth as well as profits as a p of revenue. Under the 2011 plan, 50% of payout amounts were based on OPBT as a percentage of revenue and 50% were based on revenue growth compared to period in the prior year. We believe that a focus on both revenue growth and operating profits gives us the best opportunity to increase shareholder value. Reven and higher levels of operating profit should increase earnings per share and improve stock price performance. The significant variable component to our compe cost structure enables us to pay more when we achieve our performance goals and less when we do not. In this way, the plan design provides automatic variabil operating expenses, enabling us to preserve strategic programs in a challenging economic environment.</w:t>
      </w:r>
    </w:p>
    <w:p>
      <w:pPr>
        <w:spacing w:after="0" w:line="164" w:lineRule="exact"/>
        <w:rPr>
          <w:sz w:val="20"/>
          <w:szCs w:val="20"/>
          <w:color w:val="auto"/>
        </w:rPr>
      </w:pPr>
    </w:p>
    <w:p>
      <w:pPr>
        <w:ind w:right="440" w:firstLine="457"/>
        <w:spacing w:after="0" w:line="294" w:lineRule="auto"/>
        <w:rPr>
          <w:sz w:val="20"/>
          <w:szCs w:val="20"/>
          <w:color w:val="auto"/>
        </w:rPr>
      </w:pPr>
      <w:r>
        <w:rPr>
          <w:rFonts w:ascii="Arial" w:cs="Arial" w:eastAsia="Arial" w:hAnsi="Arial"/>
          <w:sz w:val="16"/>
          <w:szCs w:val="16"/>
          <w:color w:val="auto"/>
        </w:rPr>
        <w:t>All executive officers, including our NEOs, participated in the 2011 executive performance incentive plan. We calculated and paid bonuses under the 2011 plan as follows:</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202"/>
        </w:trPr>
        <w:tc>
          <w:tcPr>
            <w:tcW w:w="1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00" w:type="dxa"/>
            <w:vAlign w:val="bottom"/>
          </w:tcPr>
          <w:p>
            <w:pPr>
              <w:jc w:val="center"/>
              <w:ind w:left="178"/>
              <w:spacing w:after="0"/>
              <w:rPr>
                <w:sz w:val="20"/>
                <w:szCs w:val="20"/>
                <w:color w:val="auto"/>
              </w:rPr>
            </w:pPr>
            <w:r>
              <w:rPr>
                <w:rFonts w:ascii="Arial" w:cs="Arial" w:eastAsia="Arial" w:hAnsi="Arial"/>
                <w:sz w:val="16"/>
                <w:szCs w:val="16"/>
                <w:color w:val="auto"/>
              </w:rPr>
              <w:t>Individual</w:t>
            </w:r>
          </w:p>
        </w:tc>
        <w:tc>
          <w:tcPr>
            <w:tcW w:w="1200" w:type="dxa"/>
            <w:vAlign w:val="bottom"/>
          </w:tcPr>
          <w:p>
            <w:pPr>
              <w:spacing w:after="0"/>
              <w:rPr>
                <w:sz w:val="17"/>
                <w:szCs w:val="17"/>
                <w:color w:val="auto"/>
              </w:rPr>
            </w:pPr>
          </w:p>
        </w:tc>
        <w:tc>
          <w:tcPr>
            <w:tcW w:w="1480" w:type="dxa"/>
            <w:vAlign w:val="bottom"/>
            <w:vMerge w:val="restart"/>
          </w:tcPr>
          <w:p>
            <w:pPr>
              <w:ind w:left="540"/>
              <w:spacing w:after="0"/>
              <w:rPr>
                <w:sz w:val="20"/>
                <w:szCs w:val="20"/>
                <w:color w:val="auto"/>
              </w:rPr>
            </w:pPr>
            <w:r>
              <w:rPr>
                <w:rFonts w:ascii="Arial" w:cs="Arial" w:eastAsia="Arial" w:hAnsi="Arial"/>
                <w:sz w:val="16"/>
                <w:szCs w:val="16"/>
                <w:color w:val="auto"/>
              </w:rPr>
              <w:t>Bonus</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500" w:type="dxa"/>
            <w:vAlign w:val="bottom"/>
            <w:vMerge w:val="restart"/>
          </w:tcPr>
          <w:p>
            <w:pPr>
              <w:jc w:val="center"/>
              <w:ind w:right="1018"/>
              <w:spacing w:after="0"/>
              <w:rPr>
                <w:sz w:val="20"/>
                <w:szCs w:val="20"/>
                <w:color w:val="auto"/>
              </w:rPr>
            </w:pPr>
            <w:r>
              <w:rPr>
                <w:rFonts w:ascii="Arial" w:cs="Arial" w:eastAsia="Arial" w:hAnsi="Arial"/>
                <w:sz w:val="16"/>
                <w:szCs w:val="16"/>
                <w:color w:val="auto"/>
                <w:w w:val="87"/>
              </w:rPr>
              <w:t>Base</w:t>
            </w:r>
          </w:p>
        </w:tc>
        <w:tc>
          <w:tcPr>
            <w:tcW w:w="2040" w:type="dxa"/>
            <w:vAlign w:val="bottom"/>
          </w:tcPr>
          <w:p>
            <w:pPr>
              <w:spacing w:after="0"/>
              <w:rPr>
                <w:sz w:val="8"/>
                <w:szCs w:val="8"/>
                <w:color w:val="auto"/>
              </w:rPr>
            </w:pPr>
          </w:p>
        </w:tc>
        <w:tc>
          <w:tcPr>
            <w:tcW w:w="2100" w:type="dxa"/>
            <w:vAlign w:val="bottom"/>
            <w:vMerge w:val="restart"/>
          </w:tcPr>
          <w:p>
            <w:pPr>
              <w:jc w:val="center"/>
              <w:ind w:left="198"/>
              <w:spacing w:after="0"/>
              <w:rPr>
                <w:sz w:val="20"/>
                <w:szCs w:val="20"/>
                <w:color w:val="auto"/>
              </w:rPr>
            </w:pPr>
            <w:r>
              <w:rPr>
                <w:rFonts w:ascii="Arial" w:cs="Arial" w:eastAsia="Arial" w:hAnsi="Arial"/>
                <w:sz w:val="16"/>
                <w:szCs w:val="16"/>
                <w:color w:val="auto"/>
                <w:w w:val="90"/>
              </w:rPr>
              <w:t>Target</w:t>
            </w:r>
          </w:p>
        </w:tc>
        <w:tc>
          <w:tcPr>
            <w:tcW w:w="12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vMerge w:val="restart"/>
          </w:tcPr>
          <w:p>
            <w:pPr>
              <w:ind w:left="540"/>
              <w:spacing w:after="0"/>
              <w:rPr>
                <w:sz w:val="20"/>
                <w:szCs w:val="20"/>
                <w:color w:val="auto"/>
              </w:rPr>
            </w:pPr>
            <w:r>
              <w:rPr>
                <w:rFonts w:ascii="Arial" w:cs="Arial" w:eastAsia="Arial" w:hAnsi="Arial"/>
                <w:sz w:val="16"/>
                <w:szCs w:val="16"/>
                <w:color w:val="auto"/>
                <w:w w:val="92"/>
              </w:rPr>
              <w:t>Bonus</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2040" w:type="dxa"/>
            <w:vAlign w:val="bottom"/>
            <w:vMerge w:val="restart"/>
          </w:tcPr>
          <w:p>
            <w:pPr>
              <w:ind w:left="1100"/>
              <w:spacing w:after="0"/>
              <w:rPr>
                <w:sz w:val="20"/>
                <w:szCs w:val="20"/>
                <w:color w:val="auto"/>
              </w:rPr>
            </w:pPr>
            <w:r>
              <w:rPr>
                <w:rFonts w:ascii="Arial" w:cs="Arial" w:eastAsia="Arial" w:hAnsi="Arial"/>
                <w:sz w:val="16"/>
                <w:szCs w:val="16"/>
                <w:color w:val="auto"/>
              </w:rPr>
              <w:t>X</w:t>
            </w:r>
          </w:p>
        </w:tc>
        <w:tc>
          <w:tcPr>
            <w:tcW w:w="2100" w:type="dxa"/>
            <w:vAlign w:val="bottom"/>
            <w:vMerge w:val="continue"/>
          </w:tcPr>
          <w:p>
            <w:pPr>
              <w:spacing w:after="0"/>
              <w:rPr>
                <w:sz w:val="8"/>
                <w:szCs w:val="8"/>
                <w:color w:val="auto"/>
              </w:rPr>
            </w:pPr>
          </w:p>
        </w:tc>
        <w:tc>
          <w:tcPr>
            <w:tcW w:w="1200" w:type="dxa"/>
            <w:vAlign w:val="bottom"/>
            <w:vMerge w:val="restart"/>
          </w:tcPr>
          <w:p>
            <w:pPr>
              <w:ind w:left="560"/>
              <w:spacing w:after="0"/>
              <w:rPr>
                <w:sz w:val="20"/>
                <w:szCs w:val="20"/>
                <w:color w:val="auto"/>
              </w:rPr>
            </w:pPr>
            <w:r>
              <w:rPr>
                <w:rFonts w:ascii="Arial" w:cs="Arial" w:eastAsia="Arial" w:hAnsi="Arial"/>
                <w:sz w:val="16"/>
                <w:szCs w:val="16"/>
                <w:color w:val="auto"/>
              </w:rPr>
              <w:t>X</w:t>
            </w:r>
          </w:p>
        </w:tc>
        <w:tc>
          <w:tcPr>
            <w:tcW w:w="1480" w:type="dxa"/>
            <w:vAlign w:val="bottom"/>
            <w:vMerge w:val="restart"/>
          </w:tcPr>
          <w:p>
            <w:pPr>
              <w:ind w:left="520"/>
              <w:spacing w:after="0"/>
              <w:rPr>
                <w:sz w:val="20"/>
                <w:szCs w:val="20"/>
                <w:color w:val="auto"/>
              </w:rPr>
            </w:pPr>
            <w:r>
              <w:rPr>
                <w:rFonts w:ascii="Arial" w:cs="Arial" w:eastAsia="Arial" w:hAnsi="Arial"/>
                <w:sz w:val="16"/>
                <w:szCs w:val="16"/>
                <w:color w:val="auto"/>
              </w:rPr>
              <w:t>Payout</w:t>
            </w:r>
          </w:p>
        </w:tc>
        <w:tc>
          <w:tcPr>
            <w:tcW w:w="1120" w:type="dxa"/>
            <w:vAlign w:val="bottom"/>
            <w:vMerge w:val="restart"/>
          </w:tcPr>
          <w:p>
            <w:pPr>
              <w:jc w:val="right"/>
              <w:ind w:right="438"/>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00" w:type="dxa"/>
            <w:vAlign w:val="bottom"/>
            <w:vMerge w:val="restart"/>
          </w:tcPr>
          <w:p>
            <w:pPr>
              <w:jc w:val="center"/>
              <w:ind w:right="998"/>
              <w:spacing w:after="0"/>
              <w:rPr>
                <w:sz w:val="20"/>
                <w:szCs w:val="20"/>
                <w:color w:val="auto"/>
              </w:rPr>
            </w:pPr>
            <w:r>
              <w:rPr>
                <w:rFonts w:ascii="Arial" w:cs="Arial" w:eastAsia="Arial" w:hAnsi="Arial"/>
                <w:sz w:val="16"/>
                <w:szCs w:val="16"/>
                <w:color w:val="auto"/>
                <w:w w:val="92"/>
              </w:rPr>
              <w:t>Salary</w:t>
            </w:r>
          </w:p>
        </w:tc>
        <w:tc>
          <w:tcPr>
            <w:tcW w:w="2040" w:type="dxa"/>
            <w:vAlign w:val="bottom"/>
            <w:vMerge w:val="continue"/>
          </w:tcPr>
          <w:p>
            <w:pPr>
              <w:spacing w:after="0"/>
              <w:rPr>
                <w:sz w:val="8"/>
                <w:szCs w:val="8"/>
                <w:color w:val="auto"/>
              </w:rPr>
            </w:pPr>
          </w:p>
        </w:tc>
        <w:tc>
          <w:tcPr>
            <w:tcW w:w="2100" w:type="dxa"/>
            <w:vAlign w:val="bottom"/>
            <w:vMerge w:val="restart"/>
          </w:tcPr>
          <w:p>
            <w:pPr>
              <w:jc w:val="center"/>
              <w:ind w:left="198"/>
              <w:spacing w:after="0"/>
              <w:rPr>
                <w:sz w:val="20"/>
                <w:szCs w:val="20"/>
                <w:color w:val="auto"/>
              </w:rPr>
            </w:pPr>
            <w:r>
              <w:rPr>
                <w:rFonts w:ascii="Arial" w:cs="Arial" w:eastAsia="Arial" w:hAnsi="Arial"/>
                <w:sz w:val="16"/>
                <w:szCs w:val="16"/>
                <w:color w:val="auto"/>
                <w:w w:val="92"/>
              </w:rPr>
              <w:t>Bonus</w:t>
            </w:r>
          </w:p>
        </w:tc>
        <w:tc>
          <w:tcPr>
            <w:tcW w:w="120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80" w:type="dxa"/>
            <w:vAlign w:val="bottom"/>
            <w:vMerge w:val="restart"/>
          </w:tcPr>
          <w:p>
            <w:pPr>
              <w:ind w:left="520"/>
              <w:spacing w:after="0"/>
              <w:rPr>
                <w:sz w:val="20"/>
                <w:szCs w:val="20"/>
                <w:color w:val="auto"/>
              </w:rPr>
            </w:pPr>
            <w:r>
              <w:rPr>
                <w:rFonts w:ascii="Arial" w:cs="Arial" w:eastAsia="Arial" w:hAnsi="Arial"/>
                <w:sz w:val="16"/>
                <w:szCs w:val="16"/>
                <w:color w:val="auto"/>
                <w:w w:val="88"/>
              </w:rPr>
              <w:t>Payout</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480" w:type="dxa"/>
            <w:vAlign w:val="bottom"/>
            <w:vMerge w:val="restart"/>
          </w:tcPr>
          <w:p>
            <w:pPr>
              <w:ind w:left="540"/>
              <w:spacing w:after="0"/>
              <w:rPr>
                <w:sz w:val="20"/>
                <w:szCs w:val="20"/>
                <w:color w:val="auto"/>
              </w:rPr>
            </w:pPr>
            <w:r>
              <w:rPr>
                <w:rFonts w:ascii="Arial" w:cs="Arial" w:eastAsia="Arial" w:hAnsi="Arial"/>
                <w:sz w:val="16"/>
                <w:szCs w:val="16"/>
                <w:color w:val="auto"/>
              </w:rPr>
              <w:t>Factor</w:t>
            </w:r>
          </w:p>
        </w:tc>
        <w:tc>
          <w:tcPr>
            <w:tcW w:w="1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00" w:type="dxa"/>
            <w:vAlign w:val="bottom"/>
            <w:vMerge w:val="restart"/>
          </w:tcPr>
          <w:p>
            <w:pPr>
              <w:jc w:val="center"/>
              <w:ind w:left="178"/>
              <w:spacing w:after="0"/>
              <w:rPr>
                <w:sz w:val="20"/>
                <w:szCs w:val="20"/>
                <w:color w:val="auto"/>
              </w:rPr>
            </w:pPr>
            <w:r>
              <w:rPr>
                <w:rFonts w:ascii="Arial" w:cs="Arial" w:eastAsia="Arial" w:hAnsi="Arial"/>
                <w:sz w:val="16"/>
                <w:szCs w:val="16"/>
                <w:color w:val="auto"/>
                <w:w w:val="87"/>
              </w:rPr>
              <w:t>Percentage</w:t>
            </w:r>
          </w:p>
        </w:tc>
        <w:tc>
          <w:tcPr>
            <w:tcW w:w="12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Individual Target Bonus Percentages</w:t>
      </w:r>
      <w:r>
        <w:rPr>
          <w:rFonts w:ascii="Arial" w:cs="Arial" w:eastAsia="Arial" w:hAnsi="Arial"/>
          <w:sz w:val="15"/>
          <w:szCs w:val="15"/>
          <w:color w:val="auto"/>
        </w:rPr>
        <w:t>. The Compensation Committee established the following target bonuses, as a percentage of base salary, for the NEOs for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2011. These targets remain unchanged from fiscal 2010:</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Jerald G. Fishman — 160%</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David A. Zinsner — 75%</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Robert R. Marshall — 75%</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Robert P. McAdam — 75%</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Vincent T. Roche — 75%</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set these target bonus percentages for two reasons:</w:t>
      </w:r>
    </w:p>
    <w:p>
      <w:pPr>
        <w:spacing w:after="0" w:line="93" w:lineRule="exact"/>
        <w:rPr>
          <w:sz w:val="20"/>
          <w:szCs w:val="20"/>
          <w:color w:val="auto"/>
        </w:rPr>
      </w:pPr>
    </w:p>
    <w:p>
      <w:pPr>
        <w:ind w:left="900" w:hanging="332"/>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First, to ensure that a substantial portion of each executive’s cash compensation is linked directly to our business performance, and</w:t>
      </w:r>
    </w:p>
    <w:p>
      <w:pPr>
        <w:spacing w:after="0" w:line="93" w:lineRule="exact"/>
        <w:rPr>
          <w:rFonts w:ascii="Arial" w:cs="Arial" w:eastAsia="Arial" w:hAnsi="Arial"/>
          <w:sz w:val="16"/>
          <w:szCs w:val="16"/>
          <w:color w:val="auto"/>
        </w:rPr>
      </w:pPr>
    </w:p>
    <w:p>
      <w:pPr>
        <w:ind w:left="900" w:right="160" w:hanging="332"/>
        <w:spacing w:after="0" w:line="370" w:lineRule="auto"/>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Second, because base salaries are set at slightly below the 50</w:t>
      </w:r>
      <w:r>
        <w:rPr>
          <w:rFonts w:ascii="Arial" w:cs="Arial" w:eastAsia="Arial" w:hAnsi="Arial"/>
          <w:sz w:val="9"/>
          <w:szCs w:val="9"/>
          <w:color w:val="auto"/>
        </w:rPr>
        <w:t>th</w:t>
      </w:r>
      <w:r>
        <w:rPr>
          <w:rFonts w:ascii="Arial" w:cs="Arial" w:eastAsia="Arial" w:hAnsi="Arial"/>
          <w:sz w:val="14"/>
          <w:szCs w:val="14"/>
          <w:color w:val="auto"/>
        </w:rPr>
        <w:t xml:space="preserve"> percentile of the peer group, a 75% bonus opportunity provides the non-CEO executives with a performance-based opportunity to earn total compensation (consisting of salary, bonus and equity award) at approximately the 50</w:t>
      </w:r>
      <w:r>
        <w:rPr>
          <w:rFonts w:ascii="Arial" w:cs="Arial" w:eastAsia="Arial" w:hAnsi="Arial"/>
          <w:sz w:val="9"/>
          <w:szCs w:val="9"/>
          <w:color w:val="auto"/>
        </w:rPr>
        <w:t>th</w:t>
      </w:r>
      <w:r>
        <w:rPr>
          <w:rFonts w:ascii="Arial" w:cs="Arial" w:eastAsia="Arial" w:hAnsi="Arial"/>
          <w:sz w:val="14"/>
          <w:szCs w:val="14"/>
          <w:color w:val="auto"/>
        </w:rPr>
        <w:t xml:space="preserve"> percentile of the peer group.</w:t>
      </w:r>
    </w:p>
    <w:p>
      <w:pPr>
        <w:spacing w:after="0" w:line="4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520"/>
          </w:cols>
          <w:pgMar w:left="240" w:top="439" w:right="1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Our current CEO’s target was set at 160% under the terms of his employment agreement described below in order to tie the vast majority of his compensation directly to Company performance and to provide him the opportunity to achieve total compensation at the 75</w:t>
      </w:r>
      <w:r>
        <w:rPr>
          <w:rFonts w:ascii="Arial" w:cs="Arial" w:eastAsia="Arial" w:hAnsi="Arial"/>
          <w:sz w:val="9"/>
          <w:szCs w:val="9"/>
          <w:color w:val="auto"/>
        </w:rPr>
        <w:t>th</w:t>
      </w:r>
      <w:r>
        <w:rPr>
          <w:rFonts w:ascii="Arial" w:cs="Arial" w:eastAsia="Arial" w:hAnsi="Arial"/>
          <w:sz w:val="15"/>
          <w:szCs w:val="15"/>
          <w:color w:val="auto"/>
        </w:rPr>
        <w:t xml:space="preserve"> percentile of our peer group. The Compensation Committee believes the 75</w:t>
      </w:r>
      <w:r>
        <w:rPr>
          <w:rFonts w:ascii="Arial" w:cs="Arial" w:eastAsia="Arial" w:hAnsi="Arial"/>
          <w:sz w:val="9"/>
          <w:szCs w:val="9"/>
          <w:color w:val="auto"/>
        </w:rPr>
        <w:t>th</w:t>
      </w:r>
      <w:r>
        <w:rPr>
          <w:rFonts w:ascii="Arial" w:cs="Arial" w:eastAsia="Arial" w:hAnsi="Arial"/>
          <w:sz w:val="15"/>
          <w:szCs w:val="15"/>
          <w:color w:val="auto"/>
        </w:rPr>
        <w:t xml:space="preserve"> percentile is appropriate for Mr. Fishman because he is one of the most experienced and qualified CEOs in the semiconductor industry.</w:t>
      </w:r>
    </w:p>
    <w:p>
      <w:pPr>
        <w:spacing w:after="0" w:line="98" w:lineRule="exact"/>
        <w:rPr>
          <w:sz w:val="20"/>
          <w:szCs w:val="20"/>
          <w:color w:val="auto"/>
        </w:rPr>
      </w:pPr>
    </w:p>
    <w:p>
      <w:pPr>
        <w:ind w:right="580" w:firstLine="457"/>
        <w:spacing w:after="0" w:line="278" w:lineRule="auto"/>
        <w:rPr>
          <w:sz w:val="20"/>
          <w:szCs w:val="20"/>
          <w:color w:val="auto"/>
        </w:rPr>
      </w:pPr>
      <w:r>
        <w:rPr>
          <w:rFonts w:ascii="Arial" w:cs="Arial" w:eastAsia="Arial" w:hAnsi="Arial"/>
          <w:sz w:val="16"/>
          <w:szCs w:val="16"/>
          <w:u w:val="single" w:color="auto"/>
          <w:color w:val="auto"/>
        </w:rPr>
        <w:t>Bonus Payout Factor</w:t>
      </w:r>
      <w:r>
        <w:rPr>
          <w:rFonts w:ascii="Arial" w:cs="Arial" w:eastAsia="Arial" w:hAnsi="Arial"/>
          <w:sz w:val="16"/>
          <w:szCs w:val="16"/>
          <w:color w:val="auto"/>
        </w:rPr>
        <w:t>. For fiscal 2011, we based the Bonus Payout Factor for the applicable quarterly bonus period on our OPBT as a percentage of revenue and revenue growth compared to the same quarter in the prior year. The OPBT and revenue growth targets are equally applicable to our executives and our non-executive employees.</w:t>
      </w:r>
    </w:p>
    <w:p>
      <w:pPr>
        <w:spacing w:after="0" w:line="117" w:lineRule="exact"/>
        <w:rPr>
          <w:sz w:val="20"/>
          <w:szCs w:val="20"/>
          <w:color w:val="auto"/>
        </w:rPr>
      </w:pPr>
    </w:p>
    <w:p>
      <w:pPr>
        <w:ind w:right="260" w:firstLine="457"/>
        <w:spacing w:after="0" w:line="292" w:lineRule="auto"/>
        <w:rPr>
          <w:sz w:val="20"/>
          <w:szCs w:val="20"/>
          <w:color w:val="auto"/>
        </w:rPr>
      </w:pPr>
      <w:r>
        <w:rPr>
          <w:rFonts w:ascii="Arial" w:cs="Arial" w:eastAsia="Arial" w:hAnsi="Arial"/>
          <w:sz w:val="15"/>
          <w:szCs w:val="15"/>
          <w:color w:val="auto"/>
        </w:rPr>
        <w:t>The Compensation Committee may adjust the OPBT and revenue growth metrics in its sole discretion to include or exclude special items such as (but not limited to) restructuring-related expense, acquisition-related expense, gain or loss on disposition of businesses, non-recurring royalty payments, and other similar non-cash or non-recurring items. The reason for excluding these items is to prevent payments under the plan from being adversely or advantageously affected by one-time events. In other words, the Compensation Committee does not want to (a) deter our executives from taking an action that is beneficial for ADI but that would adversely impact his or her bonus payment or (b) encourage actions that are detrimental to ADI but that would increase an executive’s bonus payment.</w:t>
      </w:r>
    </w:p>
    <w:p>
      <w:pPr>
        <w:spacing w:after="0" w:line="110" w:lineRule="exact"/>
        <w:rPr>
          <w:sz w:val="20"/>
          <w:szCs w:val="20"/>
          <w:color w:val="auto"/>
        </w:rPr>
      </w:pPr>
    </w:p>
    <w:p>
      <w:pPr>
        <w:ind w:right="100" w:firstLine="457"/>
        <w:spacing w:after="0" w:line="317" w:lineRule="auto"/>
        <w:rPr>
          <w:sz w:val="20"/>
          <w:szCs w:val="20"/>
          <w:color w:val="auto"/>
        </w:rPr>
      </w:pPr>
      <w:r>
        <w:rPr>
          <w:rFonts w:ascii="Arial" w:cs="Arial" w:eastAsia="Arial" w:hAnsi="Arial"/>
          <w:sz w:val="14"/>
          <w:szCs w:val="14"/>
          <w:color w:val="auto"/>
        </w:rPr>
        <w:t>The Compensation Committee typically reviews and approves our annual compensation targets before the beginning of each fiscal year, and historically they have not been re-set during the year, regardless of Company performance or economic conditions. We believe that this approach fosters accountability for our business results and is in keeping with our core belief that variable compensation expense, which expands when our performance is good and contracts when it is poor, gives us maximum flexibility to operate our business. While the OPBT and revenue growth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135890</wp:posOffset>
            </wp:positionV>
            <wp:extent cx="6732905" cy="884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884555"/>
                    </a:xfrm>
                    <a:prstGeom prst="rect">
                      <a:avLst/>
                    </a:prstGeom>
                    <a:noFill/>
                  </pic:spPr>
                </pic:pic>
              </a:graphicData>
            </a:graphic>
          </wp:anchor>
        </w:drawing>
      </w:r>
    </w:p>
    <w:p>
      <w:pPr>
        <w:spacing w:after="0" w:line="240"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Why does our Performance Incentive Plan measure performance over a one year period?</w:t>
      </w:r>
    </w:p>
    <w:p>
      <w:pPr>
        <w:spacing w:after="0" w:line="93" w:lineRule="exact"/>
        <w:rPr>
          <w:sz w:val="20"/>
          <w:szCs w:val="20"/>
          <w:color w:val="auto"/>
        </w:rPr>
      </w:pPr>
    </w:p>
    <w:p>
      <w:pPr>
        <w:jc w:val="both"/>
        <w:ind w:left="1040"/>
        <w:spacing w:after="0" w:line="270" w:lineRule="auto"/>
        <w:rPr>
          <w:sz w:val="20"/>
          <w:szCs w:val="20"/>
          <w:color w:val="auto"/>
        </w:rPr>
      </w:pPr>
      <w:r>
        <w:rPr>
          <w:rFonts w:ascii="Arial" w:cs="Arial" w:eastAsia="Arial" w:hAnsi="Arial"/>
          <w:sz w:val="16"/>
          <w:szCs w:val="16"/>
          <w:color w:val="auto"/>
        </w:rPr>
        <w:t>While the performance incentive plan contains annual performance targets, the Compensation Committee designed this plan with a longer-term horizon in mind targets are directly linked to our long-term corporate strategy of improving operating profits and revenue growth. We set targets that are consistent with the five average performance of our peer group. We generally leave these targets in place for three to five years, regardless of economic conditions. We believe this com ensures that we encourage a long-term focus on our business objectives, while measuring progress against those objectives on an annual basis. In this way, our a targets are designed to drive long-term performance.</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520"/>
          </w:cols>
          <w:pgMar w:left="240" w:top="439" w:right="1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Bonus Payout Factor targets for each quarter during fiscal 2011:</w:t>
      </w:r>
    </w:p>
    <w:p>
      <w:pPr>
        <w:spacing w:after="0" w:line="195" w:lineRule="exact"/>
        <w:rPr>
          <w:sz w:val="20"/>
          <w:szCs w:val="20"/>
          <w:color w:val="auto"/>
        </w:rPr>
      </w:pPr>
    </w:p>
    <w:tbl>
      <w:tblPr>
        <w:tblLayout w:type="fixed"/>
        <w:tblInd w:w="930" w:type="dxa"/>
        <w:tblCellMar>
          <w:top w:w="0" w:type="dxa"/>
          <w:left w:w="0" w:type="dxa"/>
          <w:bottom w:w="0" w:type="dxa"/>
          <w:right w:w="0" w:type="dxa"/>
        </w:tblCellMar>
      </w:tblPr>
      <w:tr>
        <w:trPr>
          <w:trHeight w:val="214"/>
        </w:trPr>
        <w:tc>
          <w:tcPr>
            <w:tcW w:w="880" w:type="dxa"/>
            <w:vAlign w:val="bottom"/>
            <w:tcBorders>
              <w:top w:val="single" w:sz="8" w:color="auto"/>
              <w:left w:val="single" w:sz="8" w:color="auto"/>
              <w:bottom w:val="single" w:sz="8" w:color="auto"/>
              <w:right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OPBT (50% weight)</w:t>
            </w: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CCEEFF"/>
              <w:right w:val="single" w:sz="8" w:color="auto"/>
            </w:tcBorders>
            <w:shd w:val="clear" w:color="auto" w:fill="CCEEFF"/>
          </w:tcPr>
          <w:p>
            <w:pPr>
              <w:spacing w:after="0"/>
              <w:rPr>
                <w:sz w:val="18"/>
                <w:szCs w:val="18"/>
                <w:color w:val="auto"/>
              </w:rPr>
            </w:pPr>
          </w:p>
        </w:tc>
        <w:tc>
          <w:tcPr>
            <w:tcW w:w="3620" w:type="dxa"/>
            <w:vAlign w:val="bottom"/>
            <w:tcBorders>
              <w:top w:val="single" w:sz="8" w:color="auto"/>
              <w:bottom w:val="single" w:sz="8" w:color="auto"/>
              <w:right w:val="single" w:sz="8" w:color="auto"/>
            </w:tcBorders>
            <w:gridSpan w:val="2"/>
            <w:shd w:val="clear" w:color="auto" w:fill="CCEEFF"/>
          </w:tcPr>
          <w:p>
            <w:pPr>
              <w:ind w:left="800"/>
              <w:spacing w:after="0"/>
              <w:rPr>
                <w:sz w:val="20"/>
                <w:szCs w:val="20"/>
                <w:color w:val="auto"/>
              </w:rPr>
            </w:pPr>
            <w:r>
              <w:rPr>
                <w:rFonts w:ascii="Arial" w:cs="Arial" w:eastAsia="Arial" w:hAnsi="Arial"/>
                <w:sz w:val="16"/>
                <w:szCs w:val="16"/>
                <w:b w:val="1"/>
                <w:bCs w:val="1"/>
                <w:color w:val="auto"/>
              </w:rPr>
              <w:t>Revenue Growth (50% weight)</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80" w:type="dxa"/>
            <w:vAlign w:val="bottom"/>
            <w:tcBorders>
              <w:left w:val="single" w:sz="8" w:color="auto"/>
              <w:right w:val="single" w:sz="8" w:color="auto"/>
            </w:tcBorders>
          </w:tcPr>
          <w:p>
            <w:pPr>
              <w:jc w:val="center"/>
              <w:ind w:left="18"/>
              <w:spacing w:after="0"/>
              <w:rPr>
                <w:sz w:val="20"/>
                <w:szCs w:val="20"/>
                <w:color w:val="auto"/>
              </w:rPr>
            </w:pPr>
            <w:r>
              <w:rPr>
                <w:rFonts w:ascii="Arial" w:cs="Arial" w:eastAsia="Arial" w:hAnsi="Arial"/>
                <w:sz w:val="16"/>
                <w:szCs w:val="16"/>
                <w:color w:val="auto"/>
                <w:w w:val="96"/>
              </w:rPr>
              <w:t>OPBT</w:t>
            </w:r>
          </w:p>
        </w:tc>
        <w:tc>
          <w:tcPr>
            <w:tcW w:w="2180" w:type="dxa"/>
            <w:vAlign w:val="bottom"/>
          </w:tcPr>
          <w:p>
            <w:pPr>
              <w:jc w:val="center"/>
              <w:ind w:left="78"/>
              <w:spacing w:after="0"/>
              <w:rPr>
                <w:sz w:val="20"/>
                <w:szCs w:val="20"/>
                <w:color w:val="auto"/>
              </w:rPr>
            </w:pPr>
            <w:r>
              <w:rPr>
                <w:rFonts w:ascii="Arial" w:cs="Arial" w:eastAsia="Arial" w:hAnsi="Arial"/>
                <w:sz w:val="16"/>
                <w:szCs w:val="16"/>
                <w:color w:val="auto"/>
                <w:w w:val="90"/>
              </w:rPr>
              <w:t>Payout Factor</w:t>
            </w:r>
          </w:p>
        </w:tc>
        <w:tc>
          <w:tcPr>
            <w:tcW w:w="180" w:type="dxa"/>
            <w:vAlign w:val="bottom"/>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tcPr>
          <w:p>
            <w:pPr>
              <w:jc w:val="center"/>
              <w:ind w:left="58"/>
              <w:spacing w:after="0"/>
              <w:rPr>
                <w:sz w:val="20"/>
                <w:szCs w:val="20"/>
                <w:color w:val="auto"/>
              </w:rPr>
            </w:pPr>
            <w:r>
              <w:rPr>
                <w:rFonts w:ascii="Arial" w:cs="Arial" w:eastAsia="Arial" w:hAnsi="Arial"/>
                <w:sz w:val="16"/>
                <w:szCs w:val="16"/>
                <w:color w:val="auto"/>
                <w:w w:val="94"/>
              </w:rPr>
              <w:t>YTY Revenue</w:t>
            </w:r>
          </w:p>
        </w:tc>
        <w:tc>
          <w:tcPr>
            <w:tcW w:w="2100" w:type="dxa"/>
            <w:vAlign w:val="bottom"/>
          </w:tcPr>
          <w:p>
            <w:pPr>
              <w:jc w:val="center"/>
              <w:ind w:left="58"/>
              <w:spacing w:after="0"/>
              <w:rPr>
                <w:sz w:val="20"/>
                <w:szCs w:val="20"/>
                <w:color w:val="auto"/>
              </w:rPr>
            </w:pPr>
            <w:r>
              <w:rPr>
                <w:rFonts w:ascii="Arial" w:cs="Arial" w:eastAsia="Arial" w:hAnsi="Arial"/>
                <w:sz w:val="16"/>
                <w:szCs w:val="16"/>
                <w:color w:val="auto"/>
                <w:w w:val="92"/>
              </w:rPr>
              <w:t>Payout Factor</w:t>
            </w:r>
          </w:p>
        </w:tc>
        <w:tc>
          <w:tcPr>
            <w:tcW w:w="160" w:type="dxa"/>
            <w:vAlign w:val="bottom"/>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80" w:type="dxa"/>
            <w:vAlign w:val="bottom"/>
            <w:tcBorders>
              <w:left w:val="single" w:sz="8" w:color="auto"/>
              <w:right w:val="single" w:sz="8" w:color="auto"/>
            </w:tcBorders>
          </w:tcPr>
          <w:p>
            <w:pPr>
              <w:jc w:val="center"/>
              <w:ind w:left="18"/>
              <w:spacing w:after="0"/>
              <w:rPr>
                <w:sz w:val="20"/>
                <w:szCs w:val="20"/>
                <w:color w:val="auto"/>
              </w:rPr>
            </w:pPr>
            <w:r>
              <w:rPr>
                <w:rFonts w:ascii="Arial" w:cs="Arial" w:eastAsia="Arial" w:hAnsi="Arial"/>
                <w:sz w:val="16"/>
                <w:szCs w:val="16"/>
                <w:color w:val="auto"/>
                <w:w w:val="98"/>
              </w:rPr>
              <w:t>(by</w:t>
            </w:r>
          </w:p>
        </w:tc>
        <w:tc>
          <w:tcPr>
            <w:tcW w:w="2360" w:type="dxa"/>
            <w:vAlign w:val="bottom"/>
            <w:gridSpan w:val="2"/>
          </w:tcPr>
          <w:p>
            <w:pPr>
              <w:jc w:val="center"/>
              <w:ind w:right="20"/>
              <w:spacing w:after="0"/>
              <w:rPr>
                <w:sz w:val="20"/>
                <w:szCs w:val="20"/>
                <w:color w:val="auto"/>
              </w:rPr>
            </w:pPr>
            <w:r>
              <w:rPr>
                <w:rFonts w:ascii="Arial" w:cs="Arial" w:eastAsia="Arial" w:hAnsi="Arial"/>
                <w:sz w:val="16"/>
                <w:szCs w:val="16"/>
                <w:color w:val="auto"/>
                <w:w w:val="94"/>
              </w:rPr>
              <w:t>(by quarter)</w:t>
            </w:r>
          </w:p>
        </w:tc>
        <w:tc>
          <w:tcPr>
            <w:tcW w:w="240" w:type="dxa"/>
            <w:vAlign w:val="bottom"/>
            <w:tcBorders>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color w:val="auto"/>
                <w:w w:val="95"/>
              </w:rPr>
              <w:t>Growth (by quarter)</w:t>
            </w:r>
          </w:p>
        </w:tc>
        <w:tc>
          <w:tcPr>
            <w:tcW w:w="2260" w:type="dxa"/>
            <w:vAlign w:val="bottom"/>
            <w:gridSpan w:val="2"/>
          </w:tcPr>
          <w:p>
            <w:pPr>
              <w:jc w:val="center"/>
              <w:spacing w:after="0"/>
              <w:rPr>
                <w:sz w:val="20"/>
                <w:szCs w:val="20"/>
                <w:color w:val="auto"/>
              </w:rPr>
            </w:pPr>
            <w:r>
              <w:rPr>
                <w:rFonts w:ascii="Arial" w:cs="Arial" w:eastAsia="Arial" w:hAnsi="Arial"/>
                <w:sz w:val="16"/>
                <w:szCs w:val="16"/>
                <w:color w:val="auto"/>
                <w:w w:val="94"/>
              </w:rPr>
              <w:t>(by quarter)</w:t>
            </w: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quarter)</w:t>
            </w:r>
          </w:p>
        </w:tc>
        <w:tc>
          <w:tcPr>
            <w:tcW w:w="21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&lt;15%</w:t>
            </w:r>
          </w:p>
        </w:tc>
        <w:tc>
          <w:tcPr>
            <w:tcW w:w="2180" w:type="dxa"/>
            <w:vAlign w:val="bottom"/>
            <w:tcBorders>
              <w:bottom w:val="single" w:sz="8" w:color="auto"/>
              <w:right w:val="single" w:sz="8" w:color="CCEEFF"/>
            </w:tcBorders>
            <w:shd w:val="clear" w:color="auto" w:fill="CCEEFF"/>
          </w:tcPr>
          <w:p>
            <w:pPr>
              <w:jc w:val="center"/>
              <w:ind w:left="78"/>
              <w:spacing w:after="0"/>
              <w:rPr>
                <w:sz w:val="20"/>
                <w:szCs w:val="20"/>
                <w:color w:val="auto"/>
              </w:rPr>
            </w:pPr>
            <w:r>
              <w:rPr>
                <w:rFonts w:ascii="Arial" w:cs="Arial" w:eastAsia="Arial" w:hAnsi="Arial"/>
                <w:sz w:val="16"/>
                <w:szCs w:val="16"/>
                <w:color w:val="auto"/>
                <w:w w:val="91"/>
              </w:rPr>
              <w:t>0 (no bonus paid)</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1520" w:type="dxa"/>
            <w:vAlign w:val="bottom"/>
            <w:tcBorders>
              <w:bottom w:val="single" w:sz="8" w:color="auto"/>
              <w:right w:val="single" w:sz="8" w:color="auto"/>
            </w:tcBorders>
            <w:shd w:val="clear" w:color="auto" w:fill="CCEEFF"/>
          </w:tcPr>
          <w:p>
            <w:pPr>
              <w:jc w:val="center"/>
              <w:ind w:left="58"/>
              <w:spacing w:after="0"/>
              <w:rPr>
                <w:sz w:val="20"/>
                <w:szCs w:val="20"/>
                <w:color w:val="auto"/>
              </w:rPr>
            </w:pPr>
            <w:r>
              <w:rPr>
                <w:rFonts w:ascii="Arial" w:cs="Arial" w:eastAsia="Arial" w:hAnsi="Arial"/>
                <w:sz w:val="16"/>
                <w:szCs w:val="16"/>
                <w:color w:val="auto"/>
                <w:w w:val="94"/>
              </w:rPr>
              <w:t>0%</w:t>
            </w:r>
          </w:p>
        </w:tc>
        <w:tc>
          <w:tcPr>
            <w:tcW w:w="2100" w:type="dxa"/>
            <w:vAlign w:val="bottom"/>
            <w:tcBorders>
              <w:bottom w:val="single" w:sz="8" w:color="auto"/>
              <w:right w:val="single" w:sz="8" w:color="CCEEFF"/>
            </w:tcBorders>
            <w:shd w:val="clear" w:color="auto" w:fill="CCEEFF"/>
          </w:tcPr>
          <w:p>
            <w:pPr>
              <w:jc w:val="center"/>
              <w:ind w:left="58"/>
              <w:spacing w:after="0"/>
              <w:rPr>
                <w:sz w:val="20"/>
                <w:szCs w:val="20"/>
                <w:color w:val="auto"/>
              </w:rPr>
            </w:pPr>
            <w:r>
              <w:rPr>
                <w:rFonts w:ascii="Arial" w:cs="Arial" w:eastAsia="Arial" w:hAnsi="Arial"/>
                <w:sz w:val="16"/>
                <w:szCs w:val="16"/>
                <w:color w:val="auto"/>
                <w:w w:val="89"/>
              </w:rPr>
              <w:t>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tcBorders>
              <w:bottom w:val="single" w:sz="8" w:color="CCEEFF"/>
              <w:right w:val="single" w:sz="8" w:color="auto"/>
            </w:tcBorders>
            <w:vMerge w:val="restart"/>
            <w:shd w:val="clear" w:color="auto" w:fill="CCEEFF"/>
          </w:tcPr>
          <w:p>
            <w:pPr>
              <w:jc w:val="center"/>
              <w:ind w:right="26"/>
              <w:spacing w:after="0"/>
              <w:rPr>
                <w:sz w:val="20"/>
                <w:szCs w:val="20"/>
                <w:color w:val="auto"/>
              </w:rPr>
            </w:pPr>
            <w:r>
              <w:rPr>
                <w:rFonts w:ascii="Arial" w:cs="Arial" w:eastAsia="Arial" w:hAnsi="Arial"/>
                <w:sz w:val="20"/>
                <w:szCs w:val="20"/>
                <w:b w:val="1"/>
                <w:bCs w:val="1"/>
                <w:color w:val="auto"/>
                <w:w w:val="98"/>
              </w:rPr>
              <w:t>Quarterly</w:t>
            </w:r>
          </w:p>
        </w:tc>
        <w:tc>
          <w:tcPr>
            <w:tcW w:w="0" w:type="dxa"/>
            <w:vAlign w:val="bottom"/>
          </w:tcPr>
          <w:p>
            <w:pPr>
              <w:spacing w:after="0"/>
              <w:rPr>
                <w:sz w:val="1"/>
                <w:szCs w:val="1"/>
                <w:color w:val="auto"/>
              </w:rPr>
            </w:pPr>
          </w:p>
        </w:tc>
      </w:tr>
      <w:tr>
        <w:trPr>
          <w:trHeight w:val="56"/>
        </w:trPr>
        <w:tc>
          <w:tcPr>
            <w:tcW w:w="880" w:type="dxa"/>
            <w:vAlign w:val="bottom"/>
            <w:tcBorders>
              <w:left w:val="single" w:sz="8" w:color="auto"/>
              <w:right w:val="single" w:sz="8" w:color="auto"/>
            </w:tcBorders>
            <w:vMerge w:val="restart"/>
          </w:tcPr>
          <w:p>
            <w:pPr>
              <w:jc w:val="center"/>
              <w:ind w:left="18"/>
              <w:spacing w:after="0"/>
              <w:rPr>
                <w:sz w:val="20"/>
                <w:szCs w:val="20"/>
                <w:color w:val="auto"/>
              </w:rPr>
            </w:pPr>
            <w:r>
              <w:rPr>
                <w:rFonts w:ascii="Arial" w:cs="Arial" w:eastAsia="Arial" w:hAnsi="Arial"/>
                <w:sz w:val="16"/>
                <w:szCs w:val="16"/>
                <w:color w:val="auto"/>
                <w:w w:val="93"/>
              </w:rPr>
              <w:t>15%</w:t>
            </w:r>
          </w:p>
        </w:tc>
        <w:tc>
          <w:tcPr>
            <w:tcW w:w="2180" w:type="dxa"/>
            <w:vAlign w:val="bottom"/>
            <w:vMerge w:val="restart"/>
          </w:tcPr>
          <w:p>
            <w:pPr>
              <w:jc w:val="center"/>
              <w:ind w:left="78"/>
              <w:spacing w:after="0"/>
              <w:rPr>
                <w:sz w:val="20"/>
                <w:szCs w:val="20"/>
                <w:color w:val="auto"/>
              </w:rPr>
            </w:pPr>
            <w:r>
              <w:rPr>
                <w:rFonts w:ascii="Arial" w:cs="Arial" w:eastAsia="Arial" w:hAnsi="Arial"/>
                <w:sz w:val="16"/>
                <w:szCs w:val="16"/>
                <w:color w:val="auto"/>
                <w:w w:val="93"/>
              </w:rPr>
              <w:t>25%</w:t>
            </w:r>
          </w:p>
        </w:tc>
        <w:tc>
          <w:tcPr>
            <w:tcW w:w="180" w:type="dxa"/>
            <w:vAlign w:val="bottom"/>
          </w:tcPr>
          <w:p>
            <w:pPr>
              <w:spacing w:after="0"/>
              <w:rPr>
                <w:sz w:val="4"/>
                <w:szCs w:val="4"/>
                <w:color w:val="auto"/>
              </w:rPr>
            </w:pPr>
          </w:p>
        </w:tc>
        <w:tc>
          <w:tcPr>
            <w:tcW w:w="2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30"/>
                <w:szCs w:val="30"/>
                <w:b w:val="1"/>
                <w:bCs w:val="1"/>
                <w:color w:val="auto"/>
              </w:rPr>
              <w:t>+</w:t>
            </w:r>
          </w:p>
        </w:tc>
        <w:tc>
          <w:tcPr>
            <w:tcW w:w="1520" w:type="dxa"/>
            <w:vAlign w:val="bottom"/>
            <w:tcBorders>
              <w:right w:val="single" w:sz="8" w:color="auto"/>
            </w:tcBorders>
            <w:vMerge w:val="restart"/>
          </w:tcPr>
          <w:p>
            <w:pPr>
              <w:jc w:val="center"/>
              <w:ind w:left="58"/>
              <w:spacing w:after="0"/>
              <w:rPr>
                <w:sz w:val="20"/>
                <w:szCs w:val="20"/>
                <w:color w:val="auto"/>
              </w:rPr>
            </w:pPr>
            <w:r>
              <w:rPr>
                <w:rFonts w:ascii="Arial" w:cs="Arial" w:eastAsia="Arial" w:hAnsi="Arial"/>
                <w:sz w:val="16"/>
                <w:szCs w:val="16"/>
                <w:color w:val="auto"/>
                <w:w w:val="94"/>
              </w:rPr>
              <w:t>5%</w:t>
            </w:r>
          </w:p>
        </w:tc>
        <w:tc>
          <w:tcPr>
            <w:tcW w:w="2100" w:type="dxa"/>
            <w:vAlign w:val="bottom"/>
            <w:vMerge w:val="restart"/>
          </w:tcPr>
          <w:p>
            <w:pPr>
              <w:jc w:val="center"/>
              <w:ind w:left="78"/>
              <w:spacing w:after="0"/>
              <w:rPr>
                <w:sz w:val="20"/>
                <w:szCs w:val="20"/>
                <w:color w:val="auto"/>
              </w:rPr>
            </w:pPr>
            <w:r>
              <w:rPr>
                <w:rFonts w:ascii="Arial" w:cs="Arial" w:eastAsia="Arial" w:hAnsi="Arial"/>
                <w:sz w:val="16"/>
                <w:szCs w:val="16"/>
                <w:color w:val="auto"/>
                <w:w w:val="93"/>
              </w:rPr>
              <w:t>50%</w:t>
            </w:r>
          </w:p>
        </w:tc>
        <w:tc>
          <w:tcPr>
            <w:tcW w:w="160" w:type="dxa"/>
            <w:vAlign w:val="bottom"/>
          </w:tcPr>
          <w:p>
            <w:pPr>
              <w:spacing w:after="0"/>
              <w:rPr>
                <w:sz w:val="4"/>
                <w:szCs w:val="4"/>
                <w:color w:val="auto"/>
              </w:rPr>
            </w:pPr>
          </w:p>
        </w:tc>
        <w:tc>
          <w:tcPr>
            <w:tcW w:w="2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30"/>
                <w:szCs w:val="30"/>
                <w:b w:val="1"/>
                <w:bCs w:val="1"/>
                <w:color w:val="auto"/>
              </w:rPr>
              <w:t>=</w:t>
            </w:r>
          </w:p>
        </w:tc>
        <w:tc>
          <w:tcPr>
            <w:tcW w:w="180" w:type="dxa"/>
            <w:vAlign w:val="bottom"/>
          </w:tcPr>
          <w:p>
            <w:pPr>
              <w:spacing w:after="0"/>
              <w:rPr>
                <w:sz w:val="4"/>
                <w:szCs w:val="4"/>
                <w:color w:val="auto"/>
              </w:rPr>
            </w:pPr>
          </w:p>
        </w:tc>
        <w:tc>
          <w:tcPr>
            <w:tcW w:w="192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1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1520" w:type="dxa"/>
            <w:vAlign w:val="bottom"/>
            <w:tcBorders>
              <w:bottom w:val="single" w:sz="8" w:color="auto"/>
              <w:right w:val="single" w:sz="8" w:color="auto"/>
            </w:tcBorders>
            <w:vMerge w:val="continue"/>
          </w:tcPr>
          <w:p>
            <w:pPr>
              <w:spacing w:after="0"/>
              <w:rPr>
                <w:sz w:val="12"/>
                <w:szCs w:val="12"/>
                <w:color w:val="auto"/>
              </w:rPr>
            </w:pPr>
          </w:p>
        </w:tc>
        <w:tc>
          <w:tcPr>
            <w:tcW w:w="21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right w:val="single" w:sz="8" w:color="auto"/>
            </w:tcBorders>
            <w:vMerge w:val="restart"/>
            <w:shd w:val="clear" w:color="auto" w:fill="CCEEFF"/>
          </w:tcPr>
          <w:p>
            <w:pPr>
              <w:jc w:val="center"/>
              <w:ind w:right="26"/>
              <w:spacing w:after="0"/>
              <w:rPr>
                <w:sz w:val="20"/>
                <w:szCs w:val="20"/>
                <w:color w:val="auto"/>
              </w:rPr>
            </w:pPr>
            <w:r>
              <w:rPr>
                <w:rFonts w:ascii="Arial" w:cs="Arial" w:eastAsia="Arial" w:hAnsi="Arial"/>
                <w:sz w:val="20"/>
                <w:szCs w:val="20"/>
                <w:b w:val="1"/>
                <w:bCs w:val="1"/>
                <w:color w:val="auto"/>
                <w:w w:val="92"/>
              </w:rPr>
              <w:t>Payout Factor</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CCEEFF"/>
              <w:right w:val="single" w:sz="8" w:color="auto"/>
            </w:tcBorders>
            <w:shd w:val="clear" w:color="auto" w:fill="CCEEFF"/>
          </w:tcPr>
          <w:p>
            <w:pPr>
              <w:jc w:val="center"/>
              <w:ind w:left="18"/>
              <w:spacing w:after="0" w:line="144" w:lineRule="exact"/>
              <w:rPr>
                <w:sz w:val="20"/>
                <w:szCs w:val="20"/>
                <w:color w:val="auto"/>
              </w:rPr>
            </w:pPr>
            <w:r>
              <w:rPr>
                <w:rFonts w:ascii="Arial" w:cs="Arial" w:eastAsia="Arial" w:hAnsi="Arial"/>
                <w:sz w:val="16"/>
                <w:szCs w:val="16"/>
                <w:color w:val="auto"/>
                <w:w w:val="92"/>
              </w:rPr>
              <w:t>17.5%</w:t>
            </w:r>
          </w:p>
        </w:tc>
        <w:tc>
          <w:tcPr>
            <w:tcW w:w="2180" w:type="dxa"/>
            <w:vAlign w:val="bottom"/>
            <w:tcBorders>
              <w:bottom w:val="single" w:sz="8" w:color="CCEEFF"/>
              <w:right w:val="single" w:sz="8" w:color="CCEEFF"/>
            </w:tcBorders>
            <w:shd w:val="clear" w:color="auto" w:fill="CCEEFF"/>
          </w:tcPr>
          <w:p>
            <w:pPr>
              <w:jc w:val="center"/>
              <w:ind w:left="78"/>
              <w:spacing w:after="0" w:line="144" w:lineRule="exact"/>
              <w:rPr>
                <w:sz w:val="20"/>
                <w:szCs w:val="20"/>
                <w:color w:val="auto"/>
              </w:rPr>
            </w:pPr>
            <w:r>
              <w:rPr>
                <w:rFonts w:ascii="Arial" w:cs="Arial" w:eastAsia="Arial" w:hAnsi="Arial"/>
                <w:sz w:val="16"/>
                <w:szCs w:val="16"/>
                <w:color w:val="auto"/>
                <w:w w:val="93"/>
              </w:rPr>
              <w:t>50%</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520" w:type="dxa"/>
            <w:vAlign w:val="bottom"/>
            <w:tcBorders>
              <w:bottom w:val="single" w:sz="8" w:color="CCEEFF"/>
              <w:right w:val="single" w:sz="8" w:color="auto"/>
            </w:tcBorders>
            <w:shd w:val="clear" w:color="auto" w:fill="CCEEFF"/>
          </w:tcPr>
          <w:p>
            <w:pPr>
              <w:jc w:val="center"/>
              <w:ind w:left="58"/>
              <w:spacing w:after="0" w:line="144" w:lineRule="exact"/>
              <w:rPr>
                <w:sz w:val="20"/>
                <w:szCs w:val="20"/>
                <w:color w:val="auto"/>
              </w:rPr>
            </w:pPr>
            <w:r>
              <w:rPr>
                <w:rFonts w:ascii="Arial" w:cs="Arial" w:eastAsia="Arial" w:hAnsi="Arial"/>
                <w:sz w:val="16"/>
                <w:szCs w:val="16"/>
                <w:color w:val="auto"/>
                <w:w w:val="93"/>
              </w:rPr>
              <w:t>10%</w:t>
            </w:r>
          </w:p>
        </w:tc>
        <w:tc>
          <w:tcPr>
            <w:tcW w:w="2100" w:type="dxa"/>
            <w:vAlign w:val="bottom"/>
            <w:tcBorders>
              <w:bottom w:val="single" w:sz="8" w:color="CCEEFF"/>
              <w:right w:val="single" w:sz="8" w:color="CCEEFF"/>
            </w:tcBorders>
            <w:shd w:val="clear" w:color="auto" w:fill="CCEEFF"/>
          </w:tcPr>
          <w:p>
            <w:pPr>
              <w:jc w:val="center"/>
              <w:ind w:left="78"/>
              <w:spacing w:after="0" w:line="144" w:lineRule="exact"/>
              <w:rPr>
                <w:sz w:val="20"/>
                <w:szCs w:val="20"/>
                <w:color w:val="auto"/>
              </w:rPr>
            </w:pPr>
            <w:r>
              <w:rPr>
                <w:rFonts w:ascii="Arial" w:cs="Arial" w:eastAsia="Arial" w:hAnsi="Arial"/>
                <w:sz w:val="16"/>
                <w:szCs w:val="16"/>
                <w:color w:val="auto"/>
                <w:w w:val="92"/>
              </w:rPr>
              <w:t>100% (target)</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80" w:type="dxa"/>
            <w:vAlign w:val="bottom"/>
            <w:tcBorders>
              <w:top w:val="single" w:sz="8" w:color="auto"/>
              <w:left w:val="single" w:sz="8" w:color="auto"/>
              <w:right w:val="single" w:sz="8" w:color="auto"/>
            </w:tcBorders>
            <w:vMerge w:val="restart"/>
          </w:tcPr>
          <w:p>
            <w:pPr>
              <w:jc w:val="center"/>
              <w:ind w:left="18"/>
              <w:spacing w:after="0"/>
              <w:rPr>
                <w:sz w:val="20"/>
                <w:szCs w:val="20"/>
                <w:color w:val="auto"/>
              </w:rPr>
            </w:pPr>
            <w:r>
              <w:rPr>
                <w:rFonts w:ascii="Arial" w:cs="Arial" w:eastAsia="Arial" w:hAnsi="Arial"/>
                <w:sz w:val="16"/>
                <w:szCs w:val="16"/>
                <w:color w:val="auto"/>
                <w:w w:val="92"/>
              </w:rPr>
              <w:t>22.5%</w:t>
            </w:r>
          </w:p>
        </w:tc>
        <w:tc>
          <w:tcPr>
            <w:tcW w:w="2180" w:type="dxa"/>
            <w:vAlign w:val="bottom"/>
            <w:tcBorders>
              <w:top w:val="single" w:sz="8" w:color="auto"/>
            </w:tcBorders>
            <w:vMerge w:val="restart"/>
          </w:tcPr>
          <w:p>
            <w:pPr>
              <w:jc w:val="center"/>
              <w:ind w:left="78"/>
              <w:spacing w:after="0"/>
              <w:rPr>
                <w:sz w:val="20"/>
                <w:szCs w:val="20"/>
                <w:color w:val="auto"/>
              </w:rPr>
            </w:pPr>
            <w:r>
              <w:rPr>
                <w:rFonts w:ascii="Arial" w:cs="Arial" w:eastAsia="Arial" w:hAnsi="Arial"/>
                <w:sz w:val="16"/>
                <w:szCs w:val="16"/>
                <w:color w:val="auto"/>
                <w:w w:val="92"/>
              </w:rPr>
              <w:t>100% (target)</w:t>
            </w:r>
          </w:p>
        </w:tc>
        <w:tc>
          <w:tcPr>
            <w:tcW w:w="180" w:type="dxa"/>
            <w:vAlign w:val="bottom"/>
            <w:vMerge w:val="restart"/>
          </w:tcPr>
          <w:p>
            <w:pPr>
              <w:spacing w:after="0"/>
              <w:rPr>
                <w:sz w:val="12"/>
                <w:szCs w:val="12"/>
                <w:color w:val="auto"/>
              </w:rPr>
            </w:pPr>
          </w:p>
        </w:tc>
        <w:tc>
          <w:tcPr>
            <w:tcW w:w="240" w:type="dxa"/>
            <w:vAlign w:val="bottom"/>
            <w:tcBorders>
              <w:top w:val="single" w:sz="8" w:color="CCEEFF"/>
              <w:right w:val="single" w:sz="8" w:color="auto"/>
            </w:tcBorders>
            <w:shd w:val="clear" w:color="auto" w:fill="CCEEFF"/>
          </w:tcPr>
          <w:p>
            <w:pPr>
              <w:spacing w:after="0"/>
              <w:rPr>
                <w:sz w:val="12"/>
                <w:szCs w:val="12"/>
                <w:color w:val="auto"/>
              </w:rPr>
            </w:pPr>
          </w:p>
        </w:tc>
        <w:tc>
          <w:tcPr>
            <w:tcW w:w="1520" w:type="dxa"/>
            <w:vAlign w:val="bottom"/>
            <w:tcBorders>
              <w:top w:val="single" w:sz="8" w:color="auto"/>
              <w:right w:val="single" w:sz="8" w:color="auto"/>
            </w:tcBorders>
            <w:vMerge w:val="restart"/>
          </w:tcPr>
          <w:p>
            <w:pPr>
              <w:jc w:val="center"/>
              <w:ind w:left="58"/>
              <w:spacing w:after="0"/>
              <w:rPr>
                <w:sz w:val="20"/>
                <w:szCs w:val="20"/>
                <w:color w:val="auto"/>
              </w:rPr>
            </w:pPr>
            <w:r>
              <w:rPr>
                <w:rFonts w:ascii="Arial" w:cs="Arial" w:eastAsia="Arial" w:hAnsi="Arial"/>
                <w:sz w:val="16"/>
                <w:szCs w:val="16"/>
                <w:color w:val="auto"/>
                <w:w w:val="93"/>
              </w:rPr>
              <w:t>15%</w:t>
            </w:r>
          </w:p>
        </w:tc>
        <w:tc>
          <w:tcPr>
            <w:tcW w:w="2100" w:type="dxa"/>
            <w:vAlign w:val="bottom"/>
            <w:tcBorders>
              <w:top w:val="single" w:sz="8" w:color="auto"/>
            </w:tcBorders>
            <w:vMerge w:val="restart"/>
          </w:tcPr>
          <w:p>
            <w:pPr>
              <w:jc w:val="center"/>
              <w:ind w:left="78"/>
              <w:spacing w:after="0"/>
              <w:rPr>
                <w:sz w:val="20"/>
                <w:szCs w:val="20"/>
                <w:color w:val="auto"/>
              </w:rPr>
            </w:pPr>
            <w:r>
              <w:rPr>
                <w:rFonts w:ascii="Arial" w:cs="Arial" w:eastAsia="Arial" w:hAnsi="Arial"/>
                <w:sz w:val="16"/>
                <w:szCs w:val="16"/>
                <w:color w:val="auto"/>
                <w:w w:val="92"/>
              </w:rPr>
              <w:t>150%</w:t>
            </w:r>
          </w:p>
        </w:tc>
        <w:tc>
          <w:tcPr>
            <w:tcW w:w="160" w:type="dxa"/>
            <w:vAlign w:val="bottom"/>
          </w:tcPr>
          <w:p>
            <w:pPr>
              <w:spacing w:after="0"/>
              <w:rPr>
                <w:sz w:val="12"/>
                <w:szCs w:val="12"/>
                <w:color w:val="auto"/>
              </w:rPr>
            </w:pPr>
          </w:p>
        </w:tc>
        <w:tc>
          <w:tcPr>
            <w:tcW w:w="24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Borders>
              <w:top w:val="single" w:sz="8" w:color="CCEEFF"/>
              <w:right w:val="single" w:sz="8" w:color="auto"/>
            </w:tcBorders>
            <w:shd w:val="clear" w:color="auto" w:fill="CCEEFF"/>
          </w:tcPr>
          <w:p>
            <w:pPr>
              <w:jc w:val="center"/>
              <w:ind w:right="26"/>
              <w:spacing w:after="0" w:line="144"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50"/>
        </w:trPr>
        <w:tc>
          <w:tcPr>
            <w:tcW w:w="8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18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CCEEFF"/>
              <w:right w:val="single" w:sz="8" w:color="auto"/>
            </w:tcBorders>
            <w:shd w:val="clear" w:color="auto" w:fill="CCEEFF"/>
          </w:tcPr>
          <w:p>
            <w:pPr>
              <w:spacing w:after="0"/>
              <w:rPr>
                <w:sz w:val="4"/>
                <w:szCs w:val="4"/>
                <w:color w:val="auto"/>
              </w:rPr>
            </w:pPr>
          </w:p>
        </w:tc>
        <w:tc>
          <w:tcPr>
            <w:tcW w:w="1520" w:type="dxa"/>
            <w:vAlign w:val="bottom"/>
            <w:tcBorders>
              <w:bottom w:val="single" w:sz="8" w:color="auto"/>
              <w:right w:val="single" w:sz="8" w:color="auto"/>
            </w:tcBorders>
            <w:vMerge w:val="continue"/>
          </w:tcPr>
          <w:p>
            <w:pPr>
              <w:spacing w:after="0"/>
              <w:rPr>
                <w:sz w:val="4"/>
                <w:szCs w:val="4"/>
                <w:color w:val="auto"/>
              </w:rPr>
            </w:pPr>
          </w:p>
        </w:tc>
        <w:tc>
          <w:tcPr>
            <w:tcW w:w="210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CCEEFF"/>
              <w:right w:val="single" w:sz="8" w:color="auto"/>
            </w:tcBorders>
            <w:shd w:val="clear" w:color="auto" w:fill="CCEEFF"/>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920" w:type="dxa"/>
            <w:vAlign w:val="bottom"/>
            <w:tcBorders>
              <w:bottom w:val="single" w:sz="8" w:color="CCEEFF"/>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shd w:val="clear" w:color="auto" w:fill="CCEEFF"/>
          </w:tcPr>
          <w:p>
            <w:pPr>
              <w:jc w:val="center"/>
              <w:ind w:left="18"/>
              <w:spacing w:after="0"/>
              <w:rPr>
                <w:sz w:val="20"/>
                <w:szCs w:val="20"/>
                <w:color w:val="auto"/>
              </w:rPr>
            </w:pPr>
            <w:r>
              <w:rPr>
                <w:rFonts w:ascii="Arial" w:cs="Arial" w:eastAsia="Arial" w:hAnsi="Arial"/>
                <w:sz w:val="16"/>
                <w:szCs w:val="16"/>
                <w:color w:val="auto"/>
                <w:w w:val="92"/>
              </w:rPr>
              <w:t>26.75%</w:t>
            </w:r>
          </w:p>
        </w:tc>
        <w:tc>
          <w:tcPr>
            <w:tcW w:w="2180" w:type="dxa"/>
            <w:vAlign w:val="bottom"/>
            <w:tcBorders>
              <w:bottom w:val="single" w:sz="8" w:color="auto"/>
              <w:right w:val="single" w:sz="8" w:color="CCEEFF"/>
            </w:tcBorders>
            <w:shd w:val="clear" w:color="auto" w:fill="CCEEFF"/>
          </w:tcPr>
          <w:p>
            <w:pPr>
              <w:jc w:val="center"/>
              <w:ind w:left="78"/>
              <w:spacing w:after="0"/>
              <w:rPr>
                <w:sz w:val="20"/>
                <w:szCs w:val="20"/>
                <w:color w:val="auto"/>
              </w:rPr>
            </w:pPr>
            <w:r>
              <w:rPr>
                <w:rFonts w:ascii="Arial" w:cs="Arial" w:eastAsia="Arial" w:hAnsi="Arial"/>
                <w:sz w:val="16"/>
                <w:szCs w:val="16"/>
                <w:color w:val="auto"/>
                <w:w w:val="92"/>
              </w:rPr>
              <w:t>150%</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CCEEFF"/>
              <w:right w:val="single" w:sz="8" w:color="auto"/>
            </w:tcBorders>
            <w:shd w:val="clear" w:color="auto" w:fill="CCEEFF"/>
          </w:tcPr>
          <w:p>
            <w:pPr>
              <w:spacing w:after="0"/>
              <w:rPr>
                <w:sz w:val="16"/>
                <w:szCs w:val="16"/>
                <w:color w:val="auto"/>
              </w:rPr>
            </w:pPr>
          </w:p>
        </w:tc>
        <w:tc>
          <w:tcPr>
            <w:tcW w:w="1520" w:type="dxa"/>
            <w:vAlign w:val="bottom"/>
            <w:tcBorders>
              <w:bottom w:val="single" w:sz="8" w:color="auto"/>
              <w:right w:val="single" w:sz="8" w:color="auto"/>
            </w:tcBorders>
            <w:shd w:val="clear" w:color="auto" w:fill="CCEEFF"/>
          </w:tcPr>
          <w:p>
            <w:pPr>
              <w:jc w:val="center"/>
              <w:ind w:left="58"/>
              <w:spacing w:after="0"/>
              <w:rPr>
                <w:sz w:val="20"/>
                <w:szCs w:val="20"/>
                <w:color w:val="auto"/>
              </w:rPr>
            </w:pPr>
            <w:r>
              <w:rPr>
                <w:rFonts w:ascii="Arial" w:cs="Arial" w:eastAsia="Arial" w:hAnsi="Arial"/>
                <w:sz w:val="16"/>
                <w:szCs w:val="16"/>
                <w:color w:val="auto"/>
                <w:w w:val="93"/>
              </w:rPr>
              <w:t>20%</w:t>
            </w:r>
          </w:p>
        </w:tc>
        <w:tc>
          <w:tcPr>
            <w:tcW w:w="2100" w:type="dxa"/>
            <w:vAlign w:val="bottom"/>
            <w:tcBorders>
              <w:bottom w:val="single" w:sz="8" w:color="auto"/>
              <w:right w:val="single" w:sz="8" w:color="CCEEFF"/>
            </w:tcBorders>
            <w:shd w:val="clear" w:color="auto" w:fill="CCEEFF"/>
          </w:tcPr>
          <w:p>
            <w:pPr>
              <w:jc w:val="center"/>
              <w:ind w:left="78"/>
              <w:spacing w:after="0"/>
              <w:rPr>
                <w:sz w:val="20"/>
                <w:szCs w:val="20"/>
                <w:color w:val="auto"/>
              </w:rPr>
            </w:pPr>
            <w:r>
              <w:rPr>
                <w:rFonts w:ascii="Arial" w:cs="Arial" w:eastAsia="Arial" w:hAnsi="Arial"/>
                <w:sz w:val="16"/>
                <w:szCs w:val="16"/>
                <w:color w:val="auto"/>
                <w:w w:val="92"/>
              </w:rPr>
              <w:t>200%</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CCEEFF"/>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jc w:val="center"/>
              <w:ind w:left="18"/>
              <w:spacing w:after="0"/>
              <w:rPr>
                <w:sz w:val="20"/>
                <w:szCs w:val="20"/>
                <w:color w:val="auto"/>
              </w:rPr>
            </w:pPr>
            <w:r>
              <w:rPr>
                <w:rFonts w:ascii="Arial" w:cs="Arial" w:eastAsia="Arial" w:hAnsi="Arial"/>
                <w:sz w:val="16"/>
                <w:szCs w:val="16"/>
                <w:color w:val="auto"/>
                <w:w w:val="93"/>
              </w:rPr>
              <w:t>31%</w:t>
            </w:r>
          </w:p>
        </w:tc>
        <w:tc>
          <w:tcPr>
            <w:tcW w:w="2180" w:type="dxa"/>
            <w:vAlign w:val="bottom"/>
            <w:tcBorders>
              <w:bottom w:val="single" w:sz="8" w:color="auto"/>
            </w:tcBorders>
          </w:tcPr>
          <w:p>
            <w:pPr>
              <w:jc w:val="center"/>
              <w:ind w:left="78"/>
              <w:spacing w:after="0"/>
              <w:rPr>
                <w:sz w:val="20"/>
                <w:szCs w:val="20"/>
                <w:color w:val="auto"/>
              </w:rPr>
            </w:pPr>
            <w:r>
              <w:rPr>
                <w:rFonts w:ascii="Arial" w:cs="Arial" w:eastAsia="Arial" w:hAnsi="Arial"/>
                <w:sz w:val="16"/>
                <w:szCs w:val="16"/>
                <w:color w:val="auto"/>
                <w:w w:val="92"/>
              </w:rPr>
              <w:t>200%</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right w:val="single" w:sz="8" w:color="auto"/>
            </w:tcBorders>
            <w:shd w:val="clear" w:color="auto" w:fill="CCEEFF"/>
          </w:tcPr>
          <w:p>
            <w:pPr>
              <w:spacing w:after="0"/>
              <w:rPr>
                <w:sz w:val="16"/>
                <w:szCs w:val="16"/>
                <w:color w:val="auto"/>
              </w:rPr>
            </w:pPr>
          </w:p>
        </w:tc>
        <w:tc>
          <w:tcPr>
            <w:tcW w:w="1520" w:type="dxa"/>
            <w:vAlign w:val="bottom"/>
            <w:tcBorders>
              <w:bottom w:val="single" w:sz="8" w:color="auto"/>
              <w:right w:val="single" w:sz="8" w:color="auto"/>
            </w:tcBorders>
          </w:tcPr>
          <w:p>
            <w:pPr>
              <w:jc w:val="center"/>
              <w:ind w:left="58"/>
              <w:spacing w:after="0"/>
              <w:rPr>
                <w:sz w:val="20"/>
                <w:szCs w:val="20"/>
                <w:color w:val="auto"/>
              </w:rPr>
            </w:pPr>
            <w:r>
              <w:rPr>
                <w:rFonts w:ascii="Arial" w:cs="Arial" w:eastAsia="Arial" w:hAnsi="Arial"/>
                <w:sz w:val="16"/>
                <w:szCs w:val="16"/>
                <w:color w:val="auto"/>
                <w:w w:val="93"/>
              </w:rPr>
              <w:t>25%</w:t>
            </w:r>
          </w:p>
        </w:tc>
        <w:tc>
          <w:tcPr>
            <w:tcW w:w="2100" w:type="dxa"/>
            <w:vAlign w:val="bottom"/>
            <w:tcBorders>
              <w:bottom w:val="single" w:sz="8" w:color="auto"/>
            </w:tcBorders>
          </w:tcPr>
          <w:p>
            <w:pPr>
              <w:jc w:val="center"/>
              <w:ind w:left="78"/>
              <w:spacing w:after="0"/>
              <w:rPr>
                <w:sz w:val="20"/>
                <w:szCs w:val="20"/>
                <w:color w:val="auto"/>
              </w:rPr>
            </w:pPr>
            <w:r>
              <w:rPr>
                <w:rFonts w:ascii="Arial" w:cs="Arial" w:eastAsia="Arial" w:hAnsi="Arial"/>
                <w:sz w:val="16"/>
                <w:szCs w:val="16"/>
                <w:color w:val="auto"/>
                <w:w w:val="92"/>
              </w:rPr>
              <w:t>250%</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right w:val="single" w:sz="8" w:color="auto"/>
            </w:tcBorders>
            <w:shd w:val="clear" w:color="auto" w:fill="CCEEFF"/>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shd w:val="clear" w:color="auto" w:fill="CCEEFF"/>
          </w:tcPr>
          <w:p>
            <w:pPr>
              <w:jc w:val="center"/>
              <w:ind w:left="18"/>
              <w:spacing w:after="0"/>
              <w:rPr>
                <w:sz w:val="20"/>
                <w:szCs w:val="20"/>
                <w:color w:val="auto"/>
              </w:rPr>
            </w:pPr>
            <w:r>
              <w:rPr>
                <w:rFonts w:ascii="Arial" w:cs="Arial" w:eastAsia="Arial" w:hAnsi="Arial"/>
                <w:sz w:val="16"/>
                <w:szCs w:val="16"/>
                <w:color w:val="auto"/>
                <w:w w:val="92"/>
              </w:rPr>
              <w:t>33.5%</w:t>
            </w:r>
          </w:p>
        </w:tc>
        <w:tc>
          <w:tcPr>
            <w:tcW w:w="2180" w:type="dxa"/>
            <w:vAlign w:val="bottom"/>
            <w:tcBorders>
              <w:bottom w:val="single" w:sz="8" w:color="auto"/>
              <w:right w:val="single" w:sz="8" w:color="CCEEFF"/>
            </w:tcBorders>
            <w:shd w:val="clear" w:color="auto" w:fill="CCEEFF"/>
          </w:tcPr>
          <w:p>
            <w:pPr>
              <w:jc w:val="center"/>
              <w:ind w:left="78"/>
              <w:spacing w:after="0"/>
              <w:rPr>
                <w:sz w:val="20"/>
                <w:szCs w:val="20"/>
                <w:color w:val="auto"/>
              </w:rPr>
            </w:pPr>
            <w:r>
              <w:rPr>
                <w:rFonts w:ascii="Arial" w:cs="Arial" w:eastAsia="Arial" w:hAnsi="Arial"/>
                <w:sz w:val="16"/>
                <w:szCs w:val="16"/>
                <w:color w:val="auto"/>
                <w:w w:val="92"/>
              </w:rPr>
              <w:t>250%</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CCEEFF"/>
              <w:right w:val="single" w:sz="8" w:color="auto"/>
            </w:tcBorders>
            <w:shd w:val="clear" w:color="auto" w:fill="CCEEFF"/>
          </w:tcPr>
          <w:p>
            <w:pPr>
              <w:spacing w:after="0"/>
              <w:rPr>
                <w:sz w:val="16"/>
                <w:szCs w:val="16"/>
                <w:color w:val="auto"/>
              </w:rPr>
            </w:pPr>
          </w:p>
        </w:tc>
        <w:tc>
          <w:tcPr>
            <w:tcW w:w="1520" w:type="dxa"/>
            <w:vAlign w:val="bottom"/>
            <w:tcBorders>
              <w:bottom w:val="single" w:sz="8" w:color="auto"/>
              <w:right w:val="single" w:sz="8" w:color="auto"/>
            </w:tcBorders>
            <w:shd w:val="clear" w:color="auto" w:fill="CCEEFF"/>
          </w:tcPr>
          <w:p>
            <w:pPr>
              <w:jc w:val="center"/>
              <w:ind w:left="58"/>
              <w:spacing w:after="0"/>
              <w:rPr>
                <w:sz w:val="20"/>
                <w:szCs w:val="20"/>
                <w:color w:val="auto"/>
              </w:rPr>
            </w:pPr>
            <w:r>
              <w:rPr>
                <w:rFonts w:ascii="Arial" w:cs="Arial" w:eastAsia="Arial" w:hAnsi="Arial"/>
                <w:sz w:val="16"/>
                <w:szCs w:val="16"/>
                <w:color w:val="auto"/>
                <w:w w:val="93"/>
              </w:rPr>
              <w:t>30%</w:t>
            </w:r>
          </w:p>
        </w:tc>
        <w:tc>
          <w:tcPr>
            <w:tcW w:w="2100" w:type="dxa"/>
            <w:vAlign w:val="bottom"/>
            <w:tcBorders>
              <w:bottom w:val="single" w:sz="8" w:color="auto"/>
              <w:right w:val="single" w:sz="8" w:color="CCEEFF"/>
            </w:tcBorders>
            <w:shd w:val="clear" w:color="auto" w:fill="CCEEFF"/>
          </w:tcPr>
          <w:p>
            <w:pPr>
              <w:jc w:val="center"/>
              <w:ind w:left="58"/>
              <w:spacing w:after="0"/>
              <w:rPr>
                <w:sz w:val="20"/>
                <w:szCs w:val="20"/>
                <w:color w:val="auto"/>
              </w:rPr>
            </w:pPr>
            <w:r>
              <w:rPr>
                <w:rFonts w:ascii="Arial" w:cs="Arial" w:eastAsia="Arial" w:hAnsi="Arial"/>
                <w:sz w:val="16"/>
                <w:szCs w:val="16"/>
                <w:color w:val="auto"/>
                <w:w w:val="95"/>
              </w:rPr>
              <w:t>300% (maximum)</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CCEEFF"/>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jc w:val="center"/>
              <w:ind w:left="18"/>
              <w:spacing w:after="0"/>
              <w:rPr>
                <w:sz w:val="20"/>
                <w:szCs w:val="20"/>
                <w:color w:val="auto"/>
              </w:rPr>
            </w:pPr>
            <w:r>
              <w:rPr>
                <w:rFonts w:ascii="Arial" w:cs="Arial" w:eastAsia="Arial" w:hAnsi="Arial"/>
                <w:sz w:val="16"/>
                <w:szCs w:val="16"/>
                <w:color w:val="auto"/>
                <w:w w:val="96"/>
              </w:rPr>
              <w:t>36% or &gt;</w:t>
            </w:r>
          </w:p>
        </w:tc>
        <w:tc>
          <w:tcPr>
            <w:tcW w:w="2180" w:type="dxa"/>
            <w:vAlign w:val="bottom"/>
            <w:tcBorders>
              <w:bottom w:val="single" w:sz="8" w:color="auto"/>
            </w:tcBorders>
          </w:tcPr>
          <w:p>
            <w:pPr>
              <w:jc w:val="center"/>
              <w:ind w:left="58"/>
              <w:spacing w:after="0"/>
              <w:rPr>
                <w:sz w:val="20"/>
                <w:szCs w:val="20"/>
                <w:color w:val="auto"/>
              </w:rPr>
            </w:pPr>
            <w:r>
              <w:rPr>
                <w:rFonts w:ascii="Arial" w:cs="Arial" w:eastAsia="Arial" w:hAnsi="Arial"/>
                <w:sz w:val="16"/>
                <w:szCs w:val="16"/>
                <w:color w:val="auto"/>
                <w:w w:val="95"/>
              </w:rPr>
              <w:t>300% (maximum)</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80" w:firstLine="457"/>
        <w:spacing w:after="0" w:line="296" w:lineRule="auto"/>
        <w:rPr>
          <w:sz w:val="20"/>
          <w:szCs w:val="20"/>
          <w:color w:val="auto"/>
        </w:rPr>
      </w:pPr>
      <w:r>
        <w:rPr>
          <w:rFonts w:ascii="Arial" w:cs="Arial" w:eastAsia="Arial" w:hAnsi="Arial"/>
          <w:sz w:val="15"/>
          <w:szCs w:val="15"/>
          <w:color w:val="auto"/>
        </w:rPr>
        <w:t>For example, if actual OPBT for a quarter was 33.5%, the corresponding payout factor for that element would be 250%. If revenue growth for that same quarter was 5% over the same quarter in the prior year, the corresponding payout factor for that element would be 50%. Taking the average of the two payout factors, the total bonus payout factor for that quarter would be 150%. If OPBT is below 15%, no bonuses will be paid, regardless of revenue growth levels. The table above illustrates payouts at given levels of performance. Payouts increase between the amounts illustrated above in a manner corresponding to the improvement in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142875</wp:posOffset>
            </wp:positionV>
            <wp:extent cx="6732905" cy="756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756920"/>
                    </a:xfrm>
                    <a:prstGeom prst="rect">
                      <a:avLst/>
                    </a:prstGeom>
                    <a:noFill/>
                  </pic:spPr>
                </pic:pic>
              </a:graphicData>
            </a:graphic>
          </wp:anchor>
        </w:drawing>
      </w:r>
    </w:p>
    <w:p>
      <w:pPr>
        <w:spacing w:after="0" w:line="250"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How did we select the targets and payout amounts?</w:t>
      </w:r>
    </w:p>
    <w:p>
      <w:pPr>
        <w:spacing w:after="0" w:line="93" w:lineRule="exact"/>
        <w:rPr>
          <w:sz w:val="20"/>
          <w:szCs w:val="20"/>
          <w:color w:val="auto"/>
        </w:rPr>
      </w:pPr>
    </w:p>
    <w:p>
      <w:pPr>
        <w:jc w:val="both"/>
        <w:ind w:left="1040"/>
        <w:spacing w:after="0" w:line="273" w:lineRule="auto"/>
        <w:rPr>
          <w:sz w:val="20"/>
          <w:szCs w:val="20"/>
          <w:color w:val="auto"/>
        </w:rPr>
      </w:pPr>
      <w:r>
        <w:rPr>
          <w:rFonts w:ascii="Arial" w:cs="Arial" w:eastAsia="Arial" w:hAnsi="Arial"/>
          <w:sz w:val="16"/>
          <w:szCs w:val="16"/>
          <w:color w:val="auto"/>
        </w:rPr>
        <w:t>We selected the OPBT (22.5%) and revenue growth (10%) targets based on the five-year averages of those metrics for our peer group. The five-year average O our peer group was 22.3%, compared to our target of 22.5%. The five-year average revenue growth level for our peer group was 9.3%, compared to our target o Given historical profit margins in the industry, we do not pay any bonus if profit margins fall below 15%, regardless of what revenue levels are. We cap bonuses for profit margins above 36% and revenue growth levels above 30%.</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520"/>
          </w:cols>
          <w:pgMar w:left="240" w:top="439" w:right="1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fiscal 2011, ADI’s actual OPBT, Revenue Growth and Bonus Payout Factor for each quarter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0" w:type="dxa"/>
            <w:vAlign w:val="bottom"/>
            <w:tcBorders>
              <w:right w:val="single" w:sz="8" w:color="auto"/>
            </w:tcBorders>
          </w:tcPr>
          <w:p>
            <w:pPr>
              <w:spacing w:after="0"/>
              <w:rPr>
                <w:sz w:val="12"/>
                <w:szCs w:val="12"/>
                <w:color w:val="auto"/>
              </w:rPr>
            </w:pPr>
          </w:p>
        </w:tc>
        <w:tc>
          <w:tcPr>
            <w:tcW w:w="320" w:type="dxa"/>
            <w:vAlign w:val="bottom"/>
            <w:tcBorders>
              <w:top w:val="single" w:sz="8" w:color="auto"/>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ind w:left="1020"/>
              <w:spacing w:after="0" w:line="139" w:lineRule="exact"/>
              <w:rPr>
                <w:sz w:val="20"/>
                <w:szCs w:val="20"/>
                <w:color w:val="auto"/>
              </w:rPr>
            </w:pPr>
            <w:r>
              <w:rPr>
                <w:rFonts w:ascii="Arial" w:cs="Arial" w:eastAsia="Arial" w:hAnsi="Arial"/>
                <w:sz w:val="13"/>
                <w:szCs w:val="13"/>
                <w:b w:val="1"/>
                <w:bCs w:val="1"/>
                <w:color w:val="auto"/>
                <w:w w:val="92"/>
              </w:rPr>
              <w:t>OPBT (50% weight)</w:t>
            </w:r>
          </w:p>
        </w:tc>
        <w:tc>
          <w:tcPr>
            <w:tcW w:w="1020" w:type="dxa"/>
            <w:vAlign w:val="bottom"/>
            <w:tcBorders>
              <w:top w:val="single" w:sz="8" w:color="auto"/>
              <w:right w:val="single" w:sz="8" w:color="auto"/>
            </w:tcBorders>
          </w:tcPr>
          <w:p>
            <w:pPr>
              <w:spacing w:after="0"/>
              <w:rPr>
                <w:sz w:val="12"/>
                <w:szCs w:val="12"/>
                <w:color w:val="auto"/>
              </w:rPr>
            </w:pPr>
          </w:p>
        </w:tc>
        <w:tc>
          <w:tcPr>
            <w:tcW w:w="3340" w:type="dxa"/>
            <w:vAlign w:val="bottom"/>
            <w:tcBorders>
              <w:top w:val="single" w:sz="8" w:color="auto"/>
              <w:right w:val="single" w:sz="8" w:color="auto"/>
            </w:tcBorders>
            <w:gridSpan w:val="2"/>
          </w:tcPr>
          <w:p>
            <w:pPr>
              <w:ind w:left="1020"/>
              <w:spacing w:after="0" w:line="139" w:lineRule="exact"/>
              <w:rPr>
                <w:sz w:val="20"/>
                <w:szCs w:val="20"/>
                <w:color w:val="auto"/>
              </w:rPr>
            </w:pPr>
            <w:r>
              <w:rPr>
                <w:rFonts w:ascii="Arial" w:cs="Arial" w:eastAsia="Arial" w:hAnsi="Arial"/>
                <w:sz w:val="13"/>
                <w:szCs w:val="13"/>
                <w:b w:val="1"/>
                <w:bCs w:val="1"/>
                <w:color w:val="auto"/>
              </w:rPr>
              <w:t>Revenue Growth (50% weight)</w:t>
            </w: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3"/>
              </w:rPr>
              <w:t>Quarterly</w:t>
            </w: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jc w:val="center"/>
              <w:ind w:right="97"/>
              <w:spacing w:after="0" w:line="139" w:lineRule="exact"/>
              <w:rPr>
                <w:sz w:val="20"/>
                <w:szCs w:val="20"/>
                <w:color w:val="auto"/>
              </w:rPr>
            </w:pPr>
            <w:r>
              <w:rPr>
                <w:rFonts w:ascii="Arial" w:cs="Arial" w:eastAsia="Arial" w:hAnsi="Arial"/>
                <w:sz w:val="13"/>
                <w:szCs w:val="13"/>
                <w:b w:val="1"/>
                <w:bCs w:val="1"/>
                <w:color w:val="auto"/>
                <w:w w:val="90"/>
              </w:rPr>
              <w:t>Annual</w:t>
            </w:r>
          </w:p>
        </w:tc>
        <w:tc>
          <w:tcPr>
            <w:tcW w:w="0" w:type="dxa"/>
            <w:vAlign w:val="bottom"/>
          </w:tcPr>
          <w:p>
            <w:pPr>
              <w:spacing w:after="0"/>
              <w:rPr>
                <w:sz w:val="1"/>
                <w:szCs w:val="1"/>
                <w:color w:val="auto"/>
              </w:rPr>
            </w:pPr>
          </w:p>
        </w:tc>
      </w:tr>
      <w:tr>
        <w:trPr>
          <w:trHeight w:val="38"/>
        </w:trPr>
        <w:tc>
          <w:tcPr>
            <w:tcW w:w="48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Payout Factor</w:t>
            </w:r>
          </w:p>
        </w:tc>
        <w:tc>
          <w:tcPr>
            <w:tcW w:w="400" w:type="dxa"/>
            <w:vAlign w:val="bottom"/>
          </w:tcPr>
          <w:p>
            <w:pPr>
              <w:spacing w:after="0"/>
              <w:rPr>
                <w:sz w:val="3"/>
                <w:szCs w:val="3"/>
                <w:color w:val="auto"/>
              </w:rPr>
            </w:pPr>
          </w:p>
        </w:tc>
        <w:tc>
          <w:tcPr>
            <w:tcW w:w="1280" w:type="dxa"/>
            <w:vAlign w:val="bottom"/>
            <w:tcBorders>
              <w:right w:val="single" w:sz="8" w:color="auto"/>
            </w:tcBorders>
            <w:vMerge w:val="restart"/>
          </w:tcPr>
          <w:p>
            <w:pPr>
              <w:jc w:val="center"/>
              <w:ind w:right="77"/>
              <w:spacing w:after="0"/>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06"/>
        </w:trPr>
        <w:tc>
          <w:tcPr>
            <w:tcW w:w="48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color w:val="auto"/>
                <w:w w:val="97"/>
              </w:rPr>
              <w:t>OPBT</w:t>
            </w:r>
          </w:p>
        </w:tc>
        <w:tc>
          <w:tcPr>
            <w:tcW w:w="660" w:type="dxa"/>
            <w:vAlign w:val="bottom"/>
          </w:tcPr>
          <w:p>
            <w:pPr>
              <w:spacing w:after="0"/>
              <w:rPr>
                <w:sz w:val="9"/>
                <w:szCs w:val="9"/>
                <w:color w:val="auto"/>
              </w:rPr>
            </w:pPr>
          </w:p>
        </w:tc>
        <w:tc>
          <w:tcPr>
            <w:tcW w:w="1020" w:type="dxa"/>
            <w:vAlign w:val="bottom"/>
            <w:tcBorders>
              <w:right w:val="single" w:sz="8" w:color="auto"/>
            </w:tcBorders>
          </w:tcPr>
          <w:p>
            <w:pPr>
              <w:jc w:val="center"/>
              <w:ind w:right="205"/>
              <w:spacing w:after="0" w:line="106" w:lineRule="exact"/>
              <w:rPr>
                <w:sz w:val="20"/>
                <w:szCs w:val="20"/>
                <w:color w:val="auto"/>
              </w:rPr>
            </w:pPr>
            <w:r>
              <w:rPr>
                <w:rFonts w:ascii="Arial" w:cs="Arial" w:eastAsia="Arial" w:hAnsi="Arial"/>
                <w:sz w:val="12"/>
                <w:szCs w:val="12"/>
                <w:color w:val="auto"/>
                <w:w w:val="93"/>
              </w:rPr>
              <w:t>Payout Factor</w:t>
            </w:r>
          </w:p>
        </w:tc>
        <w:tc>
          <w:tcPr>
            <w:tcW w:w="1660" w:type="dxa"/>
            <w:vAlign w:val="bottom"/>
            <w:tcBorders>
              <w:right w:val="single" w:sz="8" w:color="auto"/>
            </w:tcBorders>
          </w:tcPr>
          <w:p>
            <w:pPr>
              <w:jc w:val="center"/>
              <w:ind w:left="288"/>
              <w:spacing w:after="0" w:line="106" w:lineRule="exact"/>
              <w:rPr>
                <w:sz w:val="20"/>
                <w:szCs w:val="20"/>
                <w:color w:val="auto"/>
              </w:rPr>
            </w:pPr>
            <w:r>
              <w:rPr>
                <w:rFonts w:ascii="Arial" w:cs="Arial" w:eastAsia="Arial" w:hAnsi="Arial"/>
                <w:sz w:val="12"/>
                <w:szCs w:val="12"/>
                <w:color w:val="auto"/>
                <w:w w:val="98"/>
              </w:rPr>
              <w:t>YTY Revenue</w:t>
            </w:r>
          </w:p>
        </w:tc>
        <w:tc>
          <w:tcPr>
            <w:tcW w:w="1680" w:type="dxa"/>
            <w:vAlign w:val="bottom"/>
            <w:tcBorders>
              <w:right w:val="single" w:sz="8" w:color="auto"/>
            </w:tcBorders>
          </w:tcPr>
          <w:p>
            <w:pPr>
              <w:jc w:val="center"/>
              <w:ind w:left="305"/>
              <w:spacing w:after="0" w:line="106" w:lineRule="exact"/>
              <w:rPr>
                <w:sz w:val="20"/>
                <w:szCs w:val="20"/>
                <w:color w:val="auto"/>
              </w:rPr>
            </w:pPr>
            <w:r>
              <w:rPr>
                <w:rFonts w:ascii="Arial" w:cs="Arial" w:eastAsia="Arial" w:hAnsi="Arial"/>
                <w:sz w:val="12"/>
                <w:szCs w:val="12"/>
                <w:color w:val="auto"/>
                <w:w w:val="93"/>
              </w:rPr>
              <w:t>Payout Factor</w:t>
            </w:r>
          </w:p>
        </w:tc>
        <w:tc>
          <w:tcPr>
            <w:tcW w:w="40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8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89"/>
              </w:rPr>
              <w:t>(by quarter)</w:t>
            </w:r>
          </w:p>
        </w:tc>
        <w:tc>
          <w:tcPr>
            <w:tcW w:w="660" w:type="dxa"/>
            <w:vAlign w:val="bottom"/>
          </w:tcPr>
          <w:p>
            <w:pPr>
              <w:spacing w:after="0"/>
              <w:rPr>
                <w:sz w:val="12"/>
                <w:szCs w:val="12"/>
                <w:color w:val="auto"/>
              </w:rPr>
            </w:pPr>
          </w:p>
        </w:tc>
        <w:tc>
          <w:tcPr>
            <w:tcW w:w="1020" w:type="dxa"/>
            <w:vAlign w:val="bottom"/>
            <w:tcBorders>
              <w:right w:val="single" w:sz="8" w:color="auto"/>
            </w:tcBorders>
          </w:tcPr>
          <w:p>
            <w:pPr>
              <w:jc w:val="center"/>
              <w:ind w:right="225"/>
              <w:spacing w:after="0" w:line="139" w:lineRule="exact"/>
              <w:rPr>
                <w:sz w:val="20"/>
                <w:szCs w:val="20"/>
                <w:color w:val="auto"/>
              </w:rPr>
            </w:pPr>
            <w:r>
              <w:rPr>
                <w:rFonts w:ascii="Arial" w:cs="Arial" w:eastAsia="Arial" w:hAnsi="Arial"/>
                <w:sz w:val="13"/>
                <w:szCs w:val="13"/>
                <w:color w:val="auto"/>
                <w:w w:val="89"/>
              </w:rPr>
              <w:t>(by quarter)</w:t>
            </w:r>
          </w:p>
        </w:tc>
        <w:tc>
          <w:tcPr>
            <w:tcW w:w="1660" w:type="dxa"/>
            <w:vAlign w:val="bottom"/>
            <w:tcBorders>
              <w:right w:val="single" w:sz="8" w:color="auto"/>
            </w:tcBorders>
          </w:tcPr>
          <w:p>
            <w:pPr>
              <w:jc w:val="center"/>
              <w:ind w:left="288"/>
              <w:spacing w:after="0" w:line="139" w:lineRule="exact"/>
              <w:rPr>
                <w:sz w:val="20"/>
                <w:szCs w:val="20"/>
                <w:color w:val="auto"/>
              </w:rPr>
            </w:pPr>
            <w:r>
              <w:rPr>
                <w:rFonts w:ascii="Arial" w:cs="Arial" w:eastAsia="Arial" w:hAnsi="Arial"/>
                <w:sz w:val="13"/>
                <w:szCs w:val="13"/>
                <w:color w:val="auto"/>
                <w:w w:val="91"/>
              </w:rPr>
              <w:t>Growth (by</w:t>
            </w:r>
          </w:p>
        </w:tc>
        <w:tc>
          <w:tcPr>
            <w:tcW w:w="1680" w:type="dxa"/>
            <w:vAlign w:val="bottom"/>
            <w:tcBorders>
              <w:right w:val="single" w:sz="8" w:color="auto"/>
            </w:tcBorders>
          </w:tcPr>
          <w:p>
            <w:pPr>
              <w:jc w:val="center"/>
              <w:ind w:left="285"/>
              <w:spacing w:after="0" w:line="139" w:lineRule="exact"/>
              <w:rPr>
                <w:sz w:val="20"/>
                <w:szCs w:val="20"/>
                <w:color w:val="auto"/>
              </w:rPr>
            </w:pPr>
            <w:r>
              <w:rPr>
                <w:rFonts w:ascii="Arial" w:cs="Arial" w:eastAsia="Arial" w:hAnsi="Arial"/>
                <w:sz w:val="13"/>
                <w:szCs w:val="13"/>
                <w:color w:val="auto"/>
                <w:w w:val="89"/>
              </w:rPr>
              <w:t>(by quarter)</w:t>
            </w:r>
          </w:p>
        </w:tc>
        <w:tc>
          <w:tcPr>
            <w:tcW w:w="400" w:type="dxa"/>
            <w:vAlign w:val="bottom"/>
          </w:tcPr>
          <w:p>
            <w:pPr>
              <w:spacing w:after="0"/>
              <w:rPr>
                <w:sz w:val="12"/>
                <w:szCs w:val="12"/>
                <w:color w:val="auto"/>
              </w:rPr>
            </w:pPr>
          </w:p>
        </w:tc>
        <w:tc>
          <w:tcPr>
            <w:tcW w:w="12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6"/>
              </w:rPr>
              <w:t>(average)</w:t>
            </w:r>
          </w:p>
        </w:tc>
        <w:tc>
          <w:tcPr>
            <w:tcW w:w="400" w:type="dxa"/>
            <w:vAlign w:val="bottom"/>
          </w:tcPr>
          <w:p>
            <w:pPr>
              <w:spacing w:after="0"/>
              <w:rPr>
                <w:sz w:val="12"/>
                <w:szCs w:val="12"/>
                <w:color w:val="auto"/>
              </w:rPr>
            </w:pPr>
          </w:p>
        </w:tc>
        <w:tc>
          <w:tcPr>
            <w:tcW w:w="1280" w:type="dxa"/>
            <w:vAlign w:val="bottom"/>
            <w:tcBorders>
              <w:right w:val="single" w:sz="8" w:color="auto"/>
            </w:tcBorders>
          </w:tcPr>
          <w:p>
            <w:pPr>
              <w:jc w:val="center"/>
              <w:ind w:right="97"/>
              <w:spacing w:after="0" w:line="139" w:lineRule="exact"/>
              <w:rPr>
                <w:sz w:val="20"/>
                <w:szCs w:val="20"/>
                <w:color w:val="auto"/>
              </w:rPr>
            </w:pPr>
            <w:r>
              <w:rPr>
                <w:rFonts w:ascii="Arial" w:cs="Arial" w:eastAsia="Arial" w:hAnsi="Arial"/>
                <w:sz w:val="13"/>
                <w:szCs w:val="13"/>
                <w:b w:val="1"/>
                <w:bCs w:val="1"/>
                <w:color w:val="auto"/>
                <w:w w:val="90"/>
              </w:rPr>
              <w:t>Factor</w:t>
            </w:r>
          </w:p>
        </w:tc>
        <w:tc>
          <w:tcPr>
            <w:tcW w:w="0" w:type="dxa"/>
            <w:vAlign w:val="bottom"/>
          </w:tcPr>
          <w:p>
            <w:pPr>
              <w:spacing w:after="0"/>
              <w:rPr>
                <w:sz w:val="1"/>
                <w:szCs w:val="1"/>
                <w:color w:val="auto"/>
              </w:rPr>
            </w:pPr>
          </w:p>
        </w:tc>
      </w:tr>
      <w:tr>
        <w:trPr>
          <w:trHeight w:val="139"/>
        </w:trPr>
        <w:tc>
          <w:tcPr>
            <w:tcW w:w="48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ind w:left="308"/>
              <w:spacing w:after="0" w:line="139" w:lineRule="exact"/>
              <w:rPr>
                <w:sz w:val="20"/>
                <w:szCs w:val="20"/>
                <w:color w:val="auto"/>
              </w:rPr>
            </w:pPr>
            <w:r>
              <w:rPr>
                <w:rFonts w:ascii="Arial" w:cs="Arial" w:eastAsia="Arial" w:hAnsi="Arial"/>
                <w:sz w:val="13"/>
                <w:szCs w:val="13"/>
                <w:color w:val="auto"/>
                <w:w w:val="87"/>
              </w:rPr>
              <w:t>quarter)</w:t>
            </w:r>
          </w:p>
        </w:tc>
        <w:tc>
          <w:tcPr>
            <w:tcW w:w="16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Borders>
              <w:right w:val="single" w:sz="8" w:color="auto"/>
            </w:tcBorders>
          </w:tcPr>
          <w:p>
            <w:pPr>
              <w:jc w:val="center"/>
              <w:ind w:right="97"/>
              <w:spacing w:after="0" w:line="139" w:lineRule="exact"/>
              <w:rPr>
                <w:sz w:val="20"/>
                <w:szCs w:val="20"/>
                <w:color w:val="auto"/>
              </w:rPr>
            </w:pPr>
            <w:r>
              <w:rPr>
                <w:rFonts w:ascii="Arial" w:cs="Arial" w:eastAsia="Arial" w:hAnsi="Arial"/>
                <w:sz w:val="13"/>
                <w:szCs w:val="13"/>
                <w:b w:val="1"/>
                <w:bCs w:val="1"/>
                <w:color w:val="auto"/>
                <w:w w:val="86"/>
              </w:rPr>
              <w:t>(average of</w:t>
            </w:r>
          </w:p>
        </w:tc>
        <w:tc>
          <w:tcPr>
            <w:tcW w:w="0" w:type="dxa"/>
            <w:vAlign w:val="bottom"/>
          </w:tcPr>
          <w:p>
            <w:pPr>
              <w:spacing w:after="0"/>
              <w:rPr>
                <w:sz w:val="1"/>
                <w:szCs w:val="1"/>
                <w:color w:val="auto"/>
              </w:rPr>
            </w:pPr>
          </w:p>
        </w:tc>
      </w:tr>
      <w:tr>
        <w:trPr>
          <w:trHeight w:val="126"/>
        </w:trPr>
        <w:tc>
          <w:tcPr>
            <w:tcW w:w="480" w:type="dxa"/>
            <w:vAlign w:val="bottom"/>
            <w:tcBorders>
              <w:right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Borders>
              <w:bottom w:val="single" w:sz="8" w:color="auto"/>
              <w:right w:val="single" w:sz="8" w:color="auto"/>
            </w:tcBorders>
          </w:tcPr>
          <w:p>
            <w:pPr>
              <w:jc w:val="center"/>
              <w:ind w:right="77"/>
              <w:spacing w:after="0" w:line="126" w:lineRule="exact"/>
              <w:rPr>
                <w:sz w:val="20"/>
                <w:szCs w:val="20"/>
                <w:color w:val="auto"/>
              </w:rPr>
            </w:pPr>
            <w:r>
              <w:rPr>
                <w:rFonts w:ascii="Arial" w:cs="Arial" w:eastAsia="Arial" w:hAnsi="Arial"/>
                <w:sz w:val="13"/>
                <w:szCs w:val="13"/>
                <w:b w:val="1"/>
                <w:bCs w:val="1"/>
                <w:color w:val="auto"/>
                <w:w w:val="96"/>
              </w:rPr>
              <w:t>Q1-Q4)</w:t>
            </w:r>
          </w:p>
        </w:tc>
        <w:tc>
          <w:tcPr>
            <w:tcW w:w="0" w:type="dxa"/>
            <w:vAlign w:val="bottom"/>
          </w:tcPr>
          <w:p>
            <w:pPr>
              <w:spacing w:after="0"/>
              <w:rPr>
                <w:sz w:val="1"/>
                <w:szCs w:val="1"/>
                <w:color w:val="auto"/>
              </w:rPr>
            </w:pPr>
          </w:p>
        </w:tc>
      </w:tr>
      <w:tr>
        <w:trPr>
          <w:trHeight w:val="194"/>
        </w:trPr>
        <w:tc>
          <w:tcPr>
            <w:tcW w:w="480" w:type="dxa"/>
            <w:vAlign w:val="bottom"/>
            <w:tcBorders>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84"/>
              </w:rPr>
              <w:t>Q1</w:t>
            </w:r>
          </w:p>
        </w:tc>
        <w:tc>
          <w:tcPr>
            <w:tcW w:w="1820" w:type="dxa"/>
            <w:vAlign w:val="bottom"/>
            <w:tcBorders>
              <w:bottom w:val="single" w:sz="8" w:color="auto"/>
              <w:right w:val="single" w:sz="8" w:color="auto"/>
            </w:tcBorders>
            <w:gridSpan w:val="2"/>
          </w:tcPr>
          <w:p>
            <w:pPr>
              <w:jc w:val="center"/>
              <w:ind w:left="278"/>
              <w:spacing w:after="0"/>
              <w:rPr>
                <w:sz w:val="20"/>
                <w:szCs w:val="20"/>
                <w:color w:val="auto"/>
              </w:rPr>
            </w:pPr>
            <w:r>
              <w:rPr>
                <w:rFonts w:ascii="Arial" w:cs="Arial" w:eastAsia="Arial" w:hAnsi="Arial"/>
                <w:sz w:val="16"/>
                <w:szCs w:val="16"/>
                <w:color w:val="auto"/>
                <w:w w:val="92"/>
              </w:rPr>
              <w:t>35.6%</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205"/>
              <w:spacing w:after="0"/>
              <w:rPr>
                <w:sz w:val="20"/>
                <w:szCs w:val="20"/>
                <w:color w:val="auto"/>
              </w:rPr>
            </w:pPr>
            <w:r>
              <w:rPr>
                <w:rFonts w:ascii="Arial" w:cs="Arial" w:eastAsia="Arial" w:hAnsi="Arial"/>
                <w:sz w:val="16"/>
                <w:szCs w:val="16"/>
                <w:color w:val="auto"/>
                <w:w w:val="92"/>
              </w:rPr>
              <w:t>292%</w:t>
            </w:r>
          </w:p>
        </w:tc>
        <w:tc>
          <w:tcPr>
            <w:tcW w:w="166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6"/>
                <w:szCs w:val="16"/>
                <w:color w:val="auto"/>
                <w:w w:val="92"/>
              </w:rPr>
              <w:t>20.8%</w:t>
            </w:r>
          </w:p>
        </w:tc>
        <w:tc>
          <w:tcPr>
            <w:tcW w:w="1680" w:type="dxa"/>
            <w:vAlign w:val="bottom"/>
            <w:tcBorders>
              <w:bottom w:val="single" w:sz="8" w:color="auto"/>
              <w:right w:val="single" w:sz="8" w:color="auto"/>
            </w:tcBorders>
          </w:tcPr>
          <w:p>
            <w:pPr>
              <w:jc w:val="center"/>
              <w:ind w:left="305"/>
              <w:spacing w:after="0"/>
              <w:rPr>
                <w:sz w:val="20"/>
                <w:szCs w:val="20"/>
                <w:color w:val="auto"/>
              </w:rPr>
            </w:pPr>
            <w:r>
              <w:rPr>
                <w:rFonts w:ascii="Arial" w:cs="Arial" w:eastAsia="Arial" w:hAnsi="Arial"/>
                <w:sz w:val="16"/>
                <w:szCs w:val="16"/>
                <w:color w:val="auto"/>
                <w:w w:val="92"/>
              </w:rPr>
              <w:t>208%</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250%</w:t>
            </w:r>
          </w:p>
        </w:tc>
        <w:tc>
          <w:tcPr>
            <w:tcW w:w="40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 w:type="dxa"/>
            <w:vAlign w:val="bottom"/>
            <w:tcBorders>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84"/>
              </w:rPr>
              <w:t>Q2</w:t>
            </w:r>
          </w:p>
        </w:tc>
        <w:tc>
          <w:tcPr>
            <w:tcW w:w="1820" w:type="dxa"/>
            <w:vAlign w:val="bottom"/>
            <w:tcBorders>
              <w:bottom w:val="single" w:sz="8" w:color="auto"/>
              <w:right w:val="single" w:sz="8" w:color="auto"/>
            </w:tcBorders>
            <w:gridSpan w:val="2"/>
          </w:tcPr>
          <w:p>
            <w:pPr>
              <w:jc w:val="center"/>
              <w:ind w:left="278"/>
              <w:spacing w:after="0"/>
              <w:rPr>
                <w:sz w:val="20"/>
                <w:szCs w:val="20"/>
                <w:color w:val="auto"/>
              </w:rPr>
            </w:pPr>
            <w:r>
              <w:rPr>
                <w:rFonts w:ascii="Arial" w:cs="Arial" w:eastAsia="Arial" w:hAnsi="Arial"/>
                <w:sz w:val="16"/>
                <w:szCs w:val="16"/>
                <w:color w:val="auto"/>
                <w:w w:val="92"/>
              </w:rPr>
              <w:t>37.8%</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205"/>
              <w:spacing w:after="0"/>
              <w:rPr>
                <w:sz w:val="20"/>
                <w:szCs w:val="20"/>
                <w:color w:val="auto"/>
              </w:rPr>
            </w:pPr>
            <w:r>
              <w:rPr>
                <w:rFonts w:ascii="Arial" w:cs="Arial" w:eastAsia="Arial" w:hAnsi="Arial"/>
                <w:sz w:val="16"/>
                <w:szCs w:val="16"/>
                <w:color w:val="auto"/>
                <w:w w:val="92"/>
              </w:rPr>
              <w:t>300%</w:t>
            </w:r>
          </w:p>
        </w:tc>
        <w:tc>
          <w:tcPr>
            <w:tcW w:w="166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6"/>
                <w:szCs w:val="16"/>
                <w:color w:val="auto"/>
                <w:w w:val="92"/>
              </w:rPr>
              <w:t>18.3%</w:t>
            </w:r>
          </w:p>
        </w:tc>
        <w:tc>
          <w:tcPr>
            <w:tcW w:w="1680" w:type="dxa"/>
            <w:vAlign w:val="bottom"/>
            <w:tcBorders>
              <w:bottom w:val="single" w:sz="8" w:color="auto"/>
              <w:right w:val="single" w:sz="8" w:color="auto"/>
            </w:tcBorders>
          </w:tcPr>
          <w:p>
            <w:pPr>
              <w:jc w:val="center"/>
              <w:ind w:left="305"/>
              <w:spacing w:after="0"/>
              <w:rPr>
                <w:sz w:val="20"/>
                <w:szCs w:val="20"/>
                <w:color w:val="auto"/>
              </w:rPr>
            </w:pPr>
            <w:r>
              <w:rPr>
                <w:rFonts w:ascii="Arial" w:cs="Arial" w:eastAsia="Arial" w:hAnsi="Arial"/>
                <w:sz w:val="16"/>
                <w:szCs w:val="16"/>
                <w:color w:val="auto"/>
                <w:w w:val="92"/>
              </w:rPr>
              <w:t>183%</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242%</w:t>
            </w:r>
          </w:p>
        </w:tc>
        <w:tc>
          <w:tcPr>
            <w:tcW w:w="1680" w:type="dxa"/>
            <w:vAlign w:val="bottom"/>
            <w:tcBorders>
              <w:right w:val="single" w:sz="8" w:color="auto"/>
            </w:tcBorders>
            <w:gridSpan w:val="2"/>
            <w:vMerge w:val="restart"/>
          </w:tcPr>
          <w:p>
            <w:pPr>
              <w:jc w:val="right"/>
              <w:ind w:right="457"/>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78"/>
        </w:trPr>
        <w:tc>
          <w:tcPr>
            <w:tcW w:w="48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w w:val="84"/>
              </w:rPr>
              <w:t>Q3</w:t>
            </w:r>
          </w:p>
        </w:tc>
        <w:tc>
          <w:tcPr>
            <w:tcW w:w="1820" w:type="dxa"/>
            <w:vAlign w:val="bottom"/>
            <w:tcBorders>
              <w:right w:val="single" w:sz="8" w:color="auto"/>
            </w:tcBorders>
            <w:gridSpan w:val="2"/>
            <w:vMerge w:val="restart"/>
          </w:tcPr>
          <w:p>
            <w:pPr>
              <w:jc w:val="center"/>
              <w:ind w:left="278"/>
              <w:spacing w:after="0"/>
              <w:rPr>
                <w:sz w:val="20"/>
                <w:szCs w:val="20"/>
                <w:color w:val="auto"/>
              </w:rPr>
            </w:pPr>
            <w:r>
              <w:rPr>
                <w:rFonts w:ascii="Arial" w:cs="Arial" w:eastAsia="Arial" w:hAnsi="Arial"/>
                <w:sz w:val="16"/>
                <w:szCs w:val="16"/>
                <w:color w:val="auto"/>
                <w:w w:val="92"/>
              </w:rPr>
              <w:t>36.8%</w:t>
            </w:r>
          </w:p>
        </w:tc>
        <w:tc>
          <w:tcPr>
            <w:tcW w:w="660" w:type="dxa"/>
            <w:vAlign w:val="bottom"/>
          </w:tcPr>
          <w:p>
            <w:pPr>
              <w:spacing w:after="0"/>
              <w:rPr>
                <w:sz w:val="6"/>
                <w:szCs w:val="6"/>
                <w:color w:val="auto"/>
              </w:rPr>
            </w:pPr>
          </w:p>
        </w:tc>
        <w:tc>
          <w:tcPr>
            <w:tcW w:w="1020" w:type="dxa"/>
            <w:vAlign w:val="bottom"/>
            <w:tcBorders>
              <w:right w:val="single" w:sz="8" w:color="auto"/>
            </w:tcBorders>
            <w:vMerge w:val="restart"/>
          </w:tcPr>
          <w:p>
            <w:pPr>
              <w:jc w:val="center"/>
              <w:ind w:right="205"/>
              <w:spacing w:after="0"/>
              <w:rPr>
                <w:sz w:val="20"/>
                <w:szCs w:val="20"/>
                <w:color w:val="auto"/>
              </w:rPr>
            </w:pPr>
            <w:r>
              <w:rPr>
                <w:rFonts w:ascii="Arial" w:cs="Arial" w:eastAsia="Arial" w:hAnsi="Arial"/>
                <w:sz w:val="16"/>
                <w:szCs w:val="16"/>
                <w:color w:val="auto"/>
                <w:w w:val="92"/>
              </w:rPr>
              <w:t>300%</w:t>
            </w:r>
          </w:p>
        </w:tc>
        <w:tc>
          <w:tcPr>
            <w:tcW w:w="1660" w:type="dxa"/>
            <w:vAlign w:val="bottom"/>
            <w:tcBorders>
              <w:right w:val="single" w:sz="8" w:color="auto"/>
            </w:tcBorders>
            <w:vMerge w:val="restart"/>
          </w:tcPr>
          <w:p>
            <w:pPr>
              <w:jc w:val="center"/>
              <w:ind w:left="288"/>
              <w:spacing w:after="0"/>
              <w:rPr>
                <w:sz w:val="20"/>
                <w:szCs w:val="20"/>
                <w:color w:val="auto"/>
              </w:rPr>
            </w:pPr>
            <w:r>
              <w:rPr>
                <w:rFonts w:ascii="Arial" w:cs="Arial" w:eastAsia="Arial" w:hAnsi="Arial"/>
                <w:sz w:val="16"/>
                <w:szCs w:val="16"/>
                <w:color w:val="auto"/>
                <w:w w:val="93"/>
              </w:rPr>
              <w:t>5.2%</w:t>
            </w:r>
          </w:p>
        </w:tc>
        <w:tc>
          <w:tcPr>
            <w:tcW w:w="1680" w:type="dxa"/>
            <w:vAlign w:val="bottom"/>
            <w:tcBorders>
              <w:right w:val="single" w:sz="8" w:color="auto"/>
            </w:tcBorders>
            <w:vMerge w:val="restart"/>
          </w:tcPr>
          <w:p>
            <w:pPr>
              <w:jc w:val="center"/>
              <w:ind w:left="305"/>
              <w:spacing w:after="0"/>
              <w:rPr>
                <w:sz w:val="20"/>
                <w:szCs w:val="20"/>
                <w:color w:val="auto"/>
              </w:rPr>
            </w:pPr>
            <w:r>
              <w:rPr>
                <w:rFonts w:ascii="Arial" w:cs="Arial" w:eastAsia="Arial" w:hAnsi="Arial"/>
                <w:sz w:val="16"/>
                <w:szCs w:val="16"/>
                <w:color w:val="auto"/>
                <w:w w:val="93"/>
              </w:rPr>
              <w:t>52%</w:t>
            </w:r>
          </w:p>
        </w:tc>
        <w:tc>
          <w:tcPr>
            <w:tcW w:w="400" w:type="dxa"/>
            <w:vAlign w:val="bottom"/>
          </w:tcPr>
          <w:p>
            <w:pPr>
              <w:spacing w:after="0"/>
              <w:rPr>
                <w:sz w:val="6"/>
                <w:szCs w:val="6"/>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176%</w:t>
            </w:r>
          </w:p>
        </w:tc>
        <w:tc>
          <w:tcPr>
            <w:tcW w:w="1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80" w:type="dxa"/>
            <w:vAlign w:val="bottom"/>
            <w:tcBorders>
              <w:right w:val="single" w:sz="8" w:color="auto"/>
            </w:tcBorders>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right w:val="single" w:sz="8" w:color="auto"/>
            </w:tcBorders>
            <w:gridSpan w:val="2"/>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vMerge w:val="continue"/>
          </w:tcPr>
          <w:p>
            <w:pPr>
              <w:spacing w:after="0"/>
              <w:rPr>
                <w:sz w:val="10"/>
                <w:szCs w:val="10"/>
                <w:color w:val="auto"/>
              </w:rPr>
            </w:pPr>
          </w:p>
        </w:tc>
        <w:tc>
          <w:tcPr>
            <w:tcW w:w="168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80" w:type="dxa"/>
            <w:vAlign w:val="bottom"/>
            <w:tcBorders>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84"/>
              </w:rPr>
              <w:t>Q4</w:t>
            </w:r>
          </w:p>
        </w:tc>
        <w:tc>
          <w:tcPr>
            <w:tcW w:w="1820" w:type="dxa"/>
            <w:vAlign w:val="bottom"/>
            <w:tcBorders>
              <w:bottom w:val="single" w:sz="8" w:color="auto"/>
              <w:right w:val="single" w:sz="8" w:color="auto"/>
            </w:tcBorders>
            <w:gridSpan w:val="2"/>
          </w:tcPr>
          <w:p>
            <w:pPr>
              <w:jc w:val="center"/>
              <w:ind w:left="278"/>
              <w:spacing w:after="0"/>
              <w:rPr>
                <w:sz w:val="20"/>
                <w:szCs w:val="20"/>
                <w:color w:val="auto"/>
              </w:rPr>
            </w:pPr>
            <w:r>
              <w:rPr>
                <w:rFonts w:ascii="Arial" w:cs="Arial" w:eastAsia="Arial" w:hAnsi="Arial"/>
                <w:sz w:val="16"/>
                <w:szCs w:val="16"/>
                <w:color w:val="auto"/>
                <w:w w:val="96"/>
              </w:rPr>
              <w:t>33.2%*</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205"/>
              <w:spacing w:after="0"/>
              <w:rPr>
                <w:sz w:val="20"/>
                <w:szCs w:val="20"/>
                <w:color w:val="auto"/>
              </w:rPr>
            </w:pPr>
            <w:r>
              <w:rPr>
                <w:rFonts w:ascii="Arial" w:cs="Arial" w:eastAsia="Arial" w:hAnsi="Arial"/>
                <w:sz w:val="16"/>
                <w:szCs w:val="16"/>
                <w:color w:val="auto"/>
                <w:w w:val="92"/>
              </w:rPr>
              <w:t>244%</w:t>
            </w:r>
          </w:p>
        </w:tc>
        <w:tc>
          <w:tcPr>
            <w:tcW w:w="166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6"/>
                <w:szCs w:val="16"/>
                <w:color w:val="auto"/>
                <w:w w:val="97"/>
              </w:rPr>
              <w:t>-(7)%</w:t>
            </w:r>
          </w:p>
        </w:tc>
        <w:tc>
          <w:tcPr>
            <w:tcW w:w="1680" w:type="dxa"/>
            <w:vAlign w:val="bottom"/>
            <w:tcBorders>
              <w:bottom w:val="single" w:sz="8" w:color="auto"/>
              <w:right w:val="single" w:sz="8" w:color="auto"/>
            </w:tcBorders>
          </w:tcPr>
          <w:p>
            <w:pPr>
              <w:jc w:val="center"/>
              <w:ind w:left="305"/>
              <w:spacing w:after="0"/>
              <w:rPr>
                <w:sz w:val="20"/>
                <w:szCs w:val="20"/>
                <w:color w:val="auto"/>
              </w:rPr>
            </w:pPr>
            <w:r>
              <w:rPr>
                <w:rFonts w:ascii="Arial" w:cs="Arial" w:eastAsia="Arial" w:hAnsi="Arial"/>
                <w:sz w:val="16"/>
                <w:szCs w:val="16"/>
                <w:color w:val="auto"/>
                <w:w w:val="94"/>
              </w:rPr>
              <w:t>0%</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122%</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right="280" w:firstLine="457"/>
        <w:spacing w:after="0" w:line="278" w:lineRule="auto"/>
        <w:rPr>
          <w:sz w:val="20"/>
          <w:szCs w:val="20"/>
          <w:color w:val="auto"/>
        </w:rPr>
      </w:pPr>
      <w:r>
        <w:rPr>
          <w:rFonts w:ascii="Arial" w:cs="Arial" w:eastAsia="Arial" w:hAnsi="Arial"/>
          <w:sz w:val="16"/>
          <w:szCs w:val="16"/>
          <w:color w:val="auto"/>
        </w:rPr>
        <w:t>*OPBT for the fourth quarter of fiscal 2011 was calculated excluding restructuring-related expenses associated with our expense reduction efforts in the quarter. Our Compensation Committee believes this limited exclusion was appropriate because we do not expect these expenses to be ongoing future operating expenses and excluding them provides a more realistic comparison of our current operating performance to our past operating performance.</w:t>
      </w:r>
    </w:p>
    <w:p>
      <w:pPr>
        <w:spacing w:after="0" w:line="117" w:lineRule="exact"/>
        <w:rPr>
          <w:sz w:val="20"/>
          <w:szCs w:val="20"/>
          <w:color w:val="auto"/>
        </w:rPr>
      </w:pPr>
    </w:p>
    <w:p>
      <w:pPr>
        <w:jc w:val="both"/>
        <w:ind w:right="120" w:firstLine="457"/>
        <w:spacing w:after="0" w:line="305" w:lineRule="auto"/>
        <w:rPr>
          <w:sz w:val="20"/>
          <w:szCs w:val="20"/>
          <w:color w:val="auto"/>
        </w:rPr>
      </w:pPr>
      <w:r>
        <w:rPr>
          <w:rFonts w:ascii="Arial" w:cs="Arial" w:eastAsia="Arial" w:hAnsi="Arial"/>
          <w:sz w:val="15"/>
          <w:szCs w:val="15"/>
          <w:u w:val="single" w:color="auto"/>
          <w:color w:val="auto"/>
        </w:rPr>
        <w:t>Individual Payout Factor</w:t>
      </w:r>
      <w:r>
        <w:rPr>
          <w:rFonts w:ascii="Arial" w:cs="Arial" w:eastAsia="Arial" w:hAnsi="Arial"/>
          <w:sz w:val="15"/>
          <w:szCs w:val="15"/>
          <w:color w:val="auto"/>
        </w:rPr>
        <w:t>. Each participant in the executive performance incentive plan, other than Mr. Fishman, was previously eligible to have his or her award under this plan increased by up to 30% for superior individual performance or superior performance within that executive’s particular business unit. Our Compensation Committee eliminated this provision from the plan because it has never used the individual payout factor to increase the bonus payment for an NEO.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93" w:lineRule="exact"/>
        <w:rPr>
          <w:sz w:val="20"/>
          <w:szCs w:val="20"/>
          <w:color w:val="auto"/>
        </w:rPr>
      </w:pPr>
    </w:p>
    <w:p>
      <w:pPr>
        <w:ind w:right="220" w:firstLine="457"/>
        <w:spacing w:after="0" w:line="278" w:lineRule="auto"/>
        <w:rPr>
          <w:sz w:val="20"/>
          <w:szCs w:val="20"/>
          <w:color w:val="auto"/>
        </w:rPr>
      </w:pPr>
      <w:r>
        <w:rPr>
          <w:rFonts w:ascii="Arial" w:cs="Arial" w:eastAsia="Arial" w:hAnsi="Arial"/>
          <w:sz w:val="16"/>
          <w:szCs w:val="16"/>
          <w:color w:val="auto"/>
        </w:rPr>
        <w:t>Our equity compensation program is a broad-based, long-term employee retention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semiconductor industry.</w:t>
      </w:r>
    </w:p>
    <w:p>
      <w:pPr>
        <w:spacing w:after="0" w:line="117" w:lineRule="exact"/>
        <w:rPr>
          <w:sz w:val="20"/>
          <w:szCs w:val="20"/>
          <w:color w:val="auto"/>
        </w:rPr>
      </w:pPr>
    </w:p>
    <w:p>
      <w:pPr>
        <w:ind w:right="260" w:firstLine="457"/>
        <w:spacing w:after="0" w:line="294" w:lineRule="auto"/>
        <w:rPr>
          <w:sz w:val="20"/>
          <w:szCs w:val="20"/>
          <w:color w:val="auto"/>
        </w:rPr>
      </w:pPr>
      <w:r>
        <w:rPr>
          <w:rFonts w:ascii="Arial" w:cs="Arial" w:eastAsia="Arial" w:hAnsi="Arial"/>
          <w:sz w:val="16"/>
          <w:szCs w:val="16"/>
          <w:color w:val="auto"/>
        </w:rPr>
        <w:t>Our equity awards to our executives and other employees eligible to receive them are generally comprised 50% of stock options that vest over five years and 50% of RSUs that vest in full on the third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140970</wp:posOffset>
            </wp:positionV>
            <wp:extent cx="6732905" cy="884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884555"/>
                    </a:xfrm>
                    <a:prstGeom prst="rect">
                      <a:avLst/>
                    </a:prstGeom>
                    <a:noFill/>
                  </pic:spPr>
                </pic:pic>
              </a:graphicData>
            </a:graphic>
          </wp:anchor>
        </w:drawing>
      </w:r>
    </w:p>
    <w:p>
      <w:pPr>
        <w:spacing w:after="0" w:line="235"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Why do we use a mix of stock options and RSUs in our equity compensation program?</w:t>
      </w:r>
    </w:p>
    <w:p>
      <w:pPr>
        <w:spacing w:after="0" w:line="93" w:lineRule="exact"/>
        <w:rPr>
          <w:sz w:val="20"/>
          <w:szCs w:val="20"/>
          <w:color w:val="auto"/>
        </w:rPr>
      </w:pPr>
    </w:p>
    <w:p>
      <w:pPr>
        <w:jc w:val="both"/>
        <w:ind w:left="1040"/>
        <w:spacing w:after="0" w:line="270" w:lineRule="auto"/>
        <w:rPr>
          <w:sz w:val="20"/>
          <w:szCs w:val="20"/>
          <w:color w:val="auto"/>
        </w:rPr>
      </w:pPr>
      <w:r>
        <w:rPr>
          <w:rFonts w:ascii="Arial" w:cs="Arial" w:eastAsia="Arial" w:hAnsi="Arial"/>
          <w:sz w:val="16"/>
          <w:szCs w:val="16"/>
          <w:color w:val="auto"/>
        </w:rPr>
        <w:t>We use stock options that vest over five years as a way to reward long-term value creation and RSUs that cliff vest in full on the third anniversary of the grant d retention tool and to enable our executives to accumulate stock ownership in the Company. In addition, in a volatile stock market, RSUs continue to provide val stock options may not, which the Compensation Committee believed would be useful in retaining talented executives in uncertain economic times. This mix of options and RSUs is a common practice among our peer group. Consistent with our Compensation Committee’s desire to tie pay to performance, the value of b these awards is directly linked to the long-term performance of our stock price.</w:t>
      </w:r>
    </w:p>
    <w:p>
      <w:pPr>
        <w:spacing w:after="0" w:line="187" w:lineRule="exact"/>
        <w:rPr>
          <w:sz w:val="20"/>
          <w:szCs w:val="20"/>
          <w:color w:val="auto"/>
        </w:rPr>
      </w:pPr>
    </w:p>
    <w:p>
      <w:pPr>
        <w:ind w:right="240" w:firstLine="457"/>
        <w:spacing w:after="0" w:line="329" w:lineRule="auto"/>
        <w:rPr>
          <w:sz w:val="20"/>
          <w:szCs w:val="20"/>
          <w:color w:val="auto"/>
        </w:rPr>
      </w:pPr>
      <w:r>
        <w:rPr>
          <w:rFonts w:ascii="Arial" w:cs="Arial" w:eastAsia="Arial" w:hAnsi="Arial"/>
          <w:sz w:val="15"/>
          <w:szCs w:val="15"/>
          <w:color w:val="auto"/>
        </w:rPr>
        <w:t>We believe that meaningful vesting periods encourage recipients to remain with ADI over the long term. Because the value of the awards is based on our stock price, stock options and RSUs encourage recipients to focus on achievement of longer-term goals, such as strategic growth, business innovation and shareholder return.</w:t>
      </w:r>
    </w:p>
    <w:p>
      <w:pPr>
        <w:spacing w:after="0" w:line="6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520"/>
          </w:cols>
          <w:pgMar w:left="240" w:top="439" w:right="1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20"/>
        <w:spacing w:after="0" w:line="294" w:lineRule="auto"/>
        <w:rPr>
          <w:sz w:val="20"/>
          <w:szCs w:val="20"/>
          <w:color w:val="auto"/>
        </w:rPr>
      </w:pPr>
      <w:r>
        <w:rPr>
          <w:rFonts w:ascii="Arial" w:cs="Arial" w:eastAsia="Arial" w:hAnsi="Arial"/>
          <w:sz w:val="16"/>
          <w:szCs w:val="16"/>
          <w:color w:val="auto"/>
        </w:rPr>
        <w:t>While we believe that our longer vesting periods serve our employee retention goals, they tend to increase the number of stock options outstanding at any given time compared to companies that grant stock options with shorter vesting schedules.</w:t>
      </w:r>
    </w:p>
    <w:p>
      <w:pPr>
        <w:spacing w:after="0" w:line="104"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We set a goal each year to keep the shareholder dilution related to our equity ownership program to a certain percentage. This dilution percentage is calculated as the total number of shares of common stock underlying new equity grants made during the year, divided by the total number of outstanding shares of our common stock at the beginning of the year. For fiscal 2011, our gross dilution percentage was 1.6%, compared to an average of 3.6% for our peer group, and our net dilution percentage was 0.6%, compared to an average of 2.3% for our peers. For 2012, we set the maximum gross dilution percentage related to our equity program at 2.0%, which remains unchanged from fiscal 2011.</w:t>
      </w:r>
    </w:p>
    <w:p>
      <w:pPr>
        <w:spacing w:after="0" w:line="124" w:lineRule="exact"/>
        <w:rPr>
          <w:sz w:val="20"/>
          <w:szCs w:val="20"/>
          <w:color w:val="auto"/>
        </w:rPr>
      </w:pPr>
    </w:p>
    <w:p>
      <w:pPr>
        <w:ind w:right="100" w:firstLine="457"/>
        <w:spacing w:after="0" w:line="294" w:lineRule="auto"/>
        <w:rPr>
          <w:sz w:val="20"/>
          <w:szCs w:val="20"/>
          <w:color w:val="auto"/>
        </w:rPr>
      </w:pPr>
      <w:r>
        <w:rPr>
          <w:rFonts w:ascii="Arial" w:cs="Arial" w:eastAsia="Arial" w:hAnsi="Arial"/>
          <w:sz w:val="16"/>
          <w:szCs w:val="16"/>
          <w:color w:val="auto"/>
        </w:rPr>
        <w:t>The size of the equity awards approved by our Compensation Committee for our executives reflect the executive’s individual responsibilities and where that person is in his or her career with ADI. In fiscal 2011, the Compensation Committee authorized grants of stock options and RSUs to our NEOs, as follows:</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Restricted</w:t>
            </w:r>
          </w:p>
        </w:tc>
        <w:tc>
          <w:tcPr>
            <w:tcW w:w="0" w:type="dxa"/>
            <w:vAlign w:val="bottom"/>
          </w:tcPr>
          <w:p>
            <w:pPr>
              <w:spacing w:after="0"/>
              <w:rPr>
                <w:sz w:val="1"/>
                <w:szCs w:val="1"/>
                <w:color w:val="auto"/>
              </w:rPr>
            </w:pPr>
          </w:p>
        </w:tc>
      </w:tr>
      <w:tr>
        <w:trPr>
          <w:trHeight w:val="139"/>
        </w:trPr>
        <w:tc>
          <w:tcPr>
            <w:tcW w:w="6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Executive</w:t>
            </w:r>
          </w:p>
        </w:tc>
        <w:tc>
          <w:tcPr>
            <w:tcW w:w="1100" w:type="dxa"/>
            <w:vAlign w:val="bottom"/>
            <w:gridSpan w:val="2"/>
          </w:tcPr>
          <w:p>
            <w:pPr>
              <w:jc w:val="center"/>
              <w:ind w:right="560"/>
              <w:spacing w:after="0" w:line="139"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44"/>
        </w:trPr>
        <w:tc>
          <w:tcPr>
            <w:tcW w:w="6840" w:type="dxa"/>
            <w:vAlign w:val="bottom"/>
            <w:gridSpan w:val="2"/>
            <w:vMerge w:val="continue"/>
          </w:tcPr>
          <w:p>
            <w:pPr>
              <w:spacing w:after="0"/>
              <w:rPr>
                <w:sz w:val="12"/>
                <w:szCs w:val="12"/>
                <w:color w:val="auto"/>
              </w:rPr>
            </w:pPr>
          </w:p>
        </w:tc>
        <w:tc>
          <w:tcPr>
            <w:tcW w:w="110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6"/>
              </w:rPr>
              <w:t>Units</w:t>
            </w:r>
          </w:p>
        </w:tc>
        <w:tc>
          <w:tcPr>
            <w:tcW w:w="0" w:type="dxa"/>
            <w:vAlign w:val="bottom"/>
          </w:tcPr>
          <w:p>
            <w:pPr>
              <w:spacing w:after="0"/>
              <w:rPr>
                <w:sz w:val="1"/>
                <w:szCs w:val="1"/>
                <w:color w:val="auto"/>
              </w:rPr>
            </w:pPr>
          </w:p>
        </w:tc>
      </w:tr>
      <w:tr>
        <w:trPr>
          <w:trHeight w:val="88"/>
        </w:trPr>
        <w:tc>
          <w:tcPr>
            <w:tcW w:w="1060" w:type="dxa"/>
            <w:vAlign w:val="bottom"/>
            <w:tcBorders>
              <w:top w:val="single" w:sz="8" w:color="auto"/>
            </w:tcBorders>
          </w:tcPr>
          <w:p>
            <w:pPr>
              <w:spacing w:after="0"/>
              <w:rPr>
                <w:sz w:val="7"/>
                <w:szCs w:val="7"/>
                <w:color w:val="auto"/>
              </w:rPr>
            </w:pPr>
          </w:p>
        </w:tc>
        <w:tc>
          <w:tcPr>
            <w:tcW w:w="57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684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560" w:type="dxa"/>
            <w:vAlign w:val="bottom"/>
          </w:tcPr>
          <w:p>
            <w:pPr>
              <w:jc w:val="right"/>
              <w:spacing w:after="0"/>
              <w:rPr>
                <w:sz w:val="20"/>
                <w:szCs w:val="20"/>
                <w:color w:val="auto"/>
              </w:rPr>
            </w:pPr>
            <w:r>
              <w:rPr>
                <w:rFonts w:ascii="Arial" w:cs="Arial" w:eastAsia="Arial" w:hAnsi="Arial"/>
                <w:sz w:val="16"/>
                <w:szCs w:val="16"/>
                <w:color w:val="auto"/>
              </w:rPr>
              <w:t>45,110</w:t>
            </w:r>
          </w:p>
        </w:tc>
        <w:tc>
          <w:tcPr>
            <w:tcW w:w="5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5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52,630</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684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560" w:type="dxa"/>
            <w:vAlign w:val="bottom"/>
          </w:tcPr>
          <w:p>
            <w:pPr>
              <w:jc w:val="right"/>
              <w:spacing w:after="0"/>
              <w:rPr>
                <w:sz w:val="20"/>
                <w:szCs w:val="20"/>
                <w:color w:val="auto"/>
              </w:rPr>
            </w:pPr>
            <w:r>
              <w:rPr>
                <w:rFonts w:ascii="Arial" w:cs="Arial" w:eastAsia="Arial" w:hAnsi="Arial"/>
                <w:sz w:val="16"/>
                <w:szCs w:val="16"/>
                <w:color w:val="auto"/>
              </w:rPr>
              <w:t>52,630</w:t>
            </w:r>
          </w:p>
        </w:tc>
        <w:tc>
          <w:tcPr>
            <w:tcW w:w="5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5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52,630</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In granting awards to Messrs. Zinsner, Marshall, McAdam and Roche, the Compensation Committee considered the equity compensation levels of comparable executives at our peer group, as well as the equity already held by each executive. We expect that Mr. Fishman will not receive additional equity awards during the remaining term of his employment agreement, which terminates on October 28, 2012.</w:t>
      </w:r>
    </w:p>
    <w:p>
      <w:pPr>
        <w:spacing w:after="0" w:line="117"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u w:val="single" w:color="auto"/>
          <w:color w:val="auto"/>
        </w:rPr>
        <w:t>Stock ownership guidelines</w:t>
      </w:r>
      <w:r>
        <w:rPr>
          <w:rFonts w:ascii="Arial" w:cs="Arial" w:eastAsia="Arial" w:hAnsi="Arial"/>
          <w:sz w:val="15"/>
          <w:szCs w:val="15"/>
          <w:color w:val="auto"/>
        </w:rPr>
        <w:t>. Under our guidelines, the target share ownership levels are two times annual base salary for the CEO and one times annual base salary for other executive officers. The CEO has three years to achieve his targeted level. Executive officers other than the CEO have five years to achieve their targeted level. Shares subject to unexercised options, whether or not vested, will not be counted for purposes of satisfying these guidelines. Restricted stock units (whether or not vested) are counted for purposes of satisfying the guidelines. All of our executive officers were in compliance with our stock ownership guidelines as of the end of fiscal 2011.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and Other Employee Benefits</w:t>
      </w:r>
    </w:p>
    <w:p>
      <w:pPr>
        <w:spacing w:after="0" w:line="93"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20" w:lineRule="exact"/>
        <w:rPr>
          <w:sz w:val="20"/>
          <w:szCs w:val="20"/>
          <w:color w:val="auto"/>
        </w:rPr>
      </w:pPr>
    </w:p>
    <w:p>
      <w:pPr>
        <w:ind w:right="40" w:firstLine="457"/>
        <w:spacing w:after="0" w:line="305" w:lineRule="auto"/>
        <w:rPr>
          <w:sz w:val="20"/>
          <w:szCs w:val="20"/>
          <w:color w:val="auto"/>
        </w:rPr>
      </w:pPr>
      <w:r>
        <w:rPr>
          <w:rFonts w:ascii="Arial" w:cs="Arial" w:eastAsia="Arial" w:hAnsi="Arial"/>
          <w:sz w:val="15"/>
          <w:szCs w:val="15"/>
          <w:color w:val="auto"/>
        </w:rPr>
        <w:t>We maintain a Deferred Compensation Plan under which our executive officers and directors, along with a group of highly compensated management and engineering employees, are eligible to defer receipt of some or all of their cash compensation. This plan offers the same investment options as our 401(k) plan. Under our Deferred Compensation Plan, we provide all participants (other than non-employee directors) with Company contributions equal to 8% of eligible deferred contributions.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39"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In addition, in the United States, we contribute to our 401(k) plan on behalf all participants, including our NEOs, amounts equal to 5% of the employee’s eligible compensation, plus matching contributions up to an additional 3%, subject to Internal Revenue Service limits. For those employees who also participate in the Deferred Compensation Plan described above, any compensation that is deferred under that plan is not considered eligible compensation for purposes of our Company contributions under the 401(k) plan. We also provide employees who are eligible to participate in the 401(k) plan but whose compensation is greater than the amount that may be taken into account in any plan year as a result of IRS limits ($245,000 for fiscal 2011), with a taxable payment equal to 8% of the employee’s 401(k)-eligible compensation in excess of the IRS limit.</w:t>
      </w:r>
    </w:p>
    <w:p>
      <w:pPr>
        <w:spacing w:after="0" w:line="123" w:lineRule="exact"/>
        <w:rPr>
          <w:sz w:val="20"/>
          <w:szCs w:val="20"/>
          <w:color w:val="auto"/>
        </w:rPr>
      </w:pPr>
    </w:p>
    <w:p>
      <w:pPr>
        <w:ind w:right="220" w:firstLine="457"/>
        <w:spacing w:after="0" w:line="296" w:lineRule="auto"/>
        <w:rPr>
          <w:sz w:val="20"/>
          <w:szCs w:val="20"/>
          <w:color w:val="auto"/>
        </w:rPr>
      </w:pPr>
      <w:r>
        <w:rPr>
          <w:rFonts w:ascii="Arial" w:cs="Arial" w:eastAsia="Arial" w:hAnsi="Arial"/>
          <w:sz w:val="15"/>
          <w:szCs w:val="15"/>
          <w:color w:val="auto"/>
        </w:rPr>
        <w:t>The Analog Devices B.V. Retirement and Death Benefit Plan is a defined-benefit pension plan covering all employees of our Irish subsidiaries, including Messrs. Marshall and McAdam. This plan is described more fully below under “— Pension Benefits.” The ADBV Executive Investment Partnership Plan is a defined-contribution plan covering all executive employees of our Irish subsidiaries, including Messrs. Marshall and McAdam. Under this plan, we match employee contributions to the ADBV Executive Investment Partnership Plan, up to a maximum of 4% of their annual salary, subject to limits established by the Irish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142875</wp:posOffset>
            </wp:positionV>
            <wp:extent cx="6732905" cy="884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884555"/>
                    </a:xfrm>
                    <a:prstGeom prst="rect">
                      <a:avLst/>
                    </a:prstGeom>
                    <a:noFill/>
                  </pic:spPr>
                </pic:pic>
              </a:graphicData>
            </a:graphic>
          </wp:anchor>
        </w:drawing>
      </w:r>
    </w:p>
    <w:p>
      <w:pPr>
        <w:spacing w:after="0" w:line="250"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Why do we offer these specific retirement and pension benefits?</w:t>
      </w:r>
    </w:p>
    <w:p>
      <w:pPr>
        <w:spacing w:after="0" w:line="93" w:lineRule="exact"/>
        <w:rPr>
          <w:sz w:val="20"/>
          <w:szCs w:val="20"/>
          <w:color w:val="auto"/>
        </w:rPr>
      </w:pPr>
    </w:p>
    <w:p>
      <w:pPr>
        <w:jc w:val="both"/>
        <w:ind w:left="1040"/>
        <w:spacing w:after="0" w:line="292" w:lineRule="auto"/>
        <w:rPr>
          <w:sz w:val="20"/>
          <w:szCs w:val="20"/>
          <w:color w:val="auto"/>
        </w:rPr>
      </w:pPr>
      <w:r>
        <w:rPr>
          <w:rFonts w:ascii="Arial" w:cs="Arial" w:eastAsia="Arial" w:hAnsi="Arial"/>
          <w:sz w:val="15"/>
          <w:szCs w:val="15"/>
          <w:color w:val="auto"/>
        </w:rPr>
        <w:t>We established the retirement savings plan match described above to provide to our higher-paid employees the same employee matching contribution that we of our other employees, to the extent their compensation levels exceed the IRS 401(k) contribution limits. We offer the Deferred Compensation Plan described abo the eligible participants the opportunity to save for retirement on a tax-deferred basis. Our Analog Devices B.V. Retirement and Death Benefit Plan and our AD Executive Investment Partnership Plan are consistent with defined-benefit pension plans and defined-contribution plans commonly offered in Ireland. The Com Committee believes that each of these benefits is important to the competitiveness of our overall compensation program.</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Limited Perquisites</w:t>
      </w:r>
    </w:p>
    <w:p>
      <w:pPr>
        <w:spacing w:after="0" w:line="93" w:lineRule="exact"/>
        <w:rPr>
          <w:sz w:val="20"/>
          <w:szCs w:val="20"/>
          <w:color w:val="auto"/>
        </w:rPr>
      </w:pPr>
    </w:p>
    <w:p>
      <w:pPr>
        <w:ind w:right="160" w:firstLine="457"/>
        <w:spacing w:after="0" w:line="370" w:lineRule="auto"/>
        <w:rPr>
          <w:sz w:val="20"/>
          <w:szCs w:val="20"/>
          <w:color w:val="auto"/>
        </w:rPr>
      </w:pPr>
      <w:r>
        <w:rPr>
          <w:rFonts w:ascii="Arial" w:cs="Arial" w:eastAsia="Arial" w:hAnsi="Arial"/>
          <w:sz w:val="14"/>
          <w:szCs w:val="14"/>
          <w:color w:val="auto"/>
        </w:rPr>
        <w:t>We have never awarded extensive perquisites to our executives. The only perquisites that we generally provide to our executives are automobiles for Messrs. Marshall and McAdam and financial, tax and estate planning services on an after-tax basis for Mr. Fishman. These items are detailed in the Summary Compensation Table below.</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Recovery</w:t>
      </w:r>
    </w:p>
    <w:p>
      <w:pPr>
        <w:spacing w:after="0" w:line="93" w:lineRule="exact"/>
        <w:rPr>
          <w:sz w:val="20"/>
          <w:szCs w:val="20"/>
          <w:color w:val="auto"/>
        </w:rPr>
      </w:pPr>
    </w:p>
    <w:p>
      <w:pPr>
        <w:jc w:val="both"/>
        <w:ind w:right="260" w:firstLine="457"/>
        <w:spacing w:after="0" w:line="270" w:lineRule="auto"/>
        <w:rPr>
          <w:sz w:val="20"/>
          <w:szCs w:val="20"/>
          <w:color w:val="auto"/>
        </w:rPr>
      </w:pPr>
      <w:r>
        <w:rPr>
          <w:rFonts w:ascii="Arial" w:cs="Arial" w:eastAsia="Arial" w:hAnsi="Arial"/>
          <w:sz w:val="16"/>
          <w:szCs w:val="16"/>
          <w:color w:val="auto"/>
        </w:rPr>
        <w:t>Under the Sarbanes-Oxley Act, in the event of misconduct that results in a financial restatement that would have reduced a previously paid incentive amount, we can recoup those improper payments from our CEO and CFO. In addition, we expect to implement a clawback policy in fiscal 2012 in accordance with the requirements of the Dodd-Frank Act and the regulations that will be issued under that Act. We have elected to wait until the SEC issues guidance about the proper form of a clawback policy in order to ensure that we implement a fully compliant policy at one time, rather than implementing a policy that may require significant amendment after the SEC regulations are released.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our Chief Executive Officer</w:t>
      </w:r>
    </w:p>
    <w:p>
      <w:pPr>
        <w:spacing w:after="0" w:line="97" w:lineRule="exact"/>
        <w:rPr>
          <w:sz w:val="20"/>
          <w:szCs w:val="20"/>
          <w:color w:val="auto"/>
        </w:rPr>
      </w:pPr>
    </w:p>
    <w:p>
      <w:pPr>
        <w:ind w:right="120" w:firstLine="457"/>
        <w:spacing w:after="0" w:line="329" w:lineRule="auto"/>
        <w:rPr>
          <w:sz w:val="20"/>
          <w:szCs w:val="20"/>
          <w:color w:val="auto"/>
        </w:rPr>
      </w:pPr>
      <w:r>
        <w:rPr>
          <w:rFonts w:ascii="Arial" w:cs="Arial" w:eastAsia="Arial" w:hAnsi="Arial"/>
          <w:sz w:val="15"/>
          <w:szCs w:val="15"/>
          <w:color w:val="auto"/>
        </w:rPr>
        <w:t>Our employment agreement with Mr. Fishman, dated January 14, 2010, extends through October 28, 2012. In establishing the terms of the employment agreement, the Compensation Committee, with the assistance of PM&amp;P, reviewed the total compensation packages of chief executive officers in our peer group. The Committee</w:t>
      </w:r>
    </w:p>
    <w:p>
      <w:pPr>
        <w:spacing w:after="0" w:line="6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520"/>
          </w:cols>
          <w:pgMar w:left="240" w:top="439" w:right="1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determined, based on this review, that Mr. Fishman’s annual total direct compensation under the employment agreement (consisting of base salary, annual bonus and additional annual bonus at target, and one-third of the RSUs previously granted to him) would be in the 75</w:t>
      </w:r>
      <w:r>
        <w:rPr>
          <w:rFonts w:ascii="Arial" w:cs="Arial" w:eastAsia="Arial" w:hAnsi="Arial"/>
          <w:sz w:val="10"/>
          <w:szCs w:val="10"/>
          <w:color w:val="auto"/>
        </w:rPr>
        <w:t>th</w:t>
      </w:r>
      <w:r>
        <w:rPr>
          <w:rFonts w:ascii="Arial" w:cs="Arial" w:eastAsia="Arial" w:hAnsi="Arial"/>
          <w:sz w:val="16"/>
          <w:szCs w:val="16"/>
          <w:color w:val="auto"/>
        </w:rPr>
        <w:t xml:space="preserve"> percentile of the comparable total direct compensation of chief executive officers in our peer group. The Committee believes that the 75</w:t>
      </w:r>
      <w:r>
        <w:rPr>
          <w:rFonts w:ascii="Arial" w:cs="Arial" w:eastAsia="Arial" w:hAnsi="Arial"/>
          <w:sz w:val="10"/>
          <w:szCs w:val="10"/>
          <w:color w:val="auto"/>
        </w:rPr>
        <w:t>th</w:t>
      </w:r>
      <w:r>
        <w:rPr>
          <w:rFonts w:ascii="Arial" w:cs="Arial" w:eastAsia="Arial" w:hAnsi="Arial"/>
          <w:sz w:val="16"/>
          <w:szCs w:val="16"/>
          <w:color w:val="auto"/>
        </w:rPr>
        <w:t xml:space="preserve"> percentile is an appropriate level for Mr. Fishman’s total direct compensation both because Mr. Fishman is one of the most experienced and qualified chief executive officers in the semiconductor industry and because a large majority of Mr. Fishman’s total compensation is performance-based.</w:t>
      </w:r>
    </w:p>
    <w:p>
      <w:pPr>
        <w:spacing w:after="0" w:line="124"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Under the employment agreement, Mr. Fishman will continue to receive, until October 28, 2012, a base salary of $930,935, an annual bonus target percentage of 160% of his annual base salary, and an additional annual bonus equal to his annual bonus multiplied by two, not to exceed $5 million in any year. Mr. Fishman received an equity award in fiscal 2010 that cliff vests in 2013, but he received no equity award in fiscal 2011, and we do not expect him to receive additional equity awards for the remainder of the term of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151765</wp:posOffset>
            </wp:positionV>
            <wp:extent cx="6732905" cy="1156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1156970"/>
                    </a:xfrm>
                    <a:prstGeom prst="rect">
                      <a:avLst/>
                    </a:prstGeom>
                    <a:noFill/>
                  </pic:spPr>
                </pic:pic>
              </a:graphicData>
            </a:graphic>
          </wp:anchor>
        </w:drawing>
      </w:r>
    </w:p>
    <w:p>
      <w:pPr>
        <w:spacing w:after="0" w:line="264"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How was our CEO’s compensation calculated for fiscal 2011?</w:t>
      </w:r>
    </w:p>
    <w:p>
      <w:pPr>
        <w:spacing w:after="0" w:line="9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Mr. Fishman’s compensation in fiscal 2011 consisted primarily of:</w:t>
      </w:r>
    </w:p>
    <w:p>
      <w:pPr>
        <w:spacing w:after="0" w:line="93" w:lineRule="exact"/>
        <w:rPr>
          <w:sz w:val="20"/>
          <w:szCs w:val="20"/>
          <w:color w:val="auto"/>
        </w:rPr>
      </w:pPr>
    </w:p>
    <w:p>
      <w:pPr>
        <w:ind w:left="2400" w:hanging="448"/>
        <w:spacing w:after="0"/>
        <w:tabs>
          <w:tab w:leader="none" w:pos="2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$930,935 in base salary, which has remained unchanged since 2003,</w:t>
      </w:r>
    </w:p>
    <w:p>
      <w:pPr>
        <w:spacing w:after="0" w:line="93" w:lineRule="exact"/>
        <w:rPr>
          <w:rFonts w:ascii="Arial" w:cs="Arial" w:eastAsia="Arial" w:hAnsi="Arial"/>
          <w:sz w:val="16"/>
          <w:szCs w:val="16"/>
          <w:color w:val="auto"/>
        </w:rPr>
      </w:pPr>
    </w:p>
    <w:p>
      <w:pPr>
        <w:ind w:left="2400" w:right="200" w:hanging="448"/>
        <w:spacing w:after="0" w:line="294" w:lineRule="auto"/>
        <w:tabs>
          <w:tab w:leader="none" w:pos="2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$2.9 million in performance incentive payments under our 2011 performance incentive plan, which is applicable to all ADI employees and which paid out above target for the year because of our strong operating results, and</w:t>
      </w:r>
    </w:p>
    <w:p>
      <w:pPr>
        <w:spacing w:after="0" w:line="27" w:lineRule="exact"/>
        <w:rPr>
          <w:rFonts w:ascii="Arial" w:cs="Arial" w:eastAsia="Arial" w:hAnsi="Arial"/>
          <w:sz w:val="16"/>
          <w:szCs w:val="16"/>
          <w:color w:val="auto"/>
        </w:rPr>
      </w:pPr>
    </w:p>
    <w:p>
      <w:pPr>
        <w:ind w:left="2400" w:right="340" w:hanging="448"/>
        <w:spacing w:after="0" w:line="294" w:lineRule="auto"/>
        <w:tabs>
          <w:tab w:leader="none" w:pos="2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$5 million in long-term incentive bonus, which was entirely performance-based and calculated by multiplying Mr. Fishman’s annual bonus amount by two, but capped at $5 million under the terms of his employment arrangement.</w:t>
      </w:r>
    </w:p>
    <w:p>
      <w:pPr>
        <w:spacing w:after="0" w:line="154"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Mr. Fishman did not receive an equity award in fiscal 2011 and, as a result, his total compensation for fiscal 2011 as reported in the Summary Compensation Table below appears to be 36% lower than it was in fiscal 2010. However, our Compensation Committee viewed Mr. Fishman’s 2010 equity award as being granted 1/3 in each of 2010, 2011 and 2012. If 1/3 of the 2010 value of Mr. Fishman’s RSU award is included in his total compensation for each of those three years, Mr. Fishman’s total compensation in fiscal 2011 actually declined 7% compared to fiscal 2010. The decrease is attributable to ADI’s performance in fiscal 2011 compared to fiscal 2010. While we exceeded our OPBT goal for fiscal 2011, we fell short of our new revenue growth goal for the year. As a result, our performance incentive plan paid out at 198% of target for fiscal 2011, compared with 239% for fiscal 2010. As with all ADI employees, Mr. Fishman’s employment arrangement pays out at high levels when ADI performs well and at lower levels when we do not perform as well.</w:t>
      </w:r>
    </w:p>
    <w:p>
      <w:pPr>
        <w:spacing w:after="0" w:line="124" w:lineRule="exact"/>
        <w:rPr>
          <w:sz w:val="20"/>
          <w:szCs w:val="20"/>
          <w:color w:val="auto"/>
        </w:rPr>
      </w:pPr>
    </w:p>
    <w:p>
      <w:pPr>
        <w:ind w:right="440" w:firstLine="457"/>
        <w:spacing w:after="0" w:line="294" w:lineRule="auto"/>
        <w:rPr>
          <w:sz w:val="20"/>
          <w:szCs w:val="20"/>
          <w:color w:val="auto"/>
        </w:rPr>
      </w:pPr>
      <w:r>
        <w:rPr>
          <w:rFonts w:ascii="Arial" w:cs="Arial" w:eastAsia="Arial" w:hAnsi="Arial"/>
          <w:sz w:val="16"/>
          <w:szCs w:val="16"/>
          <w:color w:val="auto"/>
        </w:rPr>
        <w:t>Mr. Fishman’s employment agreement terminates on October 28, 2012. If, prior to that date, Mr. Fishman’s employment with ADI is terminated by ADI without “cause” or by Mr. Fishman for “good reason,” (as each term is defined in the employment agreement), then Mr. Fishman will receive:</w:t>
      </w:r>
    </w:p>
    <w:p>
      <w:pPr>
        <w:spacing w:after="0" w:line="28" w:lineRule="exact"/>
        <w:rPr>
          <w:sz w:val="20"/>
          <w:szCs w:val="20"/>
          <w:color w:val="auto"/>
        </w:rPr>
      </w:pPr>
    </w:p>
    <w:p>
      <w:pPr>
        <w:ind w:left="1480" w:right="140" w:hanging="459"/>
        <w:spacing w:after="0" w:line="273" w:lineRule="auto"/>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his accrued but unpaid base salary and vacation pay; his actual annual bonus and additional bonus for the quarter in which the termination occurs; the amount of base salary and annual bonus he would have received (at target) over the remaining balance of the employment period; continued medical and dental benefits (or estimated costs of those benefits) through the remaining balance of the employment period; and a severance payment equal to the amount of his annual base salary and target annual bonus; and</w:t>
      </w:r>
    </w:p>
    <w:p>
      <w:pPr>
        <w:spacing w:after="0" w:line="44" w:lineRule="exact"/>
        <w:rPr>
          <w:rFonts w:ascii="Arial" w:cs="Arial" w:eastAsia="Arial" w:hAnsi="Arial"/>
          <w:sz w:val="16"/>
          <w:szCs w:val="16"/>
          <w:color w:val="auto"/>
        </w:rPr>
      </w:pPr>
    </w:p>
    <w:p>
      <w:pPr>
        <w:ind w:left="1480" w:hanging="459"/>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acceleration of all outstanding equity awards.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39"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20"/>
        <w:spacing w:after="0" w:line="294" w:lineRule="auto"/>
        <w:rPr>
          <w:sz w:val="20"/>
          <w:szCs w:val="20"/>
          <w:color w:val="auto"/>
        </w:rPr>
      </w:pPr>
      <w:r>
        <w:rPr>
          <w:rFonts w:ascii="Arial" w:cs="Arial" w:eastAsia="Arial" w:hAnsi="Arial"/>
          <w:sz w:val="16"/>
          <w:szCs w:val="16"/>
          <w:color w:val="auto"/>
        </w:rPr>
        <w:t>In exchange for this severance payment, Mr. Fishman will perform up to two days of consulting services per week for up to 12 months following termination of his employment under certain circumstances. During this period, he will not be eligible to receive any additional compensation from ADI.</w:t>
      </w:r>
    </w:p>
    <w:p>
      <w:pPr>
        <w:spacing w:after="0" w:line="104" w:lineRule="exact"/>
        <w:rPr>
          <w:sz w:val="20"/>
          <w:szCs w:val="20"/>
          <w:color w:val="auto"/>
        </w:rPr>
      </w:pPr>
    </w:p>
    <w:p>
      <w:pPr>
        <w:ind w:right="140" w:firstLine="457"/>
        <w:spacing w:after="0" w:line="268" w:lineRule="auto"/>
        <w:rPr>
          <w:sz w:val="20"/>
          <w:szCs w:val="20"/>
          <w:color w:val="auto"/>
        </w:rPr>
      </w:pPr>
      <w:r>
        <w:rPr>
          <w:rFonts w:ascii="Arial" w:cs="Arial" w:eastAsia="Arial" w:hAnsi="Arial"/>
          <w:sz w:val="16"/>
          <w:szCs w:val="16"/>
          <w:color w:val="auto"/>
        </w:rPr>
        <w:t>If this termination were to occur following a change in control, Mr. Fishman would be entitled to receive the greater of the benefits described above or the amounts that would be payable under his change in control retention agreement described below under “— Change in Control Retention Agreements.” If termination were to occur by reason of death or disability, Mr. Fishman (or his estate) would receive his annual bonus and additional bonus for the quarter in which the termination occurs, and the vesting of the RSUs awarded under his employment agreement would accelerate. If termination were to occur at the end of the employment period, Mr. Fishman would receive an amount equal to his then annual base salary plus the annual bonus he would have received (at target) for fiscal 2012. In exchange for this severance payment, Mr. Fishman will perform certain consulting services for ADI. Also, under his employment agreement, Mr. Fishman will not compete with ADI during the employment period and for two years following the employment period.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Fishman is not entitled to any gross-up payment for any excess parachute payment tax payable in connection with a change in control of ADI.</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Retention and Change in Control Benefits</w:t>
      </w:r>
    </w:p>
    <w:p>
      <w:pPr>
        <w:spacing w:after="0" w:line="97" w:lineRule="exact"/>
        <w:rPr>
          <w:sz w:val="20"/>
          <w:szCs w:val="20"/>
          <w:color w:val="auto"/>
        </w:rPr>
      </w:pPr>
    </w:p>
    <w:p>
      <w:pPr>
        <w:ind w:right="140" w:firstLine="457"/>
        <w:spacing w:after="0" w:line="305" w:lineRule="auto"/>
        <w:rPr>
          <w:sz w:val="20"/>
          <w:szCs w:val="20"/>
          <w:color w:val="auto"/>
        </w:rPr>
      </w:pPr>
      <w:r>
        <w:rPr>
          <w:rFonts w:ascii="Arial" w:cs="Arial" w:eastAsia="Arial" w:hAnsi="Arial"/>
          <w:sz w:val="15"/>
          <w:szCs w:val="15"/>
          <w:color w:val="auto"/>
        </w:rPr>
        <w:t>We enter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 See “— Change in Control Retention Agreements” below for additional information about these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137795</wp:posOffset>
            </wp:positionV>
            <wp:extent cx="6732905" cy="1396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1396365"/>
                    </a:xfrm>
                    <a:prstGeom prst="rect">
                      <a:avLst/>
                    </a:prstGeom>
                    <a:noFill/>
                  </pic:spPr>
                </pic:pic>
              </a:graphicData>
            </a:graphic>
          </wp:anchor>
        </w:drawing>
      </w:r>
    </w:p>
    <w:p>
      <w:pPr>
        <w:spacing w:after="0" w:line="242"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Why do we offer these change in control benefits?</w:t>
      </w:r>
    </w:p>
    <w:p>
      <w:pPr>
        <w:spacing w:after="0" w:line="93" w:lineRule="exact"/>
        <w:rPr>
          <w:sz w:val="20"/>
          <w:szCs w:val="20"/>
          <w:color w:val="auto"/>
        </w:rPr>
      </w:pPr>
    </w:p>
    <w:p>
      <w:pPr>
        <w:ind w:left="1040"/>
        <w:spacing w:after="0" w:line="309" w:lineRule="auto"/>
        <w:rPr>
          <w:sz w:val="20"/>
          <w:szCs w:val="20"/>
          <w:color w:val="auto"/>
        </w:rPr>
      </w:pPr>
      <w:r>
        <w:rPr>
          <w:rFonts w:ascii="Arial" w:cs="Arial" w:eastAsia="Arial" w:hAnsi="Arial"/>
          <w:sz w:val="14"/>
          <w:szCs w:val="14"/>
          <w:color w:val="auto"/>
        </w:rPr>
        <w:t>We designed the change in control retention agreements to help ensure that our executive team is able to evaluate objectively whether a potential change in cont transaction is in the best interests of ADI and our shareholders, without having to be concerned about their future employment. We believe that retaining the ser our key executives during a change in control scenario is critical. These agreements help ensure the continued services of our executive officers throughout the control transaction by giving them incentives to remain with us rather than seeking alternative employment or being recruited to a competitor during a highly un time. The Compensation Committee reviewed prevalent market practices in determining the severance amounts and the events that trigger payments under the agreements. The Committee determined that the amounts and triggering events were appropriate and designed to encourage decision-making that is in the best i ADI. In fiscal 2011, the Compensation Committee asked PM&amp;P, its compensation consultant, to review our severance, retention and change in control arrangem PM&amp;P determined that those arrangements were consistent with prevalent market practice in the semiconductor industry. We have eliminated excess parachute tax gross-up provisions from all future change in control retention agreements and our CEO will not receive any such payments.</w:t>
      </w:r>
    </w:p>
    <w:p>
      <w:pPr>
        <w:spacing w:after="0" w:line="150" w:lineRule="exact"/>
        <w:rPr>
          <w:sz w:val="20"/>
          <w:szCs w:val="20"/>
          <w:color w:val="auto"/>
        </w:rPr>
      </w:pPr>
    </w:p>
    <w:p>
      <w:pPr>
        <w:ind w:right="300" w:firstLine="457"/>
        <w:spacing w:after="0" w:line="273" w:lineRule="auto"/>
        <w:rPr>
          <w:sz w:val="20"/>
          <w:szCs w:val="20"/>
          <w:color w:val="auto"/>
        </w:rPr>
      </w:pPr>
      <w:r>
        <w:rPr>
          <w:rFonts w:ascii="Arial" w:cs="Arial" w:eastAsia="Arial" w:hAnsi="Arial"/>
          <w:sz w:val="16"/>
          <w:szCs w:val="16"/>
          <w:color w:val="auto"/>
        </w:rPr>
        <w:t>In addition, 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520"/>
          </w:cols>
          <w:pgMar w:left="240" w:top="439" w:right="1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right="280"/>
        <w:spacing w:after="0" w:line="278" w:lineRule="auto"/>
        <w:rPr>
          <w:sz w:val="20"/>
          <w:szCs w:val="20"/>
          <w:color w:val="auto"/>
        </w:rPr>
      </w:pPr>
      <w:r>
        <w:rPr>
          <w:rFonts w:ascii="Arial" w:cs="Arial" w:eastAsia="Arial" w:hAnsi="Arial"/>
          <w:sz w:val="16"/>
          <w:szCs w:val="16"/>
          <w:color w:val="auto"/>
        </w:rPr>
        <w:t>or prior to the first anniversary of the change in control, the employee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Award Grant Date Policy</w:t>
      </w:r>
    </w:p>
    <w:p>
      <w:pPr>
        <w:spacing w:after="0" w:line="97" w:lineRule="exact"/>
        <w:rPr>
          <w:sz w:val="20"/>
          <w:szCs w:val="20"/>
          <w:color w:val="auto"/>
        </w:rPr>
      </w:pPr>
    </w:p>
    <w:p>
      <w:pPr>
        <w:ind w:right="140" w:firstLine="457"/>
        <w:spacing w:after="0" w:line="294" w:lineRule="auto"/>
        <w:rPr>
          <w:sz w:val="20"/>
          <w:szCs w:val="20"/>
          <w:color w:val="auto"/>
        </w:rPr>
      </w:pPr>
      <w:r>
        <w:rPr>
          <w:rFonts w:ascii="Arial" w:cs="Arial" w:eastAsia="Arial" w:hAnsi="Arial"/>
          <w:sz w:val="16"/>
          <w:szCs w:val="16"/>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28" w:lineRule="exact"/>
        <w:rPr>
          <w:sz w:val="20"/>
          <w:szCs w:val="20"/>
          <w:color w:val="auto"/>
        </w:rPr>
      </w:pPr>
    </w:p>
    <w:p>
      <w:pPr>
        <w:ind w:left="900" w:right="600" w:hanging="446"/>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New Hire Grants</w:t>
      </w:r>
      <w:r>
        <w:rPr>
          <w:rFonts w:ascii="Arial" w:cs="Arial" w:eastAsia="Arial" w:hAnsi="Arial"/>
          <w:sz w:val="16"/>
          <w:szCs w:val="16"/>
          <w:color w:val="auto"/>
        </w:rPr>
        <w:t>: The grant date of all awards to newly hired executive officers and employees is the 15th day of the month after the date on which the individual commences employment with us (or the next succeeding business day that the NYSE is open).</w:t>
      </w:r>
    </w:p>
    <w:p>
      <w:pPr>
        <w:spacing w:after="0" w:line="27"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Annual Grants</w:t>
      </w:r>
      <w:r>
        <w:rPr>
          <w:rFonts w:ascii="Arial" w:cs="Arial" w:eastAsia="Arial" w:hAnsi="Arial"/>
          <w:sz w:val="16"/>
          <w:szCs w:val="16"/>
          <w:color w:val="auto"/>
        </w:rPr>
        <w:t>: The grant date of all annual awards has been the 2</w:t>
      </w:r>
      <w:r>
        <w:rPr>
          <w:rFonts w:ascii="Arial" w:cs="Arial" w:eastAsia="Arial" w:hAnsi="Arial"/>
          <w:sz w:val="10"/>
          <w:szCs w:val="10"/>
          <w:color w:val="auto"/>
        </w:rPr>
        <w:t>nd</w:t>
      </w:r>
      <w:r>
        <w:rPr>
          <w:rFonts w:ascii="Arial" w:cs="Arial" w:eastAsia="Arial" w:hAnsi="Arial"/>
          <w:sz w:val="16"/>
          <w:szCs w:val="16"/>
          <w:color w:val="auto"/>
        </w:rPr>
        <w:t xml:space="preserve"> business day following January 1 that the NYSE is open. Beginning in fiscal 2012, the grant date of all annual awards will be March 15 or the first business day following March 15 that the NYSE is open.</w:t>
      </w:r>
    </w:p>
    <w:p>
      <w:pPr>
        <w:spacing w:after="0" w:line="27" w:lineRule="exact"/>
        <w:rPr>
          <w:rFonts w:ascii="Arial" w:cs="Arial" w:eastAsia="Arial" w:hAnsi="Arial"/>
          <w:sz w:val="16"/>
          <w:szCs w:val="16"/>
          <w:color w:val="auto"/>
        </w:rPr>
      </w:pPr>
    </w:p>
    <w:p>
      <w:pPr>
        <w:ind w:left="900" w:right="180" w:hanging="446"/>
        <w:spacing w:after="0" w:line="305" w:lineRule="auto"/>
        <w:tabs>
          <w:tab w:leader="none" w:pos="90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Other Grants</w:t>
      </w:r>
      <w:r>
        <w:rPr>
          <w:rFonts w:ascii="Arial" w:cs="Arial" w:eastAsia="Arial" w:hAnsi="Arial"/>
          <w:sz w:val="14"/>
          <w:szCs w:val="14"/>
          <w:color w:val="auto"/>
        </w:rPr>
        <w:t>: All other awards granted to existing executive officers and employees throughout the year (off-cycle awards) have a grant date of either: (1) the 15</w:t>
      </w:r>
      <w:r>
        <w:rPr>
          <w:rFonts w:ascii="Arial" w:cs="Arial" w:eastAsia="Arial" w:hAnsi="Arial"/>
          <w:sz w:val="9"/>
          <w:szCs w:val="9"/>
          <w:color w:val="auto"/>
        </w:rPr>
        <w:t>th</w:t>
      </w:r>
      <w:r>
        <w:rPr>
          <w:rFonts w:ascii="Arial" w:cs="Arial" w:eastAsia="Arial" w:hAnsi="Arial"/>
          <w:sz w:val="14"/>
          <w:szCs w:val="14"/>
          <w:color w:val="auto"/>
        </w:rPr>
        <w:t xml:space="preserve"> day of the month (or the next succeeding business day that the NYSE is open) in which the award is approved, if the approval occurs before the 15</w:t>
      </w:r>
      <w:r>
        <w:rPr>
          <w:rFonts w:ascii="Arial" w:cs="Arial" w:eastAsia="Arial" w:hAnsi="Arial"/>
          <w:sz w:val="9"/>
          <w:szCs w:val="9"/>
          <w:color w:val="auto"/>
        </w:rPr>
        <w:t>th</w:t>
      </w:r>
      <w:r>
        <w:rPr>
          <w:rFonts w:ascii="Arial" w:cs="Arial" w:eastAsia="Arial" w:hAnsi="Arial"/>
          <w:sz w:val="14"/>
          <w:szCs w:val="14"/>
          <w:color w:val="auto"/>
        </w:rPr>
        <w:t xml:space="preserve"> , or</w:t>
      </w:r>
    </w:p>
    <w:p>
      <w:pPr>
        <w:ind w:left="900"/>
        <w:spacing w:after="0"/>
        <w:rPr>
          <w:rFonts w:ascii="Arial" w:cs="Arial" w:eastAsia="Arial" w:hAnsi="Arial"/>
          <w:sz w:val="14"/>
          <w:szCs w:val="14"/>
          <w:color w:val="auto"/>
        </w:rPr>
      </w:pPr>
      <w:r>
        <w:rPr>
          <w:rFonts w:ascii="Arial" w:cs="Arial" w:eastAsia="Arial" w:hAnsi="Arial"/>
          <w:sz w:val="14"/>
          <w:szCs w:val="14"/>
          <w:color w:val="auto"/>
        </w:rPr>
        <w:t>(2) the 15</w:t>
      </w:r>
      <w:r>
        <w:rPr>
          <w:rFonts w:ascii="Arial" w:cs="Arial" w:eastAsia="Arial" w:hAnsi="Arial"/>
          <w:sz w:val="9"/>
          <w:szCs w:val="9"/>
          <w:color w:val="auto"/>
        </w:rPr>
        <w:t>th</w:t>
      </w:r>
      <w:r>
        <w:rPr>
          <w:rFonts w:ascii="Arial" w:cs="Arial" w:eastAsia="Arial" w:hAnsi="Arial"/>
          <w:sz w:val="14"/>
          <w:szCs w:val="14"/>
          <w:color w:val="auto"/>
        </w:rPr>
        <w:t xml:space="preserve"> day of the following month (or the next succeeding business day that the NYSE is open), if the approval occurs on or after the 15</w:t>
      </w:r>
      <w:r>
        <w:rPr>
          <w:rFonts w:ascii="Arial" w:cs="Arial" w:eastAsia="Arial" w:hAnsi="Arial"/>
          <w:sz w:val="9"/>
          <w:szCs w:val="9"/>
          <w:color w:val="auto"/>
        </w:rPr>
        <w:t>th</w:t>
      </w:r>
      <w:r>
        <w:rPr>
          <w:rFonts w:ascii="Arial" w:cs="Arial" w:eastAsia="Arial" w:hAnsi="Arial"/>
          <w:sz w:val="14"/>
          <w:szCs w:val="14"/>
          <w:color w:val="auto"/>
        </w:rPr>
        <w:t xml:space="preserve"> day of the month.</w:t>
      </w:r>
    </w:p>
    <w:p>
      <w:pPr>
        <w:spacing w:after="0" w:line="109" w:lineRule="exact"/>
        <w:rPr>
          <w:rFonts w:ascii="Arial" w:cs="Arial" w:eastAsia="Arial" w:hAnsi="Arial"/>
          <w:sz w:val="14"/>
          <w:szCs w:val="14"/>
          <w:color w:val="auto"/>
        </w:rPr>
      </w:pPr>
    </w:p>
    <w:p>
      <w:pPr>
        <w:ind w:left="900" w:right="320" w:hanging="446"/>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Foreign Registrations</w:t>
      </w:r>
      <w:r>
        <w:rPr>
          <w:rFonts w:ascii="Arial" w:cs="Arial" w:eastAsia="Arial" w:hAnsi="Arial"/>
          <w:sz w:val="16"/>
          <w:szCs w:val="16"/>
          <w:color w:val="auto"/>
        </w:rPr>
        <w:t>: Any awards requiring registration or approval in a foreign jurisdiction will have a grant date of the 15</w:t>
      </w:r>
      <w:r>
        <w:rPr>
          <w:rFonts w:ascii="Arial" w:cs="Arial" w:eastAsia="Arial" w:hAnsi="Arial"/>
          <w:sz w:val="10"/>
          <w:szCs w:val="10"/>
          <w:color w:val="auto"/>
        </w:rPr>
        <w:t>th</w:t>
      </w:r>
      <w:r>
        <w:rPr>
          <w:rFonts w:ascii="Arial" w:cs="Arial" w:eastAsia="Arial" w:hAnsi="Arial"/>
          <w:sz w:val="16"/>
          <w:szCs w:val="16"/>
          <w:color w:val="auto"/>
        </w:rPr>
        <w:t xml:space="preserve"> day of the month (or the next succeeding business day that the NYSE is open) following the effective date of that registration or approval.</w:t>
      </w:r>
    </w:p>
    <w:p>
      <w:pPr>
        <w:spacing w:after="0" w:line="27" w:lineRule="exact"/>
        <w:rPr>
          <w:rFonts w:ascii="Arial" w:cs="Arial" w:eastAsia="Arial" w:hAnsi="Arial"/>
          <w:sz w:val="16"/>
          <w:szCs w:val="16"/>
          <w:color w:val="auto"/>
        </w:rPr>
      </w:pPr>
    </w:p>
    <w:p>
      <w:pPr>
        <w:ind w:left="900" w:right="120" w:hanging="446"/>
        <w:spacing w:after="0" w:line="27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Blackout Periods</w:t>
      </w:r>
      <w:r>
        <w:rPr>
          <w:rFonts w:ascii="Arial" w:cs="Arial" w:eastAsia="Arial" w:hAnsi="Arial"/>
          <w:sz w:val="16"/>
          <w:szCs w:val="16"/>
          <w:color w:val="auto"/>
        </w:rPr>
        <w:t>: We do not grant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describe the equity award grant date policy for our non-employee directors above under “Corporate Governance—Director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and Accounting Considerations</w:t>
      </w:r>
    </w:p>
    <w:p>
      <w:pPr>
        <w:spacing w:after="0" w:line="97"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Section 162(m) of the Internal Revenue Code of 1986, as amended, generally disallows a tax deduction to public companies for certain compensation in excess of $1 million paid to a company’s chief executive officer and the other executive officers whose compensation is required to be disclosed to our shareholders under the Securities and Exchange Act of 1934 by reason of being among our most highly compensated officers (excluding the chief financial officer). Certain compensation, including qualified performance-based compensation, will not be subject to the deduction limit if certain requirements are met. The Compensation Committee reviews the potential effect of Section 162(m) periodically. In addition, the Compensation Committee reserves the right to use its judgment to authorize compensation payments that may be subject to the limit when the Compensation Committee believes such payments are appropriate and in the best interests of ADI and our shareholders, after taking into consideration changing business conditions and the performance of our employees.</w:t>
      </w:r>
    </w:p>
    <w:p>
      <w:pPr>
        <w:spacing w:after="0" w:line="124" w:lineRule="exact"/>
        <w:rPr>
          <w:sz w:val="20"/>
          <w:szCs w:val="20"/>
          <w:color w:val="auto"/>
        </w:rPr>
      </w:pPr>
    </w:p>
    <w:p>
      <w:pPr>
        <w:jc w:val="center"/>
        <w:ind w:left="440" w:right="260"/>
        <w:spacing w:after="0" w:line="474" w:lineRule="auto"/>
        <w:rPr>
          <w:sz w:val="20"/>
          <w:szCs w:val="20"/>
          <w:color w:val="auto"/>
        </w:rPr>
      </w:pPr>
      <w:r>
        <w:rPr>
          <w:rFonts w:ascii="Arial" w:cs="Arial" w:eastAsia="Arial" w:hAnsi="Arial"/>
          <w:sz w:val="16"/>
          <w:szCs w:val="16"/>
          <w:color w:val="auto"/>
        </w:rPr>
        <w:t>Except for our CEO, our existing NEOs have change in control retention agreements that contain provisions regarding Section 280G of the Internal Revenue Code. 42</w:t>
      </w:r>
    </w:p>
    <w:p>
      <w:pPr>
        <w:sectPr>
          <w:pgSz w:w="11900" w:h="16838" w:orient="portrait"/>
          <w:cols w:equalWidth="0" w:num="1">
            <w:col w:w="11420"/>
          </w:cols>
          <w:pgMar w:left="240" w:top="439"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right="20" w:firstLine="457"/>
        <w:spacing w:after="0" w:line="335" w:lineRule="auto"/>
        <w:rPr>
          <w:sz w:val="20"/>
          <w:szCs w:val="20"/>
          <w:color w:val="auto"/>
        </w:rPr>
      </w:pPr>
      <w:r>
        <w:rPr>
          <w:rFonts w:ascii="Arial" w:cs="Arial" w:eastAsia="Arial" w:hAnsi="Arial"/>
          <w:sz w:val="14"/>
          <w:szCs w:val="14"/>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w:t>
      </w:r>
    </w:p>
    <w:p>
      <w:pPr>
        <w:spacing w:after="0" w:line="97"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The following table contains certain information about the compensation that our CEO, CFO and three other most highly compensated executive officers earned in fiscal 2011, 2010 and 2009.</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Compensation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Change in</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2"/>
              </w:rPr>
              <w:t>Pension</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4"/>
              </w:rPr>
              <w:t>Value and</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9"/>
              </w:rPr>
              <w:t>Non-Equity</w:t>
            </w: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9"/>
              </w:rPr>
              <w:t>Non-Qualified</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8"/>
              </w:rPr>
              <w:t>Incentive</w:t>
            </w: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9"/>
              </w:rPr>
              <w:t>Deferred</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Stock</w:t>
            </w:r>
          </w:p>
        </w:tc>
        <w:tc>
          <w:tcPr>
            <w:tcW w:w="70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Option</w:t>
            </w: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7"/>
              </w:rPr>
              <w:t>Plan</w:t>
            </w: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4"/>
              </w:rPr>
              <w:t>Compensation</w:t>
            </w:r>
          </w:p>
        </w:tc>
        <w:tc>
          <w:tcPr>
            <w:tcW w:w="130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90"/>
              </w:rPr>
              <w:t>All Other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1"/>
              </w:rPr>
              <w:t>Name and Principal Position</w:t>
            </w:r>
          </w:p>
        </w:tc>
        <w:tc>
          <w:tcPr>
            <w:tcW w:w="2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1"/>
              </w:rPr>
              <w:t>Fiscal</w:t>
            </w: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Salary</w:t>
            </w:r>
          </w:p>
        </w:tc>
        <w:tc>
          <w:tcPr>
            <w:tcW w:w="6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Bonus</w:t>
            </w:r>
          </w:p>
        </w:tc>
        <w:tc>
          <w:tcPr>
            <w:tcW w:w="800" w:type="dxa"/>
            <w:vAlign w:val="bottom"/>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w w:val="97"/>
              </w:rPr>
              <w:t>Awards</w:t>
            </w:r>
          </w:p>
        </w:tc>
        <w:tc>
          <w:tcPr>
            <w:tcW w:w="70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Awards</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6"/>
              </w:rPr>
              <w:t>Compensation</w:t>
            </w: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6"/>
              </w:rPr>
              <w:t>Earnings</w:t>
            </w:r>
          </w:p>
        </w:tc>
        <w:tc>
          <w:tcPr>
            <w:tcW w:w="130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6"/>
              </w:rPr>
              <w:t>Compensation</w:t>
            </w:r>
          </w:p>
        </w:tc>
        <w:tc>
          <w:tcPr>
            <w:tcW w:w="660" w:type="dxa"/>
            <w:vAlign w:val="bottom"/>
          </w:tcPr>
          <w:p>
            <w:pPr>
              <w:jc w:val="right"/>
              <w:ind w:right="157"/>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1620" w:type="dxa"/>
            <w:vAlign w:val="bottom"/>
            <w:tcBorders>
              <w:bottom w:val="single" w:sz="8" w:color="auto"/>
            </w:tcBorders>
            <w:gridSpan w:val="2"/>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2"/>
              </w:rPr>
              <w:t>Year</w:t>
            </w:r>
          </w:p>
        </w:tc>
        <w:tc>
          <w:tcPr>
            <w:tcW w:w="460" w:type="dxa"/>
            <w:vAlign w:val="bottom"/>
          </w:tcPr>
          <w:p>
            <w:pPr>
              <w:ind w:left="80"/>
              <w:spacing w:after="0" w:line="139" w:lineRule="exact"/>
              <w:rPr>
                <w:sz w:val="20"/>
                <w:szCs w:val="20"/>
                <w:color w:val="auto"/>
              </w:rPr>
            </w:pPr>
            <w:r>
              <w:rPr>
                <w:rFonts w:ascii="Arial" w:cs="Arial" w:eastAsia="Arial" w:hAnsi="Arial"/>
                <w:sz w:val="13"/>
                <w:szCs w:val="13"/>
                <w:b w:val="1"/>
                <w:bCs w:val="1"/>
                <w:color w:val="auto"/>
              </w:rPr>
              <w:t>($)(1)</w:t>
            </w:r>
          </w:p>
        </w:tc>
        <w:tc>
          <w:tcPr>
            <w:tcW w:w="24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b w:val="1"/>
                <w:bCs w:val="1"/>
                <w:color w:val="auto"/>
              </w:rPr>
              <w:t>($)(2)</w:t>
            </w:r>
          </w:p>
        </w:tc>
        <w:tc>
          <w:tcPr>
            <w:tcW w:w="260" w:type="dxa"/>
            <w:vAlign w:val="bottom"/>
          </w:tcPr>
          <w:p>
            <w:pPr>
              <w:spacing w:after="0"/>
              <w:rPr>
                <w:sz w:val="12"/>
                <w:szCs w:val="12"/>
                <w:color w:val="auto"/>
              </w:rPr>
            </w:pPr>
          </w:p>
        </w:tc>
        <w:tc>
          <w:tcPr>
            <w:tcW w:w="440" w:type="dxa"/>
            <w:vAlign w:val="bottom"/>
          </w:tcPr>
          <w:p>
            <w:pPr>
              <w:ind w:left="80"/>
              <w:spacing w:after="0" w:line="139" w:lineRule="exact"/>
              <w:rPr>
                <w:sz w:val="20"/>
                <w:szCs w:val="20"/>
                <w:color w:val="auto"/>
              </w:rPr>
            </w:pPr>
            <w:r>
              <w:rPr>
                <w:rFonts w:ascii="Arial" w:cs="Arial" w:eastAsia="Arial" w:hAnsi="Arial"/>
                <w:sz w:val="13"/>
                <w:szCs w:val="13"/>
                <w:b w:val="1"/>
                <w:bCs w:val="1"/>
                <w:color w:val="auto"/>
              </w:rPr>
              <w:t>($)(2)</w:t>
            </w:r>
          </w:p>
        </w:tc>
        <w:tc>
          <w:tcPr>
            <w:tcW w:w="2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($)(3)</w:t>
            </w:r>
          </w:p>
        </w:tc>
        <w:tc>
          <w:tcPr>
            <w:tcW w:w="24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($)(4)(5)</w:t>
            </w:r>
          </w:p>
        </w:tc>
        <w:tc>
          <w:tcPr>
            <w:tcW w:w="2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520" w:type="dxa"/>
            <w:vAlign w:val="bottom"/>
          </w:tcPr>
          <w:p>
            <w:pPr>
              <w:spacing w:after="0"/>
              <w:rPr>
                <w:sz w:val="12"/>
                <w:szCs w:val="12"/>
                <w:color w:val="auto"/>
              </w:rPr>
            </w:pPr>
          </w:p>
        </w:tc>
        <w:tc>
          <w:tcPr>
            <w:tcW w:w="660" w:type="dxa"/>
            <w:vAlign w:val="bottom"/>
          </w:tcPr>
          <w:p>
            <w:pPr>
              <w:jc w:val="right"/>
              <w:ind w:right="217"/>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3840" w:type="dxa"/>
            <w:vAlign w:val="bottom"/>
            <w:gridSpan w:val="3"/>
            <w:vMerge w:val="restart"/>
            <w:shd w:val="clear" w:color="auto" w:fill="CCEEFF"/>
          </w:tcPr>
          <w:p>
            <w:pPr>
              <w:spacing w:after="0" w:line="144" w:lineRule="exact"/>
              <w:rPr>
                <w:sz w:val="20"/>
                <w:szCs w:val="20"/>
                <w:color w:val="auto"/>
              </w:rPr>
            </w:pPr>
            <w:r>
              <w:rPr>
                <w:rFonts w:ascii="Arial" w:cs="Arial" w:eastAsia="Arial" w:hAnsi="Arial"/>
                <w:sz w:val="13"/>
                <w:szCs w:val="13"/>
                <w:color w:val="auto"/>
              </w:rPr>
              <w:t>Jerald G. Fishman</w:t>
            </w: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840" w:type="dxa"/>
            <w:vAlign w:val="bottom"/>
            <w:gridSpan w:val="3"/>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ind w:left="60"/>
              <w:spacing w:after="0" w:line="124" w:lineRule="exact"/>
              <w:rPr>
                <w:sz w:val="20"/>
                <w:szCs w:val="20"/>
                <w:color w:val="auto"/>
              </w:rPr>
            </w:pPr>
            <w:r>
              <w:rPr>
                <w:rFonts w:ascii="Arial" w:cs="Arial" w:eastAsia="Arial" w:hAnsi="Arial"/>
                <w:sz w:val="13"/>
                <w:szCs w:val="13"/>
                <w:color w:val="auto"/>
                <w:w w:val="75"/>
              </w:rPr>
              <w:t>2011</w:t>
            </w:r>
          </w:p>
        </w:tc>
        <w:tc>
          <w:tcPr>
            <w:tcW w:w="26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ind w:left="40"/>
              <w:spacing w:after="0" w:line="124" w:lineRule="exact"/>
              <w:rPr>
                <w:sz w:val="20"/>
                <w:szCs w:val="20"/>
                <w:color w:val="auto"/>
              </w:rPr>
            </w:pPr>
            <w:r>
              <w:rPr>
                <w:rFonts w:ascii="Arial" w:cs="Arial" w:eastAsia="Arial" w:hAnsi="Arial"/>
                <w:sz w:val="13"/>
                <w:szCs w:val="13"/>
                <w:color w:val="auto"/>
                <w:w w:val="85"/>
              </w:rPr>
              <w:t>930,935</w:t>
            </w:r>
          </w:p>
        </w:tc>
        <w:tc>
          <w:tcPr>
            <w:tcW w:w="24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ind w:left="160"/>
              <w:spacing w:after="0" w:line="124"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440" w:type="dxa"/>
            <w:vAlign w:val="bottom"/>
            <w:shd w:val="clear" w:color="auto" w:fill="CCEEFF"/>
          </w:tcPr>
          <w:p>
            <w:pPr>
              <w:ind w:left="260"/>
              <w:spacing w:after="0" w:line="124"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2,923,997</w:t>
            </w:r>
          </w:p>
        </w:tc>
        <w:tc>
          <w:tcPr>
            <w:tcW w:w="240" w:type="dxa"/>
            <w:vAlign w:val="bottom"/>
            <w:vMerge w:val="continue"/>
            <w:shd w:val="clear" w:color="auto" w:fill="CCEEFF"/>
          </w:tcPr>
          <w:p>
            <w:pPr>
              <w:spacing w:after="0"/>
              <w:rPr>
                <w:sz w:val="10"/>
                <w:szCs w:val="10"/>
                <w:color w:val="auto"/>
              </w:rPr>
            </w:pPr>
          </w:p>
        </w:tc>
        <w:tc>
          <w:tcPr>
            <w:tcW w:w="780" w:type="dxa"/>
            <w:vAlign w:val="bottom"/>
            <w:shd w:val="clear" w:color="auto" w:fill="CCEEFF"/>
          </w:tcPr>
          <w:p>
            <w:pPr>
              <w:ind w:left="600"/>
              <w:spacing w:after="0" w:line="124"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130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3"/>
                <w:szCs w:val="13"/>
                <w:color w:val="auto"/>
              </w:rPr>
              <w:t>5,088,961(6)(8)</w:t>
            </w:r>
          </w:p>
        </w:tc>
        <w:tc>
          <w:tcPr>
            <w:tcW w:w="6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8,943,893</w:t>
            </w:r>
          </w:p>
        </w:tc>
        <w:tc>
          <w:tcPr>
            <w:tcW w:w="0" w:type="dxa"/>
            <w:vAlign w:val="bottom"/>
          </w:tcPr>
          <w:p>
            <w:pPr>
              <w:spacing w:after="0"/>
              <w:rPr>
                <w:sz w:val="1"/>
                <w:szCs w:val="1"/>
                <w:color w:val="auto"/>
              </w:rPr>
            </w:pPr>
          </w:p>
        </w:tc>
      </w:tr>
      <w:tr>
        <w:trPr>
          <w:trHeight w:val="130"/>
        </w:trPr>
        <w:tc>
          <w:tcPr>
            <w:tcW w:w="38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3"/>
                <w:szCs w:val="13"/>
                <w:color w:val="auto"/>
              </w:rPr>
              <w:t>President and Chief Executive Officer</w:t>
            </w:r>
          </w:p>
        </w:tc>
        <w:tc>
          <w:tcPr>
            <w:tcW w:w="760" w:type="dxa"/>
            <w:vAlign w:val="bottom"/>
            <w:gridSpan w:val="3"/>
            <w:shd w:val="clear" w:color="auto" w:fill="CCEEFF"/>
          </w:tcPr>
          <w:p>
            <w:pPr>
              <w:ind w:left="260"/>
              <w:spacing w:after="0" w:line="130" w:lineRule="exact"/>
              <w:rPr>
                <w:sz w:val="20"/>
                <w:szCs w:val="20"/>
                <w:color w:val="auto"/>
              </w:rPr>
            </w:pPr>
            <w:r>
              <w:rPr>
                <w:rFonts w:ascii="Arial" w:cs="Arial" w:eastAsia="Arial" w:hAnsi="Arial"/>
                <w:sz w:val="13"/>
                <w:szCs w:val="13"/>
                <w:color w:val="auto"/>
              </w:rPr>
              <w:t>2010</w:t>
            </w:r>
          </w:p>
        </w:tc>
        <w:tc>
          <w:tcPr>
            <w:tcW w:w="460" w:type="dxa"/>
            <w:vAlign w:val="bottom"/>
            <w:shd w:val="clear" w:color="auto" w:fill="CCEEFF"/>
          </w:tcPr>
          <w:p>
            <w:pPr>
              <w:ind w:left="40"/>
              <w:spacing w:after="0" w:line="130" w:lineRule="exact"/>
              <w:rPr>
                <w:sz w:val="20"/>
                <w:szCs w:val="20"/>
                <w:color w:val="auto"/>
              </w:rPr>
            </w:pPr>
            <w:r>
              <w:rPr>
                <w:rFonts w:ascii="Arial" w:cs="Arial" w:eastAsia="Arial" w:hAnsi="Arial"/>
                <w:sz w:val="13"/>
                <w:szCs w:val="13"/>
                <w:color w:val="auto"/>
                <w:w w:val="85"/>
              </w:rPr>
              <w:t>930,935</w:t>
            </w:r>
          </w:p>
        </w:tc>
        <w:tc>
          <w:tcPr>
            <w:tcW w:w="2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w w:val="89"/>
              </w:rPr>
              <w:t>4,264,000</w:t>
            </w:r>
          </w:p>
        </w:tc>
        <w:tc>
          <w:tcPr>
            <w:tcW w:w="70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3,587,396</w:t>
            </w:r>
          </w:p>
        </w:tc>
        <w:tc>
          <w:tcPr>
            <w:tcW w:w="104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3"/>
                <w:szCs w:val="13"/>
                <w:color w:val="auto"/>
              </w:rPr>
              <w:t>5,176,155(6)(8)</w:t>
            </w:r>
          </w:p>
        </w:tc>
        <w:tc>
          <w:tcPr>
            <w:tcW w:w="6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3"/>
                <w:szCs w:val="13"/>
                <w:color w:val="auto"/>
                <w:w w:val="89"/>
              </w:rPr>
              <w:t>13,958,486</w:t>
            </w:r>
          </w:p>
        </w:tc>
        <w:tc>
          <w:tcPr>
            <w:tcW w:w="0" w:type="dxa"/>
            <w:vAlign w:val="bottom"/>
          </w:tcPr>
          <w:p>
            <w:pPr>
              <w:spacing w:after="0"/>
              <w:rPr>
                <w:sz w:val="1"/>
                <w:szCs w:val="1"/>
                <w:color w:val="auto"/>
              </w:rPr>
            </w:pPr>
          </w:p>
        </w:tc>
      </w:tr>
      <w:tr>
        <w:trPr>
          <w:trHeight w:val="160"/>
        </w:trPr>
        <w:tc>
          <w:tcPr>
            <w:tcW w:w="1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2009</w:t>
            </w:r>
          </w:p>
        </w:tc>
        <w:tc>
          <w:tcPr>
            <w:tcW w:w="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5"/>
              </w:rPr>
              <w:t>930,935</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635,900</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1,370,533(6)(8)</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2,937,368</w:t>
            </w: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3"/>
                <w:szCs w:val="13"/>
                <w:color w:val="auto"/>
              </w:rPr>
              <w:t>David A. Zinsner*</w:t>
            </w:r>
          </w:p>
        </w:tc>
        <w:tc>
          <w:tcPr>
            <w:tcW w:w="760" w:type="dxa"/>
            <w:vAlign w:val="bottom"/>
            <w:gridSpan w:val="3"/>
          </w:tcPr>
          <w:p>
            <w:pPr>
              <w:ind w:left="260"/>
              <w:spacing w:after="0"/>
              <w:rPr>
                <w:sz w:val="20"/>
                <w:szCs w:val="20"/>
                <w:color w:val="auto"/>
              </w:rPr>
            </w:pPr>
            <w:r>
              <w:rPr>
                <w:rFonts w:ascii="Arial" w:cs="Arial" w:eastAsia="Arial" w:hAnsi="Arial"/>
                <w:sz w:val="13"/>
                <w:szCs w:val="13"/>
                <w:color w:val="auto"/>
              </w:rPr>
              <w:t>2011</w:t>
            </w:r>
          </w:p>
        </w:tc>
        <w:tc>
          <w:tcPr>
            <w:tcW w:w="460" w:type="dxa"/>
            <w:vAlign w:val="bottom"/>
          </w:tcPr>
          <w:p>
            <w:pPr>
              <w:ind w:left="40"/>
              <w:spacing w:after="0"/>
              <w:rPr>
                <w:sz w:val="20"/>
                <w:szCs w:val="20"/>
                <w:color w:val="auto"/>
              </w:rPr>
            </w:pPr>
            <w:r>
              <w:rPr>
                <w:rFonts w:ascii="Arial" w:cs="Arial" w:eastAsia="Arial" w:hAnsi="Arial"/>
                <w:sz w:val="13"/>
                <w:szCs w:val="13"/>
                <w:color w:val="auto"/>
                <w:w w:val="85"/>
              </w:rPr>
              <w:t>447,538</w:t>
            </w:r>
          </w:p>
        </w:tc>
        <w:tc>
          <w:tcPr>
            <w:tcW w:w="240" w:type="dxa"/>
            <w:vAlign w:val="bottom"/>
          </w:tcPr>
          <w:p>
            <w:pPr>
              <w:spacing w:after="0"/>
              <w:rPr>
                <w:sz w:val="20"/>
                <w:szCs w:val="20"/>
                <w:color w:val="auto"/>
              </w:rPr>
            </w:pPr>
          </w:p>
        </w:tc>
        <w:tc>
          <w:tcPr>
            <w:tcW w:w="6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361,351</w:t>
            </w:r>
          </w:p>
        </w:tc>
        <w:tc>
          <w:tcPr>
            <w:tcW w:w="440" w:type="dxa"/>
            <w:vAlign w:val="bottom"/>
          </w:tcPr>
          <w:p>
            <w:pPr>
              <w:ind w:left="40"/>
              <w:spacing w:after="0"/>
              <w:rPr>
                <w:sz w:val="20"/>
                <w:szCs w:val="20"/>
                <w:color w:val="auto"/>
              </w:rPr>
            </w:pPr>
            <w:r>
              <w:rPr>
                <w:rFonts w:ascii="Arial" w:cs="Arial" w:eastAsia="Arial" w:hAnsi="Arial"/>
                <w:sz w:val="13"/>
                <w:szCs w:val="13"/>
                <w:color w:val="auto"/>
                <w:w w:val="80"/>
              </w:rPr>
              <w:t>389,669</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657,922</w:t>
            </w:r>
          </w:p>
        </w:tc>
        <w:tc>
          <w:tcPr>
            <w:tcW w:w="104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37,003(8)</w:t>
            </w:r>
          </w:p>
        </w:tc>
        <w:tc>
          <w:tcPr>
            <w:tcW w:w="660" w:type="dxa"/>
            <w:vAlign w:val="bottom"/>
          </w:tcPr>
          <w:p>
            <w:pPr>
              <w:jc w:val="right"/>
              <w:spacing w:after="0"/>
              <w:rPr>
                <w:sz w:val="20"/>
                <w:szCs w:val="20"/>
                <w:color w:val="auto"/>
              </w:rPr>
            </w:pPr>
            <w:r>
              <w:rPr>
                <w:rFonts w:ascii="Arial" w:cs="Arial" w:eastAsia="Arial" w:hAnsi="Arial"/>
                <w:sz w:val="13"/>
                <w:szCs w:val="13"/>
                <w:color w:val="auto"/>
              </w:rPr>
              <w:t>1,893,483</w:t>
            </w:r>
          </w:p>
        </w:tc>
        <w:tc>
          <w:tcPr>
            <w:tcW w:w="0" w:type="dxa"/>
            <w:vAlign w:val="bottom"/>
          </w:tcPr>
          <w:p>
            <w:pPr>
              <w:spacing w:after="0"/>
              <w:rPr>
                <w:sz w:val="1"/>
                <w:szCs w:val="1"/>
                <w:color w:val="auto"/>
              </w:rPr>
            </w:pPr>
          </w:p>
        </w:tc>
      </w:tr>
      <w:tr>
        <w:trPr>
          <w:trHeight w:val="139"/>
        </w:trPr>
        <w:tc>
          <w:tcPr>
            <w:tcW w:w="3840" w:type="dxa"/>
            <w:vAlign w:val="bottom"/>
            <w:gridSpan w:val="3"/>
          </w:tcPr>
          <w:p>
            <w:pPr>
              <w:ind w:left="200"/>
              <w:spacing w:after="0" w:line="139" w:lineRule="exact"/>
              <w:rPr>
                <w:sz w:val="20"/>
                <w:szCs w:val="20"/>
                <w:color w:val="auto"/>
              </w:rPr>
            </w:pPr>
            <w:r>
              <w:rPr>
                <w:rFonts w:ascii="Arial" w:cs="Arial" w:eastAsia="Arial" w:hAnsi="Arial"/>
                <w:sz w:val="13"/>
                <w:szCs w:val="13"/>
                <w:color w:val="auto"/>
              </w:rPr>
              <w:t>Vice President,</w:t>
            </w:r>
          </w:p>
        </w:tc>
        <w:tc>
          <w:tcPr>
            <w:tcW w:w="760" w:type="dxa"/>
            <w:vAlign w:val="bottom"/>
            <w:gridSpan w:val="3"/>
          </w:tcPr>
          <w:p>
            <w:pPr>
              <w:ind w:left="260"/>
              <w:spacing w:after="0" w:line="139" w:lineRule="exact"/>
              <w:rPr>
                <w:sz w:val="20"/>
                <w:szCs w:val="20"/>
                <w:color w:val="auto"/>
              </w:rPr>
            </w:pPr>
            <w:r>
              <w:rPr>
                <w:rFonts w:ascii="Arial" w:cs="Arial" w:eastAsia="Arial" w:hAnsi="Arial"/>
                <w:sz w:val="13"/>
                <w:szCs w:val="13"/>
                <w:color w:val="auto"/>
              </w:rPr>
              <w:t>2010</w:t>
            </w:r>
          </w:p>
        </w:tc>
        <w:tc>
          <w:tcPr>
            <w:tcW w:w="460" w:type="dxa"/>
            <w:vAlign w:val="bottom"/>
          </w:tcPr>
          <w:p>
            <w:pPr>
              <w:ind w:left="40"/>
              <w:spacing w:after="0" w:line="139" w:lineRule="exact"/>
              <w:rPr>
                <w:sz w:val="20"/>
                <w:szCs w:val="20"/>
                <w:color w:val="auto"/>
              </w:rPr>
            </w:pPr>
            <w:r>
              <w:rPr>
                <w:rFonts w:ascii="Arial" w:cs="Arial" w:eastAsia="Arial" w:hAnsi="Arial"/>
                <w:sz w:val="13"/>
                <w:szCs w:val="13"/>
                <w:color w:val="auto"/>
                <w:w w:val="85"/>
              </w:rPr>
              <w:t>448,269</w:t>
            </w:r>
          </w:p>
        </w:tc>
        <w:tc>
          <w:tcPr>
            <w:tcW w:w="240" w:type="dxa"/>
            <w:vAlign w:val="bottom"/>
          </w:tcPr>
          <w:p>
            <w:pPr>
              <w:spacing w:after="0"/>
              <w:rPr>
                <w:sz w:val="12"/>
                <w:szCs w:val="12"/>
                <w:color w:val="auto"/>
              </w:rPr>
            </w:pPr>
          </w:p>
        </w:tc>
        <w:tc>
          <w:tcPr>
            <w:tcW w:w="600" w:type="dxa"/>
            <w:vAlign w:val="bottom"/>
            <w:gridSpan w:val="2"/>
          </w:tcPr>
          <w:p>
            <w:pPr>
              <w:ind w:left="160"/>
              <w:spacing w:after="0" w:line="139"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2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810,792</w:t>
            </w:r>
          </w:p>
        </w:tc>
        <w:tc>
          <w:tcPr>
            <w:tcW w:w="104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20,800(8)</w:t>
            </w:r>
          </w:p>
        </w:tc>
        <w:tc>
          <w:tcPr>
            <w:tcW w:w="660" w:type="dxa"/>
            <w:vAlign w:val="bottom"/>
          </w:tcPr>
          <w:p>
            <w:pPr>
              <w:jc w:val="right"/>
              <w:spacing w:after="0" w:line="139" w:lineRule="exact"/>
              <w:rPr>
                <w:sz w:val="20"/>
                <w:szCs w:val="20"/>
                <w:color w:val="auto"/>
              </w:rPr>
            </w:pPr>
            <w:r>
              <w:rPr>
                <w:rFonts w:ascii="Arial" w:cs="Arial" w:eastAsia="Arial" w:hAnsi="Arial"/>
                <w:sz w:val="13"/>
                <w:szCs w:val="13"/>
                <w:color w:val="auto"/>
              </w:rPr>
              <w:t>1,279,861</w:t>
            </w:r>
          </w:p>
        </w:tc>
        <w:tc>
          <w:tcPr>
            <w:tcW w:w="0" w:type="dxa"/>
            <w:vAlign w:val="bottom"/>
          </w:tcPr>
          <w:p>
            <w:pPr>
              <w:spacing w:after="0"/>
              <w:rPr>
                <w:sz w:val="1"/>
                <w:szCs w:val="1"/>
                <w:color w:val="auto"/>
              </w:rPr>
            </w:pPr>
          </w:p>
        </w:tc>
      </w:tr>
      <w:tr>
        <w:trPr>
          <w:trHeight w:val="160"/>
        </w:trPr>
        <w:tc>
          <w:tcPr>
            <w:tcW w:w="3840" w:type="dxa"/>
            <w:vAlign w:val="bottom"/>
            <w:gridSpan w:val="3"/>
          </w:tcPr>
          <w:p>
            <w:pPr>
              <w:ind w:left="200"/>
              <w:spacing w:after="0"/>
              <w:rPr>
                <w:sz w:val="20"/>
                <w:szCs w:val="20"/>
                <w:color w:val="auto"/>
              </w:rPr>
            </w:pPr>
            <w:r>
              <w:rPr>
                <w:rFonts w:ascii="Arial" w:cs="Arial" w:eastAsia="Arial" w:hAnsi="Arial"/>
                <w:sz w:val="13"/>
                <w:szCs w:val="13"/>
                <w:color w:val="auto"/>
              </w:rPr>
              <w:t>Finance and Chief Financial Officer</w:t>
            </w:r>
          </w:p>
        </w:tc>
        <w:tc>
          <w:tcPr>
            <w:tcW w:w="760" w:type="dxa"/>
            <w:vAlign w:val="bottom"/>
            <w:gridSpan w:val="3"/>
          </w:tcPr>
          <w:p>
            <w:pPr>
              <w:ind w:left="260"/>
              <w:spacing w:after="0"/>
              <w:rPr>
                <w:sz w:val="20"/>
                <w:szCs w:val="20"/>
                <w:color w:val="auto"/>
              </w:rPr>
            </w:pPr>
            <w:r>
              <w:rPr>
                <w:rFonts w:ascii="Arial" w:cs="Arial" w:eastAsia="Arial" w:hAnsi="Arial"/>
                <w:sz w:val="13"/>
                <w:szCs w:val="13"/>
                <w:color w:val="auto"/>
              </w:rPr>
              <w:t>2009</w:t>
            </w:r>
          </w:p>
        </w:tc>
        <w:tc>
          <w:tcPr>
            <w:tcW w:w="460" w:type="dxa"/>
            <w:vAlign w:val="bottom"/>
          </w:tcPr>
          <w:p>
            <w:pPr>
              <w:ind w:left="40"/>
              <w:spacing w:after="0"/>
              <w:rPr>
                <w:sz w:val="20"/>
                <w:szCs w:val="20"/>
                <w:color w:val="auto"/>
              </w:rPr>
            </w:pPr>
            <w:r>
              <w:rPr>
                <w:rFonts w:ascii="Arial" w:cs="Arial" w:eastAsia="Arial" w:hAnsi="Arial"/>
                <w:sz w:val="13"/>
                <w:szCs w:val="13"/>
                <w:color w:val="auto"/>
                <w:w w:val="85"/>
              </w:rPr>
              <w:t>363,462</w:t>
            </w:r>
          </w:p>
        </w:tc>
        <w:tc>
          <w:tcPr>
            <w:tcW w:w="240" w:type="dxa"/>
            <w:vAlign w:val="bottom"/>
          </w:tcPr>
          <w:p>
            <w:pPr>
              <w:spacing w:after="0"/>
              <w:rPr>
                <w:sz w:val="13"/>
                <w:szCs w:val="13"/>
                <w:color w:val="auto"/>
              </w:rPr>
            </w:pPr>
          </w:p>
        </w:tc>
        <w:tc>
          <w:tcPr>
            <w:tcW w:w="6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618,800</w:t>
            </w:r>
          </w:p>
        </w:tc>
        <w:tc>
          <w:tcPr>
            <w:tcW w:w="700" w:type="dxa"/>
            <w:vAlign w:val="bottom"/>
            <w:gridSpan w:val="2"/>
          </w:tcPr>
          <w:p>
            <w:pPr>
              <w:ind w:left="40"/>
              <w:spacing w:after="0"/>
              <w:rPr>
                <w:sz w:val="20"/>
                <w:szCs w:val="20"/>
                <w:color w:val="auto"/>
              </w:rPr>
            </w:pPr>
            <w:r>
              <w:rPr>
                <w:rFonts w:ascii="Arial" w:cs="Arial" w:eastAsia="Arial" w:hAnsi="Arial"/>
                <w:sz w:val="13"/>
                <w:szCs w:val="13"/>
                <w:color w:val="auto"/>
              </w:rPr>
              <w:t>980,112</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144,087</w:t>
            </w:r>
          </w:p>
        </w:tc>
        <w:tc>
          <w:tcPr>
            <w:tcW w:w="104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224,510(8)</w:t>
            </w:r>
          </w:p>
        </w:tc>
        <w:tc>
          <w:tcPr>
            <w:tcW w:w="660" w:type="dxa"/>
            <w:vAlign w:val="bottom"/>
          </w:tcPr>
          <w:p>
            <w:pPr>
              <w:jc w:val="right"/>
              <w:spacing w:after="0"/>
              <w:rPr>
                <w:sz w:val="20"/>
                <w:szCs w:val="20"/>
                <w:color w:val="auto"/>
              </w:rPr>
            </w:pPr>
            <w:r>
              <w:rPr>
                <w:rFonts w:ascii="Arial" w:cs="Arial" w:eastAsia="Arial" w:hAnsi="Arial"/>
                <w:sz w:val="13"/>
                <w:szCs w:val="13"/>
                <w:color w:val="auto"/>
              </w:rPr>
              <w:t>2,330,971</w:t>
            </w:r>
          </w:p>
        </w:tc>
        <w:tc>
          <w:tcPr>
            <w:tcW w:w="0" w:type="dxa"/>
            <w:vAlign w:val="bottom"/>
          </w:tcPr>
          <w:p>
            <w:pPr>
              <w:spacing w:after="0"/>
              <w:rPr>
                <w:sz w:val="1"/>
                <w:szCs w:val="1"/>
                <w:color w:val="auto"/>
              </w:rPr>
            </w:pPr>
          </w:p>
        </w:tc>
      </w:tr>
      <w:tr>
        <w:trPr>
          <w:trHeight w:val="101"/>
        </w:trPr>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840" w:type="dxa"/>
            <w:vAlign w:val="bottom"/>
            <w:gridSpan w:val="3"/>
            <w:shd w:val="clear" w:color="auto" w:fill="CCEEFF"/>
          </w:tcPr>
          <w:p>
            <w:pPr>
              <w:spacing w:after="0" w:line="139" w:lineRule="exact"/>
              <w:rPr>
                <w:sz w:val="20"/>
                <w:szCs w:val="20"/>
                <w:color w:val="auto"/>
              </w:rPr>
            </w:pPr>
            <w:r>
              <w:rPr>
                <w:rFonts w:ascii="Arial" w:cs="Arial" w:eastAsia="Arial" w:hAnsi="Arial"/>
                <w:sz w:val="13"/>
                <w:szCs w:val="13"/>
                <w:color w:val="auto"/>
              </w:rPr>
              <w:t>Robert R. Marshall</w:t>
            </w:r>
          </w:p>
        </w:tc>
        <w:tc>
          <w:tcPr>
            <w:tcW w:w="760" w:type="dxa"/>
            <w:vAlign w:val="bottom"/>
            <w:gridSpan w:val="3"/>
            <w:shd w:val="clear" w:color="auto" w:fill="CCEEFF"/>
          </w:tcPr>
          <w:p>
            <w:pPr>
              <w:ind w:left="260"/>
              <w:spacing w:after="0" w:line="139" w:lineRule="exact"/>
              <w:rPr>
                <w:sz w:val="20"/>
                <w:szCs w:val="20"/>
                <w:color w:val="auto"/>
              </w:rPr>
            </w:pPr>
            <w:r>
              <w:rPr>
                <w:rFonts w:ascii="Arial" w:cs="Arial" w:eastAsia="Arial" w:hAnsi="Arial"/>
                <w:sz w:val="13"/>
                <w:szCs w:val="13"/>
                <w:color w:val="auto"/>
              </w:rPr>
              <w:t>2011</w:t>
            </w:r>
          </w:p>
        </w:tc>
        <w:tc>
          <w:tcPr>
            <w:tcW w:w="46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w w:val="85"/>
              </w:rPr>
              <w:t>418,395</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3"/>
                <w:szCs w:val="13"/>
                <w:color w:val="auto"/>
              </w:rPr>
              <w:t>421,605</w:t>
            </w:r>
          </w:p>
        </w:tc>
        <w:tc>
          <w:tcPr>
            <w:tcW w:w="44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w w:val="80"/>
              </w:rPr>
              <w:t>454,628</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617,360</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454,163</w:t>
            </w:r>
          </w:p>
        </w:tc>
        <w:tc>
          <w:tcPr>
            <w:tcW w:w="130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65,923(7)</w:t>
            </w:r>
          </w:p>
        </w:tc>
        <w:tc>
          <w:tcPr>
            <w:tcW w:w="660" w:type="dxa"/>
            <w:vAlign w:val="bottom"/>
            <w:tcBorders>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2,432,074</w:t>
            </w:r>
          </w:p>
        </w:tc>
        <w:tc>
          <w:tcPr>
            <w:tcW w:w="0" w:type="dxa"/>
            <w:vAlign w:val="bottom"/>
          </w:tcPr>
          <w:p>
            <w:pPr>
              <w:spacing w:after="0"/>
              <w:rPr>
                <w:sz w:val="1"/>
                <w:szCs w:val="1"/>
                <w:color w:val="auto"/>
              </w:rPr>
            </w:pPr>
          </w:p>
        </w:tc>
      </w:tr>
      <w:tr>
        <w:trPr>
          <w:trHeight w:val="130"/>
        </w:trPr>
        <w:tc>
          <w:tcPr>
            <w:tcW w:w="38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3"/>
                <w:szCs w:val="13"/>
                <w:color w:val="auto"/>
              </w:rPr>
              <w:t>Vice President,</w:t>
            </w:r>
          </w:p>
        </w:tc>
        <w:tc>
          <w:tcPr>
            <w:tcW w:w="760" w:type="dxa"/>
            <w:vAlign w:val="bottom"/>
            <w:gridSpan w:val="3"/>
            <w:shd w:val="clear" w:color="auto" w:fill="CCEEFF"/>
          </w:tcPr>
          <w:p>
            <w:pPr>
              <w:ind w:left="260"/>
              <w:spacing w:after="0" w:line="130" w:lineRule="exact"/>
              <w:rPr>
                <w:sz w:val="20"/>
                <w:szCs w:val="20"/>
                <w:color w:val="auto"/>
              </w:rPr>
            </w:pPr>
            <w:r>
              <w:rPr>
                <w:rFonts w:ascii="Arial" w:cs="Arial" w:eastAsia="Arial" w:hAnsi="Arial"/>
                <w:sz w:val="13"/>
                <w:szCs w:val="13"/>
                <w:color w:val="auto"/>
              </w:rPr>
              <w:t>2010</w:t>
            </w:r>
          </w:p>
        </w:tc>
        <w:tc>
          <w:tcPr>
            <w:tcW w:w="460" w:type="dxa"/>
            <w:vAlign w:val="bottom"/>
            <w:shd w:val="clear" w:color="auto" w:fill="CCEEFF"/>
          </w:tcPr>
          <w:p>
            <w:pPr>
              <w:ind w:left="40"/>
              <w:spacing w:after="0" w:line="130" w:lineRule="exact"/>
              <w:rPr>
                <w:sz w:val="20"/>
                <w:szCs w:val="20"/>
                <w:color w:val="auto"/>
              </w:rPr>
            </w:pPr>
            <w:r>
              <w:rPr>
                <w:rFonts w:ascii="Arial" w:cs="Arial" w:eastAsia="Arial" w:hAnsi="Arial"/>
                <w:sz w:val="13"/>
                <w:szCs w:val="13"/>
                <w:color w:val="auto"/>
                <w:w w:val="85"/>
              </w:rPr>
              <w:t>398,580</w:t>
            </w:r>
          </w:p>
        </w:tc>
        <w:tc>
          <w:tcPr>
            <w:tcW w:w="2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376,029</w:t>
            </w:r>
          </w:p>
        </w:tc>
        <w:tc>
          <w:tcPr>
            <w:tcW w:w="440" w:type="dxa"/>
            <w:vAlign w:val="bottom"/>
            <w:shd w:val="clear" w:color="auto" w:fill="CCEEFF"/>
          </w:tcPr>
          <w:p>
            <w:pPr>
              <w:ind w:left="40"/>
              <w:spacing w:after="0" w:line="130" w:lineRule="exact"/>
              <w:rPr>
                <w:sz w:val="20"/>
                <w:szCs w:val="20"/>
                <w:color w:val="auto"/>
              </w:rPr>
            </w:pPr>
            <w:r>
              <w:rPr>
                <w:rFonts w:ascii="Arial" w:cs="Arial" w:eastAsia="Arial" w:hAnsi="Arial"/>
                <w:sz w:val="13"/>
                <w:szCs w:val="13"/>
                <w:color w:val="auto"/>
                <w:w w:val="80"/>
              </w:rPr>
              <w:t>370,662</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715,658</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615,980</w:t>
            </w:r>
          </w:p>
        </w:tc>
        <w:tc>
          <w:tcPr>
            <w:tcW w:w="130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3"/>
                <w:szCs w:val="13"/>
                <w:color w:val="auto"/>
              </w:rPr>
              <w:t>117,795(7)</w:t>
            </w:r>
          </w:p>
        </w:tc>
        <w:tc>
          <w:tcPr>
            <w:tcW w:w="6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2,594,704</w:t>
            </w:r>
          </w:p>
        </w:tc>
        <w:tc>
          <w:tcPr>
            <w:tcW w:w="0" w:type="dxa"/>
            <w:vAlign w:val="bottom"/>
          </w:tcPr>
          <w:p>
            <w:pPr>
              <w:spacing w:after="0"/>
              <w:rPr>
                <w:sz w:val="1"/>
                <w:szCs w:val="1"/>
                <w:color w:val="auto"/>
              </w:rPr>
            </w:pPr>
          </w:p>
        </w:tc>
      </w:tr>
      <w:tr>
        <w:trPr>
          <w:trHeight w:val="160"/>
        </w:trPr>
        <w:tc>
          <w:tcPr>
            <w:tcW w:w="384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Worldwide Manufacturing</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2009</w:t>
            </w:r>
          </w:p>
        </w:tc>
        <w:tc>
          <w:tcPr>
            <w:tcW w:w="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5"/>
              </w:rPr>
              <w:t>398,580</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0"/>
              </w:rPr>
              <w:t>561,413</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122,563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450,620</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126,878(7)</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1,660,054</w:t>
            </w: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3"/>
                <w:szCs w:val="13"/>
                <w:color w:val="auto"/>
              </w:rPr>
              <w:t>Robert P. McAdam</w:t>
            </w:r>
          </w:p>
        </w:tc>
        <w:tc>
          <w:tcPr>
            <w:tcW w:w="760" w:type="dxa"/>
            <w:vAlign w:val="bottom"/>
            <w:gridSpan w:val="3"/>
          </w:tcPr>
          <w:p>
            <w:pPr>
              <w:ind w:left="260"/>
              <w:spacing w:after="0"/>
              <w:rPr>
                <w:sz w:val="20"/>
                <w:szCs w:val="20"/>
                <w:color w:val="auto"/>
              </w:rPr>
            </w:pPr>
            <w:r>
              <w:rPr>
                <w:rFonts w:ascii="Arial" w:cs="Arial" w:eastAsia="Arial" w:hAnsi="Arial"/>
                <w:sz w:val="13"/>
                <w:szCs w:val="13"/>
                <w:color w:val="auto"/>
              </w:rPr>
              <w:t>2011</w:t>
            </w:r>
          </w:p>
        </w:tc>
        <w:tc>
          <w:tcPr>
            <w:tcW w:w="460" w:type="dxa"/>
            <w:vAlign w:val="bottom"/>
          </w:tcPr>
          <w:p>
            <w:pPr>
              <w:ind w:left="40"/>
              <w:spacing w:after="0"/>
              <w:rPr>
                <w:sz w:val="20"/>
                <w:szCs w:val="20"/>
                <w:color w:val="auto"/>
              </w:rPr>
            </w:pPr>
            <w:r>
              <w:rPr>
                <w:rFonts w:ascii="Arial" w:cs="Arial" w:eastAsia="Arial" w:hAnsi="Arial"/>
                <w:sz w:val="13"/>
                <w:szCs w:val="13"/>
                <w:color w:val="auto"/>
                <w:w w:val="85"/>
              </w:rPr>
              <w:t>418,395</w:t>
            </w:r>
          </w:p>
        </w:tc>
        <w:tc>
          <w:tcPr>
            <w:tcW w:w="240" w:type="dxa"/>
            <w:vAlign w:val="bottom"/>
          </w:tcPr>
          <w:p>
            <w:pPr>
              <w:spacing w:after="0"/>
              <w:rPr>
                <w:sz w:val="20"/>
                <w:szCs w:val="20"/>
                <w:color w:val="auto"/>
              </w:rPr>
            </w:pPr>
          </w:p>
        </w:tc>
        <w:tc>
          <w:tcPr>
            <w:tcW w:w="6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421,605</w:t>
            </w:r>
          </w:p>
        </w:tc>
        <w:tc>
          <w:tcPr>
            <w:tcW w:w="440" w:type="dxa"/>
            <w:vAlign w:val="bottom"/>
          </w:tcPr>
          <w:p>
            <w:pPr>
              <w:ind w:left="40"/>
              <w:spacing w:after="0"/>
              <w:rPr>
                <w:sz w:val="20"/>
                <w:szCs w:val="20"/>
                <w:color w:val="auto"/>
              </w:rPr>
            </w:pPr>
            <w:r>
              <w:rPr>
                <w:rFonts w:ascii="Arial" w:cs="Arial" w:eastAsia="Arial" w:hAnsi="Arial"/>
                <w:sz w:val="13"/>
                <w:szCs w:val="13"/>
                <w:color w:val="auto"/>
                <w:w w:val="80"/>
              </w:rPr>
              <w:t>454,628</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617,360</w:t>
            </w:r>
          </w:p>
        </w:tc>
        <w:tc>
          <w:tcPr>
            <w:tcW w:w="104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42,312(7)</w:t>
            </w:r>
          </w:p>
        </w:tc>
        <w:tc>
          <w:tcPr>
            <w:tcW w:w="660" w:type="dxa"/>
            <w:vAlign w:val="bottom"/>
          </w:tcPr>
          <w:p>
            <w:pPr>
              <w:jc w:val="right"/>
              <w:spacing w:after="0"/>
              <w:rPr>
                <w:sz w:val="20"/>
                <w:szCs w:val="20"/>
                <w:color w:val="auto"/>
              </w:rPr>
            </w:pPr>
            <w:r>
              <w:rPr>
                <w:rFonts w:ascii="Arial" w:cs="Arial" w:eastAsia="Arial" w:hAnsi="Arial"/>
                <w:sz w:val="13"/>
                <w:szCs w:val="13"/>
                <w:color w:val="auto"/>
              </w:rPr>
              <w:t>1,954,300</w:t>
            </w:r>
          </w:p>
        </w:tc>
        <w:tc>
          <w:tcPr>
            <w:tcW w:w="0" w:type="dxa"/>
            <w:vAlign w:val="bottom"/>
          </w:tcPr>
          <w:p>
            <w:pPr>
              <w:spacing w:after="0"/>
              <w:rPr>
                <w:sz w:val="1"/>
                <w:szCs w:val="1"/>
                <w:color w:val="auto"/>
              </w:rPr>
            </w:pPr>
          </w:p>
        </w:tc>
      </w:tr>
      <w:tr>
        <w:trPr>
          <w:trHeight w:val="139"/>
        </w:trPr>
        <w:tc>
          <w:tcPr>
            <w:tcW w:w="3840" w:type="dxa"/>
            <w:vAlign w:val="bottom"/>
            <w:gridSpan w:val="3"/>
          </w:tcPr>
          <w:p>
            <w:pPr>
              <w:ind w:left="200"/>
              <w:spacing w:after="0" w:line="139" w:lineRule="exact"/>
              <w:rPr>
                <w:sz w:val="20"/>
                <w:szCs w:val="20"/>
                <w:color w:val="auto"/>
              </w:rPr>
            </w:pPr>
            <w:r>
              <w:rPr>
                <w:rFonts w:ascii="Arial" w:cs="Arial" w:eastAsia="Arial" w:hAnsi="Arial"/>
                <w:sz w:val="13"/>
                <w:szCs w:val="13"/>
                <w:color w:val="auto"/>
              </w:rPr>
              <w:t>Vice President, Core</w:t>
            </w:r>
          </w:p>
        </w:tc>
        <w:tc>
          <w:tcPr>
            <w:tcW w:w="760" w:type="dxa"/>
            <w:vAlign w:val="bottom"/>
            <w:gridSpan w:val="3"/>
          </w:tcPr>
          <w:p>
            <w:pPr>
              <w:ind w:left="260"/>
              <w:spacing w:after="0" w:line="139" w:lineRule="exact"/>
              <w:rPr>
                <w:sz w:val="20"/>
                <w:szCs w:val="20"/>
                <w:color w:val="auto"/>
              </w:rPr>
            </w:pPr>
            <w:r>
              <w:rPr>
                <w:rFonts w:ascii="Arial" w:cs="Arial" w:eastAsia="Arial" w:hAnsi="Arial"/>
                <w:sz w:val="13"/>
                <w:szCs w:val="13"/>
                <w:color w:val="auto"/>
              </w:rPr>
              <w:t>2010</w:t>
            </w:r>
          </w:p>
        </w:tc>
        <w:tc>
          <w:tcPr>
            <w:tcW w:w="460" w:type="dxa"/>
            <w:vAlign w:val="bottom"/>
          </w:tcPr>
          <w:p>
            <w:pPr>
              <w:ind w:left="40"/>
              <w:spacing w:after="0" w:line="139" w:lineRule="exact"/>
              <w:rPr>
                <w:sz w:val="20"/>
                <w:szCs w:val="20"/>
                <w:color w:val="auto"/>
              </w:rPr>
            </w:pPr>
            <w:r>
              <w:rPr>
                <w:rFonts w:ascii="Arial" w:cs="Arial" w:eastAsia="Arial" w:hAnsi="Arial"/>
                <w:sz w:val="13"/>
                <w:szCs w:val="13"/>
                <w:color w:val="auto"/>
                <w:w w:val="85"/>
              </w:rPr>
              <w:t>398,580</w:t>
            </w:r>
          </w:p>
        </w:tc>
        <w:tc>
          <w:tcPr>
            <w:tcW w:w="240" w:type="dxa"/>
            <w:vAlign w:val="bottom"/>
          </w:tcPr>
          <w:p>
            <w:pPr>
              <w:spacing w:after="0"/>
              <w:rPr>
                <w:sz w:val="12"/>
                <w:szCs w:val="12"/>
                <w:color w:val="auto"/>
              </w:rPr>
            </w:pPr>
          </w:p>
        </w:tc>
        <w:tc>
          <w:tcPr>
            <w:tcW w:w="600" w:type="dxa"/>
            <w:vAlign w:val="bottom"/>
            <w:gridSpan w:val="2"/>
          </w:tcPr>
          <w:p>
            <w:pPr>
              <w:ind w:left="160"/>
              <w:spacing w:after="0" w:line="139"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line="139" w:lineRule="exact"/>
              <w:rPr>
                <w:sz w:val="20"/>
                <w:szCs w:val="20"/>
                <w:color w:val="auto"/>
              </w:rPr>
            </w:pPr>
            <w:r>
              <w:rPr>
                <w:rFonts w:ascii="Arial" w:cs="Arial" w:eastAsia="Arial" w:hAnsi="Arial"/>
                <w:sz w:val="13"/>
                <w:szCs w:val="13"/>
                <w:color w:val="auto"/>
              </w:rPr>
              <w:t>376,029</w:t>
            </w:r>
          </w:p>
        </w:tc>
        <w:tc>
          <w:tcPr>
            <w:tcW w:w="440" w:type="dxa"/>
            <w:vAlign w:val="bottom"/>
          </w:tcPr>
          <w:p>
            <w:pPr>
              <w:ind w:left="40"/>
              <w:spacing w:after="0" w:line="139" w:lineRule="exact"/>
              <w:rPr>
                <w:sz w:val="20"/>
                <w:szCs w:val="20"/>
                <w:color w:val="auto"/>
              </w:rPr>
            </w:pPr>
            <w:r>
              <w:rPr>
                <w:rFonts w:ascii="Arial" w:cs="Arial" w:eastAsia="Arial" w:hAnsi="Arial"/>
                <w:sz w:val="13"/>
                <w:szCs w:val="13"/>
                <w:color w:val="auto"/>
                <w:w w:val="80"/>
              </w:rPr>
              <w:t>370,662</w:t>
            </w:r>
          </w:p>
        </w:tc>
        <w:tc>
          <w:tcPr>
            <w:tcW w:w="260" w:type="dxa"/>
            <w:vAlign w:val="bottom"/>
          </w:tcPr>
          <w:p>
            <w:pPr>
              <w:spacing w:after="0"/>
              <w:rPr>
                <w:sz w:val="12"/>
                <w:szCs w:val="12"/>
                <w:color w:val="auto"/>
              </w:rPr>
            </w:pPr>
          </w:p>
        </w:tc>
        <w:tc>
          <w:tcPr>
            <w:tcW w:w="102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715,658</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713,596</w:t>
            </w:r>
          </w:p>
        </w:tc>
        <w:tc>
          <w:tcPr>
            <w:tcW w:w="130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109,912(7)</w:t>
            </w:r>
          </w:p>
        </w:tc>
        <w:tc>
          <w:tcPr>
            <w:tcW w:w="660" w:type="dxa"/>
            <w:vAlign w:val="bottom"/>
          </w:tcPr>
          <w:p>
            <w:pPr>
              <w:jc w:val="right"/>
              <w:spacing w:after="0" w:line="139" w:lineRule="exact"/>
              <w:rPr>
                <w:sz w:val="20"/>
                <w:szCs w:val="20"/>
                <w:color w:val="auto"/>
              </w:rPr>
            </w:pPr>
            <w:r>
              <w:rPr>
                <w:rFonts w:ascii="Arial" w:cs="Arial" w:eastAsia="Arial" w:hAnsi="Arial"/>
                <w:sz w:val="13"/>
                <w:szCs w:val="13"/>
                <w:color w:val="auto"/>
              </w:rPr>
              <w:t>2,684,437</w:t>
            </w:r>
          </w:p>
        </w:tc>
        <w:tc>
          <w:tcPr>
            <w:tcW w:w="0" w:type="dxa"/>
            <w:vAlign w:val="bottom"/>
          </w:tcPr>
          <w:p>
            <w:pPr>
              <w:spacing w:after="0"/>
              <w:rPr>
                <w:sz w:val="1"/>
                <w:szCs w:val="1"/>
                <w:color w:val="auto"/>
              </w:rPr>
            </w:pPr>
          </w:p>
        </w:tc>
      </w:tr>
      <w:tr>
        <w:trPr>
          <w:trHeight w:val="160"/>
        </w:trPr>
        <w:tc>
          <w:tcPr>
            <w:tcW w:w="3840" w:type="dxa"/>
            <w:vAlign w:val="bottom"/>
            <w:gridSpan w:val="3"/>
          </w:tcPr>
          <w:p>
            <w:pPr>
              <w:ind w:left="200"/>
              <w:spacing w:after="0"/>
              <w:rPr>
                <w:sz w:val="20"/>
                <w:szCs w:val="20"/>
                <w:color w:val="auto"/>
              </w:rPr>
            </w:pPr>
            <w:r>
              <w:rPr>
                <w:rFonts w:ascii="Arial" w:cs="Arial" w:eastAsia="Arial" w:hAnsi="Arial"/>
                <w:sz w:val="13"/>
                <w:szCs w:val="13"/>
                <w:color w:val="auto"/>
              </w:rPr>
              <w:t>Products and Technologies Group</w:t>
            </w:r>
          </w:p>
        </w:tc>
        <w:tc>
          <w:tcPr>
            <w:tcW w:w="760" w:type="dxa"/>
            <w:vAlign w:val="bottom"/>
            <w:gridSpan w:val="3"/>
          </w:tcPr>
          <w:p>
            <w:pPr>
              <w:ind w:left="260"/>
              <w:spacing w:after="0"/>
              <w:rPr>
                <w:sz w:val="20"/>
                <w:szCs w:val="20"/>
                <w:color w:val="auto"/>
              </w:rPr>
            </w:pPr>
            <w:r>
              <w:rPr>
                <w:rFonts w:ascii="Arial" w:cs="Arial" w:eastAsia="Arial" w:hAnsi="Arial"/>
                <w:sz w:val="13"/>
                <w:szCs w:val="13"/>
                <w:color w:val="auto"/>
              </w:rPr>
              <w:t>2009</w:t>
            </w:r>
          </w:p>
        </w:tc>
        <w:tc>
          <w:tcPr>
            <w:tcW w:w="460" w:type="dxa"/>
            <w:vAlign w:val="bottom"/>
          </w:tcPr>
          <w:p>
            <w:pPr>
              <w:ind w:left="40"/>
              <w:spacing w:after="0"/>
              <w:rPr>
                <w:sz w:val="20"/>
                <w:szCs w:val="20"/>
                <w:color w:val="auto"/>
              </w:rPr>
            </w:pPr>
            <w:r>
              <w:rPr>
                <w:rFonts w:ascii="Arial" w:cs="Arial" w:eastAsia="Arial" w:hAnsi="Arial"/>
                <w:sz w:val="13"/>
                <w:szCs w:val="13"/>
                <w:color w:val="auto"/>
                <w:w w:val="85"/>
              </w:rPr>
              <w:t>398,580</w:t>
            </w:r>
          </w:p>
        </w:tc>
        <w:tc>
          <w:tcPr>
            <w:tcW w:w="240" w:type="dxa"/>
            <w:vAlign w:val="bottom"/>
          </w:tcPr>
          <w:p>
            <w:pPr>
              <w:spacing w:after="0"/>
              <w:rPr>
                <w:sz w:val="13"/>
                <w:szCs w:val="13"/>
                <w:color w:val="auto"/>
              </w:rPr>
            </w:pPr>
          </w:p>
        </w:tc>
        <w:tc>
          <w:tcPr>
            <w:tcW w:w="6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440" w:type="dxa"/>
            <w:vAlign w:val="bottom"/>
          </w:tcPr>
          <w:p>
            <w:pPr>
              <w:ind w:left="40"/>
              <w:spacing w:after="0"/>
              <w:rPr>
                <w:sz w:val="20"/>
                <w:szCs w:val="20"/>
                <w:color w:val="auto"/>
              </w:rPr>
            </w:pPr>
            <w:r>
              <w:rPr>
                <w:rFonts w:ascii="Arial" w:cs="Arial" w:eastAsia="Arial" w:hAnsi="Arial"/>
                <w:sz w:val="13"/>
                <w:szCs w:val="13"/>
                <w:color w:val="auto"/>
                <w:w w:val="80"/>
              </w:rPr>
              <w:t>561,413</w:t>
            </w:r>
          </w:p>
        </w:tc>
        <w:tc>
          <w:tcPr>
            <w:tcW w:w="2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122,563</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570,498</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120,315(7)</w:t>
            </w:r>
          </w:p>
        </w:tc>
        <w:tc>
          <w:tcPr>
            <w:tcW w:w="660" w:type="dxa"/>
            <w:vAlign w:val="bottom"/>
          </w:tcPr>
          <w:p>
            <w:pPr>
              <w:jc w:val="right"/>
              <w:spacing w:after="0"/>
              <w:rPr>
                <w:sz w:val="20"/>
                <w:szCs w:val="20"/>
                <w:color w:val="auto"/>
              </w:rPr>
            </w:pPr>
            <w:r>
              <w:rPr>
                <w:rFonts w:ascii="Arial" w:cs="Arial" w:eastAsia="Arial" w:hAnsi="Arial"/>
                <w:sz w:val="13"/>
                <w:szCs w:val="13"/>
                <w:color w:val="auto"/>
              </w:rPr>
              <w:t>1,773,369</w:t>
            </w:r>
          </w:p>
        </w:tc>
        <w:tc>
          <w:tcPr>
            <w:tcW w:w="0" w:type="dxa"/>
            <w:vAlign w:val="bottom"/>
          </w:tcPr>
          <w:p>
            <w:pPr>
              <w:spacing w:after="0"/>
              <w:rPr>
                <w:sz w:val="1"/>
                <w:szCs w:val="1"/>
                <w:color w:val="auto"/>
              </w:rPr>
            </w:pPr>
          </w:p>
        </w:tc>
      </w:tr>
      <w:tr>
        <w:trPr>
          <w:trHeight w:val="101"/>
        </w:trPr>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840" w:type="dxa"/>
            <w:vAlign w:val="bottom"/>
            <w:gridSpan w:val="3"/>
            <w:shd w:val="clear" w:color="auto" w:fill="CCEEFF"/>
          </w:tcPr>
          <w:p>
            <w:pPr>
              <w:spacing w:after="0" w:line="139" w:lineRule="exact"/>
              <w:rPr>
                <w:sz w:val="20"/>
                <w:szCs w:val="20"/>
                <w:color w:val="auto"/>
              </w:rPr>
            </w:pPr>
            <w:r>
              <w:rPr>
                <w:rFonts w:ascii="Arial" w:cs="Arial" w:eastAsia="Arial" w:hAnsi="Arial"/>
                <w:sz w:val="13"/>
                <w:szCs w:val="13"/>
                <w:color w:val="auto"/>
              </w:rPr>
              <w:t>Vincent T. Roche</w:t>
            </w:r>
          </w:p>
        </w:tc>
        <w:tc>
          <w:tcPr>
            <w:tcW w:w="760" w:type="dxa"/>
            <w:vAlign w:val="bottom"/>
            <w:gridSpan w:val="3"/>
            <w:shd w:val="clear" w:color="auto" w:fill="CCEEFF"/>
          </w:tcPr>
          <w:p>
            <w:pPr>
              <w:ind w:left="260"/>
              <w:spacing w:after="0" w:line="139" w:lineRule="exact"/>
              <w:rPr>
                <w:sz w:val="20"/>
                <w:szCs w:val="20"/>
                <w:color w:val="auto"/>
              </w:rPr>
            </w:pPr>
            <w:r>
              <w:rPr>
                <w:rFonts w:ascii="Arial" w:cs="Arial" w:eastAsia="Arial" w:hAnsi="Arial"/>
                <w:sz w:val="13"/>
                <w:szCs w:val="13"/>
                <w:color w:val="auto"/>
              </w:rPr>
              <w:t>2011</w:t>
            </w:r>
          </w:p>
        </w:tc>
        <w:tc>
          <w:tcPr>
            <w:tcW w:w="46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w w:val="85"/>
              </w:rPr>
              <w:t>416,926</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3"/>
                <w:szCs w:val="13"/>
                <w:color w:val="auto"/>
              </w:rPr>
              <w:t>421,605</w:t>
            </w:r>
          </w:p>
        </w:tc>
        <w:tc>
          <w:tcPr>
            <w:tcW w:w="44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w w:val="80"/>
              </w:rPr>
              <w:t>454,628</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610,592</w:t>
            </w:r>
          </w:p>
        </w:tc>
        <w:tc>
          <w:tcPr>
            <w:tcW w:w="10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33,354(8)</w:t>
            </w:r>
          </w:p>
        </w:tc>
        <w:tc>
          <w:tcPr>
            <w:tcW w:w="660" w:type="dxa"/>
            <w:vAlign w:val="bottom"/>
            <w:tcBorders>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1,937,105</w:t>
            </w:r>
          </w:p>
        </w:tc>
        <w:tc>
          <w:tcPr>
            <w:tcW w:w="0" w:type="dxa"/>
            <w:vAlign w:val="bottom"/>
          </w:tcPr>
          <w:p>
            <w:pPr>
              <w:spacing w:after="0"/>
              <w:rPr>
                <w:sz w:val="1"/>
                <w:szCs w:val="1"/>
                <w:color w:val="auto"/>
              </w:rPr>
            </w:pPr>
          </w:p>
        </w:tc>
      </w:tr>
      <w:tr>
        <w:trPr>
          <w:trHeight w:val="130"/>
        </w:trPr>
        <w:tc>
          <w:tcPr>
            <w:tcW w:w="38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3"/>
                <w:szCs w:val="13"/>
                <w:color w:val="auto"/>
              </w:rPr>
              <w:t>Vice President,</w:t>
            </w:r>
          </w:p>
        </w:tc>
        <w:tc>
          <w:tcPr>
            <w:tcW w:w="760" w:type="dxa"/>
            <w:vAlign w:val="bottom"/>
            <w:gridSpan w:val="3"/>
            <w:shd w:val="clear" w:color="auto" w:fill="CCEEFF"/>
          </w:tcPr>
          <w:p>
            <w:pPr>
              <w:ind w:left="260"/>
              <w:spacing w:after="0" w:line="130" w:lineRule="exact"/>
              <w:rPr>
                <w:sz w:val="20"/>
                <w:szCs w:val="20"/>
                <w:color w:val="auto"/>
              </w:rPr>
            </w:pPr>
            <w:r>
              <w:rPr>
                <w:rFonts w:ascii="Arial" w:cs="Arial" w:eastAsia="Arial" w:hAnsi="Arial"/>
                <w:sz w:val="13"/>
                <w:szCs w:val="13"/>
                <w:color w:val="auto"/>
              </w:rPr>
              <w:t>2010</w:t>
            </w:r>
          </w:p>
        </w:tc>
        <w:tc>
          <w:tcPr>
            <w:tcW w:w="460" w:type="dxa"/>
            <w:vAlign w:val="bottom"/>
            <w:shd w:val="clear" w:color="auto" w:fill="CCEEFF"/>
          </w:tcPr>
          <w:p>
            <w:pPr>
              <w:ind w:left="40"/>
              <w:spacing w:after="0" w:line="130" w:lineRule="exact"/>
              <w:rPr>
                <w:sz w:val="20"/>
                <w:szCs w:val="20"/>
                <w:color w:val="auto"/>
              </w:rPr>
            </w:pPr>
            <w:r>
              <w:rPr>
                <w:rFonts w:ascii="Arial" w:cs="Arial" w:eastAsia="Arial" w:hAnsi="Arial"/>
                <w:sz w:val="13"/>
                <w:szCs w:val="13"/>
                <w:color w:val="auto"/>
                <w:w w:val="85"/>
              </w:rPr>
              <w:t>390,012</w:t>
            </w:r>
          </w:p>
        </w:tc>
        <w:tc>
          <w:tcPr>
            <w:tcW w:w="2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376,029</w:t>
            </w:r>
          </w:p>
        </w:tc>
        <w:tc>
          <w:tcPr>
            <w:tcW w:w="440" w:type="dxa"/>
            <w:vAlign w:val="bottom"/>
            <w:shd w:val="clear" w:color="auto" w:fill="CCEEFF"/>
          </w:tcPr>
          <w:p>
            <w:pPr>
              <w:ind w:left="40"/>
              <w:spacing w:after="0" w:line="130" w:lineRule="exact"/>
              <w:rPr>
                <w:sz w:val="20"/>
                <w:szCs w:val="20"/>
                <w:color w:val="auto"/>
              </w:rPr>
            </w:pPr>
            <w:r>
              <w:rPr>
                <w:rFonts w:ascii="Arial" w:cs="Arial" w:eastAsia="Arial" w:hAnsi="Arial"/>
                <w:sz w:val="13"/>
                <w:szCs w:val="13"/>
                <w:color w:val="auto"/>
                <w:w w:val="80"/>
              </w:rPr>
              <w:t>370,662</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704,497</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17,670</w:t>
            </w:r>
          </w:p>
        </w:tc>
        <w:tc>
          <w:tcPr>
            <w:tcW w:w="130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3"/>
                <w:szCs w:val="13"/>
                <w:color w:val="auto"/>
              </w:rPr>
              <w:t>31,201(8)</w:t>
            </w:r>
          </w:p>
        </w:tc>
        <w:tc>
          <w:tcPr>
            <w:tcW w:w="6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1,890,071</w:t>
            </w:r>
          </w:p>
        </w:tc>
        <w:tc>
          <w:tcPr>
            <w:tcW w:w="0" w:type="dxa"/>
            <w:vAlign w:val="bottom"/>
          </w:tcPr>
          <w:p>
            <w:pPr>
              <w:spacing w:after="0"/>
              <w:rPr>
                <w:sz w:val="1"/>
                <w:szCs w:val="1"/>
                <w:color w:val="auto"/>
              </w:rPr>
            </w:pPr>
          </w:p>
        </w:tc>
      </w:tr>
      <w:tr>
        <w:trPr>
          <w:trHeight w:val="160"/>
        </w:trPr>
        <w:tc>
          <w:tcPr>
            <w:tcW w:w="384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Strategic Market Segments Group</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2009</w:t>
            </w:r>
          </w:p>
        </w:tc>
        <w:tc>
          <w:tcPr>
            <w:tcW w:w="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5"/>
              </w:rPr>
              <w:t>390,012</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0"/>
              </w:rPr>
              <w:t>673,695</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124,879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23,730</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31,201(8)</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1,243,517</w:t>
            </w:r>
          </w:p>
        </w:tc>
        <w:tc>
          <w:tcPr>
            <w:tcW w:w="0" w:type="dxa"/>
            <w:vAlign w:val="bottom"/>
          </w:tcPr>
          <w:p>
            <w:pPr>
              <w:spacing w:after="0"/>
              <w:rPr>
                <w:sz w:val="1"/>
                <w:szCs w:val="1"/>
                <w:color w:val="auto"/>
              </w:rPr>
            </w:pPr>
          </w:p>
        </w:tc>
      </w:tr>
      <w:tr>
        <w:trPr>
          <w:trHeight w:val="101"/>
        </w:trPr>
        <w:tc>
          <w:tcPr>
            <w:tcW w:w="11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60" w:hanging="459"/>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Zinsner became our Vice President, Finance and Chief Financial Officer effective January 12, 2009.</w:t>
      </w:r>
    </w:p>
    <w:p>
      <w:pPr>
        <w:spacing w:after="0" w:line="93" w:lineRule="exact"/>
        <w:rPr>
          <w:sz w:val="20"/>
          <w:szCs w:val="20"/>
          <w:color w:val="auto"/>
        </w:rPr>
      </w:pPr>
    </w:p>
    <w:p>
      <w:pPr>
        <w:ind w:left="460" w:hanging="459"/>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base salary amounts earned in fiscal years 2011, 2010 and 2009, respectively. Fiscal 2011, 2010 and 2009 were all 52-week fiscal years.</w:t>
      </w:r>
    </w:p>
    <w:p>
      <w:pPr>
        <w:spacing w:after="0" w:line="93" w:lineRule="exact"/>
        <w:rPr>
          <w:rFonts w:ascii="Arial" w:cs="Arial" w:eastAsia="Arial" w:hAnsi="Arial"/>
          <w:sz w:val="16"/>
          <w:szCs w:val="16"/>
          <w:color w:val="auto"/>
        </w:rPr>
      </w:pPr>
    </w:p>
    <w:p>
      <w:pPr>
        <w:ind w:left="460" w:hanging="459"/>
        <w:spacing w:after="0" w:line="27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amounts represent the aggregate grant date fair value of RSU and option awards for fiscal 2011, 2010 and 2009, respectively. These amounts do not represent the actual amounts paid to or realized by the named executive officer for these awards during the respective fiscal years. We recognize the value as of the grant date for stock options and RSUs over the number of days of service required for the grant to become vested.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39"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includes the assumptions we used to calculate the grant date fair value reported for fiscal years 2011, 2010 and 2009 on a grant by grant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Options/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Assumptions</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w w:val="88"/>
              </w:rPr>
              <w:t>Restricted</w:t>
            </w: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vMerge w:val="continue"/>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86"/>
              </w:rPr>
              <w:t>Stock Units</w:t>
            </w:r>
          </w:p>
        </w:tc>
        <w:tc>
          <w:tcPr>
            <w:tcW w:w="8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5"/>
              </w:rPr>
              <w:t>Exercise</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6"/>
              </w:rPr>
              <w:t>Expected</w:t>
            </w:r>
          </w:p>
        </w:tc>
        <w:tc>
          <w:tcPr>
            <w:tcW w:w="90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Risk-Free</w:t>
            </w:r>
          </w:p>
        </w:tc>
        <w:tc>
          <w:tcPr>
            <w:tcW w:w="88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Dividend</w:t>
            </w:r>
          </w:p>
        </w:tc>
        <w:tc>
          <w:tcPr>
            <w:tcW w:w="8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39"/>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gridSpan w:val="2"/>
          </w:tcPr>
          <w:p>
            <w:pPr>
              <w:ind w:left="220"/>
              <w:spacing w:after="0" w:line="139" w:lineRule="exact"/>
              <w:rPr>
                <w:sz w:val="20"/>
                <w:szCs w:val="20"/>
                <w:color w:val="auto"/>
              </w:rPr>
            </w:pPr>
            <w:r>
              <w:rPr>
                <w:rFonts w:ascii="Arial" w:cs="Arial" w:eastAsia="Arial" w:hAnsi="Arial"/>
                <w:sz w:val="13"/>
                <w:szCs w:val="13"/>
                <w:b w:val="1"/>
                <w:bCs w:val="1"/>
                <w:color w:val="auto"/>
              </w:rPr>
              <w:t>Grant</w:t>
            </w:r>
          </w:p>
        </w:tc>
        <w:tc>
          <w:tcPr>
            <w:tcW w:w="102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88"/>
              </w:rPr>
              <w:t>Granted</w:t>
            </w:r>
          </w:p>
        </w:tc>
        <w:tc>
          <w:tcPr>
            <w:tcW w:w="8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7"/>
              </w:rPr>
              <w:t>Price</w:t>
            </w:r>
          </w:p>
        </w:tc>
        <w:tc>
          <w:tcPr>
            <w:tcW w:w="860" w:type="dxa"/>
            <w:vAlign w:val="bottom"/>
            <w:gridSpan w:val="2"/>
          </w:tcPr>
          <w:p>
            <w:pPr>
              <w:jc w:val="right"/>
              <w:ind w:right="340"/>
              <w:spacing w:after="0" w:line="139" w:lineRule="exact"/>
              <w:rPr>
                <w:sz w:val="20"/>
                <w:szCs w:val="20"/>
                <w:color w:val="auto"/>
              </w:rPr>
            </w:pPr>
            <w:r>
              <w:rPr>
                <w:rFonts w:ascii="Arial" w:cs="Arial" w:eastAsia="Arial" w:hAnsi="Arial"/>
                <w:sz w:val="13"/>
                <w:szCs w:val="13"/>
                <w:b w:val="1"/>
                <w:bCs w:val="1"/>
                <w:color w:val="auto"/>
                <w:w w:val="92"/>
              </w:rPr>
              <w:t>Volatility</w:t>
            </w: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4"/>
              </w:rPr>
              <w:t>Life</w:t>
            </w:r>
          </w:p>
        </w:tc>
        <w:tc>
          <w:tcPr>
            <w:tcW w:w="900" w:type="dxa"/>
            <w:vAlign w:val="bottom"/>
            <w:gridSpan w:val="2"/>
          </w:tcPr>
          <w:p>
            <w:pPr>
              <w:jc w:val="right"/>
              <w:ind w:right="400"/>
              <w:spacing w:after="0" w:line="139" w:lineRule="exact"/>
              <w:rPr>
                <w:sz w:val="20"/>
                <w:szCs w:val="20"/>
                <w:color w:val="auto"/>
              </w:rPr>
            </w:pPr>
            <w:r>
              <w:rPr>
                <w:rFonts w:ascii="Arial" w:cs="Arial" w:eastAsia="Arial" w:hAnsi="Arial"/>
                <w:sz w:val="13"/>
                <w:szCs w:val="13"/>
                <w:b w:val="1"/>
                <w:bCs w:val="1"/>
                <w:color w:val="auto"/>
              </w:rPr>
              <w:t>Interest</w:t>
            </w:r>
          </w:p>
        </w:tc>
        <w:tc>
          <w:tcPr>
            <w:tcW w:w="880" w:type="dxa"/>
            <w:vAlign w:val="bottom"/>
            <w:gridSpan w:val="2"/>
          </w:tcPr>
          <w:p>
            <w:pPr>
              <w:ind w:left="140"/>
              <w:spacing w:after="0" w:line="139" w:lineRule="exact"/>
              <w:rPr>
                <w:sz w:val="20"/>
                <w:szCs w:val="20"/>
                <w:color w:val="auto"/>
              </w:rPr>
            </w:pPr>
            <w:r>
              <w:rPr>
                <w:rFonts w:ascii="Arial" w:cs="Arial" w:eastAsia="Arial" w:hAnsi="Arial"/>
                <w:sz w:val="13"/>
                <w:szCs w:val="13"/>
                <w:b w:val="1"/>
                <w:bCs w:val="1"/>
                <w:color w:val="auto"/>
              </w:rPr>
              <w:t>Yield</w:t>
            </w:r>
          </w:p>
        </w:tc>
        <w:tc>
          <w:tcPr>
            <w:tcW w:w="8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4"/>
        </w:trPr>
        <w:tc>
          <w:tcPr>
            <w:tcW w:w="4220" w:type="dxa"/>
            <w:vAlign w:val="bottom"/>
            <w:gridSpan w:val="2"/>
            <w:vMerge w:val="continue"/>
          </w:tcPr>
          <w:p>
            <w:pPr>
              <w:spacing w:after="0"/>
              <w:rPr>
                <w:sz w:val="12"/>
                <w:szCs w:val="12"/>
                <w:color w:val="auto"/>
              </w:rPr>
            </w:pPr>
          </w:p>
        </w:tc>
        <w:tc>
          <w:tcPr>
            <w:tcW w:w="1080" w:type="dxa"/>
            <w:vAlign w:val="bottom"/>
            <w:gridSpan w:val="2"/>
          </w:tcPr>
          <w:p>
            <w:pPr>
              <w:ind w:left="260"/>
              <w:spacing w:after="0" w:line="139" w:lineRule="exact"/>
              <w:rPr>
                <w:sz w:val="20"/>
                <w:szCs w:val="20"/>
                <w:color w:val="auto"/>
              </w:rPr>
            </w:pPr>
            <w:r>
              <w:rPr>
                <w:rFonts w:ascii="Arial" w:cs="Arial" w:eastAsia="Arial" w:hAnsi="Arial"/>
                <w:sz w:val="13"/>
                <w:szCs w:val="13"/>
                <w:b w:val="1"/>
                <w:bCs w:val="1"/>
                <w:color w:val="auto"/>
              </w:rPr>
              <w:t>Date</w:t>
            </w: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2"/>
                <w:szCs w:val="12"/>
                <w:color w:val="auto"/>
              </w:rPr>
            </w:pPr>
          </w:p>
        </w:tc>
        <w:tc>
          <w:tcPr>
            <w:tcW w:w="540" w:type="dxa"/>
            <w:vAlign w:val="bottom"/>
          </w:tcPr>
          <w:p>
            <w:pPr>
              <w:jc w:val="right"/>
              <w:ind w:right="80"/>
              <w:spacing w:after="0" w:line="13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6"/>
              </w:rPr>
              <w:t>(Years)</w:t>
            </w:r>
          </w:p>
        </w:tc>
        <w:tc>
          <w:tcPr>
            <w:tcW w:w="90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Rate (%)</w:t>
            </w:r>
          </w:p>
        </w:tc>
        <w:tc>
          <w:tcPr>
            <w:tcW w:w="560" w:type="dxa"/>
            <w:vAlign w:val="bottom"/>
          </w:tcPr>
          <w:p>
            <w:pPr>
              <w:ind w:left="180"/>
              <w:spacing w:after="0" w:line="13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40" w:type="dxa"/>
            <w:vAlign w:val="bottom"/>
            <w:tcBorders>
              <w:top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1/15/2010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160,000*</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2.440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2.762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422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2/17/2009</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35,000*</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1.650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4.000</w:t>
            </w:r>
          </w:p>
        </w:tc>
        <w:tc>
          <w:tcPr>
            <w:tcW w:w="70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2/17/2009</w:t>
            </w:r>
          </w:p>
        </w:tc>
        <w:tc>
          <w:tcPr>
            <w:tcW w:w="680" w:type="dxa"/>
            <w:vAlign w:val="bottom"/>
          </w:tcPr>
          <w:p>
            <w:pPr>
              <w:jc w:val="right"/>
              <w:spacing w:after="0"/>
              <w:rPr>
                <w:sz w:val="20"/>
                <w:szCs w:val="20"/>
                <w:color w:val="auto"/>
              </w:rPr>
            </w:pPr>
            <w:r>
              <w:rPr>
                <w:rFonts w:ascii="Arial" w:cs="Arial" w:eastAsia="Arial" w:hAnsi="Arial"/>
                <w:sz w:val="16"/>
                <w:szCs w:val="16"/>
                <w:color w:val="auto"/>
              </w:rPr>
              <w:t>160,000</w:t>
            </w:r>
          </w:p>
        </w:tc>
        <w:tc>
          <w:tcPr>
            <w:tcW w:w="34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20.00</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47.420</w:t>
            </w:r>
          </w:p>
        </w:tc>
        <w:tc>
          <w:tcPr>
            <w:tcW w:w="540" w:type="dxa"/>
            <w:vAlign w:val="bottom"/>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1.650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4.000</w:t>
            </w:r>
          </w:p>
        </w:tc>
        <w:tc>
          <w:tcPr>
            <w:tcW w:w="700" w:type="dxa"/>
            <w:vAlign w:val="bottom"/>
          </w:tcPr>
          <w:p>
            <w:pPr>
              <w:jc w:val="right"/>
              <w:spacing w:after="0"/>
              <w:rPr>
                <w:sz w:val="20"/>
                <w:szCs w:val="20"/>
                <w:color w:val="auto"/>
              </w:rPr>
            </w:pPr>
            <w:r>
              <w:rPr>
                <w:rFonts w:ascii="Arial" w:cs="Arial" w:eastAsia="Arial" w:hAnsi="Arial"/>
                <w:sz w:val="16"/>
                <w:szCs w:val="16"/>
                <w:color w:val="auto"/>
              </w:rPr>
              <w:t>6.1257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10,345*</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1.160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2.345</w:t>
            </w:r>
          </w:p>
        </w:tc>
        <w:tc>
          <w:tcPr>
            <w:tcW w:w="700" w:type="dxa"/>
            <w:vAlign w:val="bottom"/>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45,110</w:t>
            </w:r>
          </w:p>
        </w:tc>
        <w:tc>
          <w:tcPr>
            <w:tcW w:w="340" w:type="dxa"/>
            <w:vAlign w:val="bottom"/>
          </w:tcPr>
          <w:p>
            <w:pPr>
              <w:spacing w:after="0"/>
              <w:rPr>
                <w:sz w:val="19"/>
                <w:szCs w:val="1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37.52</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29.370</w:t>
            </w:r>
          </w:p>
        </w:tc>
        <w:tc>
          <w:tcPr>
            <w:tcW w:w="540" w:type="dxa"/>
            <w:vAlign w:val="bottom"/>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2.140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2.345</w:t>
            </w:r>
          </w:p>
        </w:tc>
        <w:tc>
          <w:tcPr>
            <w:tcW w:w="700" w:type="dxa"/>
            <w:vAlign w:val="bottom"/>
          </w:tcPr>
          <w:p>
            <w:pPr>
              <w:jc w:val="right"/>
              <w:spacing w:after="0"/>
              <w:rPr>
                <w:sz w:val="20"/>
                <w:szCs w:val="20"/>
                <w:color w:val="auto"/>
              </w:rPr>
            </w:pPr>
            <w:r>
              <w:rPr>
                <w:rFonts w:ascii="Arial" w:cs="Arial" w:eastAsia="Arial" w:hAnsi="Arial"/>
                <w:sz w:val="16"/>
                <w:szCs w:val="16"/>
                <w:color w:val="auto"/>
              </w:rPr>
              <w:t>8.6382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1/05/2009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19.57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59.520</w:t>
            </w:r>
          </w:p>
        </w:tc>
        <w:tc>
          <w:tcPr>
            <w:tcW w:w="540" w:type="dxa"/>
            <w:vAlign w:val="bottom"/>
            <w:shd w:val="clear" w:color="auto" w:fill="CCEEFF"/>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1.670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4.088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1/05/2010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31.62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31.330</w:t>
            </w:r>
          </w:p>
        </w:tc>
        <w:tc>
          <w:tcPr>
            <w:tcW w:w="540" w:type="dxa"/>
            <w:vAlign w:val="bottom"/>
            <w:shd w:val="clear" w:color="auto" w:fill="CCEEFF"/>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2.560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2.530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12,825*</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2.560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2.530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12,070*</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1.160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2.345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52,630</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37.52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29.370</w:t>
            </w:r>
          </w:p>
        </w:tc>
        <w:tc>
          <w:tcPr>
            <w:tcW w:w="540" w:type="dxa"/>
            <w:vAlign w:val="bottom"/>
            <w:shd w:val="clear" w:color="auto" w:fill="CCEEFF"/>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2.140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2.345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422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1/05/2009</w:t>
            </w:r>
          </w:p>
        </w:tc>
        <w:tc>
          <w:tcPr>
            <w:tcW w:w="68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19.57</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59.520</w:t>
            </w:r>
          </w:p>
        </w:tc>
        <w:tc>
          <w:tcPr>
            <w:tcW w:w="540" w:type="dxa"/>
            <w:vAlign w:val="bottom"/>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1.670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4.088</w:t>
            </w:r>
          </w:p>
        </w:tc>
        <w:tc>
          <w:tcPr>
            <w:tcW w:w="700" w:type="dxa"/>
            <w:vAlign w:val="bottom"/>
          </w:tcPr>
          <w:p>
            <w:pPr>
              <w:jc w:val="right"/>
              <w:spacing w:after="0"/>
              <w:rPr>
                <w:sz w:val="20"/>
                <w:szCs w:val="20"/>
                <w:color w:val="auto"/>
              </w:rPr>
            </w:pPr>
            <w:r>
              <w:rPr>
                <w:rFonts w:ascii="Arial" w:cs="Arial" w:eastAsia="Arial" w:hAnsi="Arial"/>
                <w:sz w:val="16"/>
                <w:szCs w:val="16"/>
                <w:color w:val="auto"/>
              </w:rPr>
              <w:t>7.4855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1/05/2010</w:t>
            </w:r>
          </w:p>
        </w:tc>
        <w:tc>
          <w:tcPr>
            <w:tcW w:w="680" w:type="dxa"/>
            <w:vAlign w:val="bottom"/>
          </w:tcPr>
          <w:p>
            <w:pPr>
              <w:jc w:val="right"/>
              <w:spacing w:after="0"/>
              <w:rPr>
                <w:sz w:val="20"/>
                <w:szCs w:val="20"/>
                <w:color w:val="auto"/>
              </w:rPr>
            </w:pPr>
            <w:r>
              <w:rPr>
                <w:rFonts w:ascii="Arial" w:cs="Arial" w:eastAsia="Arial" w:hAnsi="Arial"/>
                <w:sz w:val="16"/>
                <w:szCs w:val="16"/>
                <w:color w:val="auto"/>
              </w:rPr>
              <w:t>47,500</w:t>
            </w:r>
          </w:p>
        </w:tc>
        <w:tc>
          <w:tcPr>
            <w:tcW w:w="34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31.62</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31.330</w:t>
            </w:r>
          </w:p>
        </w:tc>
        <w:tc>
          <w:tcPr>
            <w:tcW w:w="540" w:type="dxa"/>
            <w:vAlign w:val="bottom"/>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2.560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2.530</w:t>
            </w:r>
          </w:p>
        </w:tc>
        <w:tc>
          <w:tcPr>
            <w:tcW w:w="700" w:type="dxa"/>
            <w:vAlign w:val="bottom"/>
          </w:tcPr>
          <w:p>
            <w:pPr>
              <w:jc w:val="right"/>
              <w:spacing w:after="0"/>
              <w:rPr>
                <w:sz w:val="20"/>
                <w:szCs w:val="20"/>
                <w:color w:val="auto"/>
              </w:rPr>
            </w:pPr>
            <w:r>
              <w:rPr>
                <w:rFonts w:ascii="Arial" w:cs="Arial" w:eastAsia="Arial" w:hAnsi="Arial"/>
                <w:sz w:val="16"/>
                <w:szCs w:val="16"/>
                <w:color w:val="auto"/>
              </w:rPr>
              <w:t>7.8034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12,825*</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2.560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2.530</w:t>
            </w:r>
          </w:p>
        </w:tc>
        <w:tc>
          <w:tcPr>
            <w:tcW w:w="700" w:type="dxa"/>
            <w:vAlign w:val="bottom"/>
          </w:tcPr>
          <w:p>
            <w:pPr>
              <w:jc w:val="right"/>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12,070*</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1.160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2.345</w:t>
            </w:r>
          </w:p>
        </w:tc>
        <w:tc>
          <w:tcPr>
            <w:tcW w:w="700" w:type="dxa"/>
            <w:vAlign w:val="bottom"/>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52,630</w:t>
            </w:r>
          </w:p>
        </w:tc>
        <w:tc>
          <w:tcPr>
            <w:tcW w:w="340" w:type="dxa"/>
            <w:vAlign w:val="bottom"/>
          </w:tcPr>
          <w:p>
            <w:pPr>
              <w:spacing w:after="0"/>
              <w:rPr>
                <w:sz w:val="19"/>
                <w:szCs w:val="1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37.52</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29.370</w:t>
            </w:r>
          </w:p>
        </w:tc>
        <w:tc>
          <w:tcPr>
            <w:tcW w:w="540" w:type="dxa"/>
            <w:vAlign w:val="bottom"/>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2.140</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2.345</w:t>
            </w:r>
          </w:p>
        </w:tc>
        <w:tc>
          <w:tcPr>
            <w:tcW w:w="700" w:type="dxa"/>
            <w:vAlign w:val="bottom"/>
          </w:tcPr>
          <w:p>
            <w:pPr>
              <w:jc w:val="right"/>
              <w:spacing w:after="0"/>
              <w:rPr>
                <w:sz w:val="20"/>
                <w:szCs w:val="20"/>
                <w:color w:val="auto"/>
              </w:rPr>
            </w:pPr>
            <w:r>
              <w:rPr>
                <w:rFonts w:ascii="Arial" w:cs="Arial" w:eastAsia="Arial" w:hAnsi="Arial"/>
                <w:sz w:val="16"/>
                <w:szCs w:val="16"/>
                <w:color w:val="auto"/>
              </w:rPr>
              <w:t>8.6382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1/05/2009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19.57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59.520</w:t>
            </w:r>
          </w:p>
        </w:tc>
        <w:tc>
          <w:tcPr>
            <w:tcW w:w="540" w:type="dxa"/>
            <w:vAlign w:val="bottom"/>
            <w:shd w:val="clear" w:color="auto" w:fill="CCEEFF"/>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1.670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4.088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1/05/2010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31.62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31.330</w:t>
            </w:r>
          </w:p>
        </w:tc>
        <w:tc>
          <w:tcPr>
            <w:tcW w:w="540" w:type="dxa"/>
            <w:vAlign w:val="bottom"/>
            <w:shd w:val="clear" w:color="auto" w:fill="CCEEFF"/>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2.560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2.530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12,825*</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2.560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2.530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12,070*</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1.160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2.345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7"/>
              </w:rPr>
              <w:t>1/04/2011</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52,630</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37.52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29.370</w:t>
            </w:r>
          </w:p>
        </w:tc>
        <w:tc>
          <w:tcPr>
            <w:tcW w:w="540" w:type="dxa"/>
            <w:vAlign w:val="bottom"/>
            <w:shd w:val="clear" w:color="auto" w:fill="CCEEFF"/>
          </w:tcPr>
          <w:p>
            <w:pPr>
              <w:jc w:val="center"/>
              <w:ind w:left="181"/>
              <w:spacing w:after="0"/>
              <w:rPr>
                <w:sz w:val="20"/>
                <w:szCs w:val="20"/>
                <w:color w:val="auto"/>
              </w:rPr>
            </w:pPr>
            <w:r>
              <w:rPr>
                <w:rFonts w:ascii="Arial" w:cs="Arial" w:eastAsia="Arial" w:hAnsi="Arial"/>
                <w:sz w:val="16"/>
                <w:szCs w:val="16"/>
                <w:color w:val="auto"/>
                <w:w w:val="89"/>
              </w:rPr>
              <w:t>5.30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2.140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2.345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40"/>
        <w:spacing w:after="0" w:line="282" w:lineRule="auto"/>
        <w:rPr>
          <w:sz w:val="20"/>
          <w:szCs w:val="20"/>
          <w:color w:val="auto"/>
        </w:rPr>
      </w:pPr>
      <w:r>
        <w:rPr>
          <w:rFonts w:ascii="Arial" w:cs="Arial" w:eastAsia="Arial" w:hAnsi="Arial"/>
          <w:sz w:val="15"/>
          <w:szCs w:val="15"/>
          <w:color w:val="auto"/>
        </w:rPr>
        <w:t>Entries above with asterisks (*) are RSUs and entries without asterisks are stock options. The grant date fair value of RSUs represents the value of our common stock on the date of grant, reduced by the present value of dividends expected to be paid on our common stock prior to vesting. The grant date fair value of stock options is computed using a Black Scholes valuation methodology.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October 29, 2011.</w:t>
      </w:r>
    </w:p>
    <w:p>
      <w:pPr>
        <w:spacing w:after="0" w:line="1" w:lineRule="exact"/>
        <w:rPr>
          <w:sz w:val="20"/>
          <w:szCs w:val="20"/>
          <w:color w:val="auto"/>
        </w:rPr>
      </w:pPr>
    </w:p>
    <w:p>
      <w:pPr>
        <w:ind w:left="460" w:right="40" w:hanging="459"/>
        <w:spacing w:after="0" w:line="26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fiscal 2011, we paid these amounts under our 2011 Executive Performance Incentive Plan based 50% on our operating profits before taxes (as adjusted) and 50% on revenue growth compared to the same period in the prior year. In fiscal 2010 and 2009, we paid these amounts based solely on our operating profits before tax (as adjusted). See “Compensation Discussion and Analysis” above for a discussion of how these amounts were determined under the plan. Messrs. Marshall’s and McAdam’s amounts above are denominated in U.S. dollars, but we pay them in Euros. We calculate the Euro equivalent by using the prior month’s average exchange rate for each of the three months within the quarter in which the bonus is earned.</w:t>
      </w:r>
    </w:p>
    <w:p>
      <w:pPr>
        <w:spacing w:after="0" w:line="3" w:lineRule="exact"/>
        <w:rPr>
          <w:rFonts w:ascii="Arial" w:cs="Arial" w:eastAsia="Arial" w:hAnsi="Arial"/>
          <w:sz w:val="16"/>
          <w:szCs w:val="16"/>
          <w:color w:val="auto"/>
        </w:rPr>
      </w:pPr>
    </w:p>
    <w:p>
      <w:pPr>
        <w:ind w:left="460" w:right="20" w:hanging="459"/>
        <w:spacing w:after="0" w:line="268"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values reported do not include an aggregate decrease in the actuarial present value during fiscal 2011 for Messrs. McAdam and Roche of $610,753 and $43,513, respectively, under the Analog Devices B.V. Retirement and Death Benefit Plan. The values shown in the table represent the increase in pension values in each respective year. These increases are denominated in U.S. dollars, but incurred in Euros. We calculated the U.S. dollar amount for fiscal 2011 using the exchange rate as of November 1, 2011, or 0.7316 Euro per U.S. dollar, for fiscal 2010 using the exchange rate as of November 1, 2010, or 0.7202 Euro per U.S. dollar, and for fiscal 2009 using the exchange rate as of November 1, 2009, or 0.6793 Euro per U.S. dollar.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39"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hanging="459"/>
        <w:spacing w:after="0" w:line="264"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Roche’s amounts listed in this column also represent the above-market or preferential earnings on compensation that is deferred on a basis that is not tax-qualified, including such earnings on nonqualified defined contribution plans. During fiscal 2011 and 2010, we did not pay above market earnings on deferred compensation. In fiscal 2009, our Deferred Compensation Plan (DCP) contained a Moody’s investment option that delivered $649 to Mr. Roche of investment return above what SEC regulations consider the “market rate.” SEC regulations consider the “market rate” to be 120% of the applicable federal long-term rate, or AFR. The total amount of interest (not just the above market interest) credited to Mr. Roche’s deferred compensation account in fiscal 2009 was $5,730. We discontinued this Moody’s investment option in fiscal 2009. See “Non-Qualified Deferred Compensation Plan” below.</w:t>
      </w:r>
    </w:p>
    <w:p>
      <w:pPr>
        <w:spacing w:after="0" w:line="1" w:lineRule="exact"/>
        <w:rPr>
          <w:rFonts w:ascii="Arial" w:cs="Arial" w:eastAsia="Arial" w:hAnsi="Arial"/>
          <w:sz w:val="16"/>
          <w:szCs w:val="16"/>
          <w:color w:val="auto"/>
        </w:rPr>
      </w:pPr>
    </w:p>
    <w:p>
      <w:pPr>
        <w:ind w:left="460" w:hanging="459"/>
        <w:spacing w:after="0" w:line="26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fiscal 2011, this amount includes $5,000,000 that was payable to Mr. Fishman under his employment agreement dated January 14, 2010. In fiscal 2010 and 2009, these amounts include $5,000,000 and $1,271,800, respectively, that was payable to Mr. Fishman under his 2007 retention agreement if he remained employed by ADI through November 14, 2010, which was early fiscal 2011. We have credited fiscal 2010 and 2009 amounts to Mr. Fishman’s DCP account because he remained employed by ADI through November 14, 2010. The amount earned in each of fiscal 2009, 2010 and 2011 is equal to two times the amount of his bonus payable under the Executive Performance Incentive Plan for that year, subject to a $5 million cap. See “— Agreements with our Chief Executive Officer” above for more detail on how Mr. Fishman’s compensation was calculated.</w:t>
      </w:r>
    </w:p>
    <w:p>
      <w:pPr>
        <w:spacing w:after="0" w:line="4" w:lineRule="exact"/>
        <w:rPr>
          <w:rFonts w:ascii="Arial" w:cs="Arial" w:eastAsia="Arial" w:hAnsi="Arial"/>
          <w:sz w:val="16"/>
          <w:szCs w:val="16"/>
          <w:color w:val="auto"/>
        </w:rPr>
      </w:pPr>
    </w:p>
    <w:p>
      <w:pPr>
        <w:ind w:left="460" w:right="640" w:hanging="459"/>
        <w:spacing w:after="0" w:line="300"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amounts include $16,445, $79,891 and $87,392 for Mr. Marshall and $9,175, $78,252 and $87,392 for Mr. McAdam for fiscal 2011, 2010 and 2009, respectively, which we contributed under our retirement arrangements, including the Analog Devices B.V. Retirement and Death Benefit Plan and the ADBV Executive Investment Partnership Plan. These amounts also include $49,478, $37,904 and $39,486 for Mr. Marshall and $33,137, $31,660 and $32,923 for</w:t>
      </w:r>
    </w:p>
    <w:p>
      <w:pPr>
        <w:jc w:val="both"/>
        <w:ind w:left="460" w:right="280"/>
        <w:spacing w:after="0" w:line="262" w:lineRule="auto"/>
        <w:rPr>
          <w:rFonts w:ascii="Arial" w:cs="Arial" w:eastAsia="Arial" w:hAnsi="Arial"/>
          <w:sz w:val="14"/>
          <w:szCs w:val="14"/>
          <w:color w:val="auto"/>
        </w:rPr>
      </w:pPr>
      <w:r>
        <w:rPr>
          <w:rFonts w:ascii="Arial" w:cs="Arial" w:eastAsia="Arial" w:hAnsi="Arial"/>
          <w:sz w:val="16"/>
          <w:szCs w:val="16"/>
          <w:color w:val="auto"/>
        </w:rPr>
        <w:t>Mr. McAdam for fiscal 2011, 2010 and 2009, respectively, for repairs, gas, tax and insurance related to their use of Company-owned automobiles. The automobile costs are denominated in U.S. dollars but incurred in Euros. We calculated the U.S dollar equivalent by using the average yearly exchange rate, or 0.7172 Euro per U.S. dollar for fiscal 2011, 0.7416 Euro per U.S. dollar for fiscal 2010 and 0.7300 Euro per U.S. dollar for fiscal 2009.</w:t>
      </w:r>
    </w:p>
    <w:p>
      <w:pPr>
        <w:spacing w:after="0" w:line="2" w:lineRule="exact"/>
        <w:rPr>
          <w:rFonts w:ascii="Arial" w:cs="Arial" w:eastAsia="Arial" w:hAnsi="Arial"/>
          <w:sz w:val="14"/>
          <w:szCs w:val="14"/>
          <w:color w:val="auto"/>
        </w:rPr>
      </w:pPr>
    </w:p>
    <w:p>
      <w:pPr>
        <w:ind w:left="460" w:hanging="459"/>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addition to amounts detailed above in footnotes 6 and 7, the amounts shown in the “All Other Compensation” column are comprised of the following:</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gridSpan w:val="4"/>
          </w:tcPr>
          <w:p>
            <w:pPr>
              <w:ind w:left="480"/>
              <w:spacing w:after="0"/>
              <w:rPr>
                <w:sz w:val="20"/>
                <w:szCs w:val="20"/>
                <w:color w:val="auto"/>
              </w:rPr>
            </w:pPr>
            <w:r>
              <w:rPr>
                <w:rFonts w:ascii="Arial" w:cs="Arial" w:eastAsia="Arial" w:hAnsi="Arial"/>
                <w:sz w:val="13"/>
                <w:szCs w:val="13"/>
                <w:b w:val="1"/>
                <w:bCs w:val="1"/>
                <w:color w:val="auto"/>
              </w:rPr>
              <w:t>Healthcare</w:t>
            </w:r>
          </w:p>
        </w:tc>
        <w:tc>
          <w:tcPr>
            <w:tcW w:w="0" w:type="dxa"/>
            <w:vAlign w:val="bottom"/>
          </w:tcPr>
          <w:p>
            <w:pPr>
              <w:spacing w:after="0"/>
              <w:rPr>
                <w:sz w:val="1"/>
                <w:szCs w:val="1"/>
                <w:color w:val="auto"/>
              </w:rPr>
            </w:pPr>
          </w:p>
        </w:tc>
      </w:tr>
      <w:tr>
        <w:trPr>
          <w:trHeight w:val="139"/>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380" w:type="dxa"/>
            <w:vAlign w:val="bottom"/>
          </w:tcPr>
          <w:p>
            <w:pPr>
              <w:ind w:left="40"/>
              <w:spacing w:after="0" w:line="139" w:lineRule="exact"/>
              <w:rPr>
                <w:sz w:val="20"/>
                <w:szCs w:val="20"/>
                <w:color w:val="auto"/>
              </w:rPr>
            </w:pPr>
            <w:r>
              <w:rPr>
                <w:rFonts w:ascii="Arial" w:cs="Arial" w:eastAsia="Arial" w:hAnsi="Arial"/>
                <w:sz w:val="13"/>
                <w:szCs w:val="13"/>
                <w:b w:val="1"/>
                <w:bCs w:val="1"/>
                <w:color w:val="auto"/>
                <w:w w:val="86"/>
              </w:rPr>
              <w:t>Fiscal</w:t>
            </w:r>
          </w:p>
        </w:tc>
        <w:tc>
          <w:tcPr>
            <w:tcW w:w="1400" w:type="dxa"/>
            <w:vAlign w:val="bottom"/>
            <w:gridSpan w:val="3"/>
          </w:tcPr>
          <w:p>
            <w:pPr>
              <w:ind w:left="480"/>
              <w:spacing w:after="0" w:line="139" w:lineRule="exact"/>
              <w:rPr>
                <w:sz w:val="20"/>
                <w:szCs w:val="20"/>
                <w:color w:val="auto"/>
              </w:rPr>
            </w:pPr>
            <w:r>
              <w:rPr>
                <w:rFonts w:ascii="Arial" w:cs="Arial" w:eastAsia="Arial" w:hAnsi="Arial"/>
                <w:sz w:val="13"/>
                <w:szCs w:val="13"/>
                <w:b w:val="1"/>
                <w:bCs w:val="1"/>
                <w:color w:val="auto"/>
                <w:w w:val="89"/>
              </w:rPr>
              <w:t>Company 401(k)</w:t>
            </w:r>
          </w:p>
        </w:tc>
        <w:tc>
          <w:tcPr>
            <w:tcW w:w="480" w:type="dxa"/>
            <w:vAlign w:val="bottom"/>
          </w:tcPr>
          <w:p>
            <w:pPr>
              <w:spacing w:after="0"/>
              <w:rPr>
                <w:sz w:val="12"/>
                <w:szCs w:val="12"/>
                <w:color w:val="auto"/>
              </w:rPr>
            </w:pPr>
          </w:p>
        </w:tc>
        <w:tc>
          <w:tcPr>
            <w:tcW w:w="64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8"/>
              </w:rPr>
              <w:t>Payment of</w:t>
            </w:r>
          </w:p>
        </w:tc>
        <w:tc>
          <w:tcPr>
            <w:tcW w:w="1360" w:type="dxa"/>
            <w:vAlign w:val="bottom"/>
            <w:gridSpan w:val="3"/>
          </w:tcPr>
          <w:p>
            <w:pPr>
              <w:ind w:left="480"/>
              <w:spacing w:after="0" w:line="139" w:lineRule="exact"/>
              <w:rPr>
                <w:sz w:val="20"/>
                <w:szCs w:val="20"/>
                <w:color w:val="auto"/>
              </w:rPr>
            </w:pPr>
            <w:r>
              <w:rPr>
                <w:rFonts w:ascii="Arial" w:cs="Arial" w:eastAsia="Arial" w:hAnsi="Arial"/>
                <w:sz w:val="13"/>
                <w:szCs w:val="13"/>
                <w:b w:val="1"/>
                <w:bCs w:val="1"/>
                <w:color w:val="auto"/>
                <w:w w:val="87"/>
              </w:rPr>
              <w:t>Reimbursement</w:t>
            </w:r>
          </w:p>
        </w:tc>
        <w:tc>
          <w:tcPr>
            <w:tcW w:w="48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4"/>
              </w:rPr>
              <w:t>Relocation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w w:val="80"/>
              </w:rPr>
              <w:t>Savings</w:t>
            </w:r>
          </w:p>
        </w:tc>
        <w:tc>
          <w:tcPr>
            <w:tcW w:w="0" w:type="dxa"/>
            <w:vAlign w:val="bottom"/>
          </w:tcPr>
          <w:p>
            <w:pPr>
              <w:spacing w:after="0"/>
              <w:rPr>
                <w:sz w:val="1"/>
                <w:szCs w:val="1"/>
                <w:color w:val="auto"/>
              </w:rPr>
            </w:pPr>
          </w:p>
        </w:tc>
      </w:tr>
      <w:tr>
        <w:trPr>
          <w:trHeight w:val="144"/>
        </w:trPr>
        <w:tc>
          <w:tcPr>
            <w:tcW w:w="3980" w:type="dxa"/>
            <w:vAlign w:val="bottom"/>
            <w:gridSpan w:val="3"/>
            <w:vMerge w:val="continue"/>
          </w:tcPr>
          <w:p>
            <w:pPr>
              <w:spacing w:after="0"/>
              <w:rPr>
                <w:sz w:val="12"/>
                <w:szCs w:val="12"/>
                <w:color w:val="auto"/>
              </w:rPr>
            </w:pPr>
          </w:p>
        </w:tc>
        <w:tc>
          <w:tcPr>
            <w:tcW w:w="380" w:type="dxa"/>
            <w:vAlign w:val="bottom"/>
          </w:tcPr>
          <w:p>
            <w:pPr>
              <w:ind w:left="60"/>
              <w:spacing w:after="0" w:line="139" w:lineRule="exact"/>
              <w:rPr>
                <w:sz w:val="20"/>
                <w:szCs w:val="20"/>
                <w:color w:val="auto"/>
              </w:rPr>
            </w:pPr>
            <w:r>
              <w:rPr>
                <w:rFonts w:ascii="Arial" w:cs="Arial" w:eastAsia="Arial" w:hAnsi="Arial"/>
                <w:sz w:val="13"/>
                <w:szCs w:val="13"/>
                <w:b w:val="1"/>
                <w:bCs w:val="1"/>
                <w:color w:val="auto"/>
              </w:rPr>
              <w:t>Year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60"/>
              <w:spacing w:after="0" w:line="139" w:lineRule="exact"/>
              <w:rPr>
                <w:sz w:val="20"/>
                <w:szCs w:val="20"/>
                <w:color w:val="auto"/>
              </w:rPr>
            </w:pPr>
            <w:r>
              <w:rPr>
                <w:rFonts w:ascii="Arial" w:cs="Arial" w:eastAsia="Arial" w:hAnsi="Arial"/>
                <w:sz w:val="13"/>
                <w:szCs w:val="13"/>
                <w:b w:val="1"/>
                <w:bCs w:val="1"/>
                <w:color w:val="auto"/>
                <w:w w:val="85"/>
              </w:rPr>
              <w:t>Payments(a)</w:t>
            </w:r>
          </w:p>
        </w:tc>
        <w:tc>
          <w:tcPr>
            <w:tcW w:w="1120" w:type="dxa"/>
            <w:vAlign w:val="bottom"/>
            <w:gridSpan w:val="3"/>
          </w:tcPr>
          <w:p>
            <w:pPr>
              <w:ind w:left="460"/>
              <w:spacing w:after="0" w:line="139" w:lineRule="exact"/>
              <w:rPr>
                <w:sz w:val="20"/>
                <w:szCs w:val="20"/>
                <w:color w:val="auto"/>
              </w:rPr>
            </w:pPr>
            <w:r>
              <w:rPr>
                <w:rFonts w:ascii="Arial" w:cs="Arial" w:eastAsia="Arial" w:hAnsi="Arial"/>
                <w:sz w:val="13"/>
                <w:szCs w:val="13"/>
                <w:b w:val="1"/>
                <w:bCs w:val="1"/>
                <w:color w:val="auto"/>
                <w:w w:val="82"/>
              </w:rPr>
              <w:t>Expenses(b)</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0"/>
              <w:spacing w:after="0" w:line="139" w:lineRule="exact"/>
              <w:rPr>
                <w:sz w:val="20"/>
                <w:szCs w:val="20"/>
                <w:color w:val="auto"/>
              </w:rPr>
            </w:pPr>
            <w:r>
              <w:rPr>
                <w:rFonts w:ascii="Arial" w:cs="Arial" w:eastAsia="Arial" w:hAnsi="Arial"/>
                <w:sz w:val="13"/>
                <w:szCs w:val="13"/>
                <w:b w:val="1"/>
                <w:bCs w:val="1"/>
                <w:color w:val="auto"/>
                <w:w w:val="84"/>
              </w:rPr>
              <w:t>of Taxes(c)</w:t>
            </w:r>
          </w:p>
        </w:tc>
        <w:tc>
          <w:tcPr>
            <w:tcW w:w="48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79"/>
              </w:rPr>
              <w:t>Expenses</w:t>
            </w:r>
          </w:p>
        </w:tc>
        <w:tc>
          <w:tcPr>
            <w:tcW w:w="480" w:type="dxa"/>
            <w:vAlign w:val="bottom"/>
          </w:tcPr>
          <w:p>
            <w:pPr>
              <w:spacing w:after="0"/>
              <w:rPr>
                <w:sz w:val="12"/>
                <w:szCs w:val="12"/>
                <w:color w:val="auto"/>
              </w:rPr>
            </w:pPr>
          </w:p>
        </w:tc>
        <w:tc>
          <w:tcPr>
            <w:tcW w:w="700" w:type="dxa"/>
            <w:vAlign w:val="bottom"/>
            <w:gridSpan w:val="3"/>
          </w:tcPr>
          <w:p>
            <w:pPr>
              <w:jc w:val="right"/>
              <w:ind w:right="180"/>
              <w:spacing w:after="0" w:line="139" w:lineRule="exact"/>
              <w:rPr>
                <w:sz w:val="20"/>
                <w:szCs w:val="20"/>
                <w:color w:val="auto"/>
              </w:rPr>
            </w:pPr>
            <w:r>
              <w:rPr>
                <w:rFonts w:ascii="Arial" w:cs="Arial" w:eastAsia="Arial" w:hAnsi="Arial"/>
                <w:sz w:val="13"/>
                <w:szCs w:val="13"/>
                <w:b w:val="1"/>
                <w:bCs w:val="1"/>
                <w:color w:val="auto"/>
                <w:w w:val="96"/>
              </w:rPr>
              <w:t>Account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2011</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5,547</w:t>
            </w: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2010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58,530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41,950</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2009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12,996</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3980" w:type="dxa"/>
            <w:vAlign w:val="bottom"/>
            <w:gridSpan w:val="3"/>
          </w:tcPr>
          <w:p>
            <w:pPr>
              <w:spacing w:after="0"/>
              <w:rPr>
                <w:sz w:val="20"/>
                <w:szCs w:val="20"/>
                <w:color w:val="auto"/>
              </w:rPr>
            </w:pPr>
            <w:r>
              <w:rPr>
                <w:rFonts w:ascii="Arial" w:cs="Arial" w:eastAsia="Arial" w:hAnsi="Arial"/>
                <w:sz w:val="16"/>
                <w:szCs w:val="16"/>
                <w:color w:val="auto"/>
              </w:rPr>
              <w:t>David A. Zinsner</w:t>
            </w:r>
          </w:p>
        </w:tc>
        <w:tc>
          <w:tcPr>
            <w:tcW w:w="380" w:type="dxa"/>
            <w:vAlign w:val="bottom"/>
          </w:tcPr>
          <w:p>
            <w:pPr>
              <w:ind w:left="60"/>
              <w:spacing w:after="0"/>
              <w:rPr>
                <w:sz w:val="20"/>
                <w:szCs w:val="20"/>
                <w:color w:val="auto"/>
              </w:rPr>
            </w:pPr>
            <w:r>
              <w:rPr>
                <w:rFonts w:ascii="Arial" w:cs="Arial" w:eastAsia="Arial" w:hAnsi="Arial"/>
                <w:sz w:val="16"/>
                <w:szCs w:val="16"/>
                <w:color w:val="auto"/>
                <w:w w:val="84"/>
              </w:rPr>
              <w:t>2011</w:t>
            </w:r>
          </w:p>
        </w:tc>
        <w:tc>
          <w:tcPr>
            <w:tcW w:w="580" w:type="dxa"/>
            <w:vAlign w:val="bottom"/>
            <w:gridSpan w:val="2"/>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35,803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w w:val="84"/>
              </w:rPr>
              <w:t>2010</w:t>
            </w:r>
          </w:p>
        </w:tc>
        <w:tc>
          <w:tcPr>
            <w:tcW w:w="580" w:type="dxa"/>
            <w:vAlign w:val="bottom"/>
            <w:gridSpan w:val="2"/>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19,600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w w:val="84"/>
              </w:rPr>
              <w:t>2009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left="378"/>
              <w:spacing w:after="0"/>
              <w:rPr>
                <w:sz w:val="20"/>
                <w:szCs w:val="20"/>
                <w:color w:val="auto"/>
              </w:rPr>
            </w:pPr>
            <w:r>
              <w:rPr>
                <w:rFonts w:ascii="Arial" w:cs="Arial" w:eastAsia="Arial" w:hAnsi="Arial"/>
                <w:sz w:val="16"/>
                <w:szCs w:val="16"/>
                <w:color w:val="auto"/>
                <w:w w:val="95"/>
              </w:rPr>
              <w:t>$223,360</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2011</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33,354</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2010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4"/>
              </w:rPr>
              <w:t>2009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31,201</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7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0" w:lineRule="exact"/>
        <w:rPr>
          <w:sz w:val="20"/>
          <w:szCs w:val="20"/>
          <w:color w:val="auto"/>
        </w:rPr>
      </w:pPr>
    </w:p>
    <w:p>
      <w:pPr>
        <w:ind w:left="460" w:right="600" w:hanging="459"/>
        <w:spacing w:after="0" w:line="267"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the Company contribution into 401(k) plan accounts up to the permissible IRS limit and the taxable Company contribution in excess of IRS limits described under “Retirement and Other Employee Benefits” above.</w:t>
      </w:r>
    </w:p>
    <w:p>
      <w:pPr>
        <w:ind w:left="460" w:right="120" w:hanging="459"/>
        <w:spacing w:after="0" w:line="26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Reimbursement for tax and estate planning and, for fiscal 2010, legal expenses of $30,219 associated with Mr. Fishman’s employment agreement. In fiscal 2009, this amount included $2,846 of expenses for excess liability insurance.</w:t>
      </w:r>
    </w:p>
    <w:p>
      <w:pPr>
        <w:spacing w:after="0" w:line="1" w:lineRule="exact"/>
        <w:rPr>
          <w:rFonts w:ascii="Arial" w:cs="Arial" w:eastAsia="Arial" w:hAnsi="Arial"/>
          <w:sz w:val="16"/>
          <w:szCs w:val="16"/>
          <w:color w:val="auto"/>
        </w:rPr>
      </w:pPr>
    </w:p>
    <w:p>
      <w:pPr>
        <w:ind w:left="460" w:hanging="459"/>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Reimbursement for taxes associated with the expenses described above in note (b).</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39" w:right="2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 in Fiscal Year 2011</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on plan-based awards in fiscal 2011 to our NEOs: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All Other</w:t>
            </w: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All Other</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5"/>
              </w:rPr>
              <w:t>Estimated Possible Payouts Under</w:t>
            </w:r>
          </w:p>
        </w:tc>
        <w:tc>
          <w:tcPr>
            <w:tcW w:w="280" w:type="dxa"/>
            <w:vAlign w:val="bottom"/>
          </w:tcPr>
          <w:p>
            <w:pPr>
              <w:spacing w:after="0"/>
              <w:rPr>
                <w:sz w:val="12"/>
                <w:szCs w:val="12"/>
                <w:color w:val="auto"/>
              </w:rPr>
            </w:pPr>
          </w:p>
        </w:tc>
        <w:tc>
          <w:tcPr>
            <w:tcW w:w="92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4"/>
              </w:rPr>
              <w:t>Stock</w:t>
            </w: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0"/>
              </w:rPr>
              <w:t>Option</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3"/>
                <w:szCs w:val="13"/>
                <w:b w:val="1"/>
                <w:bCs w:val="1"/>
                <w:color w:val="auto"/>
                <w:w w:val="85"/>
              </w:rPr>
              <w:t>Awards:</w:t>
            </w:r>
          </w:p>
        </w:tc>
        <w:tc>
          <w:tcPr>
            <w:tcW w:w="9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3"/>
                <w:szCs w:val="13"/>
                <w:b w:val="1"/>
                <w:bCs w:val="1"/>
                <w:color w:val="auto"/>
                <w:w w:val="89"/>
              </w:rPr>
              <w:t>Awards:</w:t>
            </w:r>
          </w:p>
        </w:tc>
        <w:tc>
          <w:tcPr>
            <w:tcW w:w="8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3"/>
                <w:szCs w:val="13"/>
                <w:b w:val="1"/>
                <w:bCs w:val="1"/>
                <w:color w:val="auto"/>
                <w:w w:val="85"/>
              </w:rPr>
              <w:t>Exercise</w:t>
            </w:r>
          </w:p>
        </w:tc>
        <w:tc>
          <w:tcPr>
            <w:tcW w:w="840" w:type="dxa"/>
            <w:vAlign w:val="bottom"/>
            <w:gridSpan w:val="2"/>
            <w:vMerge w:val="restart"/>
          </w:tcPr>
          <w:p>
            <w:pPr>
              <w:jc w:val="center"/>
              <w:ind w:right="200"/>
              <w:spacing w:after="0" w:line="139"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50"/>
        </w:trPr>
        <w:tc>
          <w:tcPr>
            <w:tcW w:w="3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320" w:type="dxa"/>
            <w:vAlign w:val="bottom"/>
            <w:gridSpan w:val="5"/>
            <w:vMerge w:val="restart"/>
          </w:tcPr>
          <w:p>
            <w:pPr>
              <w:jc w:val="center"/>
              <w:spacing w:after="0" w:line="139" w:lineRule="exact"/>
              <w:rPr>
                <w:sz w:val="20"/>
                <w:szCs w:val="20"/>
                <w:color w:val="auto"/>
              </w:rPr>
            </w:pPr>
            <w:r>
              <w:rPr>
                <w:rFonts w:ascii="Arial" w:cs="Arial" w:eastAsia="Arial" w:hAnsi="Arial"/>
                <w:sz w:val="13"/>
                <w:szCs w:val="13"/>
                <w:b w:val="1"/>
                <w:bCs w:val="1"/>
                <w:color w:val="auto"/>
                <w:w w:val="89"/>
              </w:rPr>
              <w:t>Non-Equity Incentive Plan</w:t>
            </w:r>
          </w:p>
        </w:tc>
        <w:tc>
          <w:tcPr>
            <w:tcW w:w="2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3"/>
                <w:szCs w:val="13"/>
                <w:b w:val="1"/>
                <w:bCs w:val="1"/>
                <w:color w:val="auto"/>
                <w:w w:val="89"/>
              </w:rPr>
              <w:t>Number of</w:t>
            </w:r>
          </w:p>
        </w:tc>
        <w:tc>
          <w:tcPr>
            <w:tcW w:w="960" w:type="dxa"/>
            <w:vAlign w:val="bottom"/>
            <w:gridSpan w:val="2"/>
            <w:vMerge w:val="restart"/>
          </w:tcPr>
          <w:p>
            <w:pPr>
              <w:jc w:val="center"/>
              <w:ind w:right="320"/>
              <w:spacing w:after="0" w:line="139" w:lineRule="exact"/>
              <w:rPr>
                <w:sz w:val="20"/>
                <w:szCs w:val="20"/>
                <w:color w:val="auto"/>
              </w:rPr>
            </w:pPr>
            <w:r>
              <w:rPr>
                <w:rFonts w:ascii="Arial" w:cs="Arial" w:eastAsia="Arial" w:hAnsi="Arial"/>
                <w:sz w:val="13"/>
                <w:szCs w:val="13"/>
                <w:b w:val="1"/>
                <w:bCs w:val="1"/>
                <w:color w:val="auto"/>
                <w:w w:val="92"/>
              </w:rPr>
              <w:t>Number of</w:t>
            </w:r>
          </w:p>
        </w:tc>
        <w:tc>
          <w:tcPr>
            <w:tcW w:w="8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3"/>
                <w:szCs w:val="13"/>
                <w:b w:val="1"/>
                <w:bCs w:val="1"/>
                <w:color w:val="auto"/>
                <w:w w:val="87"/>
              </w:rPr>
              <w:t>Price of</w:t>
            </w:r>
          </w:p>
        </w:tc>
        <w:tc>
          <w:tcPr>
            <w:tcW w:w="840" w:type="dxa"/>
            <w:vAlign w:val="bottom"/>
            <w:gridSpan w:val="2"/>
            <w:vMerge w:val="restart"/>
          </w:tcPr>
          <w:p>
            <w:pPr>
              <w:jc w:val="center"/>
              <w:ind w:right="200"/>
              <w:spacing w:after="0" w:line="139"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50"/>
        </w:trPr>
        <w:tc>
          <w:tcPr>
            <w:tcW w:w="3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vMerge w:val="restart"/>
          </w:tcPr>
          <w:p>
            <w:pPr>
              <w:jc w:val="right"/>
              <w:ind w:right="280"/>
              <w:spacing w:after="0" w:line="132" w:lineRule="exact"/>
              <w:rPr>
                <w:sz w:val="20"/>
                <w:szCs w:val="20"/>
                <w:color w:val="auto"/>
              </w:rPr>
            </w:pPr>
            <w:r>
              <w:rPr>
                <w:rFonts w:ascii="Arial" w:cs="Arial" w:eastAsia="Arial" w:hAnsi="Arial"/>
                <w:sz w:val="13"/>
                <w:szCs w:val="13"/>
                <w:b w:val="1"/>
                <w:bCs w:val="1"/>
                <w:color w:val="auto"/>
                <w:w w:val="89"/>
              </w:rPr>
              <w:t>Awards(1)</w:t>
            </w: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4"/>
              </w:rPr>
              <w:t>Shares of</w:t>
            </w:r>
          </w:p>
        </w:tc>
        <w:tc>
          <w:tcPr>
            <w:tcW w:w="9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83"/>
              </w:rPr>
              <w:t>Securities</w:t>
            </w: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0"/>
              </w:rPr>
              <w:t>Option</w:t>
            </w: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84"/>
              </w:rPr>
              <w:t>Stock or</w:t>
            </w: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1"/>
              </w:rPr>
              <w:t>Underlying</w:t>
            </w:r>
          </w:p>
        </w:tc>
        <w:tc>
          <w:tcPr>
            <w:tcW w:w="82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5"/>
              </w:rPr>
              <w:t>Awards</w:t>
            </w: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8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2"/>
              </w:rPr>
              <w:t>Grant</w:t>
            </w:r>
          </w:p>
        </w:tc>
        <w:tc>
          <w:tcPr>
            <w:tcW w:w="940" w:type="dxa"/>
            <w:vAlign w:val="bottom"/>
            <w:gridSpan w:val="2"/>
          </w:tcPr>
          <w:p>
            <w:pPr>
              <w:ind w:left="80"/>
              <w:spacing w:after="0" w:line="139" w:lineRule="exact"/>
              <w:rPr>
                <w:sz w:val="20"/>
                <w:szCs w:val="20"/>
                <w:color w:val="auto"/>
              </w:rPr>
            </w:pPr>
            <w:r>
              <w:rPr>
                <w:rFonts w:ascii="Arial" w:cs="Arial" w:eastAsia="Arial" w:hAnsi="Arial"/>
                <w:sz w:val="13"/>
                <w:szCs w:val="13"/>
                <w:b w:val="1"/>
                <w:bCs w:val="1"/>
                <w:color w:val="auto"/>
              </w:rPr>
              <w:t>Approval</w:t>
            </w:r>
          </w:p>
        </w:tc>
        <w:tc>
          <w:tcPr>
            <w:tcW w:w="86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Threshold</w:t>
            </w: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85"/>
              </w:rPr>
              <w:t>Target</w:t>
            </w:r>
          </w:p>
        </w:tc>
        <w:tc>
          <w:tcPr>
            <w:tcW w:w="6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w w:val="93"/>
              </w:rPr>
              <w:t>Maximum</w:t>
            </w: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86"/>
              </w:rPr>
              <w:t>Units</w:t>
            </w: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5"/>
              </w:rPr>
              <w:t>Options</w:t>
            </w:r>
          </w:p>
        </w:tc>
        <w:tc>
          <w:tcPr>
            <w:tcW w:w="82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8"/>
              </w:rPr>
              <w:t>($ Per</w:t>
            </w: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2"/>
              </w:rPr>
              <w:t>Date (2)</w:t>
            </w:r>
          </w:p>
        </w:tc>
        <w:tc>
          <w:tcPr>
            <w:tcW w:w="940" w:type="dxa"/>
            <w:vAlign w:val="bottom"/>
            <w:gridSpan w:val="2"/>
          </w:tcPr>
          <w:p>
            <w:pPr>
              <w:ind w:left="200"/>
              <w:spacing w:after="0" w:line="139" w:lineRule="exact"/>
              <w:rPr>
                <w:sz w:val="20"/>
                <w:szCs w:val="20"/>
                <w:color w:val="auto"/>
              </w:rPr>
            </w:pPr>
            <w:r>
              <w:rPr>
                <w:rFonts w:ascii="Arial" w:cs="Arial" w:eastAsia="Arial" w:hAnsi="Arial"/>
                <w:sz w:val="13"/>
                <w:szCs w:val="13"/>
                <w:b w:val="1"/>
                <w:bCs w:val="1"/>
                <w:color w:val="auto"/>
              </w:rPr>
              <w:t>Date</w:t>
            </w:r>
          </w:p>
        </w:tc>
        <w:tc>
          <w:tcPr>
            <w:tcW w:w="580" w:type="dxa"/>
            <w:vAlign w:val="bottom"/>
          </w:tcPr>
          <w:p>
            <w:pPr>
              <w:ind w:left="220"/>
              <w:spacing w:after="0" w:line="13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3"/>
                <w:szCs w:val="13"/>
                <w:color w:val="auto"/>
              </w:rPr>
            </w:pPr>
          </w:p>
        </w:tc>
        <w:tc>
          <w:tcPr>
            <w:tcW w:w="600" w:type="dxa"/>
            <w:vAlign w:val="bottom"/>
          </w:tcPr>
          <w:p>
            <w:pPr>
              <w:jc w:val="right"/>
              <w:ind w:right="157"/>
              <w:spacing w:after="0" w:line="139" w:lineRule="exact"/>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center"/>
              <w:ind w:left="217"/>
              <w:spacing w:after="0" w:line="139" w:lineRule="exact"/>
              <w:rPr>
                <w:sz w:val="20"/>
                <w:szCs w:val="20"/>
                <w:color w:val="auto"/>
              </w:rPr>
            </w:pPr>
            <w:r>
              <w:rPr>
                <w:rFonts w:ascii="Arial" w:cs="Arial" w:eastAsia="Arial" w:hAnsi="Arial"/>
                <w:sz w:val="13"/>
                <w:szCs w:val="13"/>
                <w:b w:val="1"/>
                <w:bCs w:val="1"/>
                <w:color w:val="auto"/>
                <w:w w:val="87"/>
              </w:rPr>
              <w:t>(#)(3)</w:t>
            </w:r>
          </w:p>
        </w:tc>
        <w:tc>
          <w:tcPr>
            <w:tcW w:w="280" w:type="dxa"/>
            <w:vAlign w:val="bottom"/>
          </w:tcPr>
          <w:p>
            <w:pPr>
              <w:spacing w:after="0"/>
              <w:rPr>
                <w:sz w:val="13"/>
                <w:szCs w:val="13"/>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(#)(4)</w:t>
            </w:r>
          </w:p>
        </w:tc>
        <w:tc>
          <w:tcPr>
            <w:tcW w:w="300" w:type="dxa"/>
            <w:vAlign w:val="bottom"/>
          </w:tcPr>
          <w:p>
            <w:pPr>
              <w:spacing w:after="0"/>
              <w:rPr>
                <w:sz w:val="13"/>
                <w:szCs w:val="13"/>
                <w:color w:val="auto"/>
              </w:rPr>
            </w:pPr>
          </w:p>
        </w:tc>
        <w:tc>
          <w:tcPr>
            <w:tcW w:w="82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88"/>
              </w:rPr>
              <w:t>Share)(5)</w:t>
            </w:r>
          </w:p>
        </w:tc>
        <w:tc>
          <w:tcPr>
            <w:tcW w:w="6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180" w:type="dxa"/>
            <w:vAlign w:val="bottom"/>
            <w:tcBorders>
              <w:top w:val="single" w:sz="8" w:color="CCEEFF"/>
            </w:tcBorders>
            <w:gridSpan w:val="2"/>
            <w:shd w:val="clear" w:color="auto" w:fill="CCEEFF"/>
          </w:tcPr>
          <w:p>
            <w:pPr>
              <w:spacing w:after="0" w:line="124" w:lineRule="exact"/>
              <w:rPr>
                <w:sz w:val="20"/>
                <w:szCs w:val="20"/>
                <w:color w:val="auto"/>
              </w:rPr>
            </w:pPr>
            <w:r>
              <w:rPr>
                <w:rFonts w:ascii="Arial" w:cs="Arial" w:eastAsia="Arial" w:hAnsi="Arial"/>
                <w:sz w:val="13"/>
                <w:szCs w:val="13"/>
                <w:color w:val="auto"/>
              </w:rPr>
              <w:t>Jerald G. Fishman</w:t>
            </w: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N/A</w:t>
            </w:r>
          </w:p>
        </w:tc>
        <w:tc>
          <w:tcPr>
            <w:tcW w:w="2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60"/>
              <w:spacing w:after="0" w:line="124"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0"/>
                <w:szCs w:val="10"/>
                <w:color w:val="auto"/>
                <w:w w:val="71"/>
              </w:rPr>
              <w:t>0</w:t>
            </w:r>
          </w:p>
        </w:tc>
        <w:tc>
          <w:tcPr>
            <w:tcW w:w="2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w w:val="96"/>
              </w:rPr>
              <w:t>1,489,496</w:t>
            </w:r>
          </w:p>
        </w:tc>
        <w:tc>
          <w:tcPr>
            <w:tcW w:w="2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4,468,488</w:t>
            </w:r>
          </w:p>
        </w:tc>
        <w:tc>
          <w:tcPr>
            <w:tcW w:w="2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80"/>
              <w:spacing w:after="0" w:line="124"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center"/>
              <w:ind w:left="217"/>
              <w:spacing w:after="0" w:line="124"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ind w:left="317"/>
              <w:spacing w:after="0" w:line="124"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180" w:type="dxa"/>
            <w:vAlign w:val="bottom"/>
            <w:gridSpan w:val="2"/>
          </w:tcPr>
          <w:p>
            <w:pPr>
              <w:spacing w:after="0" w:line="130" w:lineRule="exact"/>
              <w:rPr>
                <w:sz w:val="20"/>
                <w:szCs w:val="20"/>
                <w:color w:val="auto"/>
              </w:rPr>
            </w:pPr>
            <w:r>
              <w:rPr>
                <w:rFonts w:ascii="Arial" w:cs="Arial" w:eastAsia="Arial" w:hAnsi="Arial"/>
                <w:sz w:val="13"/>
                <w:szCs w:val="13"/>
                <w:color w:val="auto"/>
              </w:rPr>
              <w:t>David A. Zinsner</w:t>
            </w:r>
          </w:p>
        </w:tc>
        <w:tc>
          <w:tcPr>
            <w:tcW w:w="240" w:type="dxa"/>
            <w:vAlign w:val="bottom"/>
          </w:tcPr>
          <w:p>
            <w:pPr>
              <w:spacing w:after="0"/>
              <w:rPr>
                <w:sz w:val="11"/>
                <w:szCs w:val="11"/>
                <w:color w:val="auto"/>
              </w:rPr>
            </w:pPr>
          </w:p>
        </w:tc>
        <w:tc>
          <w:tcPr>
            <w:tcW w:w="920" w:type="dxa"/>
            <w:vAlign w:val="bottom"/>
            <w:gridSpan w:val="2"/>
          </w:tcPr>
          <w:p>
            <w:pPr>
              <w:jc w:val="right"/>
              <w:ind w:right="280"/>
              <w:spacing w:after="0" w:line="130" w:lineRule="exact"/>
              <w:rPr>
                <w:sz w:val="20"/>
                <w:szCs w:val="20"/>
                <w:color w:val="auto"/>
              </w:rPr>
            </w:pPr>
            <w:r>
              <w:rPr>
                <w:rFonts w:ascii="Arial" w:cs="Arial" w:eastAsia="Arial" w:hAnsi="Arial"/>
                <w:sz w:val="13"/>
                <w:szCs w:val="13"/>
                <w:color w:val="auto"/>
              </w:rPr>
              <w:t>N/A</w:t>
            </w:r>
          </w:p>
        </w:tc>
        <w:tc>
          <w:tcPr>
            <w:tcW w:w="940" w:type="dxa"/>
            <w:vAlign w:val="bottom"/>
            <w:gridSpan w:val="2"/>
          </w:tcPr>
          <w:p>
            <w:pPr>
              <w:ind w:left="460"/>
              <w:spacing w:after="0" w:line="130" w:lineRule="exact"/>
              <w:rPr>
                <w:sz w:val="20"/>
                <w:szCs w:val="20"/>
                <w:color w:val="auto"/>
              </w:rPr>
            </w:pPr>
            <w:r>
              <w:rPr>
                <w:rFonts w:ascii="Arial" w:cs="Arial" w:eastAsia="Arial" w:hAnsi="Arial"/>
                <w:sz w:val="13"/>
                <w:szCs w:val="13"/>
                <w:color w:val="auto"/>
              </w:rPr>
              <w:t>—</w:t>
            </w:r>
          </w:p>
        </w:tc>
        <w:tc>
          <w:tcPr>
            <w:tcW w:w="580" w:type="dxa"/>
            <w:vAlign w:val="bottom"/>
          </w:tcPr>
          <w:p>
            <w:pPr>
              <w:ind w:left="520"/>
              <w:spacing w:after="0"/>
              <w:rPr>
                <w:sz w:val="20"/>
                <w:szCs w:val="20"/>
                <w:color w:val="auto"/>
              </w:rPr>
            </w:pPr>
            <w:r>
              <w:rPr>
                <w:rFonts w:ascii="Arial" w:cs="Arial" w:eastAsia="Arial" w:hAnsi="Arial"/>
                <w:sz w:val="10"/>
                <w:szCs w:val="10"/>
                <w:color w:val="auto"/>
                <w:w w:val="71"/>
              </w:rPr>
              <w:t>0</w:t>
            </w:r>
          </w:p>
        </w:tc>
        <w:tc>
          <w:tcPr>
            <w:tcW w:w="280" w:type="dxa"/>
            <w:vAlign w:val="bottom"/>
          </w:tcPr>
          <w:p>
            <w:pPr>
              <w:spacing w:after="0"/>
              <w:rPr>
                <w:sz w:val="11"/>
                <w:szCs w:val="11"/>
                <w:color w:val="auto"/>
              </w:rPr>
            </w:pPr>
          </w:p>
        </w:tc>
        <w:tc>
          <w:tcPr>
            <w:tcW w:w="860" w:type="dxa"/>
            <w:vAlign w:val="bottom"/>
            <w:gridSpan w:val="2"/>
          </w:tcPr>
          <w:p>
            <w:pPr>
              <w:jc w:val="right"/>
              <w:ind w:right="280"/>
              <w:spacing w:after="0" w:line="130" w:lineRule="exact"/>
              <w:rPr>
                <w:sz w:val="20"/>
                <w:szCs w:val="20"/>
                <w:color w:val="auto"/>
              </w:rPr>
            </w:pPr>
            <w:r>
              <w:rPr>
                <w:rFonts w:ascii="Arial" w:cs="Arial" w:eastAsia="Arial" w:hAnsi="Arial"/>
                <w:sz w:val="13"/>
                <w:szCs w:val="13"/>
                <w:color w:val="auto"/>
              </w:rPr>
              <w:t>337,500</w:t>
            </w:r>
          </w:p>
        </w:tc>
        <w:tc>
          <w:tcPr>
            <w:tcW w:w="600" w:type="dxa"/>
            <w:vAlign w:val="bottom"/>
          </w:tcPr>
          <w:p>
            <w:pPr>
              <w:jc w:val="right"/>
              <w:spacing w:after="0" w:line="130" w:lineRule="exact"/>
              <w:rPr>
                <w:sz w:val="20"/>
                <w:szCs w:val="20"/>
                <w:color w:val="auto"/>
              </w:rPr>
            </w:pPr>
            <w:r>
              <w:rPr>
                <w:rFonts w:ascii="Arial" w:cs="Arial" w:eastAsia="Arial" w:hAnsi="Arial"/>
                <w:sz w:val="13"/>
                <w:szCs w:val="13"/>
                <w:color w:val="auto"/>
              </w:rPr>
              <w:t>1,012,500</w:t>
            </w:r>
          </w:p>
        </w:tc>
        <w:tc>
          <w:tcPr>
            <w:tcW w:w="280" w:type="dxa"/>
            <w:vAlign w:val="bottom"/>
          </w:tcPr>
          <w:p>
            <w:pPr>
              <w:spacing w:after="0"/>
              <w:rPr>
                <w:sz w:val="11"/>
                <w:szCs w:val="11"/>
                <w:color w:val="auto"/>
              </w:rPr>
            </w:pPr>
          </w:p>
        </w:tc>
        <w:tc>
          <w:tcPr>
            <w:tcW w:w="920" w:type="dxa"/>
            <w:vAlign w:val="bottom"/>
            <w:gridSpan w:val="2"/>
          </w:tcPr>
          <w:p>
            <w:pPr>
              <w:jc w:val="right"/>
              <w:ind w:right="340"/>
              <w:spacing w:after="0" w:line="130"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30"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17"/>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280"/>
              <w:spacing w:after="0" w:line="139" w:lineRule="exact"/>
              <w:rPr>
                <w:sz w:val="20"/>
                <w:szCs w:val="20"/>
                <w:color w:val="auto"/>
              </w:rPr>
            </w:pPr>
            <w:r>
              <w:rPr>
                <w:rFonts w:ascii="Arial" w:cs="Arial" w:eastAsia="Arial" w:hAnsi="Arial"/>
                <w:sz w:val="13"/>
                <w:szCs w:val="13"/>
                <w:color w:val="auto"/>
              </w:rPr>
              <w:t>01/04/2011</w:t>
            </w:r>
          </w:p>
        </w:tc>
        <w:tc>
          <w:tcPr>
            <w:tcW w:w="94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12/22/2010</w:t>
            </w:r>
          </w:p>
        </w:tc>
        <w:tc>
          <w:tcPr>
            <w:tcW w:w="860" w:type="dxa"/>
            <w:vAlign w:val="bottom"/>
            <w:gridSpan w:val="2"/>
          </w:tcPr>
          <w:p>
            <w:pPr>
              <w:ind w:left="400"/>
              <w:spacing w:after="0" w:line="139"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80"/>
              <w:spacing w:after="0" w:line="139"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10,345</w:t>
            </w:r>
          </w:p>
        </w:tc>
        <w:tc>
          <w:tcPr>
            <w:tcW w:w="280" w:type="dxa"/>
            <w:vAlign w:val="bottom"/>
          </w:tcPr>
          <w:p>
            <w:pPr>
              <w:spacing w:after="0"/>
              <w:rPr>
                <w:sz w:val="12"/>
                <w:szCs w:val="12"/>
                <w:color w:val="auto"/>
              </w:rPr>
            </w:pPr>
          </w:p>
        </w:tc>
        <w:tc>
          <w:tcPr>
            <w:tcW w:w="960" w:type="dxa"/>
            <w:vAlign w:val="bottom"/>
            <w:gridSpan w:val="2"/>
          </w:tcPr>
          <w:p>
            <w:pPr>
              <w:ind w:left="4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39"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97"/>
              <w:spacing w:after="0" w:line="139" w:lineRule="exact"/>
              <w:rPr>
                <w:sz w:val="20"/>
                <w:szCs w:val="20"/>
                <w:color w:val="auto"/>
              </w:rPr>
            </w:pPr>
            <w:r>
              <w:rPr>
                <w:rFonts w:ascii="Arial" w:cs="Arial" w:eastAsia="Arial" w:hAnsi="Arial"/>
                <w:sz w:val="13"/>
                <w:szCs w:val="13"/>
                <w:color w:val="auto"/>
                <w:w w:val="88"/>
              </w:rPr>
              <w:t>361,351(6)</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280"/>
              <w:spacing w:after="0" w:line="148" w:lineRule="exact"/>
              <w:rPr>
                <w:sz w:val="20"/>
                <w:szCs w:val="20"/>
                <w:color w:val="auto"/>
              </w:rPr>
            </w:pPr>
            <w:r>
              <w:rPr>
                <w:rFonts w:ascii="Arial" w:cs="Arial" w:eastAsia="Arial" w:hAnsi="Arial"/>
                <w:sz w:val="13"/>
                <w:szCs w:val="13"/>
                <w:color w:val="auto"/>
              </w:rPr>
              <w:t>01/04/2011</w:t>
            </w:r>
          </w:p>
        </w:tc>
        <w:tc>
          <w:tcPr>
            <w:tcW w:w="94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12/22/2010</w:t>
            </w:r>
          </w:p>
        </w:tc>
        <w:tc>
          <w:tcPr>
            <w:tcW w:w="860" w:type="dxa"/>
            <w:vAlign w:val="bottom"/>
            <w:gridSpan w:val="2"/>
          </w:tcPr>
          <w:p>
            <w:pPr>
              <w:ind w:left="40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80"/>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2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45,110</w:t>
            </w:r>
          </w:p>
        </w:tc>
        <w:tc>
          <w:tcPr>
            <w:tcW w:w="820" w:type="dxa"/>
            <w:vAlign w:val="bottom"/>
            <w:gridSpan w:val="2"/>
          </w:tcPr>
          <w:p>
            <w:pPr>
              <w:jc w:val="center"/>
              <w:ind w:right="20"/>
              <w:spacing w:after="0" w:line="148" w:lineRule="exact"/>
              <w:rPr>
                <w:sz w:val="20"/>
                <w:szCs w:val="20"/>
                <w:color w:val="auto"/>
              </w:rPr>
            </w:pPr>
            <w:r>
              <w:rPr>
                <w:rFonts w:ascii="Arial" w:cs="Arial" w:eastAsia="Arial" w:hAnsi="Arial"/>
                <w:sz w:val="13"/>
                <w:szCs w:val="13"/>
                <w:color w:val="auto"/>
                <w:w w:val="85"/>
              </w:rPr>
              <w:t>37.52</w:t>
            </w:r>
          </w:p>
        </w:tc>
        <w:tc>
          <w:tcPr>
            <w:tcW w:w="840" w:type="dxa"/>
            <w:vAlign w:val="bottom"/>
            <w:gridSpan w:val="2"/>
          </w:tcPr>
          <w:p>
            <w:pPr>
              <w:jc w:val="center"/>
              <w:ind w:left="97"/>
              <w:spacing w:after="0" w:line="148" w:lineRule="exact"/>
              <w:rPr>
                <w:sz w:val="20"/>
                <w:szCs w:val="20"/>
                <w:color w:val="auto"/>
              </w:rPr>
            </w:pPr>
            <w:r>
              <w:rPr>
                <w:rFonts w:ascii="Arial" w:cs="Arial" w:eastAsia="Arial" w:hAnsi="Arial"/>
                <w:sz w:val="13"/>
                <w:szCs w:val="13"/>
                <w:color w:val="auto"/>
                <w:w w:val="88"/>
              </w:rPr>
              <w:t>389,669(7)</w:t>
            </w:r>
          </w:p>
        </w:tc>
        <w:tc>
          <w:tcPr>
            <w:tcW w:w="0" w:type="dxa"/>
            <w:vAlign w:val="bottom"/>
          </w:tcPr>
          <w:p>
            <w:pPr>
              <w:spacing w:after="0"/>
              <w:rPr>
                <w:sz w:val="1"/>
                <w:szCs w:val="1"/>
                <w:color w:val="auto"/>
              </w:rPr>
            </w:pPr>
          </w:p>
        </w:tc>
      </w:tr>
      <w:tr>
        <w:trPr>
          <w:trHeight w:val="139"/>
        </w:trPr>
        <w:tc>
          <w:tcPr>
            <w:tcW w:w="31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Robert R. Marshall</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N/A</w:t>
            </w:r>
          </w:p>
        </w:tc>
        <w:tc>
          <w:tcPr>
            <w:tcW w:w="9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520"/>
              <w:spacing w:after="0"/>
              <w:rPr>
                <w:sz w:val="20"/>
                <w:szCs w:val="20"/>
                <w:color w:val="auto"/>
              </w:rPr>
            </w:pPr>
            <w:r>
              <w:rPr>
                <w:rFonts w:ascii="Arial" w:cs="Arial" w:eastAsia="Arial" w:hAnsi="Arial"/>
                <w:sz w:val="10"/>
                <w:szCs w:val="10"/>
                <w:color w:val="auto"/>
                <w:w w:val="71"/>
              </w:rPr>
              <w:t>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310,081</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930,243</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center"/>
              <w:spacing w:after="0" w:line="139"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w w:val="95"/>
              </w:rPr>
              <w:t>01/04/2011</w:t>
            </w:r>
          </w:p>
        </w:tc>
        <w:tc>
          <w:tcPr>
            <w:tcW w:w="94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3"/>
                <w:szCs w:val="13"/>
                <w:color w:val="auto"/>
              </w:rPr>
              <w:t>12/22/2010</w:t>
            </w:r>
          </w:p>
        </w:tc>
        <w:tc>
          <w:tcPr>
            <w:tcW w:w="860" w:type="dxa"/>
            <w:vAlign w:val="bottom"/>
            <w:gridSpan w:val="2"/>
            <w:shd w:val="clear" w:color="auto" w:fill="CCEEFF"/>
          </w:tcPr>
          <w:p>
            <w:pPr>
              <w:ind w:left="400"/>
              <w:spacing w:after="0" w:line="139"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12,070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center"/>
              <w:spacing w:after="0" w:line="139"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center"/>
              <w:ind w:left="97"/>
              <w:spacing w:after="0" w:line="139" w:lineRule="exact"/>
              <w:rPr>
                <w:sz w:val="20"/>
                <w:szCs w:val="20"/>
                <w:color w:val="auto"/>
              </w:rPr>
            </w:pPr>
            <w:r>
              <w:rPr>
                <w:rFonts w:ascii="Arial" w:cs="Arial" w:eastAsia="Arial" w:hAnsi="Arial"/>
                <w:sz w:val="13"/>
                <w:szCs w:val="13"/>
                <w:color w:val="auto"/>
                <w:w w:val="88"/>
              </w:rPr>
              <w:t>421,605(6)</w:t>
            </w:r>
          </w:p>
        </w:tc>
        <w:tc>
          <w:tcPr>
            <w:tcW w:w="0" w:type="dxa"/>
            <w:vAlign w:val="bottom"/>
          </w:tcPr>
          <w:p>
            <w:pPr>
              <w:spacing w:after="0"/>
              <w:rPr>
                <w:sz w:val="1"/>
                <w:szCs w:val="1"/>
                <w:color w:val="auto"/>
              </w:rPr>
            </w:pPr>
          </w:p>
        </w:tc>
      </w:tr>
      <w:tr>
        <w:trPr>
          <w:trHeight w:val="139"/>
        </w:trPr>
        <w:tc>
          <w:tcPr>
            <w:tcW w:w="34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w w:val="95"/>
              </w:rPr>
              <w:t>01/04/2011</w:t>
            </w:r>
          </w:p>
        </w:tc>
        <w:tc>
          <w:tcPr>
            <w:tcW w:w="94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3"/>
                <w:szCs w:val="13"/>
                <w:color w:val="auto"/>
              </w:rPr>
              <w:t>12/22/2010</w:t>
            </w:r>
          </w:p>
        </w:tc>
        <w:tc>
          <w:tcPr>
            <w:tcW w:w="860" w:type="dxa"/>
            <w:vAlign w:val="bottom"/>
            <w:gridSpan w:val="2"/>
            <w:shd w:val="clear" w:color="auto" w:fill="CCEEFF"/>
          </w:tcPr>
          <w:p>
            <w:pPr>
              <w:ind w:left="400"/>
              <w:spacing w:after="0" w:line="139"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3"/>
                <w:szCs w:val="13"/>
                <w:color w:val="auto"/>
              </w:rPr>
              <w:t>52,630</w:t>
            </w:r>
          </w:p>
        </w:tc>
        <w:tc>
          <w:tcPr>
            <w:tcW w:w="820" w:type="dxa"/>
            <w:vAlign w:val="bottom"/>
            <w:gridSpan w:val="2"/>
            <w:shd w:val="clear" w:color="auto" w:fill="CCEEFF"/>
          </w:tcPr>
          <w:p>
            <w:pPr>
              <w:jc w:val="center"/>
              <w:ind w:right="20"/>
              <w:spacing w:after="0" w:line="139" w:lineRule="exact"/>
              <w:rPr>
                <w:sz w:val="20"/>
                <w:szCs w:val="20"/>
                <w:color w:val="auto"/>
              </w:rPr>
            </w:pPr>
            <w:r>
              <w:rPr>
                <w:rFonts w:ascii="Arial" w:cs="Arial" w:eastAsia="Arial" w:hAnsi="Arial"/>
                <w:sz w:val="13"/>
                <w:szCs w:val="13"/>
                <w:color w:val="auto"/>
                <w:w w:val="85"/>
              </w:rPr>
              <w:t>37.52</w:t>
            </w:r>
          </w:p>
        </w:tc>
        <w:tc>
          <w:tcPr>
            <w:tcW w:w="840" w:type="dxa"/>
            <w:vAlign w:val="bottom"/>
            <w:gridSpan w:val="2"/>
            <w:shd w:val="clear" w:color="auto" w:fill="CCEEFF"/>
          </w:tcPr>
          <w:p>
            <w:pPr>
              <w:jc w:val="center"/>
              <w:ind w:left="97"/>
              <w:spacing w:after="0" w:line="139" w:lineRule="exact"/>
              <w:rPr>
                <w:sz w:val="20"/>
                <w:szCs w:val="20"/>
                <w:color w:val="auto"/>
              </w:rPr>
            </w:pPr>
            <w:r>
              <w:rPr>
                <w:rFonts w:ascii="Arial" w:cs="Arial" w:eastAsia="Arial" w:hAnsi="Arial"/>
                <w:sz w:val="13"/>
                <w:szCs w:val="13"/>
                <w:color w:val="auto"/>
                <w:w w:val="88"/>
              </w:rPr>
              <w:t>454,628(7)</w:t>
            </w:r>
          </w:p>
        </w:tc>
        <w:tc>
          <w:tcPr>
            <w:tcW w:w="0" w:type="dxa"/>
            <w:vAlign w:val="bottom"/>
          </w:tcPr>
          <w:p>
            <w:pPr>
              <w:spacing w:after="0"/>
              <w:rPr>
                <w:sz w:val="1"/>
                <w:szCs w:val="1"/>
                <w:color w:val="auto"/>
              </w:rPr>
            </w:pPr>
          </w:p>
        </w:tc>
      </w:tr>
      <w:tr>
        <w:trPr>
          <w:trHeight w:val="130"/>
        </w:trPr>
        <w:tc>
          <w:tcPr>
            <w:tcW w:w="3180" w:type="dxa"/>
            <w:vAlign w:val="bottom"/>
            <w:gridSpan w:val="2"/>
          </w:tcPr>
          <w:p>
            <w:pPr>
              <w:spacing w:after="0" w:line="130" w:lineRule="exact"/>
              <w:rPr>
                <w:sz w:val="20"/>
                <w:szCs w:val="20"/>
                <w:color w:val="auto"/>
              </w:rPr>
            </w:pPr>
            <w:r>
              <w:rPr>
                <w:rFonts w:ascii="Arial" w:cs="Arial" w:eastAsia="Arial" w:hAnsi="Arial"/>
                <w:sz w:val="13"/>
                <w:szCs w:val="13"/>
                <w:color w:val="auto"/>
              </w:rPr>
              <w:t>Robert P. McAdam</w:t>
            </w:r>
          </w:p>
        </w:tc>
        <w:tc>
          <w:tcPr>
            <w:tcW w:w="240" w:type="dxa"/>
            <w:vAlign w:val="bottom"/>
          </w:tcPr>
          <w:p>
            <w:pPr>
              <w:spacing w:after="0"/>
              <w:rPr>
                <w:sz w:val="11"/>
                <w:szCs w:val="11"/>
                <w:color w:val="auto"/>
              </w:rPr>
            </w:pPr>
          </w:p>
        </w:tc>
        <w:tc>
          <w:tcPr>
            <w:tcW w:w="920" w:type="dxa"/>
            <w:vAlign w:val="bottom"/>
            <w:gridSpan w:val="2"/>
          </w:tcPr>
          <w:p>
            <w:pPr>
              <w:jc w:val="right"/>
              <w:ind w:right="280"/>
              <w:spacing w:after="0" w:line="130" w:lineRule="exact"/>
              <w:rPr>
                <w:sz w:val="20"/>
                <w:szCs w:val="20"/>
                <w:color w:val="auto"/>
              </w:rPr>
            </w:pPr>
            <w:r>
              <w:rPr>
                <w:rFonts w:ascii="Arial" w:cs="Arial" w:eastAsia="Arial" w:hAnsi="Arial"/>
                <w:sz w:val="13"/>
                <w:szCs w:val="13"/>
                <w:color w:val="auto"/>
              </w:rPr>
              <w:t>N/A</w:t>
            </w:r>
          </w:p>
        </w:tc>
        <w:tc>
          <w:tcPr>
            <w:tcW w:w="940" w:type="dxa"/>
            <w:vAlign w:val="bottom"/>
            <w:gridSpan w:val="2"/>
          </w:tcPr>
          <w:p>
            <w:pPr>
              <w:ind w:left="460"/>
              <w:spacing w:after="0" w:line="130" w:lineRule="exact"/>
              <w:rPr>
                <w:sz w:val="20"/>
                <w:szCs w:val="20"/>
                <w:color w:val="auto"/>
              </w:rPr>
            </w:pPr>
            <w:r>
              <w:rPr>
                <w:rFonts w:ascii="Arial" w:cs="Arial" w:eastAsia="Arial" w:hAnsi="Arial"/>
                <w:sz w:val="13"/>
                <w:szCs w:val="13"/>
                <w:color w:val="auto"/>
              </w:rPr>
              <w:t>—</w:t>
            </w:r>
          </w:p>
        </w:tc>
        <w:tc>
          <w:tcPr>
            <w:tcW w:w="580" w:type="dxa"/>
            <w:vAlign w:val="bottom"/>
          </w:tcPr>
          <w:p>
            <w:pPr>
              <w:ind w:left="520"/>
              <w:spacing w:after="0"/>
              <w:rPr>
                <w:sz w:val="20"/>
                <w:szCs w:val="20"/>
                <w:color w:val="auto"/>
              </w:rPr>
            </w:pPr>
            <w:r>
              <w:rPr>
                <w:rFonts w:ascii="Arial" w:cs="Arial" w:eastAsia="Arial" w:hAnsi="Arial"/>
                <w:sz w:val="10"/>
                <w:szCs w:val="10"/>
                <w:color w:val="auto"/>
                <w:w w:val="71"/>
              </w:rPr>
              <w:t>0</w:t>
            </w:r>
          </w:p>
        </w:tc>
        <w:tc>
          <w:tcPr>
            <w:tcW w:w="280" w:type="dxa"/>
            <w:vAlign w:val="bottom"/>
          </w:tcPr>
          <w:p>
            <w:pPr>
              <w:spacing w:after="0"/>
              <w:rPr>
                <w:sz w:val="11"/>
                <w:szCs w:val="11"/>
                <w:color w:val="auto"/>
              </w:rPr>
            </w:pPr>
          </w:p>
        </w:tc>
        <w:tc>
          <w:tcPr>
            <w:tcW w:w="860" w:type="dxa"/>
            <w:vAlign w:val="bottom"/>
            <w:gridSpan w:val="2"/>
          </w:tcPr>
          <w:p>
            <w:pPr>
              <w:jc w:val="right"/>
              <w:ind w:right="280"/>
              <w:spacing w:after="0" w:line="130" w:lineRule="exact"/>
              <w:rPr>
                <w:sz w:val="20"/>
                <w:szCs w:val="20"/>
                <w:color w:val="auto"/>
              </w:rPr>
            </w:pPr>
            <w:r>
              <w:rPr>
                <w:rFonts w:ascii="Arial" w:cs="Arial" w:eastAsia="Arial" w:hAnsi="Arial"/>
                <w:sz w:val="13"/>
                <w:szCs w:val="13"/>
                <w:color w:val="auto"/>
              </w:rPr>
              <w:t>310,081</w:t>
            </w:r>
          </w:p>
        </w:tc>
        <w:tc>
          <w:tcPr>
            <w:tcW w:w="600" w:type="dxa"/>
            <w:vAlign w:val="bottom"/>
          </w:tcPr>
          <w:p>
            <w:pPr>
              <w:jc w:val="right"/>
              <w:spacing w:after="0" w:line="130" w:lineRule="exact"/>
              <w:rPr>
                <w:sz w:val="20"/>
                <w:szCs w:val="20"/>
                <w:color w:val="auto"/>
              </w:rPr>
            </w:pPr>
            <w:r>
              <w:rPr>
                <w:rFonts w:ascii="Arial" w:cs="Arial" w:eastAsia="Arial" w:hAnsi="Arial"/>
                <w:sz w:val="13"/>
                <w:szCs w:val="13"/>
                <w:color w:val="auto"/>
              </w:rPr>
              <w:t>930,243</w:t>
            </w:r>
          </w:p>
        </w:tc>
        <w:tc>
          <w:tcPr>
            <w:tcW w:w="280" w:type="dxa"/>
            <w:vAlign w:val="bottom"/>
          </w:tcPr>
          <w:p>
            <w:pPr>
              <w:spacing w:after="0"/>
              <w:rPr>
                <w:sz w:val="11"/>
                <w:szCs w:val="11"/>
                <w:color w:val="auto"/>
              </w:rPr>
            </w:pPr>
          </w:p>
        </w:tc>
        <w:tc>
          <w:tcPr>
            <w:tcW w:w="920" w:type="dxa"/>
            <w:vAlign w:val="bottom"/>
            <w:gridSpan w:val="2"/>
          </w:tcPr>
          <w:p>
            <w:pPr>
              <w:jc w:val="right"/>
              <w:ind w:right="340"/>
              <w:spacing w:after="0" w:line="130"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30" w:lineRule="exact"/>
              <w:rPr>
                <w:sz w:val="20"/>
                <w:szCs w:val="20"/>
                <w:color w:val="auto"/>
              </w:rPr>
            </w:pPr>
            <w:r>
              <w:rPr>
                <w:rFonts w:ascii="Arial" w:cs="Arial" w:eastAsia="Arial" w:hAnsi="Arial"/>
                <w:sz w:val="13"/>
                <w:szCs w:val="13"/>
                <w:color w:val="auto"/>
              </w:rPr>
              <w:t>—</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280"/>
              <w:spacing w:after="0" w:line="139" w:lineRule="exact"/>
              <w:rPr>
                <w:sz w:val="20"/>
                <w:szCs w:val="20"/>
                <w:color w:val="auto"/>
              </w:rPr>
            </w:pPr>
            <w:r>
              <w:rPr>
                <w:rFonts w:ascii="Arial" w:cs="Arial" w:eastAsia="Arial" w:hAnsi="Arial"/>
                <w:sz w:val="13"/>
                <w:szCs w:val="13"/>
                <w:color w:val="auto"/>
              </w:rPr>
              <w:t>01/04/2011</w:t>
            </w:r>
          </w:p>
        </w:tc>
        <w:tc>
          <w:tcPr>
            <w:tcW w:w="94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12/22/2010</w:t>
            </w:r>
          </w:p>
        </w:tc>
        <w:tc>
          <w:tcPr>
            <w:tcW w:w="860" w:type="dxa"/>
            <w:vAlign w:val="bottom"/>
            <w:gridSpan w:val="2"/>
          </w:tcPr>
          <w:p>
            <w:pPr>
              <w:ind w:left="400"/>
              <w:spacing w:after="0" w:line="139"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80"/>
              <w:spacing w:after="0" w:line="139"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12,070</w:t>
            </w:r>
          </w:p>
        </w:tc>
        <w:tc>
          <w:tcPr>
            <w:tcW w:w="280" w:type="dxa"/>
            <w:vAlign w:val="bottom"/>
          </w:tcPr>
          <w:p>
            <w:pPr>
              <w:spacing w:after="0"/>
              <w:rPr>
                <w:sz w:val="12"/>
                <w:szCs w:val="12"/>
                <w:color w:val="auto"/>
              </w:rPr>
            </w:pPr>
          </w:p>
        </w:tc>
        <w:tc>
          <w:tcPr>
            <w:tcW w:w="960" w:type="dxa"/>
            <w:vAlign w:val="bottom"/>
            <w:gridSpan w:val="2"/>
          </w:tcPr>
          <w:p>
            <w:pPr>
              <w:ind w:left="4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39"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97"/>
              <w:spacing w:after="0" w:line="139" w:lineRule="exact"/>
              <w:rPr>
                <w:sz w:val="20"/>
                <w:szCs w:val="20"/>
                <w:color w:val="auto"/>
              </w:rPr>
            </w:pPr>
            <w:r>
              <w:rPr>
                <w:rFonts w:ascii="Arial" w:cs="Arial" w:eastAsia="Arial" w:hAnsi="Arial"/>
                <w:sz w:val="13"/>
                <w:szCs w:val="13"/>
                <w:color w:val="auto"/>
                <w:w w:val="88"/>
              </w:rPr>
              <w:t>421,605(6)</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280"/>
              <w:spacing w:after="0" w:line="148" w:lineRule="exact"/>
              <w:rPr>
                <w:sz w:val="20"/>
                <w:szCs w:val="20"/>
                <w:color w:val="auto"/>
              </w:rPr>
            </w:pPr>
            <w:r>
              <w:rPr>
                <w:rFonts w:ascii="Arial" w:cs="Arial" w:eastAsia="Arial" w:hAnsi="Arial"/>
                <w:sz w:val="13"/>
                <w:szCs w:val="13"/>
                <w:color w:val="auto"/>
              </w:rPr>
              <w:t>01/04/2011</w:t>
            </w:r>
          </w:p>
        </w:tc>
        <w:tc>
          <w:tcPr>
            <w:tcW w:w="94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12/22/2010</w:t>
            </w:r>
          </w:p>
        </w:tc>
        <w:tc>
          <w:tcPr>
            <w:tcW w:w="860" w:type="dxa"/>
            <w:vAlign w:val="bottom"/>
            <w:gridSpan w:val="2"/>
          </w:tcPr>
          <w:p>
            <w:pPr>
              <w:ind w:left="40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80"/>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2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52,630</w:t>
            </w:r>
          </w:p>
        </w:tc>
        <w:tc>
          <w:tcPr>
            <w:tcW w:w="820" w:type="dxa"/>
            <w:vAlign w:val="bottom"/>
            <w:gridSpan w:val="2"/>
          </w:tcPr>
          <w:p>
            <w:pPr>
              <w:jc w:val="center"/>
              <w:ind w:right="20"/>
              <w:spacing w:after="0" w:line="148" w:lineRule="exact"/>
              <w:rPr>
                <w:sz w:val="20"/>
                <w:szCs w:val="20"/>
                <w:color w:val="auto"/>
              </w:rPr>
            </w:pPr>
            <w:r>
              <w:rPr>
                <w:rFonts w:ascii="Arial" w:cs="Arial" w:eastAsia="Arial" w:hAnsi="Arial"/>
                <w:sz w:val="13"/>
                <w:szCs w:val="13"/>
                <w:color w:val="auto"/>
                <w:w w:val="85"/>
              </w:rPr>
              <w:t>37.52</w:t>
            </w:r>
          </w:p>
        </w:tc>
        <w:tc>
          <w:tcPr>
            <w:tcW w:w="840" w:type="dxa"/>
            <w:vAlign w:val="bottom"/>
            <w:gridSpan w:val="2"/>
          </w:tcPr>
          <w:p>
            <w:pPr>
              <w:jc w:val="center"/>
              <w:ind w:left="97"/>
              <w:spacing w:after="0" w:line="148" w:lineRule="exact"/>
              <w:rPr>
                <w:sz w:val="20"/>
                <w:szCs w:val="20"/>
                <w:color w:val="auto"/>
              </w:rPr>
            </w:pPr>
            <w:r>
              <w:rPr>
                <w:rFonts w:ascii="Arial" w:cs="Arial" w:eastAsia="Arial" w:hAnsi="Arial"/>
                <w:sz w:val="13"/>
                <w:szCs w:val="13"/>
                <w:color w:val="auto"/>
                <w:w w:val="88"/>
              </w:rPr>
              <w:t>454,628(7)</w:t>
            </w:r>
          </w:p>
        </w:tc>
        <w:tc>
          <w:tcPr>
            <w:tcW w:w="0" w:type="dxa"/>
            <w:vAlign w:val="bottom"/>
          </w:tcPr>
          <w:p>
            <w:pPr>
              <w:spacing w:after="0"/>
              <w:rPr>
                <w:sz w:val="1"/>
                <w:szCs w:val="1"/>
                <w:color w:val="auto"/>
              </w:rPr>
            </w:pPr>
          </w:p>
        </w:tc>
      </w:tr>
      <w:tr>
        <w:trPr>
          <w:trHeight w:val="139"/>
        </w:trPr>
        <w:tc>
          <w:tcPr>
            <w:tcW w:w="31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Vincent T. Roche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N/A</w:t>
            </w:r>
          </w:p>
        </w:tc>
        <w:tc>
          <w:tcPr>
            <w:tcW w:w="9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520"/>
              <w:spacing w:after="0"/>
              <w:rPr>
                <w:sz w:val="20"/>
                <w:szCs w:val="20"/>
                <w:color w:val="auto"/>
              </w:rPr>
            </w:pPr>
            <w:r>
              <w:rPr>
                <w:rFonts w:ascii="Arial" w:cs="Arial" w:eastAsia="Arial" w:hAnsi="Arial"/>
                <w:sz w:val="10"/>
                <w:szCs w:val="10"/>
                <w:color w:val="auto"/>
                <w:w w:val="71"/>
              </w:rPr>
              <w:t>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312,694</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938,082</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center"/>
              <w:spacing w:after="0" w:line="139"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w w:val="95"/>
              </w:rPr>
              <w:t>01/04/2011</w:t>
            </w:r>
          </w:p>
        </w:tc>
        <w:tc>
          <w:tcPr>
            <w:tcW w:w="94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3"/>
                <w:szCs w:val="13"/>
                <w:color w:val="auto"/>
              </w:rPr>
              <w:t>12/22/2010</w:t>
            </w:r>
          </w:p>
        </w:tc>
        <w:tc>
          <w:tcPr>
            <w:tcW w:w="860" w:type="dxa"/>
            <w:vAlign w:val="bottom"/>
            <w:gridSpan w:val="2"/>
            <w:shd w:val="clear" w:color="auto" w:fill="CCEEFF"/>
          </w:tcPr>
          <w:p>
            <w:pPr>
              <w:ind w:left="400"/>
              <w:spacing w:after="0" w:line="139"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12,070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center"/>
              <w:spacing w:after="0" w:line="139"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center"/>
              <w:ind w:left="97"/>
              <w:spacing w:after="0" w:line="139" w:lineRule="exact"/>
              <w:rPr>
                <w:sz w:val="20"/>
                <w:szCs w:val="20"/>
                <w:color w:val="auto"/>
              </w:rPr>
            </w:pPr>
            <w:r>
              <w:rPr>
                <w:rFonts w:ascii="Arial" w:cs="Arial" w:eastAsia="Arial" w:hAnsi="Arial"/>
                <w:sz w:val="13"/>
                <w:szCs w:val="13"/>
                <w:color w:val="auto"/>
                <w:w w:val="88"/>
              </w:rPr>
              <w:t>421,605(6)</w:t>
            </w:r>
          </w:p>
        </w:tc>
        <w:tc>
          <w:tcPr>
            <w:tcW w:w="0" w:type="dxa"/>
            <w:vAlign w:val="bottom"/>
          </w:tcPr>
          <w:p>
            <w:pPr>
              <w:spacing w:after="0"/>
              <w:rPr>
                <w:sz w:val="1"/>
                <w:szCs w:val="1"/>
                <w:color w:val="auto"/>
              </w:rPr>
            </w:pPr>
          </w:p>
        </w:tc>
      </w:tr>
      <w:tr>
        <w:trPr>
          <w:trHeight w:val="139"/>
        </w:trPr>
        <w:tc>
          <w:tcPr>
            <w:tcW w:w="34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w w:val="95"/>
              </w:rPr>
              <w:t>01/04/2011</w:t>
            </w:r>
          </w:p>
        </w:tc>
        <w:tc>
          <w:tcPr>
            <w:tcW w:w="94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3"/>
                <w:szCs w:val="13"/>
                <w:color w:val="auto"/>
              </w:rPr>
              <w:t>12/22/2010</w:t>
            </w:r>
          </w:p>
        </w:tc>
        <w:tc>
          <w:tcPr>
            <w:tcW w:w="860" w:type="dxa"/>
            <w:vAlign w:val="bottom"/>
            <w:gridSpan w:val="2"/>
            <w:shd w:val="clear" w:color="auto" w:fill="CCEEFF"/>
          </w:tcPr>
          <w:p>
            <w:pPr>
              <w:ind w:left="400"/>
              <w:spacing w:after="0" w:line="139"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3"/>
                <w:szCs w:val="13"/>
                <w:color w:val="auto"/>
              </w:rPr>
              <w:t>52,630</w:t>
            </w:r>
          </w:p>
        </w:tc>
        <w:tc>
          <w:tcPr>
            <w:tcW w:w="820" w:type="dxa"/>
            <w:vAlign w:val="bottom"/>
            <w:gridSpan w:val="2"/>
            <w:shd w:val="clear" w:color="auto" w:fill="CCEEFF"/>
          </w:tcPr>
          <w:p>
            <w:pPr>
              <w:jc w:val="center"/>
              <w:ind w:right="20"/>
              <w:spacing w:after="0" w:line="139" w:lineRule="exact"/>
              <w:rPr>
                <w:sz w:val="20"/>
                <w:szCs w:val="20"/>
                <w:color w:val="auto"/>
              </w:rPr>
            </w:pPr>
            <w:r>
              <w:rPr>
                <w:rFonts w:ascii="Arial" w:cs="Arial" w:eastAsia="Arial" w:hAnsi="Arial"/>
                <w:sz w:val="13"/>
                <w:szCs w:val="13"/>
                <w:color w:val="auto"/>
                <w:w w:val="85"/>
              </w:rPr>
              <w:t>37.52</w:t>
            </w:r>
          </w:p>
        </w:tc>
        <w:tc>
          <w:tcPr>
            <w:tcW w:w="840" w:type="dxa"/>
            <w:vAlign w:val="bottom"/>
            <w:gridSpan w:val="2"/>
            <w:shd w:val="clear" w:color="auto" w:fill="CCEEFF"/>
          </w:tcPr>
          <w:p>
            <w:pPr>
              <w:jc w:val="center"/>
              <w:ind w:left="97"/>
              <w:spacing w:after="0" w:line="139" w:lineRule="exact"/>
              <w:rPr>
                <w:sz w:val="20"/>
                <w:szCs w:val="20"/>
                <w:color w:val="auto"/>
              </w:rPr>
            </w:pPr>
            <w:r>
              <w:rPr>
                <w:rFonts w:ascii="Arial" w:cs="Arial" w:eastAsia="Arial" w:hAnsi="Arial"/>
                <w:sz w:val="13"/>
                <w:szCs w:val="13"/>
                <w:color w:val="auto"/>
                <w:w w:val="88"/>
              </w:rPr>
              <w:t>454,628(7)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0" w:lineRule="exact"/>
        <w:rPr>
          <w:sz w:val="20"/>
          <w:szCs w:val="20"/>
          <w:color w:val="auto"/>
        </w:rPr>
      </w:pPr>
    </w:p>
    <w:p>
      <w:pPr>
        <w:ind w:left="460" w:right="140" w:hanging="459"/>
        <w:spacing w:after="0" w:line="27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shown in the threshold, target and maximum columns reflect the minimum, target and maximum amounts payable under our 2011 Executive Performance Incentive Plan, respectively. Amounts in the maximum column above reflect 300% of the executive’s target bonus, which is the cap under the plan. The actual amounts we paid are reflected in the Summary Compensation Table above and were as follows:</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Actual Payout under</w:t>
            </w:r>
          </w:p>
        </w:tc>
        <w:tc>
          <w:tcPr>
            <w:tcW w:w="0" w:type="dxa"/>
            <w:vAlign w:val="bottom"/>
          </w:tcPr>
          <w:p>
            <w:pPr>
              <w:spacing w:after="0"/>
              <w:rPr>
                <w:sz w:val="1"/>
                <w:szCs w:val="1"/>
                <w:color w:val="auto"/>
              </w:rPr>
            </w:pPr>
          </w:p>
        </w:tc>
      </w:tr>
      <w:tr>
        <w:trPr>
          <w:trHeight w:val="139"/>
        </w:trPr>
        <w:tc>
          <w:tcPr>
            <w:tcW w:w="320" w:type="dxa"/>
            <w:vAlign w:val="bottom"/>
            <w:vMerge w:val="restart"/>
          </w:tcPr>
          <w:p>
            <w:pPr>
              <w:spacing w:after="0"/>
              <w:rPr>
                <w:sz w:val="20"/>
                <w:szCs w:val="20"/>
                <w:color w:val="auto"/>
              </w:rPr>
            </w:pPr>
            <w:r>
              <w:rPr>
                <w:rFonts w:ascii="Arial" w:cs="Arial" w:eastAsia="Arial" w:hAnsi="Arial"/>
                <w:sz w:val="13"/>
                <w:szCs w:val="13"/>
                <w:b w:val="1"/>
                <w:bCs w:val="1"/>
                <w:color w:val="auto"/>
                <w:w w:val="84"/>
              </w:rPr>
              <w:t>Name</w:t>
            </w:r>
          </w:p>
        </w:tc>
        <w:tc>
          <w:tcPr>
            <w:tcW w:w="344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Non-Equity Incentive</w:t>
            </w:r>
          </w:p>
        </w:tc>
        <w:tc>
          <w:tcPr>
            <w:tcW w:w="0" w:type="dxa"/>
            <w:vAlign w:val="bottom"/>
          </w:tcPr>
          <w:p>
            <w:pPr>
              <w:spacing w:after="0"/>
              <w:rPr>
                <w:sz w:val="1"/>
                <w:szCs w:val="1"/>
                <w:color w:val="auto"/>
              </w:rPr>
            </w:pPr>
          </w:p>
        </w:tc>
      </w:tr>
      <w:tr>
        <w:trPr>
          <w:trHeight w:val="159"/>
        </w:trPr>
        <w:tc>
          <w:tcPr>
            <w:tcW w:w="320" w:type="dxa"/>
            <w:vAlign w:val="bottom"/>
            <w:tcBorders>
              <w:bottom w:val="single" w:sz="8" w:color="auto"/>
            </w:tcBorders>
            <w:vMerge w:val="continue"/>
          </w:tcPr>
          <w:p>
            <w:pPr>
              <w:spacing w:after="0"/>
              <w:rPr>
                <w:sz w:val="13"/>
                <w:szCs w:val="13"/>
                <w:color w:val="auto"/>
              </w:rPr>
            </w:pPr>
          </w:p>
        </w:tc>
        <w:tc>
          <w:tcPr>
            <w:tcW w:w="3440" w:type="dxa"/>
            <w:vAlign w:val="bottom"/>
            <w:vMerge w:val="continue"/>
          </w:tcPr>
          <w:p>
            <w:pPr>
              <w:spacing w:after="0"/>
              <w:rPr>
                <w:sz w:val="13"/>
                <w:szCs w:val="13"/>
                <w:color w:val="auto"/>
              </w:rPr>
            </w:pPr>
          </w:p>
        </w:tc>
        <w:tc>
          <w:tcPr>
            <w:tcW w:w="4000" w:type="dxa"/>
            <w:vAlign w:val="bottom"/>
            <w:gridSpan w:val="4"/>
          </w:tcPr>
          <w:p>
            <w:pPr>
              <w:ind w:left="2520"/>
              <w:spacing w:after="0" w:line="139" w:lineRule="exact"/>
              <w:rPr>
                <w:sz w:val="20"/>
                <w:szCs w:val="20"/>
                <w:color w:val="auto"/>
              </w:rPr>
            </w:pPr>
            <w:r>
              <w:rPr>
                <w:rFonts w:ascii="Arial" w:cs="Arial" w:eastAsia="Arial" w:hAnsi="Arial"/>
                <w:sz w:val="13"/>
                <w:szCs w:val="13"/>
                <w:b w:val="1"/>
                <w:bCs w:val="1"/>
                <w:color w:val="auto"/>
                <w:w w:val="90"/>
              </w:rPr>
              <w:t>Plans for Fiscal Year 2011</w:t>
            </w:r>
          </w:p>
        </w:tc>
        <w:tc>
          <w:tcPr>
            <w:tcW w:w="0" w:type="dxa"/>
            <w:vAlign w:val="bottom"/>
          </w:tcPr>
          <w:p>
            <w:pPr>
              <w:spacing w:after="0"/>
              <w:rPr>
                <w:sz w:val="1"/>
                <w:szCs w:val="1"/>
                <w:color w:val="auto"/>
              </w:rPr>
            </w:pPr>
          </w:p>
        </w:tc>
      </w:tr>
      <w:tr>
        <w:trPr>
          <w:trHeight w:val="187"/>
        </w:trPr>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2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2,923,997</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2620" w:type="dxa"/>
            <w:vAlign w:val="bottom"/>
            <w:gridSpan w:val="2"/>
          </w:tcPr>
          <w:p>
            <w:pPr>
              <w:ind w:left="252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657,922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617,360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2620" w:type="dxa"/>
            <w:vAlign w:val="bottom"/>
            <w:gridSpan w:val="2"/>
          </w:tcPr>
          <w:p>
            <w:pPr>
              <w:ind w:left="252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617,360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See “— Compensation Discussion and Analysis” above for a discussion of how these amounts were determined under our 2011 Executive Performance Incentive Plan.</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amounts are included in the Summary Compensation Table.</w:t>
      </w:r>
    </w:p>
    <w:p>
      <w:pPr>
        <w:spacing w:after="0" w:line="87" w:lineRule="exact"/>
        <w:rPr>
          <w:sz w:val="20"/>
          <w:szCs w:val="20"/>
          <w:color w:val="auto"/>
        </w:rPr>
      </w:pPr>
    </w:p>
    <w:p>
      <w:pPr>
        <w:ind w:left="460" w:right="240" w:hanging="459"/>
        <w:spacing w:after="0" w:line="29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our equity award grant date policy, the grant date of our annual equity awards has been the second business day following January 1</w:t>
      </w:r>
      <w:r>
        <w:rPr>
          <w:rFonts w:ascii="Arial" w:cs="Arial" w:eastAsia="Arial" w:hAnsi="Arial"/>
          <w:sz w:val="10"/>
          <w:szCs w:val="10"/>
          <w:color w:val="auto"/>
        </w:rPr>
        <w:t>st</w:t>
      </w:r>
      <w:r>
        <w:rPr>
          <w:rFonts w:ascii="Arial" w:cs="Arial" w:eastAsia="Arial" w:hAnsi="Arial"/>
          <w:sz w:val="16"/>
          <w:szCs w:val="16"/>
          <w:color w:val="auto"/>
        </w:rPr>
        <w:t xml:space="preserve"> that the NYSE is open. Beginning in fiscal 2012, the grant date of our annual equity awards will be March 15</w:t>
      </w:r>
      <w:r>
        <w:rPr>
          <w:rFonts w:ascii="Arial" w:cs="Arial" w:eastAsia="Arial" w:hAnsi="Arial"/>
          <w:sz w:val="10"/>
          <w:szCs w:val="10"/>
          <w:color w:val="auto"/>
        </w:rPr>
        <w:t>th</w:t>
      </w:r>
      <w:r>
        <w:rPr>
          <w:rFonts w:ascii="Arial" w:cs="Arial" w:eastAsia="Arial" w:hAnsi="Arial"/>
          <w:sz w:val="16"/>
          <w:szCs w:val="16"/>
          <w:color w:val="auto"/>
        </w:rPr>
        <w:t xml:space="preserve"> or the next business day that the NYSE is open.</w:t>
      </w:r>
    </w:p>
    <w:p>
      <w:pPr>
        <w:spacing w:after="0" w:line="27" w:lineRule="exact"/>
        <w:rPr>
          <w:rFonts w:ascii="Arial" w:cs="Arial" w:eastAsia="Arial" w:hAnsi="Arial"/>
          <w:sz w:val="16"/>
          <w:szCs w:val="16"/>
          <w:color w:val="auto"/>
        </w:rPr>
      </w:pPr>
    </w:p>
    <w:p>
      <w:pPr>
        <w:ind w:left="460" w:right="140" w:hanging="459"/>
        <w:spacing w:after="0" w:line="29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RSUs granted under our 2006 Stock Incentive Plan. These units vest, so long as the executive continues to be employed with us, in one installment on the third anniversary of the grant date (January 4, 2014). Dividends are not payable on unvested RSUs.</w:t>
      </w:r>
    </w:p>
    <w:p>
      <w:pPr>
        <w:spacing w:after="0" w:line="27" w:lineRule="exact"/>
        <w:rPr>
          <w:rFonts w:ascii="Arial" w:cs="Arial" w:eastAsia="Arial" w:hAnsi="Arial"/>
          <w:sz w:val="16"/>
          <w:szCs w:val="16"/>
          <w:color w:val="auto"/>
        </w:rPr>
      </w:pPr>
    </w:p>
    <w:p>
      <w:pPr>
        <w:ind w:left="460" w:right="120" w:hanging="459"/>
        <w:spacing w:after="0" w:line="29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stock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27" w:lineRule="exact"/>
        <w:rPr>
          <w:rFonts w:ascii="Arial" w:cs="Arial" w:eastAsia="Arial" w:hAnsi="Arial"/>
          <w:sz w:val="16"/>
          <w:szCs w:val="16"/>
          <w:color w:val="auto"/>
        </w:rPr>
      </w:pPr>
    </w:p>
    <w:p>
      <w:pPr>
        <w:ind w:left="460" w:hanging="459"/>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exercise price per share is equal to the closing price per share of our common stock on the date of grant.</w:t>
      </w:r>
    </w:p>
    <w:p>
      <w:pPr>
        <w:spacing w:after="0" w:line="93" w:lineRule="exact"/>
        <w:rPr>
          <w:rFonts w:ascii="Arial" w:cs="Arial" w:eastAsia="Arial" w:hAnsi="Arial"/>
          <w:sz w:val="16"/>
          <w:szCs w:val="16"/>
          <w:color w:val="auto"/>
        </w:rPr>
      </w:pPr>
    </w:p>
    <w:p>
      <w:pPr>
        <w:ind w:left="460" w:right="220" w:hanging="459"/>
        <w:spacing w:after="0" w:line="29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RSUs, which is the value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39"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right="120"/>
        <w:spacing w:after="0" w:line="278" w:lineRule="auto"/>
        <w:rPr>
          <w:sz w:val="20"/>
          <w:szCs w:val="20"/>
          <w:color w:val="auto"/>
        </w:rPr>
      </w:pPr>
      <w:r>
        <w:rPr>
          <w:rFonts w:ascii="Arial" w:cs="Arial" w:eastAsia="Arial" w:hAnsi="Arial"/>
          <w:sz w:val="16"/>
          <w:szCs w:val="16"/>
          <w:color w:val="auto"/>
        </w:rPr>
        <w:t>our common stock on the date of grant, reduced by the present value of dividends expected to be paid on our common stock prior to vesting. The grant date fair value per share of the awards granted to Messrs. Zinsner, Marshall, McAdam and Roche was $34.93. The grant date fair value is generally the amount that we would expense in our financial statements over the award’s service period, but does not include a reduction for forfeitures.</w:t>
      </w:r>
    </w:p>
    <w:p>
      <w:pPr>
        <w:spacing w:after="0" w:line="41" w:lineRule="exact"/>
        <w:rPr>
          <w:sz w:val="20"/>
          <w:szCs w:val="20"/>
          <w:color w:val="auto"/>
        </w:rPr>
      </w:pPr>
    </w:p>
    <w:p>
      <w:pPr>
        <w:ind w:left="460" w:right="100" w:hanging="459"/>
        <w:spacing w:after="0" w:line="273"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grant date fair value of each of these stock options was $8.6382 per share and was computed using a Black-Scholes valuation methodology. We estimated the full grant date fair value of these options using the following assumptions: 2.140% risk free interest rate; 2.345% dividend yield; 29.370% expected volatility; and a 5.3-year expected life. The grant date fair value is generally the amount that we would expense in our financial statements over the award’s service period, but does not include a reduction for forfeitures.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 2011</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with respect to outstanding stock options and restricted stock awards held by our NEOs as of October 29,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Option Awards</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gridSpan w:val="4"/>
          </w:tcPr>
          <w:p>
            <w:pPr>
              <w:ind w:left="9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180"/>
              <w:spacing w:after="0" w:line="118" w:lineRule="exact"/>
              <w:rPr>
                <w:sz w:val="20"/>
                <w:szCs w:val="20"/>
                <w:color w:val="auto"/>
              </w:rPr>
            </w:pPr>
            <w:r>
              <w:rPr>
                <w:rFonts w:ascii="Arial" w:cs="Arial" w:eastAsia="Arial" w:hAnsi="Arial"/>
                <w:sz w:val="13"/>
                <w:szCs w:val="13"/>
                <w:b w:val="1"/>
                <w:bCs w:val="1"/>
                <w:color w:val="auto"/>
                <w:w w:val="98"/>
              </w:rPr>
              <w:t>Number of</w:t>
            </w:r>
          </w:p>
        </w:tc>
        <w:tc>
          <w:tcPr>
            <w:tcW w:w="4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Number of</w:t>
            </w:r>
          </w:p>
        </w:tc>
        <w:tc>
          <w:tcPr>
            <w:tcW w:w="540" w:type="dxa"/>
            <w:vAlign w:val="bottom"/>
          </w:tcPr>
          <w:p>
            <w:pPr>
              <w:spacing w:after="0"/>
              <w:rPr>
                <w:sz w:val="12"/>
                <w:szCs w:val="12"/>
                <w:color w:val="auto"/>
              </w:rPr>
            </w:pPr>
          </w:p>
        </w:tc>
        <w:tc>
          <w:tcPr>
            <w:tcW w:w="8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6"/>
              </w:rPr>
              <w:t>Securities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3"/>
              </w:rPr>
              <w:t>Securities</w:t>
            </w:r>
          </w:p>
        </w:tc>
        <w:tc>
          <w:tcPr>
            <w:tcW w:w="540" w:type="dxa"/>
            <w:vAlign w:val="bottom"/>
          </w:tcPr>
          <w:p>
            <w:pPr>
              <w:spacing w:after="0"/>
              <w:rPr>
                <w:sz w:val="12"/>
                <w:szCs w:val="12"/>
                <w:color w:val="auto"/>
              </w:rPr>
            </w:pPr>
          </w:p>
        </w:tc>
        <w:tc>
          <w:tcPr>
            <w:tcW w:w="840" w:type="dxa"/>
            <w:vAlign w:val="bottom"/>
            <w:gridSpan w:val="2"/>
          </w:tcPr>
          <w:p>
            <w:pPr>
              <w:jc w:val="right"/>
              <w:ind w:right="160"/>
              <w:spacing w:after="0" w:line="139" w:lineRule="exact"/>
              <w:rPr>
                <w:sz w:val="20"/>
                <w:szCs w:val="20"/>
                <w:color w:val="auto"/>
              </w:rPr>
            </w:pPr>
            <w:r>
              <w:rPr>
                <w:rFonts w:ascii="Arial" w:cs="Arial" w:eastAsia="Arial" w:hAnsi="Arial"/>
                <w:sz w:val="13"/>
                <w:szCs w:val="13"/>
                <w:b w:val="1"/>
                <w:bCs w:val="1"/>
                <w:color w:val="auto"/>
                <w:w w:val="97"/>
              </w:rPr>
              <w:t>Underlying</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8"/>
              </w:rPr>
              <w:t>Underlying</w:t>
            </w:r>
          </w:p>
        </w:tc>
        <w:tc>
          <w:tcPr>
            <w:tcW w:w="540" w:type="dxa"/>
            <w:vAlign w:val="bottom"/>
          </w:tcPr>
          <w:p>
            <w:pPr>
              <w:spacing w:after="0"/>
              <w:rPr>
                <w:sz w:val="12"/>
                <w:szCs w:val="12"/>
                <w:color w:val="auto"/>
              </w:rPr>
            </w:pPr>
          </w:p>
        </w:tc>
        <w:tc>
          <w:tcPr>
            <w:tcW w:w="8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5"/>
              </w:rPr>
              <w:t>Unexercised</w:t>
            </w:r>
          </w:p>
        </w:tc>
        <w:tc>
          <w:tcPr>
            <w:tcW w:w="460" w:type="dxa"/>
            <w:vAlign w:val="bottom"/>
          </w:tcPr>
          <w:p>
            <w:pPr>
              <w:spacing w:after="0"/>
              <w:rPr>
                <w:sz w:val="12"/>
                <w:szCs w:val="12"/>
                <w:color w:val="auto"/>
              </w:rPr>
            </w:pPr>
          </w:p>
        </w:tc>
        <w:tc>
          <w:tcPr>
            <w:tcW w:w="5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0"/>
              </w:rPr>
              <w:t>Option</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87"/>
              </w:rPr>
              <w:t>Number of Shares</w:t>
            </w:r>
          </w:p>
        </w:tc>
        <w:tc>
          <w:tcPr>
            <w:tcW w:w="106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1"/>
              </w:rPr>
              <w:t>Market Value of</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5"/>
              </w:rPr>
              <w:t>Unexercised</w:t>
            </w:r>
          </w:p>
        </w:tc>
        <w:tc>
          <w:tcPr>
            <w:tcW w:w="540" w:type="dxa"/>
            <w:vAlign w:val="bottom"/>
          </w:tcPr>
          <w:p>
            <w:pPr>
              <w:spacing w:after="0"/>
              <w:rPr>
                <w:sz w:val="12"/>
                <w:szCs w:val="12"/>
                <w:color w:val="auto"/>
              </w:rPr>
            </w:pPr>
          </w:p>
        </w:tc>
        <w:tc>
          <w:tcPr>
            <w:tcW w:w="840" w:type="dxa"/>
            <w:vAlign w:val="bottom"/>
            <w:gridSpan w:val="2"/>
          </w:tcPr>
          <w:p>
            <w:pPr>
              <w:jc w:val="right"/>
              <w:ind w:right="160"/>
              <w:spacing w:after="0" w:line="139" w:lineRule="exact"/>
              <w:rPr>
                <w:sz w:val="20"/>
                <w:szCs w:val="20"/>
                <w:color w:val="auto"/>
              </w:rPr>
            </w:pPr>
            <w:r>
              <w:rPr>
                <w:rFonts w:ascii="Arial" w:cs="Arial" w:eastAsia="Arial" w:hAnsi="Arial"/>
                <w:sz w:val="13"/>
                <w:szCs w:val="13"/>
                <w:b w:val="1"/>
                <w:bCs w:val="1"/>
                <w:color w:val="auto"/>
                <w:w w:val="96"/>
              </w:rPr>
              <w:t>Options (#)</w:t>
            </w:r>
          </w:p>
        </w:tc>
        <w:tc>
          <w:tcPr>
            <w:tcW w:w="460" w:type="dxa"/>
            <w:vAlign w:val="bottom"/>
          </w:tcPr>
          <w:p>
            <w:pPr>
              <w:spacing w:after="0"/>
              <w:rPr>
                <w:sz w:val="12"/>
                <w:szCs w:val="12"/>
                <w:color w:val="auto"/>
              </w:rPr>
            </w:pPr>
          </w:p>
        </w:tc>
        <w:tc>
          <w:tcPr>
            <w:tcW w:w="540" w:type="dxa"/>
            <w:vAlign w:val="bottom"/>
            <w:gridSpan w:val="2"/>
          </w:tcPr>
          <w:p>
            <w:pPr>
              <w:jc w:val="right"/>
              <w:ind w:right="100"/>
              <w:spacing w:after="0" w:line="139" w:lineRule="exact"/>
              <w:rPr>
                <w:sz w:val="20"/>
                <w:szCs w:val="20"/>
                <w:color w:val="auto"/>
              </w:rPr>
            </w:pPr>
            <w:r>
              <w:rPr>
                <w:rFonts w:ascii="Arial" w:cs="Arial" w:eastAsia="Arial" w:hAnsi="Arial"/>
                <w:sz w:val="13"/>
                <w:szCs w:val="13"/>
                <w:b w:val="1"/>
                <w:bCs w:val="1"/>
                <w:color w:val="auto"/>
                <w:w w:val="78"/>
              </w:rPr>
              <w:t>Exercise</w:t>
            </w:r>
          </w:p>
        </w:tc>
        <w:tc>
          <w:tcPr>
            <w:tcW w:w="440" w:type="dxa"/>
            <w:vAlign w:val="bottom"/>
          </w:tcPr>
          <w:p>
            <w:pPr>
              <w:spacing w:after="0"/>
              <w:rPr>
                <w:sz w:val="12"/>
                <w:szCs w:val="12"/>
                <w:color w:val="auto"/>
              </w:rPr>
            </w:pPr>
          </w:p>
        </w:tc>
        <w:tc>
          <w:tcPr>
            <w:tcW w:w="136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90"/>
              </w:rPr>
              <w:t>Option</w:t>
            </w:r>
          </w:p>
        </w:tc>
        <w:tc>
          <w:tcPr>
            <w:tcW w:w="166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86"/>
              </w:rPr>
              <w:t>or Units of Stock</w:t>
            </w:r>
          </w:p>
        </w:tc>
        <w:tc>
          <w:tcPr>
            <w:tcW w:w="106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85"/>
              </w:rPr>
              <w:t>Shares or Units of</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304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Options (#)</w:t>
            </w:r>
          </w:p>
        </w:tc>
        <w:tc>
          <w:tcPr>
            <w:tcW w:w="540" w:type="dxa"/>
            <w:vAlign w:val="bottom"/>
          </w:tcPr>
          <w:p>
            <w:pPr>
              <w:spacing w:after="0"/>
              <w:rPr>
                <w:sz w:val="12"/>
                <w:szCs w:val="12"/>
                <w:color w:val="auto"/>
              </w:rPr>
            </w:pPr>
          </w:p>
        </w:tc>
        <w:tc>
          <w:tcPr>
            <w:tcW w:w="8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3"/>
              </w:rPr>
              <w:t>Unexercisable</w:t>
            </w:r>
          </w:p>
        </w:tc>
        <w:tc>
          <w:tcPr>
            <w:tcW w:w="460" w:type="dxa"/>
            <w:vAlign w:val="bottom"/>
          </w:tcPr>
          <w:p>
            <w:pPr>
              <w:spacing w:after="0"/>
              <w:rPr>
                <w:sz w:val="12"/>
                <w:szCs w:val="12"/>
                <w:color w:val="auto"/>
              </w:rPr>
            </w:pPr>
          </w:p>
        </w:tc>
        <w:tc>
          <w:tcPr>
            <w:tcW w:w="5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7"/>
              </w:rPr>
              <w:t>Price</w:t>
            </w:r>
          </w:p>
        </w:tc>
        <w:tc>
          <w:tcPr>
            <w:tcW w:w="440" w:type="dxa"/>
            <w:vAlign w:val="bottom"/>
          </w:tcPr>
          <w:p>
            <w:pPr>
              <w:spacing w:after="0"/>
              <w:rPr>
                <w:sz w:val="12"/>
                <w:szCs w:val="12"/>
                <w:color w:val="auto"/>
              </w:rPr>
            </w:pPr>
          </w:p>
        </w:tc>
        <w:tc>
          <w:tcPr>
            <w:tcW w:w="136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91"/>
              </w:rPr>
              <w:t>Expiration</w:t>
            </w:r>
          </w:p>
        </w:tc>
        <w:tc>
          <w:tcPr>
            <w:tcW w:w="1660" w:type="dxa"/>
            <w:vAlign w:val="bottom"/>
            <w:gridSpan w:val="2"/>
          </w:tcPr>
          <w:p>
            <w:pPr>
              <w:jc w:val="center"/>
              <w:ind w:right="700"/>
              <w:spacing w:after="0" w:line="139" w:lineRule="exact"/>
              <w:rPr>
                <w:sz w:val="20"/>
                <w:szCs w:val="20"/>
                <w:color w:val="auto"/>
              </w:rPr>
            </w:pPr>
            <w:r>
              <w:rPr>
                <w:rFonts w:ascii="Arial" w:cs="Arial" w:eastAsia="Arial" w:hAnsi="Arial"/>
                <w:sz w:val="13"/>
                <w:szCs w:val="13"/>
                <w:b w:val="1"/>
                <w:bCs w:val="1"/>
                <w:color w:val="auto"/>
                <w:w w:val="91"/>
              </w:rPr>
              <w:t>That Have Not</w:t>
            </w:r>
          </w:p>
        </w:tc>
        <w:tc>
          <w:tcPr>
            <w:tcW w:w="10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8"/>
              </w:rPr>
              <w:t>Stock that Have</w:t>
            </w: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5"/>
              </w:rPr>
              <w:t>Exercisable</w:t>
            </w:r>
          </w:p>
        </w:tc>
        <w:tc>
          <w:tcPr>
            <w:tcW w:w="1280" w:type="dxa"/>
            <w:vAlign w:val="bottom"/>
            <w:gridSpan w:val="2"/>
          </w:tcPr>
          <w:p>
            <w:pPr>
              <w:ind w:left="840"/>
              <w:spacing w:after="0" w:line="139" w:lineRule="exact"/>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c>
          <w:tcPr>
            <w:tcW w:w="900" w:type="dxa"/>
            <w:vAlign w:val="bottom"/>
            <w:gridSpan w:val="2"/>
          </w:tcPr>
          <w:p>
            <w:pPr>
              <w:jc w:val="center"/>
              <w:ind w:left="379"/>
              <w:spacing w:after="0" w:line="13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8"/>
              </w:rPr>
              <w:t>Date (2)</w:t>
            </w:r>
          </w:p>
        </w:tc>
        <w:tc>
          <w:tcPr>
            <w:tcW w:w="166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86"/>
              </w:rPr>
              <w:t>Vested (#)</w:t>
            </w:r>
          </w:p>
        </w:tc>
        <w:tc>
          <w:tcPr>
            <w:tcW w:w="10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7"/>
              </w:rPr>
              <w:t>Not Vested ($)(5)</w:t>
            </w:r>
          </w:p>
        </w:tc>
        <w:tc>
          <w:tcPr>
            <w:tcW w:w="0" w:type="dxa"/>
            <w:vAlign w:val="bottom"/>
          </w:tcPr>
          <w:p>
            <w:pPr>
              <w:spacing w:after="0"/>
              <w:rPr>
                <w:sz w:val="1"/>
                <w:szCs w:val="1"/>
                <w:color w:val="auto"/>
              </w:rPr>
            </w:pPr>
          </w:p>
        </w:tc>
      </w:tr>
      <w:tr>
        <w:trPr>
          <w:trHeight w:val="187"/>
        </w:trPr>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4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530,000</w:t>
            </w:r>
          </w:p>
        </w:tc>
        <w:tc>
          <w:tcPr>
            <w:tcW w:w="5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41.05</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01/22/2012</w:t>
            </w:r>
          </w:p>
        </w:tc>
        <w:tc>
          <w:tcPr>
            <w:tcW w:w="5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19.89</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09/24/2012</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45.27</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12/10/2013</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37.70</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12/07/2014</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33.41</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01/04/2017</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160,000(3)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338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54,000</w:t>
            </w:r>
          </w:p>
        </w:tc>
        <w:tc>
          <w:tcPr>
            <w:tcW w:w="1280" w:type="dxa"/>
            <w:vAlign w:val="bottom"/>
            <w:gridSpan w:val="2"/>
          </w:tcPr>
          <w:p>
            <w:pPr>
              <w:ind w:left="840"/>
              <w:spacing w:after="0"/>
              <w:rPr>
                <w:sz w:val="20"/>
                <w:szCs w:val="20"/>
                <w:color w:val="auto"/>
              </w:rPr>
            </w:pPr>
            <w:r>
              <w:rPr>
                <w:rFonts w:ascii="Arial" w:cs="Arial" w:eastAsia="Arial" w:hAnsi="Arial"/>
                <w:sz w:val="16"/>
                <w:szCs w:val="16"/>
                <w:color w:val="auto"/>
                <w:w w:val="85"/>
              </w:rPr>
              <w:t>96,000</w:t>
            </w:r>
          </w:p>
        </w:tc>
        <w:tc>
          <w:tcPr>
            <w:tcW w:w="10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20.00</w:t>
            </w:r>
          </w:p>
        </w:tc>
        <w:tc>
          <w:tcPr>
            <w:tcW w:w="1800" w:type="dxa"/>
            <w:vAlign w:val="bottom"/>
            <w:gridSpan w:val="3"/>
          </w:tcPr>
          <w:p>
            <w:pPr>
              <w:jc w:val="right"/>
              <w:ind w:right="540"/>
              <w:spacing w:after="0"/>
              <w:rPr>
                <w:sz w:val="20"/>
                <w:szCs w:val="20"/>
                <w:color w:val="auto"/>
              </w:rPr>
            </w:pPr>
            <w:r>
              <w:rPr>
                <w:rFonts w:ascii="Arial" w:cs="Arial" w:eastAsia="Arial" w:hAnsi="Arial"/>
                <w:sz w:val="16"/>
                <w:szCs w:val="16"/>
                <w:color w:val="auto"/>
              </w:rPr>
              <w:t>02/17/2019</w:t>
            </w:r>
          </w:p>
        </w:tc>
        <w:tc>
          <w:tcPr>
            <w:tcW w:w="1660" w:type="dxa"/>
            <w:vAlign w:val="bottom"/>
            <w:gridSpan w:val="2"/>
          </w:tcPr>
          <w:p>
            <w:pPr>
              <w:jc w:val="right"/>
              <w:ind w:right="500"/>
              <w:spacing w:after="0"/>
              <w:rPr>
                <w:sz w:val="20"/>
                <w:szCs w:val="20"/>
                <w:color w:val="auto"/>
              </w:rPr>
            </w:pPr>
            <w:r>
              <w:rPr>
                <w:rFonts w:ascii="Arial" w:cs="Arial" w:eastAsia="Arial" w:hAnsi="Arial"/>
                <w:sz w:val="16"/>
                <w:szCs w:val="16"/>
                <w:color w:val="auto"/>
              </w:rPr>
              <w:t>21,000(4)</w:t>
            </w:r>
          </w:p>
        </w:tc>
        <w:tc>
          <w:tcPr>
            <w:tcW w:w="980" w:type="dxa"/>
            <w:vAlign w:val="bottom"/>
          </w:tcPr>
          <w:p>
            <w:pPr>
              <w:jc w:val="right"/>
              <w:spacing w:after="0"/>
              <w:rPr>
                <w:sz w:val="20"/>
                <w:szCs w:val="20"/>
                <w:color w:val="auto"/>
              </w:rPr>
            </w:pPr>
            <w:r>
              <w:rPr>
                <w:rFonts w:ascii="Arial" w:cs="Arial" w:eastAsia="Arial" w:hAnsi="Arial"/>
                <w:sz w:val="16"/>
                <w:szCs w:val="16"/>
                <w:color w:val="auto"/>
              </w:rPr>
              <w:t>791,700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840"/>
              <w:spacing w:after="0"/>
              <w:rPr>
                <w:sz w:val="20"/>
                <w:szCs w:val="20"/>
                <w:color w:val="auto"/>
              </w:rPr>
            </w:pPr>
            <w:r>
              <w:rPr>
                <w:rFonts w:ascii="Arial" w:cs="Arial" w:eastAsia="Arial" w:hAnsi="Arial"/>
                <w:sz w:val="16"/>
                <w:szCs w:val="16"/>
                <w:color w:val="auto"/>
              </w:rPr>
              <w:t>45,110</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37.52</w:t>
            </w:r>
          </w:p>
        </w:tc>
        <w:tc>
          <w:tcPr>
            <w:tcW w:w="1800" w:type="dxa"/>
            <w:vAlign w:val="bottom"/>
            <w:gridSpan w:val="3"/>
          </w:tcPr>
          <w:p>
            <w:pPr>
              <w:jc w:val="right"/>
              <w:ind w:right="540"/>
              <w:spacing w:after="0"/>
              <w:rPr>
                <w:sz w:val="20"/>
                <w:szCs w:val="20"/>
                <w:color w:val="auto"/>
              </w:rPr>
            </w:pPr>
            <w:r>
              <w:rPr>
                <w:rFonts w:ascii="Arial" w:cs="Arial" w:eastAsia="Arial" w:hAnsi="Arial"/>
                <w:sz w:val="16"/>
                <w:szCs w:val="16"/>
                <w:color w:val="auto"/>
              </w:rPr>
              <w:t>01/04/2021</w:t>
            </w:r>
          </w:p>
        </w:tc>
        <w:tc>
          <w:tcPr>
            <w:tcW w:w="1660" w:type="dxa"/>
            <w:vAlign w:val="bottom"/>
            <w:gridSpan w:val="2"/>
          </w:tcPr>
          <w:p>
            <w:pPr>
              <w:jc w:val="right"/>
              <w:ind w:right="500"/>
              <w:spacing w:after="0"/>
              <w:rPr>
                <w:sz w:val="20"/>
                <w:szCs w:val="20"/>
                <w:color w:val="auto"/>
              </w:rPr>
            </w:pPr>
            <w:r>
              <w:rPr>
                <w:rFonts w:ascii="Arial" w:cs="Arial" w:eastAsia="Arial" w:hAnsi="Arial"/>
                <w:sz w:val="16"/>
                <w:szCs w:val="16"/>
                <w:color w:val="auto"/>
              </w:rPr>
              <w:t>10,345(3)</w:t>
            </w:r>
          </w:p>
        </w:tc>
        <w:tc>
          <w:tcPr>
            <w:tcW w:w="980" w:type="dxa"/>
            <w:vAlign w:val="bottom"/>
          </w:tcPr>
          <w:p>
            <w:pPr>
              <w:jc w:val="right"/>
              <w:spacing w:after="0"/>
              <w:rPr>
                <w:sz w:val="20"/>
                <w:szCs w:val="20"/>
                <w:color w:val="auto"/>
              </w:rPr>
            </w:pPr>
            <w:r>
              <w:rPr>
                <w:rFonts w:ascii="Arial" w:cs="Arial" w:eastAsia="Arial" w:hAnsi="Arial"/>
                <w:sz w:val="16"/>
                <w:szCs w:val="16"/>
                <w:color w:val="auto"/>
              </w:rPr>
              <w:t>390,007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41.05</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01/22/2012</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36.62</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05/31/2012</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19.89</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09/24/2012</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37.38</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06/02/2013</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45.27</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12/10/2013</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48.41</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06/01/2014</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37.70</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12/07/2014</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37.04</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06/01/2015</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39.44</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12/06/2015</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10,000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33.41</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01/04/2017</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20,000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29.91</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01/03/2018</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45,000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0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01/05/2019</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38,000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01/05/2020</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12,825(3)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52,630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01/04/2021</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12,070(3)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9"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ind w:left="560"/>
              <w:spacing w:after="0"/>
              <w:rPr>
                <w:sz w:val="20"/>
                <w:szCs w:val="20"/>
                <w:color w:val="auto"/>
              </w:rPr>
            </w:pPr>
            <w:r>
              <w:rPr>
                <w:rFonts w:ascii="Arial" w:cs="Arial" w:eastAsia="Arial" w:hAnsi="Arial"/>
                <w:sz w:val="13"/>
                <w:szCs w:val="13"/>
                <w:b w:val="1"/>
                <w:bCs w:val="1"/>
                <w:color w:val="auto"/>
              </w:rPr>
              <w:t>Option Awards</w:t>
            </w: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Stock Awards</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2"/>
          </w:tcPr>
          <w:p>
            <w:pPr>
              <w:jc w:val="right"/>
              <w:ind w:right="180"/>
              <w:spacing w:after="0" w:line="118" w:lineRule="exact"/>
              <w:rPr>
                <w:sz w:val="20"/>
                <w:szCs w:val="20"/>
                <w:color w:val="auto"/>
              </w:rPr>
            </w:pPr>
            <w:r>
              <w:rPr>
                <w:rFonts w:ascii="Arial" w:cs="Arial" w:eastAsia="Arial" w:hAnsi="Arial"/>
                <w:sz w:val="13"/>
                <w:szCs w:val="13"/>
                <w:b w:val="1"/>
                <w:bCs w:val="1"/>
                <w:color w:val="auto"/>
                <w:w w:val="98"/>
              </w:rPr>
              <w:t>Number of</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2"/>
              </w:rPr>
              <w:t>Number of</w:t>
            </w:r>
          </w:p>
        </w:tc>
        <w:tc>
          <w:tcPr>
            <w:tcW w:w="540" w:type="dxa"/>
            <w:vAlign w:val="bottom"/>
          </w:tcPr>
          <w:p>
            <w:pPr>
              <w:spacing w:after="0"/>
              <w:rPr>
                <w:sz w:val="12"/>
                <w:szCs w:val="12"/>
                <w:color w:val="auto"/>
              </w:rPr>
            </w:pPr>
          </w:p>
        </w:tc>
        <w:tc>
          <w:tcPr>
            <w:tcW w:w="8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6"/>
              </w:rPr>
              <w:t>Securities</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3"/>
              </w:rPr>
              <w:t>Securities</w:t>
            </w:r>
          </w:p>
        </w:tc>
        <w:tc>
          <w:tcPr>
            <w:tcW w:w="540" w:type="dxa"/>
            <w:vAlign w:val="bottom"/>
          </w:tcPr>
          <w:p>
            <w:pPr>
              <w:spacing w:after="0"/>
              <w:rPr>
                <w:sz w:val="12"/>
                <w:szCs w:val="12"/>
                <w:color w:val="auto"/>
              </w:rPr>
            </w:pPr>
          </w:p>
        </w:tc>
        <w:tc>
          <w:tcPr>
            <w:tcW w:w="840" w:type="dxa"/>
            <w:vAlign w:val="bottom"/>
            <w:gridSpan w:val="2"/>
          </w:tcPr>
          <w:p>
            <w:pPr>
              <w:jc w:val="right"/>
              <w:ind w:right="160"/>
              <w:spacing w:after="0" w:line="139" w:lineRule="exact"/>
              <w:rPr>
                <w:sz w:val="20"/>
                <w:szCs w:val="20"/>
                <w:color w:val="auto"/>
              </w:rPr>
            </w:pPr>
            <w:r>
              <w:rPr>
                <w:rFonts w:ascii="Arial" w:cs="Arial" w:eastAsia="Arial" w:hAnsi="Arial"/>
                <w:sz w:val="13"/>
                <w:szCs w:val="13"/>
                <w:b w:val="1"/>
                <w:bCs w:val="1"/>
                <w:color w:val="auto"/>
                <w:w w:val="97"/>
              </w:rPr>
              <w:t>Underlying</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8"/>
              </w:rPr>
              <w:t>Underlying</w:t>
            </w:r>
          </w:p>
        </w:tc>
        <w:tc>
          <w:tcPr>
            <w:tcW w:w="540" w:type="dxa"/>
            <w:vAlign w:val="bottom"/>
          </w:tcPr>
          <w:p>
            <w:pPr>
              <w:spacing w:after="0"/>
              <w:rPr>
                <w:sz w:val="12"/>
                <w:szCs w:val="12"/>
                <w:color w:val="auto"/>
              </w:rPr>
            </w:pPr>
          </w:p>
        </w:tc>
        <w:tc>
          <w:tcPr>
            <w:tcW w:w="8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5"/>
              </w:rPr>
              <w:t>Unexercised</w:t>
            </w:r>
          </w:p>
        </w:tc>
        <w:tc>
          <w:tcPr>
            <w:tcW w:w="520" w:type="dxa"/>
            <w:vAlign w:val="bottom"/>
          </w:tcPr>
          <w:p>
            <w:pPr>
              <w:spacing w:after="0"/>
              <w:rPr>
                <w:sz w:val="12"/>
                <w:szCs w:val="12"/>
                <w:color w:val="auto"/>
              </w:rPr>
            </w:pPr>
          </w:p>
        </w:tc>
        <w:tc>
          <w:tcPr>
            <w:tcW w:w="54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0"/>
              </w:rPr>
              <w:t>Option</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gridSpan w:val="2"/>
          </w:tcPr>
          <w:p>
            <w:pPr>
              <w:jc w:val="center"/>
              <w:ind w:right="697"/>
              <w:spacing w:after="0" w:line="139" w:lineRule="exact"/>
              <w:rPr>
                <w:sz w:val="20"/>
                <w:szCs w:val="20"/>
                <w:color w:val="auto"/>
              </w:rPr>
            </w:pPr>
            <w:r>
              <w:rPr>
                <w:rFonts w:ascii="Arial" w:cs="Arial" w:eastAsia="Arial" w:hAnsi="Arial"/>
                <w:sz w:val="13"/>
                <w:szCs w:val="13"/>
                <w:b w:val="1"/>
                <w:bCs w:val="1"/>
                <w:color w:val="auto"/>
                <w:w w:val="87"/>
              </w:rPr>
              <w:t>Number of Shares</w:t>
            </w:r>
          </w:p>
        </w:tc>
        <w:tc>
          <w:tcPr>
            <w:tcW w:w="106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Market Value of</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2"/>
              </w:rPr>
              <w:t>Unexercised</w:t>
            </w:r>
          </w:p>
        </w:tc>
        <w:tc>
          <w:tcPr>
            <w:tcW w:w="540" w:type="dxa"/>
            <w:vAlign w:val="bottom"/>
          </w:tcPr>
          <w:p>
            <w:pPr>
              <w:spacing w:after="0"/>
              <w:rPr>
                <w:sz w:val="12"/>
                <w:szCs w:val="12"/>
                <w:color w:val="auto"/>
              </w:rPr>
            </w:pPr>
          </w:p>
        </w:tc>
        <w:tc>
          <w:tcPr>
            <w:tcW w:w="840" w:type="dxa"/>
            <w:vAlign w:val="bottom"/>
            <w:gridSpan w:val="2"/>
          </w:tcPr>
          <w:p>
            <w:pPr>
              <w:jc w:val="right"/>
              <w:ind w:right="160"/>
              <w:spacing w:after="0" w:line="139" w:lineRule="exact"/>
              <w:rPr>
                <w:sz w:val="20"/>
                <w:szCs w:val="20"/>
                <w:color w:val="auto"/>
              </w:rPr>
            </w:pPr>
            <w:r>
              <w:rPr>
                <w:rFonts w:ascii="Arial" w:cs="Arial" w:eastAsia="Arial" w:hAnsi="Arial"/>
                <w:sz w:val="13"/>
                <w:szCs w:val="13"/>
                <w:b w:val="1"/>
                <w:bCs w:val="1"/>
                <w:color w:val="auto"/>
                <w:w w:val="96"/>
              </w:rPr>
              <w:t>Options (#)</w:t>
            </w:r>
          </w:p>
        </w:tc>
        <w:tc>
          <w:tcPr>
            <w:tcW w:w="520" w:type="dxa"/>
            <w:vAlign w:val="bottom"/>
          </w:tcPr>
          <w:p>
            <w:pPr>
              <w:spacing w:after="0"/>
              <w:rPr>
                <w:sz w:val="12"/>
                <w:szCs w:val="12"/>
                <w:color w:val="auto"/>
              </w:rPr>
            </w:pPr>
          </w:p>
        </w:tc>
        <w:tc>
          <w:tcPr>
            <w:tcW w:w="540" w:type="dxa"/>
            <w:vAlign w:val="bottom"/>
            <w:gridSpan w:val="2"/>
          </w:tcPr>
          <w:p>
            <w:pPr>
              <w:jc w:val="right"/>
              <w:ind w:right="80"/>
              <w:spacing w:after="0" w:line="139" w:lineRule="exact"/>
              <w:rPr>
                <w:sz w:val="20"/>
                <w:szCs w:val="20"/>
                <w:color w:val="auto"/>
              </w:rPr>
            </w:pPr>
            <w:r>
              <w:rPr>
                <w:rFonts w:ascii="Arial" w:cs="Arial" w:eastAsia="Arial" w:hAnsi="Arial"/>
                <w:sz w:val="13"/>
                <w:szCs w:val="13"/>
                <w:b w:val="1"/>
                <w:bCs w:val="1"/>
                <w:color w:val="auto"/>
                <w:w w:val="82"/>
              </w:rPr>
              <w:t>Exercise</w:t>
            </w:r>
          </w:p>
        </w:tc>
        <w:tc>
          <w:tcPr>
            <w:tcW w:w="540" w:type="dxa"/>
            <w:vAlign w:val="bottom"/>
          </w:tcPr>
          <w:p>
            <w:pPr>
              <w:spacing w:after="0"/>
              <w:rPr>
                <w:sz w:val="12"/>
                <w:szCs w:val="12"/>
                <w:color w:val="auto"/>
              </w:rPr>
            </w:pPr>
          </w:p>
        </w:tc>
        <w:tc>
          <w:tcPr>
            <w:tcW w:w="1420" w:type="dxa"/>
            <w:vAlign w:val="bottom"/>
            <w:gridSpan w:val="2"/>
          </w:tcPr>
          <w:p>
            <w:pPr>
              <w:jc w:val="center"/>
              <w:ind w:right="640"/>
              <w:spacing w:after="0" w:line="139" w:lineRule="exact"/>
              <w:rPr>
                <w:sz w:val="20"/>
                <w:szCs w:val="20"/>
                <w:color w:val="auto"/>
              </w:rPr>
            </w:pPr>
            <w:r>
              <w:rPr>
                <w:rFonts w:ascii="Arial" w:cs="Arial" w:eastAsia="Arial" w:hAnsi="Arial"/>
                <w:sz w:val="13"/>
                <w:szCs w:val="13"/>
                <w:b w:val="1"/>
                <w:bCs w:val="1"/>
                <w:color w:val="auto"/>
                <w:w w:val="90"/>
              </w:rPr>
              <w:t>Option</w:t>
            </w:r>
          </w:p>
        </w:tc>
        <w:tc>
          <w:tcPr>
            <w:tcW w:w="1740" w:type="dxa"/>
            <w:vAlign w:val="bottom"/>
            <w:gridSpan w:val="2"/>
          </w:tcPr>
          <w:p>
            <w:pPr>
              <w:jc w:val="center"/>
              <w:ind w:right="697"/>
              <w:spacing w:after="0" w:line="139" w:lineRule="exact"/>
              <w:rPr>
                <w:sz w:val="20"/>
                <w:szCs w:val="20"/>
                <w:color w:val="auto"/>
              </w:rPr>
            </w:pPr>
            <w:r>
              <w:rPr>
                <w:rFonts w:ascii="Arial" w:cs="Arial" w:eastAsia="Arial" w:hAnsi="Arial"/>
                <w:sz w:val="13"/>
                <w:szCs w:val="13"/>
                <w:b w:val="1"/>
                <w:bCs w:val="1"/>
                <w:color w:val="auto"/>
                <w:w w:val="86"/>
              </w:rPr>
              <w:t>or Units of Stock</w:t>
            </w:r>
          </w:p>
        </w:tc>
        <w:tc>
          <w:tcPr>
            <w:tcW w:w="1060" w:type="dxa"/>
            <w:vAlign w:val="bottom"/>
            <w:gridSpan w:val="2"/>
          </w:tcPr>
          <w:p>
            <w:pPr>
              <w:jc w:val="right"/>
              <w:ind w:right="80"/>
              <w:spacing w:after="0" w:line="139" w:lineRule="exact"/>
              <w:rPr>
                <w:sz w:val="20"/>
                <w:szCs w:val="20"/>
                <w:color w:val="auto"/>
              </w:rPr>
            </w:pPr>
            <w:r>
              <w:rPr>
                <w:rFonts w:ascii="Arial" w:cs="Arial" w:eastAsia="Arial" w:hAnsi="Arial"/>
                <w:sz w:val="13"/>
                <w:szCs w:val="13"/>
                <w:b w:val="1"/>
                <w:bCs w:val="1"/>
                <w:color w:val="auto"/>
                <w:w w:val="85"/>
              </w:rPr>
              <w:t>Shares or Units of</w:t>
            </w:r>
          </w:p>
        </w:tc>
        <w:tc>
          <w:tcPr>
            <w:tcW w:w="0" w:type="dxa"/>
            <w:vAlign w:val="bottom"/>
          </w:tcPr>
          <w:p>
            <w:pPr>
              <w:spacing w:after="0"/>
              <w:rPr>
                <w:sz w:val="1"/>
                <w:szCs w:val="1"/>
                <w:color w:val="auto"/>
              </w:rPr>
            </w:pPr>
          </w:p>
        </w:tc>
      </w:tr>
      <w:tr>
        <w:trPr>
          <w:trHeight w:val="139"/>
        </w:trPr>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520" w:type="dxa"/>
            <w:vAlign w:val="bottom"/>
          </w:tcPr>
          <w:p>
            <w:pPr>
              <w:spacing w:after="0"/>
              <w:rPr>
                <w:sz w:val="12"/>
                <w:szCs w:val="12"/>
                <w:color w:val="auto"/>
              </w:rPr>
            </w:pP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7"/>
              </w:rPr>
              <w:t>Options (#)</w:t>
            </w:r>
          </w:p>
        </w:tc>
        <w:tc>
          <w:tcPr>
            <w:tcW w:w="540" w:type="dxa"/>
            <w:vAlign w:val="bottom"/>
          </w:tcPr>
          <w:p>
            <w:pPr>
              <w:spacing w:after="0"/>
              <w:rPr>
                <w:sz w:val="12"/>
                <w:szCs w:val="12"/>
                <w:color w:val="auto"/>
              </w:rPr>
            </w:pPr>
          </w:p>
        </w:tc>
        <w:tc>
          <w:tcPr>
            <w:tcW w:w="8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3"/>
              </w:rPr>
              <w:t>Unexercisable</w:t>
            </w:r>
          </w:p>
        </w:tc>
        <w:tc>
          <w:tcPr>
            <w:tcW w:w="520" w:type="dxa"/>
            <w:vAlign w:val="bottom"/>
          </w:tcPr>
          <w:p>
            <w:pPr>
              <w:spacing w:after="0"/>
              <w:rPr>
                <w:sz w:val="12"/>
                <w:szCs w:val="12"/>
                <w:color w:val="auto"/>
              </w:rPr>
            </w:pPr>
          </w:p>
        </w:tc>
        <w:tc>
          <w:tcPr>
            <w:tcW w:w="54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87"/>
              </w:rPr>
              <w:t>Price</w:t>
            </w:r>
          </w:p>
        </w:tc>
        <w:tc>
          <w:tcPr>
            <w:tcW w:w="540" w:type="dxa"/>
            <w:vAlign w:val="bottom"/>
          </w:tcPr>
          <w:p>
            <w:pPr>
              <w:spacing w:after="0"/>
              <w:rPr>
                <w:sz w:val="12"/>
                <w:szCs w:val="12"/>
                <w:color w:val="auto"/>
              </w:rPr>
            </w:pPr>
          </w:p>
        </w:tc>
        <w:tc>
          <w:tcPr>
            <w:tcW w:w="1420" w:type="dxa"/>
            <w:vAlign w:val="bottom"/>
            <w:gridSpan w:val="2"/>
          </w:tcPr>
          <w:p>
            <w:pPr>
              <w:jc w:val="center"/>
              <w:ind w:right="640"/>
              <w:spacing w:after="0" w:line="139" w:lineRule="exact"/>
              <w:rPr>
                <w:sz w:val="20"/>
                <w:szCs w:val="20"/>
                <w:color w:val="auto"/>
              </w:rPr>
            </w:pPr>
            <w:r>
              <w:rPr>
                <w:rFonts w:ascii="Arial" w:cs="Arial" w:eastAsia="Arial" w:hAnsi="Arial"/>
                <w:sz w:val="13"/>
                <w:szCs w:val="13"/>
                <w:b w:val="1"/>
                <w:bCs w:val="1"/>
                <w:color w:val="auto"/>
                <w:w w:val="91"/>
              </w:rPr>
              <w:t>Expiration</w:t>
            </w:r>
          </w:p>
        </w:tc>
        <w:tc>
          <w:tcPr>
            <w:tcW w:w="1740" w:type="dxa"/>
            <w:vAlign w:val="bottom"/>
            <w:gridSpan w:val="2"/>
          </w:tcPr>
          <w:p>
            <w:pPr>
              <w:jc w:val="center"/>
              <w:ind w:right="697"/>
              <w:spacing w:after="0" w:line="139" w:lineRule="exact"/>
              <w:rPr>
                <w:sz w:val="20"/>
                <w:szCs w:val="20"/>
                <w:color w:val="auto"/>
              </w:rPr>
            </w:pPr>
            <w:r>
              <w:rPr>
                <w:rFonts w:ascii="Arial" w:cs="Arial" w:eastAsia="Arial" w:hAnsi="Arial"/>
                <w:sz w:val="13"/>
                <w:szCs w:val="13"/>
                <w:b w:val="1"/>
                <w:bCs w:val="1"/>
                <w:color w:val="auto"/>
                <w:w w:val="89"/>
              </w:rPr>
              <w:t>That Have Not</w:t>
            </w:r>
          </w:p>
        </w:tc>
        <w:tc>
          <w:tcPr>
            <w:tcW w:w="106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Stock that Have</w:t>
            </w:r>
          </w:p>
        </w:tc>
        <w:tc>
          <w:tcPr>
            <w:tcW w:w="0" w:type="dxa"/>
            <w:vAlign w:val="bottom"/>
          </w:tcPr>
          <w:p>
            <w:pPr>
              <w:spacing w:after="0"/>
              <w:rPr>
                <w:sz w:val="1"/>
                <w:szCs w:val="1"/>
                <w:color w:val="auto"/>
              </w:rPr>
            </w:pPr>
          </w:p>
        </w:tc>
      </w:tr>
      <w:tr>
        <w:trPr>
          <w:trHeight w:val="144"/>
        </w:trPr>
        <w:tc>
          <w:tcPr>
            <w:tcW w:w="2940" w:type="dxa"/>
            <w:vAlign w:val="bottom"/>
            <w:tcBorders>
              <w:bottom w:val="single" w:sz="8" w:color="auto"/>
            </w:tcBorders>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5"/>
              </w:rPr>
              <w:t>Exercisable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Borders>
              <w:bottom w:val="single" w:sz="8" w:color="auto"/>
            </w:tcBorders>
          </w:tcPr>
          <w:p>
            <w:pPr>
              <w:ind w:left="300"/>
              <w:spacing w:after="0" w:line="139" w:lineRule="exact"/>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2"/>
              </w:rPr>
              <w:t>Date (2)</w:t>
            </w:r>
          </w:p>
        </w:tc>
        <w:tc>
          <w:tcPr>
            <w:tcW w:w="62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6"/>
              </w:rPr>
              <w:t>Vested (#)</w:t>
            </w:r>
          </w:p>
        </w:tc>
        <w:tc>
          <w:tcPr>
            <w:tcW w:w="760" w:type="dxa"/>
            <w:vAlign w:val="bottom"/>
          </w:tcPr>
          <w:p>
            <w:pPr>
              <w:spacing w:after="0"/>
              <w:rPr>
                <w:sz w:val="12"/>
                <w:szCs w:val="12"/>
                <w:color w:val="auto"/>
              </w:rPr>
            </w:pPr>
          </w:p>
        </w:tc>
        <w:tc>
          <w:tcPr>
            <w:tcW w:w="980" w:type="dxa"/>
            <w:vAlign w:val="bottom"/>
            <w:tcBorders>
              <w:bottom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w w:val="89"/>
              </w:rPr>
              <w:t>Not Vested ($)(5)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94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80,000</w:t>
            </w:r>
          </w:p>
        </w:tc>
        <w:tc>
          <w:tcPr>
            <w:tcW w:w="5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41.05</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01/22/2012</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683</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36.62</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05/31/2012</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278</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37.38</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06/02/2013</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65,000</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45.27</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12/10/2013</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517</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48.41</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06/01/2014</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65,000</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37.70</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12/07/2014</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675</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37.04</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06/01/2015</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40,000</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39.44</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12/06/2015</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40,000</w:t>
            </w:r>
          </w:p>
        </w:tc>
        <w:tc>
          <w:tcPr>
            <w:tcW w:w="1380" w:type="dxa"/>
            <w:vAlign w:val="bottom"/>
            <w:gridSpan w:val="3"/>
          </w:tcPr>
          <w:p>
            <w:pPr>
              <w:ind w:left="840"/>
              <w:spacing w:after="0"/>
              <w:rPr>
                <w:sz w:val="20"/>
                <w:szCs w:val="20"/>
                <w:color w:val="auto"/>
              </w:rPr>
            </w:pPr>
            <w:r>
              <w:rPr>
                <w:rFonts w:ascii="Arial" w:cs="Arial" w:eastAsia="Arial" w:hAnsi="Arial"/>
                <w:sz w:val="16"/>
                <w:szCs w:val="16"/>
                <w:color w:val="auto"/>
              </w:rPr>
              <w:t>10,000</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33.41</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01/04/2017</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30,000</w:t>
            </w:r>
          </w:p>
        </w:tc>
        <w:tc>
          <w:tcPr>
            <w:tcW w:w="1380" w:type="dxa"/>
            <w:vAlign w:val="bottom"/>
            <w:gridSpan w:val="3"/>
          </w:tcPr>
          <w:p>
            <w:pPr>
              <w:ind w:left="840"/>
              <w:spacing w:after="0"/>
              <w:rPr>
                <w:sz w:val="20"/>
                <w:szCs w:val="20"/>
                <w:color w:val="auto"/>
              </w:rPr>
            </w:pPr>
            <w:r>
              <w:rPr>
                <w:rFonts w:ascii="Arial" w:cs="Arial" w:eastAsia="Arial" w:hAnsi="Arial"/>
                <w:sz w:val="16"/>
                <w:szCs w:val="16"/>
                <w:color w:val="auto"/>
              </w:rPr>
              <w:t>20,000</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29.91</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01/03/2018</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30,000</w:t>
            </w:r>
          </w:p>
        </w:tc>
        <w:tc>
          <w:tcPr>
            <w:tcW w:w="1380" w:type="dxa"/>
            <w:vAlign w:val="bottom"/>
            <w:gridSpan w:val="3"/>
          </w:tcPr>
          <w:p>
            <w:pPr>
              <w:ind w:left="840"/>
              <w:spacing w:after="0"/>
              <w:rPr>
                <w:sz w:val="20"/>
                <w:szCs w:val="20"/>
                <w:color w:val="auto"/>
              </w:rPr>
            </w:pPr>
            <w:r>
              <w:rPr>
                <w:rFonts w:ascii="Arial" w:cs="Arial" w:eastAsia="Arial" w:hAnsi="Arial"/>
                <w:sz w:val="16"/>
                <w:szCs w:val="16"/>
                <w:color w:val="auto"/>
              </w:rPr>
              <w:t>45,000</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19.57</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01/05/2019</w:t>
            </w:r>
          </w:p>
        </w:tc>
        <w:tc>
          <w:tcPr>
            <w:tcW w:w="17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9,500</w:t>
            </w:r>
          </w:p>
        </w:tc>
        <w:tc>
          <w:tcPr>
            <w:tcW w:w="1380" w:type="dxa"/>
            <w:vAlign w:val="bottom"/>
            <w:gridSpan w:val="3"/>
          </w:tcPr>
          <w:p>
            <w:pPr>
              <w:ind w:left="840"/>
              <w:spacing w:after="0"/>
              <w:rPr>
                <w:sz w:val="20"/>
                <w:szCs w:val="20"/>
                <w:color w:val="auto"/>
              </w:rPr>
            </w:pPr>
            <w:r>
              <w:rPr>
                <w:rFonts w:ascii="Arial" w:cs="Arial" w:eastAsia="Arial" w:hAnsi="Arial"/>
                <w:sz w:val="16"/>
                <w:szCs w:val="16"/>
                <w:color w:val="auto"/>
              </w:rPr>
              <w:t>38,000</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31.62</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01/05/2020</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12,825(3)</w:t>
            </w:r>
          </w:p>
        </w:tc>
        <w:tc>
          <w:tcPr>
            <w:tcW w:w="980" w:type="dxa"/>
            <w:vAlign w:val="bottom"/>
          </w:tcPr>
          <w:p>
            <w:pPr>
              <w:jc w:val="right"/>
              <w:spacing w:after="0"/>
              <w:rPr>
                <w:sz w:val="20"/>
                <w:szCs w:val="20"/>
                <w:color w:val="auto"/>
              </w:rPr>
            </w:pPr>
            <w:r>
              <w:rPr>
                <w:rFonts w:ascii="Arial" w:cs="Arial" w:eastAsia="Arial" w:hAnsi="Arial"/>
                <w:sz w:val="16"/>
                <w:szCs w:val="16"/>
                <w:color w:val="auto"/>
              </w:rPr>
              <w:t>483,503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840"/>
              <w:spacing w:after="0"/>
              <w:rPr>
                <w:sz w:val="20"/>
                <w:szCs w:val="20"/>
                <w:color w:val="auto"/>
              </w:rPr>
            </w:pPr>
            <w:r>
              <w:rPr>
                <w:rFonts w:ascii="Arial" w:cs="Arial" w:eastAsia="Arial" w:hAnsi="Arial"/>
                <w:sz w:val="16"/>
                <w:szCs w:val="16"/>
                <w:color w:val="auto"/>
              </w:rPr>
              <w:t>52,630</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37.52</w:t>
            </w:r>
          </w:p>
        </w:tc>
        <w:tc>
          <w:tcPr>
            <w:tcW w:w="1960" w:type="dxa"/>
            <w:vAlign w:val="bottom"/>
            <w:gridSpan w:val="3"/>
          </w:tcPr>
          <w:p>
            <w:pPr>
              <w:jc w:val="right"/>
              <w:ind w:right="620"/>
              <w:spacing w:after="0"/>
              <w:rPr>
                <w:sz w:val="20"/>
                <w:szCs w:val="20"/>
                <w:color w:val="auto"/>
              </w:rPr>
            </w:pPr>
            <w:r>
              <w:rPr>
                <w:rFonts w:ascii="Arial" w:cs="Arial" w:eastAsia="Arial" w:hAnsi="Arial"/>
                <w:sz w:val="16"/>
                <w:szCs w:val="16"/>
                <w:color w:val="auto"/>
              </w:rPr>
              <w:t>01/04/2021</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12,070(3)</w:t>
            </w:r>
          </w:p>
        </w:tc>
        <w:tc>
          <w:tcPr>
            <w:tcW w:w="980" w:type="dxa"/>
            <w:vAlign w:val="bottom"/>
          </w:tcPr>
          <w:p>
            <w:pPr>
              <w:jc w:val="right"/>
              <w:spacing w:after="0"/>
              <w:rPr>
                <w:sz w:val="20"/>
                <w:szCs w:val="20"/>
                <w:color w:val="auto"/>
              </w:rPr>
            </w:pPr>
            <w:r>
              <w:rPr>
                <w:rFonts w:ascii="Arial" w:cs="Arial" w:eastAsia="Arial" w:hAnsi="Arial"/>
                <w:sz w:val="16"/>
                <w:szCs w:val="16"/>
                <w:color w:val="auto"/>
              </w:rPr>
              <w:t>455,039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41.05</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01/22/2012</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669</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36.62</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05/31/2012</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20,000</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19.89</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09/24/2012</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37.38</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06/02/2013</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45.27</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12/10/2013</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48.41</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06/01/2014</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37.70</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12/07/2014</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37.04</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06/01/2015</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39.44</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12/06/2015</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10,000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33.41</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01/04/2017</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32,000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29.91</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01/03/2018</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54,000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01/05/2019</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38,000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01/05/2020</w:t>
            </w:r>
          </w:p>
        </w:tc>
        <w:tc>
          <w:tcPr>
            <w:tcW w:w="17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12,825(3)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52,630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01/04/2021</w:t>
            </w:r>
          </w:p>
        </w:tc>
        <w:tc>
          <w:tcPr>
            <w:tcW w:w="17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12,070(3)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7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0" w:lineRule="exact"/>
        <w:rPr>
          <w:sz w:val="20"/>
          <w:szCs w:val="20"/>
          <w:color w:val="auto"/>
        </w:rPr>
      </w:pPr>
    </w:p>
    <w:p>
      <w:pPr>
        <w:ind w:left="460" w:hanging="459"/>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remaining unexercised options held by these officers vest, subject to continued employment,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Grant Date</w:t>
            </w:r>
          </w:p>
        </w:tc>
        <w:tc>
          <w:tcPr>
            <w:tcW w:w="64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Arial" w:cs="Arial" w:eastAsia="Arial" w:hAnsi="Arial"/>
                <w:sz w:val="13"/>
                <w:szCs w:val="13"/>
                <w:b w:val="1"/>
                <w:bCs w:val="1"/>
                <w:color w:val="auto"/>
              </w:rPr>
              <w:t>Vest Date</w:t>
            </w: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David A. Zinsner</w:t>
            </w:r>
          </w:p>
        </w:tc>
        <w:tc>
          <w:tcPr>
            <w:tcW w:w="182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w w:val="90"/>
              </w:rPr>
              <w:t>Robert R. Marshall</w:t>
            </w:r>
          </w:p>
        </w:tc>
        <w:tc>
          <w:tcPr>
            <w:tcW w:w="17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88"/>
              </w:rPr>
              <w:t>Robert P. McAdam</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5"/>
              </w:rPr>
              <w:t>Vincent T. Roche</w:t>
            </w:r>
          </w:p>
        </w:tc>
      </w:tr>
      <w:tr>
        <w:trPr>
          <w:trHeight w:val="88"/>
        </w:trPr>
        <w:tc>
          <w:tcPr>
            <w:tcW w:w="640" w:type="dxa"/>
            <w:vAlign w:val="bottom"/>
            <w:tcBorders>
              <w:top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202"/>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01/04/2007</w:t>
            </w:r>
          </w:p>
        </w:tc>
        <w:tc>
          <w:tcPr>
            <w:tcW w:w="220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01/04/2012</w:t>
            </w:r>
          </w:p>
        </w:tc>
        <w:tc>
          <w:tcPr>
            <w:tcW w:w="16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10,000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7"/>
                <w:szCs w:val="17"/>
                <w:color w:val="auto"/>
              </w:rPr>
            </w:pPr>
          </w:p>
        </w:tc>
      </w:tr>
      <w:tr>
        <w:trPr>
          <w:trHeight w:val="294"/>
        </w:trPr>
        <w:tc>
          <w:tcPr>
            <w:tcW w:w="2960" w:type="dxa"/>
            <w:vAlign w:val="bottom"/>
            <w:gridSpan w:val="2"/>
          </w:tcPr>
          <w:p>
            <w:pPr>
              <w:spacing w:after="0"/>
              <w:rPr>
                <w:sz w:val="20"/>
                <w:szCs w:val="20"/>
                <w:color w:val="auto"/>
              </w:rPr>
            </w:pPr>
            <w:r>
              <w:rPr>
                <w:rFonts w:ascii="Arial" w:cs="Arial" w:eastAsia="Arial" w:hAnsi="Arial"/>
                <w:sz w:val="16"/>
                <w:szCs w:val="16"/>
                <w:color w:val="auto"/>
              </w:rPr>
              <w:t>01/03/2008</w:t>
            </w:r>
          </w:p>
        </w:tc>
        <w:tc>
          <w:tcPr>
            <w:tcW w:w="2200" w:type="dxa"/>
            <w:vAlign w:val="bottom"/>
            <w:gridSpan w:val="3"/>
          </w:tcPr>
          <w:p>
            <w:pPr>
              <w:jc w:val="right"/>
              <w:ind w:right="740"/>
              <w:spacing w:after="0"/>
              <w:rPr>
                <w:sz w:val="20"/>
                <w:szCs w:val="20"/>
                <w:color w:val="auto"/>
              </w:rPr>
            </w:pPr>
            <w:r>
              <w:rPr>
                <w:rFonts w:ascii="Arial" w:cs="Arial" w:eastAsia="Arial" w:hAnsi="Arial"/>
                <w:sz w:val="16"/>
                <w:szCs w:val="16"/>
                <w:color w:val="auto"/>
              </w:rPr>
              <w:t>01/03/2012</w:t>
            </w:r>
          </w:p>
        </w:tc>
        <w:tc>
          <w:tcPr>
            <w:tcW w:w="16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760"/>
              <w:spacing w:after="0"/>
              <w:rPr>
                <w:sz w:val="20"/>
                <w:szCs w:val="20"/>
                <w:color w:val="auto"/>
              </w:rPr>
            </w:pPr>
            <w:r>
              <w:rPr>
                <w:rFonts w:ascii="Arial" w:cs="Arial" w:eastAsia="Arial" w:hAnsi="Arial"/>
                <w:sz w:val="16"/>
                <w:szCs w:val="16"/>
                <w:color w:val="auto"/>
              </w:rPr>
              <w:t>10,000</w:t>
            </w: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16,000</w:t>
            </w:r>
          </w:p>
        </w:tc>
        <w:tc>
          <w:tcPr>
            <w:tcW w:w="80" w:type="dxa"/>
            <w:vAlign w:val="bottom"/>
          </w:tcPr>
          <w:p>
            <w:pPr>
              <w:spacing w:after="0"/>
              <w:rPr>
                <w:sz w:val="24"/>
                <w:szCs w:val="24"/>
                <w:color w:val="auto"/>
              </w:rPr>
            </w:pPr>
          </w:p>
        </w:tc>
      </w:tr>
      <w:tr>
        <w:trPr>
          <w:trHeight w:val="208"/>
        </w:trPr>
        <w:tc>
          <w:tcPr>
            <w:tcW w:w="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0" w:type="dxa"/>
            <w:vAlign w:val="bottom"/>
            <w:gridSpan w:val="3"/>
          </w:tcPr>
          <w:p>
            <w:pPr>
              <w:jc w:val="right"/>
              <w:ind w:right="740"/>
              <w:spacing w:after="0"/>
              <w:rPr>
                <w:sz w:val="20"/>
                <w:szCs w:val="20"/>
                <w:color w:val="auto"/>
              </w:rPr>
            </w:pPr>
            <w:r>
              <w:rPr>
                <w:rFonts w:ascii="Arial" w:cs="Arial" w:eastAsia="Arial" w:hAnsi="Arial"/>
                <w:sz w:val="16"/>
                <w:szCs w:val="16"/>
                <w:color w:val="auto"/>
              </w:rPr>
              <w:t>01/03/2013</w:t>
            </w:r>
          </w:p>
        </w:tc>
        <w:tc>
          <w:tcPr>
            <w:tcW w:w="16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760"/>
              <w:spacing w:after="0"/>
              <w:rPr>
                <w:sz w:val="20"/>
                <w:szCs w:val="20"/>
                <w:color w:val="auto"/>
              </w:rPr>
            </w:pPr>
            <w:r>
              <w:rPr>
                <w:rFonts w:ascii="Arial" w:cs="Arial" w:eastAsia="Arial" w:hAnsi="Arial"/>
                <w:sz w:val="16"/>
                <w:szCs w:val="16"/>
                <w:color w:val="auto"/>
              </w:rPr>
              <w:t>10,000</w:t>
            </w: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16,000</w:t>
            </w:r>
          </w:p>
        </w:tc>
        <w:tc>
          <w:tcPr>
            <w:tcW w:w="80" w:type="dxa"/>
            <w:vAlign w:val="bottom"/>
          </w:tcPr>
          <w:p>
            <w:pPr>
              <w:spacing w:after="0"/>
              <w:rPr>
                <w:sz w:val="18"/>
                <w:szCs w:val="18"/>
                <w:color w:val="auto"/>
              </w:rPr>
            </w:pPr>
          </w:p>
        </w:tc>
      </w:tr>
      <w:tr>
        <w:trPr>
          <w:trHeight w:val="103"/>
        </w:trPr>
        <w:tc>
          <w:tcPr>
            <w:tcW w:w="6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2"/>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01/05/2009</w:t>
            </w:r>
          </w:p>
        </w:tc>
        <w:tc>
          <w:tcPr>
            <w:tcW w:w="220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01/05/2012</w:t>
            </w:r>
          </w:p>
        </w:tc>
        <w:tc>
          <w:tcPr>
            <w:tcW w:w="16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15,000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80" w:type="dxa"/>
            <w:vAlign w:val="bottom"/>
            <w:shd w:val="clear" w:color="auto" w:fill="CCEEFF"/>
          </w:tcPr>
          <w:p>
            <w:pPr>
              <w:spacing w:after="0"/>
              <w:rPr>
                <w:sz w:val="17"/>
                <w:szCs w:val="17"/>
                <w:color w:val="auto"/>
              </w:rPr>
            </w:pPr>
          </w:p>
        </w:tc>
      </w:tr>
      <w:tr>
        <w:trPr>
          <w:trHeight w:val="202"/>
        </w:trPr>
        <w:tc>
          <w:tcPr>
            <w:tcW w:w="6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w w:val="99"/>
              </w:rPr>
              <w:t>01/05/2013</w:t>
            </w:r>
          </w:p>
        </w:tc>
        <w:tc>
          <w:tcPr>
            <w:tcW w:w="16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15,000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80" w:type="dxa"/>
            <w:vAlign w:val="bottom"/>
            <w:shd w:val="clear" w:color="auto" w:fill="CCEEFF"/>
          </w:tcPr>
          <w:p>
            <w:pPr>
              <w:spacing w:after="0"/>
              <w:rPr>
                <w:sz w:val="17"/>
                <w:szCs w:val="17"/>
                <w:color w:val="auto"/>
              </w:rPr>
            </w:pPr>
          </w:p>
        </w:tc>
      </w:tr>
      <w:tr>
        <w:trPr>
          <w:trHeight w:val="202"/>
        </w:trPr>
        <w:tc>
          <w:tcPr>
            <w:tcW w:w="6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w w:val="99"/>
              </w:rPr>
              <w:t>01/05/2014</w:t>
            </w:r>
          </w:p>
        </w:tc>
        <w:tc>
          <w:tcPr>
            <w:tcW w:w="16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15,000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80" w:type="dxa"/>
            <w:vAlign w:val="bottom"/>
            <w:shd w:val="clear" w:color="auto" w:fill="CCEEFF"/>
          </w:tcPr>
          <w:p>
            <w:pPr>
              <w:spacing w:after="0"/>
              <w:rPr>
                <w:sz w:val="17"/>
                <w:szCs w:val="17"/>
                <w:color w:val="auto"/>
              </w:rPr>
            </w:pPr>
          </w:p>
        </w:tc>
      </w:tr>
      <w:tr>
        <w:trPr>
          <w:trHeight w:val="294"/>
        </w:trPr>
        <w:tc>
          <w:tcPr>
            <w:tcW w:w="2960" w:type="dxa"/>
            <w:vAlign w:val="bottom"/>
            <w:gridSpan w:val="2"/>
          </w:tcPr>
          <w:p>
            <w:pPr>
              <w:spacing w:after="0"/>
              <w:rPr>
                <w:sz w:val="20"/>
                <w:szCs w:val="20"/>
                <w:color w:val="auto"/>
              </w:rPr>
            </w:pPr>
            <w:r>
              <w:rPr>
                <w:rFonts w:ascii="Arial" w:cs="Arial" w:eastAsia="Arial" w:hAnsi="Arial"/>
                <w:sz w:val="16"/>
                <w:szCs w:val="16"/>
                <w:color w:val="auto"/>
              </w:rPr>
              <w:t>02/17/2009</w:t>
            </w:r>
          </w:p>
        </w:tc>
        <w:tc>
          <w:tcPr>
            <w:tcW w:w="2200" w:type="dxa"/>
            <w:vAlign w:val="bottom"/>
            <w:gridSpan w:val="3"/>
          </w:tcPr>
          <w:p>
            <w:pPr>
              <w:jc w:val="right"/>
              <w:ind w:right="740"/>
              <w:spacing w:after="0"/>
              <w:rPr>
                <w:sz w:val="20"/>
                <w:szCs w:val="20"/>
                <w:color w:val="auto"/>
              </w:rPr>
            </w:pPr>
            <w:r>
              <w:rPr>
                <w:rFonts w:ascii="Arial" w:cs="Arial" w:eastAsia="Arial" w:hAnsi="Arial"/>
                <w:sz w:val="16"/>
                <w:szCs w:val="16"/>
                <w:color w:val="auto"/>
              </w:rPr>
              <w:t>02/17/2012</w:t>
            </w:r>
          </w:p>
        </w:tc>
        <w:tc>
          <w:tcPr>
            <w:tcW w:w="920" w:type="dxa"/>
            <w:vAlign w:val="bottom"/>
          </w:tcPr>
          <w:p>
            <w:pPr>
              <w:ind w:left="480"/>
              <w:spacing w:after="0"/>
              <w:rPr>
                <w:sz w:val="20"/>
                <w:szCs w:val="20"/>
                <w:color w:val="auto"/>
              </w:rPr>
            </w:pPr>
            <w:r>
              <w:rPr>
                <w:rFonts w:ascii="Arial" w:cs="Arial" w:eastAsia="Arial" w:hAnsi="Arial"/>
                <w:sz w:val="16"/>
                <w:szCs w:val="16"/>
                <w:color w:val="auto"/>
                <w:w w:val="85"/>
              </w:rPr>
              <w:t>32,000</w:t>
            </w:r>
          </w:p>
        </w:tc>
        <w:tc>
          <w:tcPr>
            <w:tcW w:w="740" w:type="dxa"/>
            <w:vAlign w:val="bottom"/>
          </w:tcPr>
          <w:p>
            <w:pPr>
              <w:spacing w:after="0"/>
              <w:rPr>
                <w:sz w:val="24"/>
                <w:szCs w:val="2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17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02"/>
        </w:trPr>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0" w:type="dxa"/>
            <w:vAlign w:val="bottom"/>
            <w:gridSpan w:val="3"/>
          </w:tcPr>
          <w:p>
            <w:pPr>
              <w:jc w:val="right"/>
              <w:ind w:right="740"/>
              <w:spacing w:after="0"/>
              <w:rPr>
                <w:sz w:val="20"/>
                <w:szCs w:val="20"/>
                <w:color w:val="auto"/>
              </w:rPr>
            </w:pPr>
            <w:r>
              <w:rPr>
                <w:rFonts w:ascii="Arial" w:cs="Arial" w:eastAsia="Arial" w:hAnsi="Arial"/>
                <w:sz w:val="16"/>
                <w:szCs w:val="16"/>
                <w:color w:val="auto"/>
              </w:rPr>
              <w:t>02/17/2013</w:t>
            </w:r>
          </w:p>
        </w:tc>
        <w:tc>
          <w:tcPr>
            <w:tcW w:w="920" w:type="dxa"/>
            <w:vAlign w:val="bottom"/>
          </w:tcPr>
          <w:p>
            <w:pPr>
              <w:ind w:left="480"/>
              <w:spacing w:after="0"/>
              <w:rPr>
                <w:sz w:val="20"/>
                <w:szCs w:val="20"/>
                <w:color w:val="auto"/>
              </w:rPr>
            </w:pPr>
            <w:r>
              <w:rPr>
                <w:rFonts w:ascii="Arial" w:cs="Arial" w:eastAsia="Arial" w:hAnsi="Arial"/>
                <w:sz w:val="16"/>
                <w:szCs w:val="16"/>
                <w:color w:val="auto"/>
                <w:w w:val="85"/>
              </w:rPr>
              <w:t>32,000</w:t>
            </w:r>
          </w:p>
        </w:tc>
        <w:tc>
          <w:tcPr>
            <w:tcW w:w="740" w:type="dxa"/>
            <w:vAlign w:val="bottom"/>
          </w:tcPr>
          <w:p>
            <w:pPr>
              <w:spacing w:after="0"/>
              <w:rPr>
                <w:sz w:val="17"/>
                <w:szCs w:val="17"/>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17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08"/>
        </w:trPr>
        <w:tc>
          <w:tcPr>
            <w:tcW w:w="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0" w:type="dxa"/>
            <w:vAlign w:val="bottom"/>
            <w:gridSpan w:val="3"/>
          </w:tcPr>
          <w:p>
            <w:pPr>
              <w:jc w:val="right"/>
              <w:ind w:right="740"/>
              <w:spacing w:after="0"/>
              <w:rPr>
                <w:sz w:val="20"/>
                <w:szCs w:val="20"/>
                <w:color w:val="auto"/>
              </w:rPr>
            </w:pPr>
            <w:r>
              <w:rPr>
                <w:rFonts w:ascii="Arial" w:cs="Arial" w:eastAsia="Arial" w:hAnsi="Arial"/>
                <w:sz w:val="16"/>
                <w:szCs w:val="16"/>
                <w:color w:val="auto"/>
              </w:rPr>
              <w:t>02/17/2014</w:t>
            </w:r>
          </w:p>
        </w:tc>
        <w:tc>
          <w:tcPr>
            <w:tcW w:w="920" w:type="dxa"/>
            <w:vAlign w:val="bottom"/>
          </w:tcPr>
          <w:p>
            <w:pPr>
              <w:ind w:left="480"/>
              <w:spacing w:after="0"/>
              <w:rPr>
                <w:sz w:val="20"/>
                <w:szCs w:val="20"/>
                <w:color w:val="auto"/>
              </w:rPr>
            </w:pPr>
            <w:r>
              <w:rPr>
                <w:rFonts w:ascii="Arial" w:cs="Arial" w:eastAsia="Arial" w:hAnsi="Arial"/>
                <w:sz w:val="16"/>
                <w:szCs w:val="16"/>
                <w:color w:val="auto"/>
                <w:w w:val="85"/>
              </w:rPr>
              <w:t>32,000</w:t>
            </w:r>
          </w:p>
        </w:tc>
        <w:tc>
          <w:tcPr>
            <w:tcW w:w="740" w:type="dxa"/>
            <w:vAlign w:val="bottom"/>
          </w:tcPr>
          <w:p>
            <w:pPr>
              <w:spacing w:after="0"/>
              <w:rPr>
                <w:sz w:val="18"/>
                <w:szCs w:val="18"/>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17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340"/>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48</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Grant Date</w:t>
            </w:r>
          </w:p>
        </w:tc>
        <w:tc>
          <w:tcPr>
            <w:tcW w:w="7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Vest Date</w:t>
            </w:r>
          </w:p>
        </w:tc>
        <w:tc>
          <w:tcPr>
            <w:tcW w:w="174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89"/>
              </w:rPr>
              <w:t>David A. Zinsner</w:t>
            </w:r>
          </w:p>
        </w:tc>
        <w:tc>
          <w:tcPr>
            <w:tcW w:w="186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90"/>
              </w:rPr>
              <w:t>Robert R. Marshall</w:t>
            </w:r>
          </w:p>
        </w:tc>
        <w:tc>
          <w:tcPr>
            <w:tcW w:w="1860" w:type="dxa"/>
            <w:vAlign w:val="bottom"/>
            <w:gridSpan w:val="2"/>
          </w:tcPr>
          <w:p>
            <w:pPr>
              <w:spacing w:after="0"/>
              <w:rPr>
                <w:sz w:val="20"/>
                <w:szCs w:val="20"/>
                <w:color w:val="auto"/>
              </w:rPr>
            </w:pPr>
            <w:r>
              <w:rPr>
                <w:rFonts w:ascii="Arial" w:cs="Arial" w:eastAsia="Arial" w:hAnsi="Arial"/>
                <w:sz w:val="13"/>
                <w:szCs w:val="13"/>
                <w:b w:val="1"/>
                <w:bCs w:val="1"/>
                <w:color w:val="auto"/>
              </w:rPr>
              <w:t>Robert P. McAdam</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w w:val="92"/>
              </w:rPr>
              <w:t>Vincent T. Roche</w:t>
            </w:r>
          </w:p>
        </w:tc>
      </w:tr>
      <w:tr>
        <w:trPr>
          <w:trHeight w:val="88"/>
        </w:trPr>
        <w:tc>
          <w:tcPr>
            <w:tcW w:w="640" w:type="dxa"/>
            <w:vAlign w:val="bottom"/>
            <w:tcBorders>
              <w:top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202"/>
        </w:trPr>
        <w:tc>
          <w:tcPr>
            <w:tcW w:w="2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01/05/2010</w:t>
            </w: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6"/>
                <w:szCs w:val="16"/>
                <w:color w:val="auto"/>
              </w:rPr>
              <w:t>01/05/2012</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9,500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 w:type="dxa"/>
            <w:vAlign w:val="bottom"/>
            <w:shd w:val="clear" w:color="auto" w:fill="CCEEFF"/>
          </w:tcPr>
          <w:p>
            <w:pPr>
              <w:spacing w:after="0"/>
              <w:rPr>
                <w:sz w:val="17"/>
                <w:szCs w:val="17"/>
                <w:color w:val="auto"/>
              </w:rPr>
            </w:pPr>
          </w:p>
        </w:tc>
      </w:tr>
      <w:tr>
        <w:trPr>
          <w:trHeight w:val="202"/>
        </w:trPr>
        <w:tc>
          <w:tcPr>
            <w:tcW w:w="6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w w:val="97"/>
              </w:rPr>
              <w:t>01/05/2013</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9,500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 w:type="dxa"/>
            <w:vAlign w:val="bottom"/>
            <w:shd w:val="clear" w:color="auto" w:fill="CCEEFF"/>
          </w:tcPr>
          <w:p>
            <w:pPr>
              <w:spacing w:after="0"/>
              <w:rPr>
                <w:sz w:val="17"/>
                <w:szCs w:val="17"/>
                <w:color w:val="auto"/>
              </w:rPr>
            </w:pPr>
          </w:p>
        </w:tc>
      </w:tr>
      <w:tr>
        <w:trPr>
          <w:trHeight w:val="202"/>
        </w:trPr>
        <w:tc>
          <w:tcPr>
            <w:tcW w:w="6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w w:val="97"/>
              </w:rPr>
              <w:t>01/05/2014</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9,500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 w:type="dxa"/>
            <w:vAlign w:val="bottom"/>
            <w:shd w:val="clear" w:color="auto" w:fill="CCEEFF"/>
          </w:tcPr>
          <w:p>
            <w:pPr>
              <w:spacing w:after="0"/>
              <w:rPr>
                <w:sz w:val="17"/>
                <w:szCs w:val="17"/>
                <w:color w:val="auto"/>
              </w:rPr>
            </w:pPr>
          </w:p>
        </w:tc>
      </w:tr>
      <w:tr>
        <w:trPr>
          <w:trHeight w:val="202"/>
        </w:trPr>
        <w:tc>
          <w:tcPr>
            <w:tcW w:w="6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w w:val="97"/>
              </w:rPr>
              <w:t>01/05/2015</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9,500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 w:type="dxa"/>
            <w:vAlign w:val="bottom"/>
            <w:shd w:val="clear" w:color="auto" w:fill="CCEEFF"/>
          </w:tcPr>
          <w:p>
            <w:pPr>
              <w:spacing w:after="0"/>
              <w:rPr>
                <w:sz w:val="17"/>
                <w:szCs w:val="17"/>
                <w:color w:val="auto"/>
              </w:rPr>
            </w:pPr>
          </w:p>
        </w:tc>
      </w:tr>
      <w:tr>
        <w:trPr>
          <w:trHeight w:val="294"/>
        </w:trPr>
        <w:tc>
          <w:tcPr>
            <w:tcW w:w="2640" w:type="dxa"/>
            <w:vAlign w:val="bottom"/>
            <w:gridSpan w:val="2"/>
          </w:tcPr>
          <w:p>
            <w:pPr>
              <w:spacing w:after="0"/>
              <w:rPr>
                <w:sz w:val="20"/>
                <w:szCs w:val="20"/>
                <w:color w:val="auto"/>
              </w:rPr>
            </w:pPr>
            <w:r>
              <w:rPr>
                <w:rFonts w:ascii="Arial" w:cs="Arial" w:eastAsia="Arial" w:hAnsi="Arial"/>
                <w:sz w:val="16"/>
                <w:szCs w:val="16"/>
                <w:color w:val="auto"/>
              </w:rPr>
              <w:t>01/04/2011</w:t>
            </w:r>
          </w:p>
        </w:tc>
        <w:tc>
          <w:tcPr>
            <w:tcW w:w="2320" w:type="dxa"/>
            <w:vAlign w:val="bottom"/>
            <w:gridSpan w:val="3"/>
          </w:tcPr>
          <w:p>
            <w:pPr>
              <w:jc w:val="right"/>
              <w:ind w:right="800"/>
              <w:spacing w:after="0"/>
              <w:rPr>
                <w:sz w:val="20"/>
                <w:szCs w:val="20"/>
                <w:color w:val="auto"/>
              </w:rPr>
            </w:pPr>
            <w:r>
              <w:rPr>
                <w:rFonts w:ascii="Arial" w:cs="Arial" w:eastAsia="Arial" w:hAnsi="Arial"/>
                <w:sz w:val="16"/>
                <w:szCs w:val="16"/>
                <w:color w:val="auto"/>
              </w:rPr>
              <w:t>01/04/2012</w:t>
            </w:r>
          </w:p>
        </w:tc>
        <w:tc>
          <w:tcPr>
            <w:tcW w:w="940" w:type="dxa"/>
            <w:vAlign w:val="bottom"/>
          </w:tcPr>
          <w:p>
            <w:pPr>
              <w:jc w:val="right"/>
              <w:spacing w:after="0"/>
              <w:rPr>
                <w:sz w:val="20"/>
                <w:szCs w:val="20"/>
                <w:color w:val="auto"/>
              </w:rPr>
            </w:pPr>
            <w:r>
              <w:rPr>
                <w:rFonts w:ascii="Arial" w:cs="Arial" w:eastAsia="Arial" w:hAnsi="Arial"/>
                <w:sz w:val="16"/>
                <w:szCs w:val="16"/>
                <w:color w:val="auto"/>
              </w:rPr>
              <w:t>9,022</w:t>
            </w:r>
          </w:p>
        </w:tc>
        <w:tc>
          <w:tcPr>
            <w:tcW w:w="800" w:type="dxa"/>
            <w:vAlign w:val="bottom"/>
          </w:tcPr>
          <w:p>
            <w:pPr>
              <w:spacing w:after="0"/>
              <w:rPr>
                <w:sz w:val="24"/>
                <w:szCs w:val="24"/>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6"/>
                <w:szCs w:val="16"/>
                <w:color w:val="auto"/>
              </w:rPr>
              <w:t>10,526</w:t>
            </w:r>
          </w:p>
        </w:tc>
        <w:tc>
          <w:tcPr>
            <w:tcW w:w="1060" w:type="dxa"/>
            <w:vAlign w:val="bottom"/>
          </w:tcPr>
          <w:p>
            <w:pPr>
              <w:jc w:val="right"/>
              <w:spacing w:after="0"/>
              <w:rPr>
                <w:sz w:val="20"/>
                <w:szCs w:val="20"/>
                <w:color w:val="auto"/>
              </w:rPr>
            </w:pPr>
            <w:r>
              <w:rPr>
                <w:rFonts w:ascii="Arial" w:cs="Arial" w:eastAsia="Arial" w:hAnsi="Arial"/>
                <w:sz w:val="16"/>
                <w:szCs w:val="16"/>
                <w:color w:val="auto"/>
              </w:rPr>
              <w:t>10,526</w:t>
            </w:r>
          </w:p>
        </w:tc>
        <w:tc>
          <w:tcPr>
            <w:tcW w:w="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10,526</w:t>
            </w:r>
          </w:p>
        </w:tc>
        <w:tc>
          <w:tcPr>
            <w:tcW w:w="80" w:type="dxa"/>
            <w:vAlign w:val="bottom"/>
          </w:tcPr>
          <w:p>
            <w:pPr>
              <w:spacing w:after="0"/>
              <w:rPr>
                <w:sz w:val="24"/>
                <w:szCs w:val="24"/>
                <w:color w:val="auto"/>
              </w:rPr>
            </w:pPr>
          </w:p>
        </w:tc>
      </w:tr>
      <w:tr>
        <w:trPr>
          <w:trHeight w:val="202"/>
        </w:trPr>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20" w:type="dxa"/>
            <w:vAlign w:val="bottom"/>
            <w:gridSpan w:val="3"/>
          </w:tcPr>
          <w:p>
            <w:pPr>
              <w:jc w:val="right"/>
              <w:ind w:right="800"/>
              <w:spacing w:after="0"/>
              <w:rPr>
                <w:sz w:val="20"/>
                <w:szCs w:val="20"/>
                <w:color w:val="auto"/>
              </w:rPr>
            </w:pPr>
            <w:r>
              <w:rPr>
                <w:rFonts w:ascii="Arial" w:cs="Arial" w:eastAsia="Arial" w:hAnsi="Arial"/>
                <w:sz w:val="16"/>
                <w:szCs w:val="16"/>
                <w:color w:val="auto"/>
              </w:rPr>
              <w:t>01/04/2013</w:t>
            </w:r>
          </w:p>
        </w:tc>
        <w:tc>
          <w:tcPr>
            <w:tcW w:w="940" w:type="dxa"/>
            <w:vAlign w:val="bottom"/>
          </w:tcPr>
          <w:p>
            <w:pPr>
              <w:jc w:val="right"/>
              <w:spacing w:after="0"/>
              <w:rPr>
                <w:sz w:val="20"/>
                <w:szCs w:val="20"/>
                <w:color w:val="auto"/>
              </w:rPr>
            </w:pPr>
            <w:r>
              <w:rPr>
                <w:rFonts w:ascii="Arial" w:cs="Arial" w:eastAsia="Arial" w:hAnsi="Arial"/>
                <w:sz w:val="16"/>
                <w:szCs w:val="16"/>
                <w:color w:val="auto"/>
              </w:rPr>
              <w:t>9,022</w:t>
            </w:r>
          </w:p>
        </w:tc>
        <w:tc>
          <w:tcPr>
            <w:tcW w:w="800" w:type="dxa"/>
            <w:vAlign w:val="bottom"/>
          </w:tcPr>
          <w:p>
            <w:pPr>
              <w:spacing w:after="0"/>
              <w:rPr>
                <w:sz w:val="17"/>
                <w:szCs w:val="17"/>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6"/>
                <w:szCs w:val="16"/>
                <w:color w:val="auto"/>
              </w:rPr>
              <w:t>10,526</w:t>
            </w:r>
          </w:p>
        </w:tc>
        <w:tc>
          <w:tcPr>
            <w:tcW w:w="1060" w:type="dxa"/>
            <w:vAlign w:val="bottom"/>
          </w:tcPr>
          <w:p>
            <w:pPr>
              <w:jc w:val="right"/>
              <w:spacing w:after="0"/>
              <w:rPr>
                <w:sz w:val="20"/>
                <w:szCs w:val="20"/>
                <w:color w:val="auto"/>
              </w:rPr>
            </w:pPr>
            <w:r>
              <w:rPr>
                <w:rFonts w:ascii="Arial" w:cs="Arial" w:eastAsia="Arial" w:hAnsi="Arial"/>
                <w:sz w:val="16"/>
                <w:szCs w:val="16"/>
                <w:color w:val="auto"/>
              </w:rPr>
              <w:t>10,526</w:t>
            </w:r>
          </w:p>
        </w:tc>
        <w:tc>
          <w:tcPr>
            <w:tcW w:w="8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10,526</w:t>
            </w:r>
          </w:p>
        </w:tc>
        <w:tc>
          <w:tcPr>
            <w:tcW w:w="8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20" w:type="dxa"/>
            <w:vAlign w:val="bottom"/>
            <w:gridSpan w:val="3"/>
          </w:tcPr>
          <w:p>
            <w:pPr>
              <w:jc w:val="right"/>
              <w:ind w:right="800"/>
              <w:spacing w:after="0"/>
              <w:rPr>
                <w:sz w:val="20"/>
                <w:szCs w:val="20"/>
                <w:color w:val="auto"/>
              </w:rPr>
            </w:pPr>
            <w:r>
              <w:rPr>
                <w:rFonts w:ascii="Arial" w:cs="Arial" w:eastAsia="Arial" w:hAnsi="Arial"/>
                <w:sz w:val="16"/>
                <w:szCs w:val="16"/>
                <w:color w:val="auto"/>
              </w:rPr>
              <w:t>01/04/2014</w:t>
            </w:r>
          </w:p>
        </w:tc>
        <w:tc>
          <w:tcPr>
            <w:tcW w:w="940" w:type="dxa"/>
            <w:vAlign w:val="bottom"/>
          </w:tcPr>
          <w:p>
            <w:pPr>
              <w:jc w:val="right"/>
              <w:spacing w:after="0"/>
              <w:rPr>
                <w:sz w:val="20"/>
                <w:szCs w:val="20"/>
                <w:color w:val="auto"/>
              </w:rPr>
            </w:pPr>
            <w:r>
              <w:rPr>
                <w:rFonts w:ascii="Arial" w:cs="Arial" w:eastAsia="Arial" w:hAnsi="Arial"/>
                <w:sz w:val="16"/>
                <w:szCs w:val="16"/>
                <w:color w:val="auto"/>
              </w:rPr>
              <w:t>9,022</w:t>
            </w:r>
          </w:p>
        </w:tc>
        <w:tc>
          <w:tcPr>
            <w:tcW w:w="800" w:type="dxa"/>
            <w:vAlign w:val="bottom"/>
          </w:tcPr>
          <w:p>
            <w:pPr>
              <w:spacing w:after="0"/>
              <w:rPr>
                <w:sz w:val="17"/>
                <w:szCs w:val="17"/>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6"/>
                <w:szCs w:val="16"/>
                <w:color w:val="auto"/>
              </w:rPr>
              <w:t>10,526</w:t>
            </w:r>
          </w:p>
        </w:tc>
        <w:tc>
          <w:tcPr>
            <w:tcW w:w="1060" w:type="dxa"/>
            <w:vAlign w:val="bottom"/>
          </w:tcPr>
          <w:p>
            <w:pPr>
              <w:jc w:val="right"/>
              <w:spacing w:after="0"/>
              <w:rPr>
                <w:sz w:val="20"/>
                <w:szCs w:val="20"/>
                <w:color w:val="auto"/>
              </w:rPr>
            </w:pPr>
            <w:r>
              <w:rPr>
                <w:rFonts w:ascii="Arial" w:cs="Arial" w:eastAsia="Arial" w:hAnsi="Arial"/>
                <w:sz w:val="16"/>
                <w:szCs w:val="16"/>
                <w:color w:val="auto"/>
              </w:rPr>
              <w:t>10,526</w:t>
            </w:r>
          </w:p>
        </w:tc>
        <w:tc>
          <w:tcPr>
            <w:tcW w:w="8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10,526</w:t>
            </w:r>
          </w:p>
        </w:tc>
        <w:tc>
          <w:tcPr>
            <w:tcW w:w="8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20" w:type="dxa"/>
            <w:vAlign w:val="bottom"/>
            <w:gridSpan w:val="3"/>
          </w:tcPr>
          <w:p>
            <w:pPr>
              <w:jc w:val="right"/>
              <w:ind w:right="800"/>
              <w:spacing w:after="0"/>
              <w:rPr>
                <w:sz w:val="20"/>
                <w:szCs w:val="20"/>
                <w:color w:val="auto"/>
              </w:rPr>
            </w:pPr>
            <w:r>
              <w:rPr>
                <w:rFonts w:ascii="Arial" w:cs="Arial" w:eastAsia="Arial" w:hAnsi="Arial"/>
                <w:sz w:val="16"/>
                <w:szCs w:val="16"/>
                <w:color w:val="auto"/>
              </w:rPr>
              <w:t>01/04/2015</w:t>
            </w:r>
          </w:p>
        </w:tc>
        <w:tc>
          <w:tcPr>
            <w:tcW w:w="940" w:type="dxa"/>
            <w:vAlign w:val="bottom"/>
          </w:tcPr>
          <w:p>
            <w:pPr>
              <w:jc w:val="right"/>
              <w:spacing w:after="0"/>
              <w:rPr>
                <w:sz w:val="20"/>
                <w:szCs w:val="20"/>
                <w:color w:val="auto"/>
              </w:rPr>
            </w:pPr>
            <w:r>
              <w:rPr>
                <w:rFonts w:ascii="Arial" w:cs="Arial" w:eastAsia="Arial" w:hAnsi="Arial"/>
                <w:sz w:val="16"/>
                <w:szCs w:val="16"/>
                <w:color w:val="auto"/>
              </w:rPr>
              <w:t>9,022</w:t>
            </w:r>
          </w:p>
        </w:tc>
        <w:tc>
          <w:tcPr>
            <w:tcW w:w="800" w:type="dxa"/>
            <w:vAlign w:val="bottom"/>
          </w:tcPr>
          <w:p>
            <w:pPr>
              <w:spacing w:after="0"/>
              <w:rPr>
                <w:sz w:val="17"/>
                <w:szCs w:val="17"/>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6"/>
                <w:szCs w:val="16"/>
                <w:color w:val="auto"/>
              </w:rPr>
              <w:t>10,526</w:t>
            </w:r>
          </w:p>
        </w:tc>
        <w:tc>
          <w:tcPr>
            <w:tcW w:w="1060" w:type="dxa"/>
            <w:vAlign w:val="bottom"/>
          </w:tcPr>
          <w:p>
            <w:pPr>
              <w:jc w:val="right"/>
              <w:spacing w:after="0"/>
              <w:rPr>
                <w:sz w:val="20"/>
                <w:szCs w:val="20"/>
                <w:color w:val="auto"/>
              </w:rPr>
            </w:pPr>
            <w:r>
              <w:rPr>
                <w:rFonts w:ascii="Arial" w:cs="Arial" w:eastAsia="Arial" w:hAnsi="Arial"/>
                <w:sz w:val="16"/>
                <w:szCs w:val="16"/>
                <w:color w:val="auto"/>
              </w:rPr>
              <w:t>10,526</w:t>
            </w:r>
          </w:p>
        </w:tc>
        <w:tc>
          <w:tcPr>
            <w:tcW w:w="8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10,526</w:t>
            </w:r>
          </w:p>
        </w:tc>
        <w:tc>
          <w:tcPr>
            <w:tcW w:w="80" w:type="dxa"/>
            <w:vAlign w:val="bottom"/>
          </w:tcPr>
          <w:p>
            <w:pPr>
              <w:spacing w:after="0"/>
              <w:rPr>
                <w:sz w:val="17"/>
                <w:szCs w:val="17"/>
                <w:color w:val="auto"/>
              </w:rPr>
            </w:pPr>
          </w:p>
        </w:tc>
      </w:tr>
      <w:tr>
        <w:trPr>
          <w:trHeight w:val="208"/>
        </w:trPr>
        <w:tc>
          <w:tcPr>
            <w:tcW w:w="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20" w:type="dxa"/>
            <w:vAlign w:val="bottom"/>
            <w:gridSpan w:val="3"/>
          </w:tcPr>
          <w:p>
            <w:pPr>
              <w:jc w:val="right"/>
              <w:ind w:right="800"/>
              <w:spacing w:after="0"/>
              <w:rPr>
                <w:sz w:val="20"/>
                <w:szCs w:val="20"/>
                <w:color w:val="auto"/>
              </w:rPr>
            </w:pPr>
            <w:r>
              <w:rPr>
                <w:rFonts w:ascii="Arial" w:cs="Arial" w:eastAsia="Arial" w:hAnsi="Arial"/>
                <w:sz w:val="16"/>
                <w:szCs w:val="16"/>
                <w:color w:val="auto"/>
              </w:rPr>
              <w:t>01/04/2016</w:t>
            </w:r>
          </w:p>
        </w:tc>
        <w:tc>
          <w:tcPr>
            <w:tcW w:w="940" w:type="dxa"/>
            <w:vAlign w:val="bottom"/>
          </w:tcPr>
          <w:p>
            <w:pPr>
              <w:jc w:val="right"/>
              <w:spacing w:after="0"/>
              <w:rPr>
                <w:sz w:val="20"/>
                <w:szCs w:val="20"/>
                <w:color w:val="auto"/>
              </w:rPr>
            </w:pPr>
            <w:r>
              <w:rPr>
                <w:rFonts w:ascii="Arial" w:cs="Arial" w:eastAsia="Arial" w:hAnsi="Arial"/>
                <w:sz w:val="16"/>
                <w:szCs w:val="16"/>
                <w:color w:val="auto"/>
              </w:rPr>
              <w:t>9,022</w:t>
            </w:r>
          </w:p>
        </w:tc>
        <w:tc>
          <w:tcPr>
            <w:tcW w:w="80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6"/>
                <w:szCs w:val="16"/>
                <w:color w:val="auto"/>
              </w:rPr>
              <w:t>10,526</w:t>
            </w:r>
          </w:p>
        </w:tc>
        <w:tc>
          <w:tcPr>
            <w:tcW w:w="1060" w:type="dxa"/>
            <w:vAlign w:val="bottom"/>
          </w:tcPr>
          <w:p>
            <w:pPr>
              <w:jc w:val="right"/>
              <w:spacing w:after="0"/>
              <w:rPr>
                <w:sz w:val="20"/>
                <w:szCs w:val="20"/>
                <w:color w:val="auto"/>
              </w:rPr>
            </w:pPr>
            <w:r>
              <w:rPr>
                <w:rFonts w:ascii="Arial" w:cs="Arial" w:eastAsia="Arial" w:hAnsi="Arial"/>
                <w:sz w:val="16"/>
                <w:szCs w:val="16"/>
                <w:color w:val="auto"/>
              </w:rPr>
              <w:t>10,526</w:t>
            </w:r>
          </w:p>
        </w:tc>
        <w:tc>
          <w:tcPr>
            <w:tcW w:w="8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10,526</w:t>
            </w:r>
          </w:p>
        </w:tc>
        <w:tc>
          <w:tcPr>
            <w:tcW w:w="80" w:type="dxa"/>
            <w:vAlign w:val="bottom"/>
          </w:tcPr>
          <w:p>
            <w:pPr>
              <w:spacing w:after="0"/>
              <w:rPr>
                <w:sz w:val="18"/>
                <w:szCs w:val="18"/>
                <w:color w:val="auto"/>
              </w:rPr>
            </w:pPr>
          </w:p>
        </w:tc>
      </w:tr>
    </w:tbl>
    <w:p>
      <w:pPr>
        <w:spacing w:after="0" w:line="69" w:lineRule="exact"/>
        <w:rPr>
          <w:sz w:val="20"/>
          <w:szCs w:val="20"/>
          <w:color w:val="auto"/>
        </w:rPr>
      </w:pPr>
    </w:p>
    <w:p>
      <w:pPr>
        <w:ind w:left="460" w:hanging="459"/>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expiration date of each stock option award is ten years after its grant date.</w:t>
      </w:r>
    </w:p>
    <w:p>
      <w:pPr>
        <w:spacing w:after="0" w:line="93" w:lineRule="exact"/>
        <w:rPr>
          <w:rFonts w:ascii="Arial" w:cs="Arial" w:eastAsia="Arial" w:hAnsi="Arial"/>
          <w:sz w:val="16"/>
          <w:szCs w:val="16"/>
          <w:color w:val="auto"/>
        </w:rPr>
      </w:pPr>
    </w:p>
    <w:p>
      <w:pPr>
        <w:ind w:left="460" w:hanging="459"/>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RSUs granted to Messrs. Fishman, Zinsner, Marshall, McAdam, and Roche vest in one installment on the third anniversary of the grant date.</w:t>
      </w:r>
    </w:p>
    <w:p>
      <w:pPr>
        <w:spacing w:after="0" w:line="93" w:lineRule="exact"/>
        <w:rPr>
          <w:rFonts w:ascii="Arial" w:cs="Arial" w:eastAsia="Arial" w:hAnsi="Arial"/>
          <w:sz w:val="16"/>
          <w:szCs w:val="16"/>
          <w:color w:val="auto"/>
        </w:rPr>
      </w:pPr>
    </w:p>
    <w:p>
      <w:pPr>
        <w:ind w:left="460" w:right="240" w:hanging="459"/>
        <w:spacing w:after="0" w:line="294"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RSUs granted to Mr. Zinsner on February 17, 2009 vest in five equal annual installments on each of the first, second, third, fourth and fifth anniversaries of the grant date.</w:t>
      </w:r>
    </w:p>
    <w:p>
      <w:pPr>
        <w:spacing w:after="0" w:line="27" w:lineRule="exact"/>
        <w:rPr>
          <w:rFonts w:ascii="Arial" w:cs="Arial" w:eastAsia="Arial" w:hAnsi="Arial"/>
          <w:sz w:val="16"/>
          <w:szCs w:val="16"/>
          <w:color w:val="auto"/>
        </w:rPr>
      </w:pPr>
    </w:p>
    <w:p>
      <w:pPr>
        <w:ind w:left="460" w:hanging="459"/>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market value was calculated based on $37.70, the closing price per share of our common stock on October 28, 2011.</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 During Fiscal 2011</w:t>
      </w:r>
    </w:p>
    <w:p>
      <w:pPr>
        <w:spacing w:after="0" w:line="97" w:lineRule="exact"/>
        <w:rPr>
          <w:sz w:val="20"/>
          <w:szCs w:val="20"/>
          <w:color w:val="auto"/>
        </w:rPr>
      </w:pPr>
    </w:p>
    <w:p>
      <w:pPr>
        <w:ind w:right="260" w:firstLine="457"/>
        <w:spacing w:after="0" w:line="294" w:lineRule="auto"/>
        <w:rPr>
          <w:sz w:val="20"/>
          <w:szCs w:val="20"/>
          <w:color w:val="auto"/>
        </w:rPr>
      </w:pPr>
      <w:r>
        <w:rPr>
          <w:rFonts w:ascii="Arial" w:cs="Arial" w:eastAsia="Arial" w:hAnsi="Arial"/>
          <w:sz w:val="16"/>
          <w:szCs w:val="16"/>
          <w:color w:val="auto"/>
        </w:rPr>
        <w:t>The following table contains information about the exercise of stock options by, and restricted stock unit awards that vested for, each of our NEOs during our fiscal year ended October 29, 2011: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120" w:type="dxa"/>
            <w:vAlign w:val="bottom"/>
            <w:tcBorders>
              <w:bottom w:val="single" w:sz="8" w:color="auto"/>
            </w:tcBorders>
            <w:gridSpan w:val="2"/>
          </w:tcPr>
          <w:p>
            <w:pPr>
              <w:ind w:left="1060"/>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Borders>
              <w:bottom w:val="single" w:sz="8" w:color="auto"/>
            </w:tcBorders>
            <w:gridSpan w:val="2"/>
          </w:tcPr>
          <w:p>
            <w:pPr>
              <w:ind w:left="1080"/>
              <w:spacing w:after="0"/>
              <w:rPr>
                <w:sz w:val="20"/>
                <w:szCs w:val="20"/>
                <w:color w:val="auto"/>
              </w:rPr>
            </w:pPr>
            <w:r>
              <w:rPr>
                <w:rFonts w:ascii="Arial" w:cs="Arial" w:eastAsia="Arial" w:hAnsi="Arial"/>
                <w:sz w:val="13"/>
                <w:szCs w:val="13"/>
                <w:b w:val="1"/>
                <w:bCs w:val="1"/>
                <w:color w:val="auto"/>
              </w:rPr>
              <w:t>Stock Awards</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120" w:type="dxa"/>
            <w:vAlign w:val="bottom"/>
            <w:gridSpan w:val="2"/>
          </w:tcPr>
          <w:p>
            <w:pPr>
              <w:jc w:val="center"/>
              <w:ind w:right="940"/>
              <w:spacing w:after="0" w:line="118" w:lineRule="exact"/>
              <w:rPr>
                <w:sz w:val="20"/>
                <w:szCs w:val="20"/>
                <w:color w:val="auto"/>
              </w:rPr>
            </w:pPr>
            <w:r>
              <w:rPr>
                <w:rFonts w:ascii="Arial" w:cs="Arial" w:eastAsia="Arial" w:hAnsi="Arial"/>
                <w:sz w:val="13"/>
                <w:szCs w:val="13"/>
                <w:b w:val="1"/>
                <w:bCs w:val="1"/>
                <w:color w:val="auto"/>
                <w:w w:val="87"/>
              </w:rPr>
              <w:t>Number of Shares</w:t>
            </w:r>
          </w:p>
        </w:tc>
        <w:tc>
          <w:tcPr>
            <w:tcW w:w="8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7"/>
              </w:rPr>
              <w:t>Value Realized</w:t>
            </w:r>
          </w:p>
        </w:tc>
        <w:tc>
          <w:tcPr>
            <w:tcW w:w="940" w:type="dxa"/>
            <w:vAlign w:val="bottom"/>
          </w:tcPr>
          <w:p>
            <w:pPr>
              <w:spacing w:after="0"/>
              <w:rPr>
                <w:sz w:val="10"/>
                <w:szCs w:val="10"/>
                <w:color w:val="auto"/>
              </w:rPr>
            </w:pPr>
          </w:p>
        </w:tc>
        <w:tc>
          <w:tcPr>
            <w:tcW w:w="2100" w:type="dxa"/>
            <w:vAlign w:val="bottom"/>
            <w:gridSpan w:val="2"/>
          </w:tcPr>
          <w:p>
            <w:pPr>
              <w:jc w:val="right"/>
              <w:ind w:right="1040"/>
              <w:spacing w:after="0" w:line="118" w:lineRule="exact"/>
              <w:rPr>
                <w:sz w:val="20"/>
                <w:szCs w:val="20"/>
                <w:color w:val="auto"/>
              </w:rPr>
            </w:pPr>
            <w:r>
              <w:rPr>
                <w:rFonts w:ascii="Arial" w:cs="Arial" w:eastAsia="Arial" w:hAnsi="Arial"/>
                <w:sz w:val="13"/>
                <w:szCs w:val="13"/>
                <w:b w:val="1"/>
                <w:bCs w:val="1"/>
                <w:color w:val="auto"/>
                <w:w w:val="92"/>
              </w:rPr>
              <w:t>Number of Shares</w:t>
            </w:r>
          </w:p>
        </w:tc>
        <w:tc>
          <w:tcPr>
            <w:tcW w:w="8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7"/>
              </w:rPr>
              <w:t>Value 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Officer Name</w:t>
            </w:r>
          </w:p>
        </w:tc>
        <w:tc>
          <w:tcPr>
            <w:tcW w:w="2120" w:type="dxa"/>
            <w:vAlign w:val="bottom"/>
            <w:gridSpan w:val="2"/>
          </w:tcPr>
          <w:p>
            <w:pPr>
              <w:jc w:val="center"/>
              <w:ind w:right="940"/>
              <w:spacing w:after="0" w:line="139" w:lineRule="exact"/>
              <w:rPr>
                <w:sz w:val="20"/>
                <w:szCs w:val="20"/>
                <w:color w:val="auto"/>
              </w:rPr>
            </w:pPr>
            <w:r>
              <w:rPr>
                <w:rFonts w:ascii="Arial" w:cs="Arial" w:eastAsia="Arial" w:hAnsi="Arial"/>
                <w:sz w:val="13"/>
                <w:szCs w:val="13"/>
                <w:b w:val="1"/>
                <w:bCs w:val="1"/>
                <w:color w:val="auto"/>
                <w:w w:val="85"/>
              </w:rPr>
              <w:t>Acquired on Exercise</w:t>
            </w:r>
          </w:p>
        </w:tc>
        <w:tc>
          <w:tcPr>
            <w:tcW w:w="1740" w:type="dxa"/>
            <w:vAlign w:val="bottom"/>
            <w:gridSpan w:val="2"/>
          </w:tcPr>
          <w:p>
            <w:pPr>
              <w:jc w:val="center"/>
              <w:ind w:right="940"/>
              <w:spacing w:after="0" w:line="139" w:lineRule="exact"/>
              <w:rPr>
                <w:sz w:val="20"/>
                <w:szCs w:val="20"/>
                <w:color w:val="auto"/>
              </w:rPr>
            </w:pPr>
            <w:r>
              <w:rPr>
                <w:rFonts w:ascii="Arial" w:cs="Arial" w:eastAsia="Arial" w:hAnsi="Arial"/>
                <w:sz w:val="13"/>
                <w:szCs w:val="13"/>
                <w:b w:val="1"/>
                <w:bCs w:val="1"/>
                <w:color w:val="auto"/>
                <w:w w:val="86"/>
              </w:rPr>
              <w:t>on Exercise ($)</w:t>
            </w:r>
          </w:p>
        </w:tc>
        <w:tc>
          <w:tcPr>
            <w:tcW w:w="2100" w:type="dxa"/>
            <w:vAlign w:val="bottom"/>
            <w:gridSpan w:val="2"/>
          </w:tcPr>
          <w:p>
            <w:pPr>
              <w:jc w:val="right"/>
              <w:ind w:right="960"/>
              <w:spacing w:after="0" w:line="139" w:lineRule="exact"/>
              <w:rPr>
                <w:sz w:val="20"/>
                <w:szCs w:val="20"/>
                <w:color w:val="auto"/>
              </w:rPr>
            </w:pPr>
            <w:r>
              <w:rPr>
                <w:rFonts w:ascii="Arial" w:cs="Arial" w:eastAsia="Arial" w:hAnsi="Arial"/>
                <w:sz w:val="13"/>
                <w:szCs w:val="13"/>
                <w:b w:val="1"/>
                <w:bCs w:val="1"/>
                <w:color w:val="auto"/>
                <w:w w:val="87"/>
              </w:rPr>
              <w:t>Acquired On Vesting</w:t>
            </w: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0"/>
              </w:rPr>
              <w:t>on Vesting</w:t>
            </w:r>
          </w:p>
        </w:tc>
        <w:tc>
          <w:tcPr>
            <w:tcW w:w="0" w:type="dxa"/>
            <w:vAlign w:val="bottom"/>
          </w:tcPr>
          <w:p>
            <w:pPr>
              <w:spacing w:after="0"/>
              <w:rPr>
                <w:sz w:val="1"/>
                <w:szCs w:val="1"/>
                <w:color w:val="auto"/>
              </w:rPr>
            </w:pPr>
          </w:p>
        </w:tc>
      </w:tr>
      <w:tr>
        <w:trPr>
          <w:trHeight w:val="144"/>
        </w:trPr>
        <w:tc>
          <w:tcPr>
            <w:tcW w:w="4580" w:type="dxa"/>
            <w:vAlign w:val="bottom"/>
            <w:gridSpan w:val="2"/>
            <w:vMerge w:val="continue"/>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96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(1)</w:t>
            </w:r>
          </w:p>
        </w:tc>
        <w:tc>
          <w:tcPr>
            <w:tcW w:w="940" w:type="dxa"/>
            <w:vAlign w:val="bottom"/>
          </w:tcPr>
          <w:p>
            <w:pPr>
              <w:spacing w:after="0"/>
              <w:rPr>
                <w:sz w:val="12"/>
                <w:szCs w:val="12"/>
                <w:color w:val="auto"/>
              </w:rPr>
            </w:pPr>
          </w:p>
        </w:tc>
        <w:tc>
          <w:tcPr>
            <w:tcW w:w="1140" w:type="dxa"/>
            <w:vAlign w:val="bottom"/>
          </w:tcPr>
          <w:p>
            <w:pPr>
              <w:jc w:val="right"/>
              <w:ind w:right="427"/>
              <w:spacing w:after="0" w:line="139" w:lineRule="exact"/>
              <w:rPr>
                <w:sz w:val="20"/>
                <w:szCs w:val="20"/>
                <w:color w:val="auto"/>
              </w:rPr>
            </w:pPr>
            <w:r>
              <w:rPr>
                <w:rFonts w:ascii="Arial" w:cs="Arial" w:eastAsia="Arial" w:hAnsi="Arial"/>
                <w:sz w:val="13"/>
                <w:szCs w:val="13"/>
                <w:b w:val="1"/>
                <w:bCs w:val="1"/>
                <w:color w:val="auto"/>
              </w:rPr>
              <w:t>(#)</w:t>
            </w:r>
          </w:p>
        </w:tc>
        <w:tc>
          <w:tcPr>
            <w:tcW w:w="96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0"/>
              </w:rPr>
              <w:t>($) (2)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760" w:type="dxa"/>
            <w:vAlign w:val="bottom"/>
            <w:tcBorders>
              <w:top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295,000</w:t>
            </w: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5,304,753</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458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1160" w:type="dxa"/>
            <w:vAlign w:val="bottom"/>
          </w:tcPr>
          <w:p>
            <w:pPr>
              <w:jc w:val="right"/>
              <w:spacing w:after="0"/>
              <w:rPr>
                <w:sz w:val="20"/>
                <w:szCs w:val="20"/>
                <w:color w:val="auto"/>
              </w:rPr>
            </w:pPr>
            <w:r>
              <w:rPr>
                <w:rFonts w:ascii="Arial" w:cs="Arial" w:eastAsia="Arial" w:hAnsi="Arial"/>
                <w:sz w:val="16"/>
                <w:szCs w:val="16"/>
                <w:color w:val="auto"/>
              </w:rPr>
              <w:t>10,000</w:t>
            </w:r>
          </w:p>
        </w:tc>
        <w:tc>
          <w:tcPr>
            <w:tcW w:w="9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216,729</w:t>
            </w:r>
          </w:p>
        </w:tc>
        <w:tc>
          <w:tcPr>
            <w:tcW w:w="940" w:type="dxa"/>
            <w:vAlign w:val="bottom"/>
          </w:tcPr>
          <w:p>
            <w:pPr>
              <w:spacing w:after="0"/>
              <w:rPr>
                <w:sz w:val="24"/>
                <w:szCs w:val="24"/>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6"/>
                <w:szCs w:val="16"/>
                <w:color w:val="auto"/>
              </w:rPr>
              <w:t>7,000</w:t>
            </w:r>
          </w:p>
        </w:tc>
        <w:tc>
          <w:tcPr>
            <w:tcW w:w="800" w:type="dxa"/>
            <w:vAlign w:val="bottom"/>
          </w:tcPr>
          <w:p>
            <w:pPr>
              <w:ind w:left="260"/>
              <w:spacing w:after="0"/>
              <w:rPr>
                <w:sz w:val="20"/>
                <w:szCs w:val="20"/>
                <w:color w:val="auto"/>
              </w:rPr>
            </w:pPr>
            <w:r>
              <w:rPr>
                <w:rFonts w:ascii="Arial" w:cs="Arial" w:eastAsia="Arial" w:hAnsi="Arial"/>
                <w:sz w:val="16"/>
                <w:szCs w:val="16"/>
                <w:color w:val="auto"/>
                <w:w w:val="89"/>
              </w:rPr>
              <w:t>288,330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7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21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458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1160" w:type="dxa"/>
            <w:vAlign w:val="bottom"/>
          </w:tcPr>
          <w:p>
            <w:pPr>
              <w:jc w:val="right"/>
              <w:spacing w:after="0"/>
              <w:rPr>
                <w:sz w:val="20"/>
                <w:szCs w:val="20"/>
                <w:color w:val="auto"/>
              </w:rPr>
            </w:pPr>
            <w:r>
              <w:rPr>
                <w:rFonts w:ascii="Arial" w:cs="Arial" w:eastAsia="Arial" w:hAnsi="Arial"/>
                <w:sz w:val="16"/>
                <w:szCs w:val="16"/>
                <w:color w:val="auto"/>
              </w:rPr>
              <w:t>80,000</w:t>
            </w:r>
          </w:p>
        </w:tc>
        <w:tc>
          <w:tcPr>
            <w:tcW w:w="9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1,434,032</w:t>
            </w:r>
          </w:p>
        </w:tc>
        <w:tc>
          <w:tcPr>
            <w:tcW w:w="94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3"/>
        </w:trPr>
        <w:tc>
          <w:tcPr>
            <w:tcW w:w="7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992,424</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7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0" w:lineRule="exact"/>
        <w:rPr>
          <w:sz w:val="20"/>
          <w:szCs w:val="20"/>
          <w:color w:val="auto"/>
        </w:rPr>
      </w:pPr>
    </w:p>
    <w:p>
      <w:pPr>
        <w:ind w:left="460" w:right="20" w:hanging="459"/>
        <w:spacing w:after="0" w:line="294"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Value realized represents the difference between the closing price per share of our common stock on the date of exercise and the exercise price per share, multiplied by the number of shares acquired on exercise.</w:t>
      </w:r>
    </w:p>
    <w:p>
      <w:pPr>
        <w:spacing w:after="0" w:line="27" w:lineRule="exact"/>
        <w:rPr>
          <w:rFonts w:ascii="Arial" w:cs="Arial" w:eastAsia="Arial" w:hAnsi="Arial"/>
          <w:sz w:val="16"/>
          <w:szCs w:val="16"/>
          <w:color w:val="auto"/>
        </w:rPr>
      </w:pPr>
    </w:p>
    <w:p>
      <w:pPr>
        <w:ind w:left="460" w:hanging="459"/>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Analog Devices B.V. Retirement and Death Benefit Plan is a defined-benefit pension plan covering all employees of our Irish subsidiaries, including</w:t>
      </w:r>
    </w:p>
    <w:p>
      <w:pPr>
        <w:spacing w:after="0" w:line="2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Messrs. Marshall and McAdam. In February 2011, Mr. Marshall ceased making contributions to this plan and ADI stopped making employer contributions on his behalf, but he has an accumulated benefit under the plan. Mr. Roche previously worked for Analog Devices B.V., our Irish subsidiary, and has an accumulated benefit under this plan. He is currently a U.S. employee and therefore is not an active member of the plan. This plan is consistent with defined-benefit pension plans commonly offered in Ireland.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39"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40" w:firstLine="457"/>
        <w:spacing w:after="0" w:line="284" w:lineRule="auto"/>
        <w:rPr>
          <w:sz w:val="20"/>
          <w:szCs w:val="20"/>
          <w:color w:val="auto"/>
        </w:rPr>
      </w:pPr>
      <w:r>
        <w:rPr>
          <w:rFonts w:ascii="Arial" w:cs="Arial" w:eastAsia="Arial" w:hAnsi="Arial"/>
          <w:sz w:val="15"/>
          <w:szCs w:val="15"/>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10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 (or 60</w:t>
      </w:r>
      <w:r>
        <w:rPr>
          <w:rFonts w:ascii="Arial" w:cs="Arial" w:eastAsia="Arial" w:hAnsi="Arial"/>
          <w:sz w:val="10"/>
          <w:szCs w:val="10"/>
          <w:color w:val="auto"/>
        </w:rPr>
        <w:t>th</w:t>
      </w:r>
      <w:r>
        <w:rPr>
          <w:rFonts w:ascii="Arial" w:cs="Arial" w:eastAsia="Arial" w:hAnsi="Arial"/>
          <w:sz w:val="16"/>
          <w:szCs w:val="16"/>
          <w:color w:val="auto"/>
        </w:rPr>
        <w:t xml:space="preserve"> birthday in the case of certain executives, including Messrs. Marshall and McAdam).</w:t>
      </w:r>
    </w:p>
    <w:p>
      <w:pPr>
        <w:spacing w:after="0" w:line="125"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Under the terms of the plan, Messrs. Marshall and McAdam will, once they reach age 60, be entitled to elect to receive their accumulated pension benefits (two-thirds of final pensionable salary). In December 2010, Mr. McAdam turned 60 and elected to defer receipt of his pension annuity under the plan but elected to receive a lump sum distribution of certain other pension benefits under the plan. For executives who retire before age 60, their benefits under the pension plan will be prorated based on their years of service with us. Compensation covered under this pension plan includes the salaries shown in the Summary Compensation Table above.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estimated present value of accumulated pension benefits for our NEOs as of October 29, 2011: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Pension Benefits for Fiscal 2011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3"/>
                <w:szCs w:val="13"/>
                <w:b w:val="1"/>
                <w:bCs w:val="1"/>
                <w:color w:val="auto"/>
                <w:w w:val="82"/>
              </w:rPr>
              <w:t>Present Value of</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tcPr>
          <w:p>
            <w:pPr>
              <w:ind w:left="80"/>
              <w:spacing w:after="0" w:line="139" w:lineRule="exact"/>
              <w:rPr>
                <w:sz w:val="20"/>
                <w:szCs w:val="20"/>
                <w:color w:val="auto"/>
              </w:rPr>
            </w:pPr>
            <w:r>
              <w:rPr>
                <w:rFonts w:ascii="Arial" w:cs="Arial" w:eastAsia="Arial" w:hAnsi="Arial"/>
                <w:sz w:val="13"/>
                <w:szCs w:val="13"/>
                <w:b w:val="1"/>
                <w:bCs w:val="1"/>
                <w:color w:val="auto"/>
              </w:rPr>
              <w:t>Number of Years</w:t>
            </w:r>
          </w:p>
        </w:tc>
        <w:tc>
          <w:tcPr>
            <w:tcW w:w="8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8"/>
              </w:rPr>
              <w:t>Accumulated</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58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3420" w:type="dxa"/>
            <w:vAlign w:val="bottom"/>
            <w:vMerge w:val="restart"/>
          </w:tcPr>
          <w:p>
            <w:pPr>
              <w:ind w:left="1420"/>
              <w:spacing w:after="0"/>
              <w:rPr>
                <w:sz w:val="20"/>
                <w:szCs w:val="20"/>
                <w:color w:val="auto"/>
              </w:rPr>
            </w:pPr>
            <w:r>
              <w:rPr>
                <w:rFonts w:ascii="Arial" w:cs="Arial" w:eastAsia="Arial" w:hAnsi="Arial"/>
                <w:sz w:val="13"/>
                <w:szCs w:val="13"/>
                <w:b w:val="1"/>
                <w:bCs w:val="1"/>
                <w:color w:val="auto"/>
              </w:rPr>
              <w:t>Plan Name</w:t>
            </w:r>
          </w:p>
        </w:tc>
        <w:tc>
          <w:tcPr>
            <w:tcW w:w="740" w:type="dxa"/>
            <w:vAlign w:val="bottom"/>
          </w:tcPr>
          <w:p>
            <w:pPr>
              <w:spacing w:after="0"/>
              <w:rPr>
                <w:sz w:val="12"/>
                <w:szCs w:val="12"/>
                <w:color w:val="auto"/>
              </w:rPr>
            </w:pPr>
          </w:p>
        </w:tc>
        <w:tc>
          <w:tcPr>
            <w:tcW w:w="18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Credited Service (#)</w:t>
            </w:r>
          </w:p>
        </w:tc>
        <w:tc>
          <w:tcPr>
            <w:tcW w:w="8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6"/>
              </w:rPr>
              <w:t>Benefit</w:t>
            </w: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20" w:type="dxa"/>
            <w:vAlign w:val="bottom"/>
            <w:gridSpan w:val="2"/>
          </w:tcPr>
          <w:p>
            <w:pPr>
              <w:ind w:left="1200"/>
              <w:spacing w:after="0" w:line="139" w:lineRule="exact"/>
              <w:rPr>
                <w:sz w:val="20"/>
                <w:szCs w:val="20"/>
                <w:color w:val="auto"/>
              </w:rPr>
            </w:pPr>
            <w:r>
              <w:rPr>
                <w:rFonts w:ascii="Arial" w:cs="Arial" w:eastAsia="Arial" w:hAnsi="Arial"/>
                <w:sz w:val="13"/>
                <w:szCs w:val="13"/>
                <w:b w:val="1"/>
                <w:bCs w:val="1"/>
                <w:color w:val="auto"/>
              </w:rPr>
              <w:t>(1)</w:t>
            </w:r>
          </w:p>
        </w:tc>
        <w:tc>
          <w:tcPr>
            <w:tcW w:w="740" w:type="dxa"/>
            <w:vAlign w:val="bottom"/>
          </w:tcPr>
          <w:p>
            <w:pPr>
              <w:spacing w:after="0"/>
              <w:rPr>
                <w:sz w:val="13"/>
                <w:szCs w:val="13"/>
                <w:color w:val="auto"/>
              </w:rPr>
            </w:pPr>
          </w:p>
        </w:tc>
        <w:tc>
          <w:tcPr>
            <w:tcW w:w="880" w:type="dxa"/>
            <w:vAlign w:val="bottom"/>
          </w:tcPr>
          <w:p>
            <w:pPr>
              <w:jc w:val="right"/>
              <w:ind w:right="147"/>
              <w:spacing w:after="0" w:line="139" w:lineRule="exact"/>
              <w:rPr>
                <w:sz w:val="20"/>
                <w:szCs w:val="20"/>
                <w:color w:val="auto"/>
              </w:rPr>
            </w:pPr>
            <w:r>
              <w:rPr>
                <w:rFonts w:ascii="Arial" w:cs="Arial" w:eastAsia="Arial" w:hAnsi="Arial"/>
                <w:sz w:val="13"/>
                <w:szCs w:val="13"/>
                <w:b w:val="1"/>
                <w:bCs w:val="1"/>
                <w:color w:val="auto"/>
              </w:rPr>
              <w:t>($)(2)(3)</w:t>
            </w:r>
          </w:p>
        </w:tc>
        <w:tc>
          <w:tcPr>
            <w:tcW w:w="0" w:type="dxa"/>
            <w:vAlign w:val="bottom"/>
          </w:tcPr>
          <w:p>
            <w:pPr>
              <w:spacing w:after="0"/>
              <w:rPr>
                <w:sz w:val="1"/>
                <w:szCs w:val="1"/>
                <w:color w:val="auto"/>
              </w:rPr>
            </w:pPr>
          </w:p>
        </w:tc>
      </w:tr>
      <w:tr>
        <w:trPr>
          <w:trHeight w:val="187"/>
        </w:trPr>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164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N/A</w:t>
            </w:r>
          </w:p>
        </w:tc>
        <w:tc>
          <w:tcPr>
            <w:tcW w:w="7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N/A</w:t>
            </w:r>
          </w:p>
        </w:tc>
        <w:tc>
          <w:tcPr>
            <w:tcW w:w="7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0"/>
        </w:trPr>
        <w:tc>
          <w:tcPr>
            <w:tcW w:w="292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5060" w:type="dxa"/>
            <w:vAlign w:val="bottom"/>
            <w:gridSpan w:val="2"/>
          </w:tcPr>
          <w:p>
            <w:pPr>
              <w:ind w:left="1640"/>
              <w:spacing w:after="0"/>
              <w:rPr>
                <w:sz w:val="20"/>
                <w:szCs w:val="20"/>
                <w:color w:val="auto"/>
              </w:rPr>
            </w:pPr>
            <w:r>
              <w:rPr>
                <w:rFonts w:ascii="Arial" w:cs="Arial" w:eastAsia="Arial" w:hAnsi="Arial"/>
                <w:sz w:val="16"/>
                <w:szCs w:val="16"/>
                <w:color w:val="auto"/>
              </w:rPr>
              <w:t>N/A</w:t>
            </w:r>
          </w:p>
        </w:tc>
        <w:tc>
          <w:tcPr>
            <w:tcW w:w="2560" w:type="dxa"/>
            <w:vAlign w:val="bottom"/>
            <w:gridSpan w:val="3"/>
          </w:tcPr>
          <w:p>
            <w:pPr>
              <w:ind w:left="740"/>
              <w:spacing w:after="0"/>
              <w:rPr>
                <w:sz w:val="20"/>
                <w:szCs w:val="20"/>
                <w:color w:val="auto"/>
              </w:rPr>
            </w:pPr>
            <w:r>
              <w:rPr>
                <w:rFonts w:ascii="Arial" w:cs="Arial" w:eastAsia="Arial" w:hAnsi="Arial"/>
                <w:sz w:val="16"/>
                <w:szCs w:val="16"/>
                <w:color w:val="auto"/>
              </w:rPr>
              <w:t>N/A</w:t>
            </w:r>
          </w:p>
        </w:tc>
        <w:tc>
          <w:tcPr>
            <w:tcW w:w="880" w:type="dxa"/>
            <w:vAlign w:val="bottom"/>
          </w:tcPr>
          <w:p>
            <w:pP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506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The Analog Devices B.V. Retirement and Death</w:t>
            </w: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Benefit Plan</w:t>
            </w:r>
          </w:p>
        </w:tc>
        <w:tc>
          <w:tcPr>
            <w:tcW w:w="18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37</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6"/>
                <w:szCs w:val="16"/>
                <w:color w:val="auto"/>
                <w:w w:val="89"/>
              </w:rPr>
              <w:t>3,350,730</w:t>
            </w:r>
          </w:p>
        </w:tc>
        <w:tc>
          <w:tcPr>
            <w:tcW w:w="0" w:type="dxa"/>
            <w:vAlign w:val="bottom"/>
          </w:tcPr>
          <w:p>
            <w:pPr>
              <w:spacing w:after="0"/>
              <w:rPr>
                <w:sz w:val="1"/>
                <w:szCs w:val="1"/>
                <w:color w:val="auto"/>
              </w:rPr>
            </w:pPr>
          </w:p>
        </w:tc>
      </w:tr>
      <w:tr>
        <w:trPr>
          <w:trHeight w:val="294"/>
        </w:trPr>
        <w:tc>
          <w:tcPr>
            <w:tcW w:w="292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5060" w:type="dxa"/>
            <w:vAlign w:val="bottom"/>
            <w:gridSpan w:val="2"/>
          </w:tcPr>
          <w:p>
            <w:pPr>
              <w:ind w:left="1640"/>
              <w:spacing w:after="0"/>
              <w:rPr>
                <w:sz w:val="20"/>
                <w:szCs w:val="20"/>
                <w:color w:val="auto"/>
              </w:rPr>
            </w:pPr>
            <w:r>
              <w:rPr>
                <w:rFonts w:ascii="Arial" w:cs="Arial" w:eastAsia="Arial" w:hAnsi="Arial"/>
                <w:sz w:val="16"/>
                <w:szCs w:val="16"/>
                <w:color w:val="auto"/>
              </w:rPr>
              <w:t>The Analog Devices B.V. Retirement and Death</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gridSpan w:val="2"/>
          </w:tcPr>
          <w:p>
            <w:pPr>
              <w:ind w:left="1640"/>
              <w:spacing w:after="0"/>
              <w:rPr>
                <w:sz w:val="20"/>
                <w:szCs w:val="20"/>
                <w:color w:val="auto"/>
              </w:rPr>
            </w:pPr>
            <w:r>
              <w:rPr>
                <w:rFonts w:ascii="Arial" w:cs="Arial" w:eastAsia="Arial" w:hAnsi="Arial"/>
                <w:sz w:val="16"/>
                <w:szCs w:val="16"/>
                <w:color w:val="auto"/>
              </w:rPr>
              <w:t>Benefit Plan</w:t>
            </w:r>
          </w:p>
        </w:tc>
        <w:tc>
          <w:tcPr>
            <w:tcW w:w="1820" w:type="dxa"/>
            <w:vAlign w:val="bottom"/>
            <w:gridSpan w:val="2"/>
          </w:tcPr>
          <w:p>
            <w:pPr>
              <w:ind w:left="740"/>
              <w:spacing w:after="0"/>
              <w:rPr>
                <w:sz w:val="20"/>
                <w:szCs w:val="20"/>
                <w:color w:val="auto"/>
              </w:rPr>
            </w:pPr>
            <w:r>
              <w:rPr>
                <w:rFonts w:ascii="Arial" w:cs="Arial" w:eastAsia="Arial" w:hAnsi="Arial"/>
                <w:sz w:val="16"/>
                <w:szCs w:val="16"/>
                <w:color w:val="auto"/>
              </w:rPr>
              <w:t>40</w:t>
            </w:r>
          </w:p>
        </w:tc>
        <w:tc>
          <w:tcPr>
            <w:tcW w:w="740" w:type="dxa"/>
            <w:vAlign w:val="bottom"/>
          </w:tcPr>
          <w:p>
            <w:pPr>
              <w:spacing w:after="0"/>
              <w:rPr>
                <w:sz w:val="18"/>
                <w:szCs w:val="18"/>
                <w:color w:val="auto"/>
              </w:rPr>
            </w:pPr>
          </w:p>
        </w:tc>
        <w:tc>
          <w:tcPr>
            <w:tcW w:w="880" w:type="dxa"/>
            <w:vAlign w:val="bottom"/>
          </w:tcPr>
          <w:p>
            <w:pPr>
              <w:jc w:val="right"/>
              <w:ind w:right="147"/>
              <w:spacing w:after="0"/>
              <w:rPr>
                <w:sz w:val="20"/>
                <w:szCs w:val="20"/>
                <w:color w:val="auto"/>
              </w:rPr>
            </w:pPr>
            <w:r>
              <w:rPr>
                <w:rFonts w:ascii="Arial" w:cs="Arial" w:eastAsia="Arial" w:hAnsi="Arial"/>
                <w:sz w:val="16"/>
                <w:szCs w:val="16"/>
                <w:color w:val="auto"/>
                <w:w w:val="89"/>
              </w:rPr>
              <w:t>3,135,406</w:t>
            </w: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506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The Analog Devices B.V. Retirement and Death</w:t>
            </w: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Benefit Plan</w:t>
            </w:r>
          </w:p>
        </w:tc>
        <w:tc>
          <w:tcPr>
            <w:tcW w:w="18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5</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133,512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7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0" w:lineRule="exact"/>
        <w:rPr>
          <w:sz w:val="20"/>
          <w:szCs w:val="20"/>
          <w:color w:val="auto"/>
        </w:rPr>
      </w:pPr>
    </w:p>
    <w:p>
      <w:pPr>
        <w:ind w:left="460" w:right="120" w:hanging="459"/>
        <w:spacing w:after="0" w:line="265"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credited years of service is greater than the amount of actual years of service for Messrs. Marshall and McAdam by 9 years and 12 years, respectively. The additional years of service represent the prorated amount of additional service years they have earned and are entitled to under the plan. The number of credited years of service is equal to the amount of actual years of service for Mr. Roche.</w:t>
      </w:r>
    </w:p>
    <w:p>
      <w:pPr>
        <w:spacing w:after="0" w:line="1" w:lineRule="exact"/>
        <w:rPr>
          <w:rFonts w:ascii="Arial" w:cs="Arial" w:eastAsia="Arial" w:hAnsi="Arial"/>
          <w:sz w:val="16"/>
          <w:szCs w:val="16"/>
          <w:color w:val="auto"/>
        </w:rPr>
      </w:pPr>
    </w:p>
    <w:p>
      <w:pPr>
        <w:ind w:left="460" w:hanging="459"/>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present value of accumulated benefit for each of Messrs. Marshall, McAdam and Roche assume the benefits are paid at normal retirement age.</w:t>
      </w:r>
    </w:p>
    <w:p>
      <w:pPr>
        <w:spacing w:after="0" w:line="17" w:lineRule="exact"/>
        <w:rPr>
          <w:rFonts w:ascii="Arial" w:cs="Arial" w:eastAsia="Arial" w:hAnsi="Arial"/>
          <w:sz w:val="16"/>
          <w:szCs w:val="16"/>
          <w:color w:val="auto"/>
        </w:rPr>
      </w:pPr>
    </w:p>
    <w:p>
      <w:pPr>
        <w:jc w:val="both"/>
        <w:ind w:left="460" w:right="240" w:hanging="459"/>
        <w:spacing w:after="0" w:line="27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assumptions and valuation methods that we used to calculate the present value of the accumulated pension benefits shown are the same as those that we use for financial reporting purposes. The calculations use a discount rate of 5.75%, a standard mortality table rate that assumes males live approximately 29 years after the normal retirement age of 60.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39"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Deferred Compensation Plan</w:t>
      </w:r>
    </w:p>
    <w:p>
      <w:pPr>
        <w:spacing w:after="0" w:line="97"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director fees and Company matching contributions. Under our DCP, we provide all participants (other than non-employee directors) with Company contributions equal to 8% of eligible deferred contributions. Before January 1, 2005, participants could also defer gains on stock options and restricted stock awards that were granted before July 23, 1997. We have operated the DCP in a manner we believe is consistent with Internal Revenue Service guidance regarding nonqualified deferred compensation plans.</w:t>
      </w:r>
    </w:p>
    <w:p>
      <w:pPr>
        <w:spacing w:after="0" w:line="123"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110"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24" w:lineRule="exact"/>
        <w:rPr>
          <w:sz w:val="20"/>
          <w:szCs w:val="20"/>
          <w:color w:val="auto"/>
        </w:rPr>
      </w:pPr>
    </w:p>
    <w:p>
      <w:pPr>
        <w:ind w:right="820" w:firstLine="457"/>
        <w:spacing w:after="0" w:line="294" w:lineRule="auto"/>
        <w:rPr>
          <w:sz w:val="20"/>
          <w:szCs w:val="20"/>
          <w:color w:val="auto"/>
        </w:rPr>
      </w:pPr>
      <w:r>
        <w:rPr>
          <w:rFonts w:ascii="Arial" w:cs="Arial" w:eastAsia="Arial" w:hAnsi="Arial"/>
          <w:sz w:val="16"/>
          <w:szCs w:val="16"/>
          <w:color w:val="auto"/>
        </w:rPr>
        <w:t>Messrs. Marshall and McAdam did not participate in the Deferred Compensation Plan in fiscal 2011. The following table shows the non-qualified deferred compensation activity for Messrs. Fishman, Zinsner and Roche during fiscal 2011: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Non-Qualified Deferred Compensation for Fiscal 2011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6"/>
              </w:rPr>
              <w:t>Analog</w:t>
            </w:r>
          </w:p>
        </w:tc>
        <w:tc>
          <w:tcPr>
            <w:tcW w:w="11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3"/>
              </w:rPr>
              <w:t>Aggregate</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2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5"/>
              </w:rPr>
              <w:t>Executive</w:t>
            </w:r>
          </w:p>
        </w:tc>
        <w:tc>
          <w:tcPr>
            <w:tcW w:w="128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1"/>
              </w:rPr>
              <w:t>Devices</w:t>
            </w:r>
          </w:p>
        </w:tc>
        <w:tc>
          <w:tcPr>
            <w:tcW w:w="110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9"/>
              </w:rPr>
              <w:t>Earnings</w:t>
            </w: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2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9"/>
              </w:rPr>
              <w:t>Contributions</w:t>
            </w:r>
          </w:p>
        </w:tc>
        <w:tc>
          <w:tcPr>
            <w:tcW w:w="128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9"/>
              </w:rPr>
              <w:t>Contributions</w:t>
            </w:r>
          </w:p>
        </w:tc>
        <w:tc>
          <w:tcPr>
            <w:tcW w:w="1100" w:type="dxa"/>
            <w:vAlign w:val="bottom"/>
            <w:gridSpan w:val="2"/>
          </w:tcPr>
          <w:p>
            <w:pPr>
              <w:jc w:val="center"/>
              <w:ind w:right="560"/>
              <w:spacing w:after="0" w:line="139" w:lineRule="exact"/>
              <w:rPr>
                <w:sz w:val="20"/>
                <w:szCs w:val="20"/>
                <w:color w:val="auto"/>
              </w:rPr>
            </w:pPr>
            <w:r>
              <w:rPr>
                <w:rFonts w:ascii="Arial" w:cs="Arial" w:eastAsia="Arial" w:hAnsi="Arial"/>
                <w:sz w:val="13"/>
                <w:szCs w:val="13"/>
                <w:b w:val="1"/>
                <w:bCs w:val="1"/>
                <w:color w:val="auto"/>
                <w:w w:val="86"/>
              </w:rPr>
              <w:t>in</w:t>
            </w: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2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rPr>
              <w:t>in</w:t>
            </w:r>
          </w:p>
        </w:tc>
        <w:tc>
          <w:tcPr>
            <w:tcW w:w="128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6"/>
              </w:rPr>
              <w:t>in</w:t>
            </w:r>
          </w:p>
        </w:tc>
        <w:tc>
          <w:tcPr>
            <w:tcW w:w="110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89"/>
              </w:rPr>
              <w:t>Last</w:t>
            </w:r>
          </w:p>
        </w:tc>
        <w:tc>
          <w:tcPr>
            <w:tcW w:w="126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7"/>
              </w:rPr>
              <w:t>Aggregate</w:t>
            </w: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2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9"/>
              </w:rPr>
              <w:t>Last Fiscal</w:t>
            </w:r>
          </w:p>
        </w:tc>
        <w:tc>
          <w:tcPr>
            <w:tcW w:w="128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6"/>
              </w:rPr>
              <w:t>Last Fiscal</w:t>
            </w:r>
          </w:p>
        </w:tc>
        <w:tc>
          <w:tcPr>
            <w:tcW w:w="110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86"/>
              </w:rPr>
              <w:t>Fiscal</w:t>
            </w:r>
          </w:p>
        </w:tc>
        <w:tc>
          <w:tcPr>
            <w:tcW w:w="126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89"/>
              </w:rPr>
              <w:t>Withdrawals/</w:t>
            </w: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9"/>
              </w:rPr>
              <w:t>Last</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5240" w:type="dxa"/>
            <w:vAlign w:val="bottom"/>
            <w:vMerge w:val="restart"/>
          </w:tcPr>
          <w:p>
            <w:pPr>
              <w:spacing w:after="0"/>
              <w:rPr>
                <w:sz w:val="12"/>
                <w:szCs w:val="12"/>
                <w:color w:val="auto"/>
              </w:rPr>
            </w:pPr>
          </w:p>
        </w:tc>
        <w:tc>
          <w:tcPr>
            <w:tcW w:w="132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4"/>
              </w:rPr>
              <w:t>Year</w:t>
            </w:r>
          </w:p>
        </w:tc>
        <w:tc>
          <w:tcPr>
            <w:tcW w:w="128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84"/>
              </w:rPr>
              <w:t>Year</w:t>
            </w:r>
          </w:p>
        </w:tc>
        <w:tc>
          <w:tcPr>
            <w:tcW w:w="1100" w:type="dxa"/>
            <w:vAlign w:val="bottom"/>
            <w:gridSpan w:val="2"/>
          </w:tcPr>
          <w:p>
            <w:pPr>
              <w:jc w:val="center"/>
              <w:ind w:right="520"/>
              <w:spacing w:after="0" w:line="139" w:lineRule="exact"/>
              <w:rPr>
                <w:sz w:val="20"/>
                <w:szCs w:val="20"/>
                <w:color w:val="auto"/>
              </w:rPr>
            </w:pPr>
            <w:r>
              <w:rPr>
                <w:rFonts w:ascii="Arial" w:cs="Arial" w:eastAsia="Arial" w:hAnsi="Arial"/>
                <w:sz w:val="13"/>
                <w:szCs w:val="13"/>
                <w:b w:val="1"/>
                <w:bCs w:val="1"/>
                <w:color w:val="auto"/>
                <w:w w:val="92"/>
              </w:rPr>
              <w:t>Year</w:t>
            </w:r>
          </w:p>
        </w:tc>
        <w:tc>
          <w:tcPr>
            <w:tcW w:w="126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89"/>
              </w:rPr>
              <w:t>Distributions</w:t>
            </w: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7"/>
              </w:rPr>
              <w:t>Fiscal Year</w:t>
            </w: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5240" w:type="dxa"/>
            <w:vAlign w:val="bottom"/>
            <w:vMerge w:val="continue"/>
          </w:tcPr>
          <w:p>
            <w:pPr>
              <w:spacing w:after="0"/>
              <w:rPr>
                <w:sz w:val="13"/>
                <w:szCs w:val="13"/>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($)(1)</w:t>
            </w:r>
          </w:p>
        </w:tc>
        <w:tc>
          <w:tcPr>
            <w:tcW w:w="520" w:type="dxa"/>
            <w:vAlign w:val="bottom"/>
          </w:tcPr>
          <w:p>
            <w:pPr>
              <w:spacing w:after="0"/>
              <w:rPr>
                <w:sz w:val="13"/>
                <w:szCs w:val="13"/>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($)(2)</w:t>
            </w:r>
          </w:p>
        </w:tc>
        <w:tc>
          <w:tcPr>
            <w:tcW w:w="520" w:type="dxa"/>
            <w:vAlign w:val="bottom"/>
          </w:tcPr>
          <w:p>
            <w:pPr>
              <w:spacing w:after="0"/>
              <w:rPr>
                <w:sz w:val="13"/>
                <w:szCs w:val="13"/>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($)(3)</w:t>
            </w:r>
          </w:p>
        </w:tc>
        <w:tc>
          <w:tcPr>
            <w:tcW w:w="520" w:type="dxa"/>
            <w:vAlign w:val="bottom"/>
          </w:tcPr>
          <w:p>
            <w:pPr>
              <w:spacing w:after="0"/>
              <w:rPr>
                <w:sz w:val="13"/>
                <w:szCs w:val="13"/>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0"/>
              </w:rPr>
              <w:t>End ($)</w:t>
            </w:r>
          </w:p>
        </w:tc>
        <w:tc>
          <w:tcPr>
            <w:tcW w:w="0" w:type="dxa"/>
            <w:vAlign w:val="bottom"/>
          </w:tcPr>
          <w:p>
            <w:pPr>
              <w:spacing w:after="0"/>
              <w:rPr>
                <w:sz w:val="1"/>
                <w:szCs w:val="1"/>
                <w:color w:val="auto"/>
              </w:rPr>
            </w:pPr>
          </w:p>
        </w:tc>
      </w:tr>
      <w:tr>
        <w:trPr>
          <w:trHeight w:val="187"/>
        </w:trPr>
        <w:tc>
          <w:tcPr>
            <w:tcW w:w="5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14,534,066</w:t>
            </w:r>
          </w:p>
        </w:tc>
        <w:tc>
          <w:tcPr>
            <w:tcW w:w="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214,850</w:t>
            </w:r>
          </w:p>
        </w:tc>
        <w:tc>
          <w:tcPr>
            <w:tcW w:w="5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14,748,916</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8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13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142</w:t>
            </w:r>
          </w:p>
        </w:tc>
        <w:tc>
          <w:tcPr>
            <w:tcW w:w="520" w:type="dxa"/>
            <w:vAlign w:val="bottom"/>
          </w:tcPr>
          <w:p>
            <w:pPr>
              <w:spacing w:after="0"/>
              <w:rPr>
                <w:sz w:val="17"/>
                <w:szCs w:val="17"/>
                <w:color w:val="auto"/>
              </w:rPr>
            </w:pPr>
          </w:p>
        </w:tc>
        <w:tc>
          <w:tcPr>
            <w:tcW w:w="12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88,666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17,846</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1,428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5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7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0" w:lineRule="exact"/>
        <w:rPr>
          <w:sz w:val="20"/>
          <w:szCs w:val="20"/>
          <w:color w:val="auto"/>
        </w:rPr>
      </w:pPr>
    </w:p>
    <w:p>
      <w:pPr>
        <w:ind w:left="460" w:right="320" w:hanging="459"/>
        <w:spacing w:after="0" w:line="265"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amounts are included in the Summary Compensation Table above in the “All Other Compensation” column. Amounts for Mr. Fishman include $14,534,066 which he earned in fiscal 2007 through fiscal 2010 under his 2007 retention agreement and which we credited to his deferred compensation plan account in fiscal 2011.</w:t>
      </w:r>
    </w:p>
    <w:p>
      <w:pPr>
        <w:spacing w:after="0" w:line="1" w:lineRule="exact"/>
        <w:rPr>
          <w:rFonts w:ascii="Arial" w:cs="Arial" w:eastAsia="Arial" w:hAnsi="Arial"/>
          <w:sz w:val="16"/>
          <w:szCs w:val="16"/>
          <w:color w:val="auto"/>
        </w:rPr>
      </w:pPr>
    </w:p>
    <w:p>
      <w:pPr>
        <w:ind w:left="460" w:hanging="459"/>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amounts are included in the Summary Compensation Table above in the “All Other Compensation” column.</w:t>
      </w:r>
    </w:p>
    <w:p>
      <w:pPr>
        <w:spacing w:after="0" w:line="17" w:lineRule="exact"/>
        <w:rPr>
          <w:rFonts w:ascii="Arial" w:cs="Arial" w:eastAsia="Arial" w:hAnsi="Arial"/>
          <w:sz w:val="16"/>
          <w:szCs w:val="16"/>
          <w:color w:val="auto"/>
        </w:rPr>
      </w:pPr>
    </w:p>
    <w:p>
      <w:pPr>
        <w:ind w:left="460" w:right="60" w:hanging="459"/>
        <w:spacing w:after="0" w:line="285"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amounts are excluded from the Summary Compensation Table above in accordance with SEC regulations, as we did not pay above-market earnings on deferred compensation in fiscal 2011.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39"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 Retention Agreements</w:t>
      </w:r>
    </w:p>
    <w:p>
      <w:pPr>
        <w:spacing w:after="0" w:line="97" w:lineRule="exact"/>
        <w:rPr>
          <w:sz w:val="20"/>
          <w:szCs w:val="20"/>
          <w:color w:val="auto"/>
        </w:rPr>
      </w:pPr>
    </w:p>
    <w:p>
      <w:pPr>
        <w:ind w:right="80" w:firstLine="457"/>
        <w:spacing w:after="0" w:line="294" w:lineRule="auto"/>
        <w:rPr>
          <w:sz w:val="20"/>
          <w:szCs w:val="20"/>
          <w:color w:val="auto"/>
        </w:rPr>
      </w:pPr>
      <w:r>
        <w:rPr>
          <w:rFonts w:ascii="Arial" w:cs="Arial" w:eastAsia="Arial" w:hAnsi="Arial"/>
          <w:sz w:val="16"/>
          <w:szCs w:val="16"/>
          <w:color w:val="auto"/>
        </w:rPr>
        <w:t>We enter into change in control retention agreements with each of our executive officers and other key employees. These agreements provide for severance benefits if any of the following occurs:</w:t>
      </w:r>
    </w:p>
    <w:p>
      <w:pPr>
        <w:spacing w:after="0" w:line="28" w:lineRule="exact"/>
        <w:rPr>
          <w:sz w:val="20"/>
          <w:szCs w:val="20"/>
          <w:color w:val="auto"/>
        </w:rPr>
      </w:pPr>
    </w:p>
    <w:p>
      <w:pPr>
        <w:ind w:left="900" w:right="760" w:hanging="446"/>
        <w:spacing w:after="0" w:line="294"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27" w:lineRule="exact"/>
        <w:rPr>
          <w:rFonts w:ascii="Arial" w:cs="Arial" w:eastAsia="Arial" w:hAnsi="Arial"/>
          <w:sz w:val="16"/>
          <w:szCs w:val="16"/>
          <w:color w:val="auto"/>
        </w:rPr>
      </w:pPr>
    </w:p>
    <w:p>
      <w:pPr>
        <w:ind w:left="900" w:right="120" w:hanging="446"/>
        <w:spacing w:after="0" w:line="294"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within 24 months after a change in control that was approved by our Board of Directors, the employee terminates his or her employment for “good reason” (as defined in the agreement); or</w:t>
      </w:r>
    </w:p>
    <w:p>
      <w:pPr>
        <w:spacing w:after="0" w:line="27"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our change in control retention agreements, a “change in control” occurs when:</w:t>
      </w:r>
    </w:p>
    <w:p>
      <w:pPr>
        <w:spacing w:after="0" w:line="93"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person becomes the beneficial owner of 30% or more of the combined voting power of our outstanding securities;</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shareholders approve specified mergers of ADI with another entity; or</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shareholders approve a plan of liquidation or sale of all, or substantially all, of ADI’s assets.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agreements provide for the following severance benefits in the event of termination following a change in control approved by the Board:</w:t>
      </w:r>
    </w:p>
    <w:p>
      <w:pPr>
        <w:spacing w:after="0" w:line="93" w:lineRule="exact"/>
        <w:rPr>
          <w:sz w:val="20"/>
          <w:szCs w:val="20"/>
          <w:color w:val="auto"/>
        </w:rPr>
      </w:pPr>
    </w:p>
    <w:p>
      <w:pPr>
        <w:ind w:left="900" w:right="160" w:hanging="446"/>
        <w:spacing w:after="0" w:line="278"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the total cash bonuses paid or awarded to him or her in the four fiscal quarters preceding his or her termination; and</w:t>
      </w:r>
    </w:p>
    <w:p>
      <w:pPr>
        <w:spacing w:after="0" w:line="40"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continuation of life, disability, dental, accident and group health insurance benefits for a period of 24 months.</w:t>
      </w:r>
    </w:p>
    <w:p>
      <w:pPr>
        <w:spacing w:after="0" w:line="169"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In addition, 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provided in Section 4999 of the Code. In September 2009, our Compensation Committee eliminated this provision from any new employee retention agreements and in January 2010, our CEO agreed to eliminate his prior right to receive any such gross-up payments.</w:t>
      </w:r>
    </w:p>
    <w:p>
      <w:pPr>
        <w:spacing w:after="0" w:line="12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97"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Payments upon a change in control for our NEOs, with the exception of Mr. Fishman, are calculated based upon the change-in-control retention agreements described above under “— Change in Control Retention Agreements.” Mr. Fishman’s change of control payments are described above under “Agreements with our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39"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Upon a change in control approved by the Board,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Fishman) terminates in a situation that does not involve a change in control, the officer is entitled to receive the same benefits as any other terminating employee. This applies regardless of the reason for termination.</w:t>
      </w:r>
    </w:p>
    <w:p>
      <w:pPr>
        <w:spacing w:after="0" w:line="124"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or October 29, 2011. The table does not include the accumulated benefit under The Analog Devices B.V. Retirement and Death Benefit Plan or our Deferred Compensation Plan that would be paid to our NEOs described above under “Pension Benefits” and “Nonqualified Deferred Compensation Plan,” or any other employee benefits, except to the extent that the officer is entitled to an additional benefit as a result of the termination. In addition, the table does not include the value of vested but unexercised stock options held by each executive as of October 29, 2011. The actual amounts that would be paid out would depend on which options were exercised and, therefore, can only be determined at the time of the executive officer’s termination of employment.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Termination</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2"/>
              </w:rPr>
              <w:t>by us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0"/>
              </w:rPr>
              <w:t>without</w:t>
            </w:r>
          </w:p>
        </w:tc>
        <w:tc>
          <w:tcPr>
            <w:tcW w:w="6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5"/>
              </w:rPr>
              <w:t>Termination</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Cause or by</w:t>
            </w: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4"/>
              </w:rPr>
              <w:t>by us with</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2"/>
              </w:rPr>
              <w:t>the</w:t>
            </w: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5"/>
              </w:rPr>
              <w:t>cause or by</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7"/>
              </w:rPr>
              <w:t>Named</w:t>
            </w: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7"/>
              </w:rPr>
              <w:t>the Named</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8"/>
              </w:rPr>
              <w:t>Executive</w:t>
            </w:r>
          </w:p>
        </w:tc>
        <w:tc>
          <w:tcPr>
            <w:tcW w:w="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8"/>
              </w:rPr>
              <w:t>Executive</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0"/>
              </w:rPr>
              <w:t>Officer</w:t>
            </w:r>
          </w:p>
        </w:tc>
        <w:tc>
          <w:tcPr>
            <w:tcW w:w="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0"/>
              </w:rPr>
              <w:t>Officer</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2"/>
              </w:rPr>
              <w:t>with</w:t>
            </w:r>
          </w:p>
        </w:tc>
        <w:tc>
          <w:tcPr>
            <w:tcW w:w="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0"/>
              </w:rPr>
              <w:t>without</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40" w:type="dxa"/>
            <w:vAlign w:val="bottom"/>
            <w:gridSpan w:val="17"/>
          </w:tcPr>
          <w:p>
            <w:pPr>
              <w:jc w:val="right"/>
              <w:ind w:right="920"/>
              <w:spacing w:after="0" w:line="139" w:lineRule="exact"/>
              <w:rPr>
                <w:sz w:val="20"/>
                <w:szCs w:val="20"/>
                <w:color w:val="auto"/>
              </w:rPr>
            </w:pPr>
            <w:r>
              <w:rPr>
                <w:rFonts w:ascii="Arial" w:cs="Arial" w:eastAsia="Arial" w:hAnsi="Arial"/>
                <w:sz w:val="13"/>
                <w:szCs w:val="13"/>
                <w:b w:val="1"/>
                <w:bCs w:val="1"/>
                <w:color w:val="auto"/>
                <w:w w:val="97"/>
              </w:rPr>
              <w:t>Termination by us without Cause or by the Named Executive Officer</w:t>
            </w:r>
          </w:p>
        </w:tc>
        <w:tc>
          <w:tcPr>
            <w:tcW w:w="6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8"/>
              </w:rPr>
              <w:t>Good</w:t>
            </w:r>
          </w:p>
        </w:tc>
        <w:tc>
          <w:tcPr>
            <w:tcW w:w="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8"/>
              </w:rPr>
              <w:t>Good</w:t>
            </w:r>
          </w:p>
        </w:tc>
        <w:tc>
          <w:tcPr>
            <w:tcW w:w="260" w:type="dxa"/>
            <w:vAlign w:val="bottom"/>
          </w:tcPr>
          <w:p>
            <w:pPr>
              <w:spacing w:after="0"/>
              <w:rPr>
                <w:sz w:val="12"/>
                <w:szCs w:val="12"/>
                <w:color w:val="auto"/>
              </w:rPr>
            </w:pPr>
          </w:p>
        </w:tc>
        <w:tc>
          <w:tcPr>
            <w:tcW w:w="1540" w:type="dxa"/>
            <w:vAlign w:val="bottom"/>
            <w:gridSpan w:val="5"/>
          </w:tcPr>
          <w:p>
            <w:pPr>
              <w:ind w:left="320"/>
              <w:spacing w:after="0" w:line="139" w:lineRule="exact"/>
              <w:rPr>
                <w:sz w:val="20"/>
                <w:szCs w:val="20"/>
                <w:color w:val="auto"/>
              </w:rPr>
            </w:pPr>
            <w:r>
              <w:rPr>
                <w:rFonts w:ascii="Arial" w:cs="Arial" w:eastAsia="Arial" w:hAnsi="Arial"/>
                <w:sz w:val="13"/>
                <w:szCs w:val="13"/>
                <w:b w:val="1"/>
                <w:bCs w:val="1"/>
                <w:color w:val="auto"/>
              </w:rPr>
              <w:t>Termination by</w:t>
            </w:r>
          </w:p>
        </w:tc>
      </w:tr>
      <w:tr>
        <w:trPr>
          <w:trHeight w:val="151"/>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gridSpan w:val="12"/>
          </w:tcPr>
          <w:p>
            <w:pPr>
              <w:jc w:val="right"/>
              <w:ind w:right="280"/>
              <w:spacing w:after="0"/>
              <w:rPr>
                <w:sz w:val="20"/>
                <w:szCs w:val="20"/>
                <w:color w:val="auto"/>
              </w:rPr>
            </w:pPr>
            <w:r>
              <w:rPr>
                <w:rFonts w:ascii="Arial" w:cs="Arial" w:eastAsia="Arial" w:hAnsi="Arial"/>
                <w:sz w:val="13"/>
                <w:szCs w:val="13"/>
                <w:b w:val="1"/>
                <w:bCs w:val="1"/>
                <w:color w:val="auto"/>
                <w:w w:val="89"/>
              </w:rPr>
              <w:t>with Good Reason Following a Change in Control(1)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2"/>
              </w:rPr>
              <w:t>Reason(2)</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2"/>
              </w:rPr>
              <w:t>Reason(3)</w:t>
            </w:r>
          </w:p>
        </w:tc>
        <w:tc>
          <w:tcPr>
            <w:tcW w:w="260" w:type="dxa"/>
            <w:vAlign w:val="bottom"/>
          </w:tcPr>
          <w:p>
            <w:pPr>
              <w:spacing w:after="0"/>
              <w:rPr>
                <w:sz w:val="13"/>
                <w:szCs w:val="13"/>
                <w:color w:val="auto"/>
              </w:rPr>
            </w:pPr>
          </w:p>
        </w:tc>
        <w:tc>
          <w:tcPr>
            <w:tcW w:w="1040" w:type="dxa"/>
            <w:vAlign w:val="bottom"/>
            <w:gridSpan w:val="3"/>
          </w:tcPr>
          <w:p>
            <w:pPr>
              <w:ind w:left="500"/>
              <w:spacing w:after="0"/>
              <w:rPr>
                <w:sz w:val="20"/>
                <w:szCs w:val="20"/>
                <w:color w:val="auto"/>
              </w:rPr>
            </w:pPr>
            <w:r>
              <w:rPr>
                <w:rFonts w:ascii="Arial" w:cs="Arial" w:eastAsia="Arial" w:hAnsi="Arial"/>
                <w:sz w:val="13"/>
                <w:szCs w:val="13"/>
                <w:b w:val="1"/>
                <w:bCs w:val="1"/>
                <w:color w:val="auto"/>
                <w:w w:val="99"/>
              </w:rPr>
              <w:t>Death(4)</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8"/>
        </w:trPr>
        <w:tc>
          <w:tcPr>
            <w:tcW w:w="294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320"/>
              <w:spacing w:after="0" w:line="118" w:lineRule="exact"/>
              <w:rPr>
                <w:sz w:val="20"/>
                <w:szCs w:val="20"/>
                <w:color w:val="auto"/>
              </w:rPr>
            </w:pPr>
            <w:r>
              <w:rPr>
                <w:rFonts w:ascii="Arial" w:cs="Arial" w:eastAsia="Arial" w:hAnsi="Arial"/>
                <w:sz w:val="13"/>
                <w:szCs w:val="13"/>
                <w:b w:val="1"/>
                <w:bCs w:val="1"/>
                <w:color w:val="auto"/>
                <w:w w:val="96"/>
              </w:rPr>
              <w:t>David A.</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340"/>
              <w:spacing w:after="0" w:line="118" w:lineRule="exact"/>
              <w:rPr>
                <w:sz w:val="20"/>
                <w:szCs w:val="20"/>
                <w:color w:val="auto"/>
              </w:rPr>
            </w:pPr>
            <w:r>
              <w:rPr>
                <w:rFonts w:ascii="Arial" w:cs="Arial" w:eastAsia="Arial" w:hAnsi="Arial"/>
                <w:sz w:val="13"/>
                <w:szCs w:val="13"/>
                <w:b w:val="1"/>
                <w:bCs w:val="1"/>
                <w:color w:val="auto"/>
                <w:w w:val="92"/>
              </w:rPr>
              <w:t>Robert R.</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ind w:left="20"/>
              <w:spacing w:after="0" w:line="118" w:lineRule="exact"/>
              <w:rPr>
                <w:sz w:val="20"/>
                <w:szCs w:val="20"/>
                <w:color w:val="auto"/>
              </w:rPr>
            </w:pPr>
            <w:r>
              <w:rPr>
                <w:rFonts w:ascii="Arial" w:cs="Arial" w:eastAsia="Arial" w:hAnsi="Arial"/>
                <w:sz w:val="13"/>
                <w:szCs w:val="13"/>
                <w:b w:val="1"/>
                <w:bCs w:val="1"/>
                <w:color w:val="auto"/>
              </w:rPr>
              <w:t>Robert P.</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Arial" w:cs="Arial" w:eastAsia="Arial" w:hAnsi="Arial"/>
                <w:sz w:val="13"/>
                <w:szCs w:val="13"/>
                <w:b w:val="1"/>
                <w:bCs w:val="1"/>
                <w:color w:val="auto"/>
              </w:rPr>
              <w:t>Vincent T.</w:t>
            </w: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w w:val="86"/>
              </w:rPr>
              <w:t>Jerald G.</w:t>
            </w:r>
          </w:p>
        </w:tc>
        <w:tc>
          <w:tcPr>
            <w:tcW w:w="4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Jerald G.</w:t>
            </w:r>
          </w:p>
        </w:tc>
        <w:tc>
          <w:tcPr>
            <w:tcW w:w="2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Jerald G.</w:t>
            </w:r>
          </w:p>
        </w:tc>
        <w:tc>
          <w:tcPr>
            <w:tcW w:w="260" w:type="dxa"/>
            <w:vAlign w:val="bottom"/>
          </w:tcPr>
          <w:p>
            <w:pPr>
              <w:spacing w:after="0"/>
              <w:rPr>
                <w:sz w:val="10"/>
                <w:szCs w:val="10"/>
                <w:color w:val="auto"/>
              </w:rPr>
            </w:pPr>
          </w:p>
        </w:tc>
        <w:tc>
          <w:tcPr>
            <w:tcW w:w="940" w:type="dxa"/>
            <w:vAlign w:val="bottom"/>
            <w:tcBorders>
              <w:top w:val="single" w:sz="8" w:color="auto"/>
            </w:tcBorders>
            <w:gridSpan w:val="2"/>
          </w:tcPr>
          <w:p>
            <w:pPr>
              <w:ind w:left="20"/>
              <w:spacing w:after="0" w:line="118" w:lineRule="exact"/>
              <w:rPr>
                <w:sz w:val="20"/>
                <w:szCs w:val="20"/>
                <w:color w:val="auto"/>
              </w:rPr>
            </w:pPr>
            <w:r>
              <w:rPr>
                <w:rFonts w:ascii="Arial" w:cs="Arial" w:eastAsia="Arial" w:hAnsi="Arial"/>
                <w:sz w:val="13"/>
                <w:szCs w:val="13"/>
                <w:b w:val="1"/>
                <w:bCs w:val="1"/>
                <w:color w:val="auto"/>
              </w:rPr>
              <w:t>Jerald G.</w:t>
            </w:r>
          </w:p>
        </w:tc>
        <w:tc>
          <w:tcPr>
            <w:tcW w:w="54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88"/>
              </w:rPr>
              <w:t>Robert R.</w:t>
            </w:r>
          </w:p>
        </w:tc>
        <w:tc>
          <w:tcPr>
            <w:tcW w:w="60" w:type="dxa"/>
            <w:vAlign w:val="bottom"/>
          </w:tcPr>
          <w:p>
            <w:pPr>
              <w:spacing w:after="0"/>
              <w:rPr>
                <w:sz w:val="10"/>
                <w:szCs w:val="10"/>
                <w:color w:val="auto"/>
              </w:rPr>
            </w:pPr>
          </w:p>
        </w:tc>
      </w:tr>
      <w:tr>
        <w:trPr>
          <w:trHeight w:val="151"/>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5"/>
              </w:rPr>
              <w:t>Zinsner</w:t>
            </w:r>
          </w:p>
        </w:tc>
        <w:tc>
          <w:tcPr>
            <w:tcW w:w="160" w:type="dxa"/>
            <w:vAlign w:val="bottom"/>
          </w:tcPr>
          <w:p>
            <w:pPr>
              <w:spacing w:after="0"/>
              <w:rPr>
                <w:sz w:val="13"/>
                <w:szCs w:val="13"/>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8"/>
              </w:rPr>
              <w:t>Marshall</w:t>
            </w:r>
          </w:p>
        </w:tc>
        <w:tc>
          <w:tcPr>
            <w:tcW w:w="12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McAdam</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5"/>
              </w:rPr>
              <w:t>Roche</w:t>
            </w:r>
          </w:p>
        </w:tc>
        <w:tc>
          <w:tcPr>
            <w:tcW w:w="8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5"/>
              </w:rPr>
              <w:t>Fishman</w:t>
            </w:r>
          </w:p>
        </w:tc>
        <w:tc>
          <w:tcPr>
            <w:tcW w:w="6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Fishman</w:t>
            </w: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Fishman</w:t>
            </w:r>
          </w:p>
        </w:tc>
        <w:tc>
          <w:tcPr>
            <w:tcW w:w="26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Fishman</w:t>
            </w:r>
          </w:p>
        </w:tc>
        <w:tc>
          <w:tcPr>
            <w:tcW w:w="600" w:type="dxa"/>
            <w:vAlign w:val="bottom"/>
            <w:gridSpan w:val="3"/>
          </w:tcPr>
          <w:p>
            <w:pPr>
              <w:ind w:left="20"/>
              <w:spacing w:after="0"/>
              <w:rPr>
                <w:sz w:val="20"/>
                <w:szCs w:val="20"/>
                <w:color w:val="auto"/>
              </w:rPr>
            </w:pPr>
            <w:r>
              <w:rPr>
                <w:rFonts w:ascii="Arial" w:cs="Arial" w:eastAsia="Arial" w:hAnsi="Arial"/>
                <w:sz w:val="13"/>
                <w:szCs w:val="13"/>
                <w:b w:val="1"/>
                <w:bCs w:val="1"/>
                <w:color w:val="auto"/>
              </w:rPr>
              <w:t>Marshall</w:t>
            </w:r>
          </w:p>
        </w:tc>
      </w:tr>
      <w:tr>
        <w:trPr>
          <w:trHeight w:val="131"/>
        </w:trPr>
        <w:tc>
          <w:tcPr>
            <w:tcW w:w="294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Cash Severance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70"/>
              </w:rPr>
              <w:t>1,345,500(5)</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73"/>
              </w:rPr>
              <w:t>1,270,750(5)</w:t>
            </w: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spacing w:after="0" w:line="132" w:lineRule="exact"/>
              <w:rPr>
                <w:sz w:val="20"/>
                <w:szCs w:val="20"/>
                <w:color w:val="auto"/>
              </w:rPr>
            </w:pPr>
            <w:r>
              <w:rPr>
                <w:rFonts w:ascii="Arial" w:cs="Arial" w:eastAsia="Arial" w:hAnsi="Arial"/>
                <w:sz w:val="12"/>
                <w:szCs w:val="12"/>
                <w:color w:val="auto"/>
                <w:w w:val="70"/>
              </w:rPr>
              <w:t>1,270,750(5)</w:t>
            </w: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70"/>
              </w:rPr>
              <w:t>1,270,750(5)</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73"/>
              </w:rPr>
              <w:t>2,783,496(5)</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4,840,862</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80"/>
              <w:spacing w:after="0" w:line="131"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60"/>
              <w:spacing w:after="0" w:line="131"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Cash Bonus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2,464,594(6)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w w:val="86"/>
              </w:rPr>
              <w:t>2,225,524(6)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spacing w:after="0"/>
              <w:rPr>
                <w:sz w:val="20"/>
                <w:szCs w:val="20"/>
                <w:color w:val="auto"/>
              </w:rPr>
            </w:pPr>
            <w:r>
              <w:rPr>
                <w:rFonts w:ascii="Arial" w:cs="Arial" w:eastAsia="Arial" w:hAnsi="Arial"/>
                <w:sz w:val="13"/>
                <w:szCs w:val="13"/>
                <w:color w:val="auto"/>
              </w:rPr>
              <w:t>2,225,524(6)</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w w:val="86"/>
              </w:rPr>
              <w:t>2,219,034(6)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w w:val="83"/>
              </w:rPr>
              <w:t>10,877,045(6)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1,166,390</w:t>
            </w:r>
          </w:p>
        </w:tc>
        <w:tc>
          <w:tcPr>
            <w:tcW w:w="2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1,166,390</w:t>
            </w:r>
          </w:p>
        </w:tc>
        <w:tc>
          <w:tcPr>
            <w:tcW w:w="1200" w:type="dxa"/>
            <w:vAlign w:val="bottom"/>
            <w:gridSpan w:val="3"/>
          </w:tcPr>
          <w:p>
            <w:pPr>
              <w:ind w:left="260"/>
              <w:spacing w:after="0"/>
              <w:rPr>
                <w:sz w:val="20"/>
                <w:szCs w:val="20"/>
                <w:color w:val="auto"/>
              </w:rPr>
            </w:pPr>
            <w:r>
              <w:rPr>
                <w:rFonts w:ascii="Arial" w:cs="Arial" w:eastAsia="Arial" w:hAnsi="Arial"/>
                <w:sz w:val="13"/>
                <w:szCs w:val="13"/>
                <w:color w:val="auto"/>
              </w:rPr>
              <w:t>$1,166,390(3)</w:t>
            </w:r>
          </w:p>
        </w:tc>
        <w:tc>
          <w:tcPr>
            <w:tcW w:w="100" w:type="dxa"/>
            <w:vAlign w:val="bottom"/>
          </w:tcPr>
          <w:p>
            <w:pPr>
              <w:spacing w:after="0"/>
              <w:rPr>
                <w:sz w:val="13"/>
                <w:szCs w:val="13"/>
                <w:color w:val="auto"/>
              </w:rPr>
            </w:pP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r>
      <w:tr>
        <w:trPr>
          <w:trHeight w:val="41"/>
        </w:trPr>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39"/>
        </w:trPr>
        <w:tc>
          <w:tcPr>
            <w:tcW w:w="29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Value of Accelerated Vesting of Stock Awards(7)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2,889,026</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6"/>
              </w:rPr>
              <w:t>2,193,605</w:t>
            </w:r>
          </w:p>
        </w:tc>
        <w:tc>
          <w:tcPr>
            <w:tcW w:w="3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2,193,605</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40"/>
              <w:spacing w:after="0" w:line="139" w:lineRule="exact"/>
              <w:rPr>
                <w:sz w:val="20"/>
                <w:szCs w:val="20"/>
                <w:color w:val="auto"/>
              </w:rPr>
            </w:pPr>
            <w:r>
              <w:rPr>
                <w:rFonts w:ascii="Arial" w:cs="Arial" w:eastAsia="Arial" w:hAnsi="Arial"/>
                <w:sz w:val="13"/>
                <w:szCs w:val="13"/>
                <w:color w:val="auto"/>
                <w:w w:val="82"/>
              </w:rPr>
              <w:t>2,450,255</w:t>
            </w: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6,032,000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6,032,000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60"/>
              <w:spacing w:after="0" w:line="139" w:lineRule="exact"/>
              <w:rPr>
                <w:sz w:val="20"/>
                <w:szCs w:val="20"/>
                <w:color w:val="auto"/>
              </w:rPr>
            </w:pPr>
            <w:r>
              <w:rPr>
                <w:rFonts w:ascii="Arial" w:cs="Arial" w:eastAsia="Arial" w:hAnsi="Arial"/>
                <w:sz w:val="13"/>
                <w:szCs w:val="13"/>
                <w:color w:val="auto"/>
              </w:rPr>
              <w:t>—</w:t>
            </w:r>
          </w:p>
        </w:tc>
      </w:tr>
      <w:tr>
        <w:trPr>
          <w:trHeight w:val="139"/>
        </w:trPr>
        <w:tc>
          <w:tcPr>
            <w:tcW w:w="2940" w:type="dxa"/>
            <w:vAlign w:val="bottom"/>
          </w:tcPr>
          <w:p>
            <w:pPr>
              <w:spacing w:after="0" w:line="139" w:lineRule="exact"/>
              <w:rPr>
                <w:sz w:val="20"/>
                <w:szCs w:val="20"/>
                <w:color w:val="auto"/>
              </w:rPr>
            </w:pPr>
            <w:r>
              <w:rPr>
                <w:rFonts w:ascii="Arial" w:cs="Arial" w:eastAsia="Arial" w:hAnsi="Arial"/>
                <w:sz w:val="13"/>
                <w:szCs w:val="13"/>
                <w:color w:val="auto"/>
              </w:rPr>
              <w:t>Additional Bonus(8)</w:t>
            </w:r>
          </w:p>
        </w:tc>
        <w:tc>
          <w:tcPr>
            <w:tcW w:w="60" w:type="dxa"/>
            <w:vAlign w:val="bottom"/>
          </w:tcPr>
          <w:p>
            <w:pPr>
              <w:spacing w:after="0"/>
              <w:rPr>
                <w:sz w:val="12"/>
                <w:szCs w:val="12"/>
                <w:color w:val="auto"/>
              </w:rPr>
            </w:pPr>
          </w:p>
        </w:tc>
        <w:tc>
          <w:tcPr>
            <w:tcW w:w="78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5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1,350,731</w:t>
            </w: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1,350,731</w:t>
            </w:r>
          </w:p>
        </w:tc>
        <w:tc>
          <w:tcPr>
            <w:tcW w:w="1200" w:type="dxa"/>
            <w:vAlign w:val="bottom"/>
            <w:gridSpan w:val="3"/>
          </w:tcPr>
          <w:p>
            <w:pPr>
              <w:ind w:left="260"/>
              <w:spacing w:after="0" w:line="139" w:lineRule="exact"/>
              <w:rPr>
                <w:sz w:val="20"/>
                <w:szCs w:val="20"/>
                <w:color w:val="auto"/>
              </w:rPr>
            </w:pPr>
            <w:r>
              <w:rPr>
                <w:rFonts w:ascii="Arial" w:cs="Arial" w:eastAsia="Arial" w:hAnsi="Arial"/>
                <w:sz w:val="13"/>
                <w:szCs w:val="13"/>
                <w:color w:val="auto"/>
              </w:rPr>
              <w:t>$1,350,731(3)</w:t>
            </w:r>
          </w:p>
        </w:tc>
        <w:tc>
          <w:tcPr>
            <w:tcW w:w="100" w:type="dxa"/>
            <w:vAlign w:val="bottom"/>
          </w:tcPr>
          <w:p>
            <w:pPr>
              <w:spacing w:after="0"/>
              <w:rPr>
                <w:sz w:val="12"/>
                <w:szCs w:val="12"/>
                <w:color w:val="auto"/>
              </w:rPr>
            </w:pPr>
          </w:p>
        </w:tc>
        <w:tc>
          <w:tcPr>
            <w:tcW w:w="500" w:type="dxa"/>
            <w:vAlign w:val="bottom"/>
            <w:gridSpan w:val="2"/>
          </w:tcPr>
          <w:p>
            <w:pPr>
              <w:ind w:left="260"/>
              <w:spacing w:after="0" w:line="139" w:lineRule="exact"/>
              <w:rPr>
                <w:sz w:val="20"/>
                <w:szCs w:val="20"/>
                <w:color w:val="auto"/>
              </w:rPr>
            </w:pPr>
            <w:r>
              <w:rPr>
                <w:rFonts w:ascii="Arial" w:cs="Arial" w:eastAsia="Arial" w:hAnsi="Arial"/>
                <w:sz w:val="13"/>
                <w:szCs w:val="13"/>
                <w:color w:val="auto"/>
              </w:rPr>
              <w:t>—</w:t>
            </w:r>
          </w:p>
        </w:tc>
      </w:tr>
      <w:tr>
        <w:trPr>
          <w:trHeight w:val="139"/>
        </w:trPr>
        <w:tc>
          <w:tcPr>
            <w:tcW w:w="29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Incremental Pension Benefit(9)</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w w:val="80"/>
              </w:rPr>
              <w:t>425,875</w:t>
            </w:r>
          </w:p>
        </w:tc>
        <w:tc>
          <w:tcPr>
            <w:tcW w:w="60" w:type="dxa"/>
            <w:vAlign w:val="bottom"/>
            <w:shd w:val="clear" w:color="auto" w:fill="CCEEFF"/>
          </w:tcPr>
          <w:p>
            <w:pPr>
              <w:spacing w:after="0"/>
              <w:rPr>
                <w:sz w:val="12"/>
                <w:szCs w:val="12"/>
                <w:color w:val="auto"/>
              </w:rPr>
            </w:pPr>
          </w:p>
        </w:tc>
      </w:tr>
      <w:tr>
        <w:trPr>
          <w:trHeight w:val="139"/>
        </w:trPr>
        <w:tc>
          <w:tcPr>
            <w:tcW w:w="2940" w:type="dxa"/>
            <w:vAlign w:val="bottom"/>
          </w:tcPr>
          <w:p>
            <w:pPr>
              <w:spacing w:after="0" w:line="139" w:lineRule="exact"/>
              <w:rPr>
                <w:sz w:val="20"/>
                <w:szCs w:val="20"/>
                <w:color w:val="auto"/>
              </w:rPr>
            </w:pPr>
            <w:r>
              <w:rPr>
                <w:rFonts w:ascii="Arial" w:cs="Arial" w:eastAsia="Arial" w:hAnsi="Arial"/>
                <w:sz w:val="13"/>
                <w:szCs w:val="13"/>
                <w:color w:val="auto"/>
              </w:rPr>
              <w:t>Value of Medical and other Benefits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27,054(10)</w:t>
            </w:r>
          </w:p>
        </w:tc>
        <w:tc>
          <w:tcPr>
            <w:tcW w:w="22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10,418(10)</w:t>
            </w:r>
          </w:p>
        </w:tc>
        <w:tc>
          <w:tcPr>
            <w:tcW w:w="18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 (10)</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34,582(10)</w:t>
            </w:r>
          </w:p>
        </w:tc>
        <w:tc>
          <w:tcPr>
            <w:tcW w:w="80" w:type="dxa"/>
            <w:vAlign w:val="bottom"/>
          </w:tcPr>
          <w:p>
            <w:pPr>
              <w:jc w:val="right"/>
              <w:spacing w:after="0" w:line="139"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20,403(10)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10,201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940" w:type="dxa"/>
            <w:vAlign w:val="bottom"/>
            <w:gridSpan w:val="2"/>
          </w:tcPr>
          <w:p>
            <w:pPr>
              <w:ind w:left="38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gridSpan w:val="2"/>
          </w:tcPr>
          <w:p>
            <w:pPr>
              <w:ind w:left="260"/>
              <w:spacing w:after="0" w:line="139" w:lineRule="exact"/>
              <w:rPr>
                <w:sz w:val="20"/>
                <w:szCs w:val="20"/>
                <w:color w:val="auto"/>
              </w:rPr>
            </w:pPr>
            <w:r>
              <w:rPr>
                <w:rFonts w:ascii="Arial" w:cs="Arial" w:eastAsia="Arial" w:hAnsi="Arial"/>
                <w:sz w:val="13"/>
                <w:szCs w:val="13"/>
                <w:color w:val="auto"/>
              </w:rPr>
              <w:t>—</w:t>
            </w:r>
          </w:p>
        </w:tc>
      </w:tr>
      <w:tr>
        <w:trPr>
          <w:trHeight w:val="139"/>
        </w:trPr>
        <w:tc>
          <w:tcPr>
            <w:tcW w:w="29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Excise Tax Gross up(11)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36,280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40"/>
              <w:spacing w:after="0" w:line="139" w:lineRule="exact"/>
              <w:rPr>
                <w:sz w:val="20"/>
                <w:szCs w:val="20"/>
                <w:color w:val="auto"/>
              </w:rPr>
            </w:pPr>
            <w:r>
              <w:rPr>
                <w:rFonts w:ascii="Arial" w:cs="Arial" w:eastAsia="Arial" w:hAnsi="Arial"/>
                <w:sz w:val="13"/>
                <w:szCs w:val="13"/>
                <w:color w:val="auto"/>
              </w:rPr>
              <w:t>52,546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60"/>
              <w:spacing w:after="0" w:line="139" w:lineRule="exact"/>
              <w:rPr>
                <w:sz w:val="20"/>
                <w:szCs w:val="20"/>
                <w:color w:val="auto"/>
              </w:rPr>
            </w:pPr>
            <w:r>
              <w:rPr>
                <w:rFonts w:ascii="Arial" w:cs="Arial" w:eastAsia="Arial" w:hAnsi="Arial"/>
                <w:sz w:val="13"/>
                <w:szCs w:val="13"/>
                <w:color w:val="auto"/>
              </w:rPr>
              <w:t>—</w:t>
            </w: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Total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2"/>
              </w:rPr>
              <w:t>6,762,454</w:t>
            </w:r>
          </w:p>
        </w:tc>
        <w:tc>
          <w:tcPr>
            <w:tcW w:w="2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5,700,297</w:t>
            </w:r>
          </w:p>
        </w:tc>
        <w:tc>
          <w:tcPr>
            <w:tcW w:w="3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spacing w:after="0"/>
              <w:rPr>
                <w:sz w:val="20"/>
                <w:szCs w:val="20"/>
                <w:color w:val="auto"/>
              </w:rPr>
            </w:pPr>
            <w:r>
              <w:rPr>
                <w:rFonts w:ascii="Arial" w:cs="Arial" w:eastAsia="Arial" w:hAnsi="Arial"/>
                <w:sz w:val="13"/>
                <w:szCs w:val="13"/>
                <w:color w:val="auto"/>
              </w:rPr>
              <w:t>5,689,879</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3"/>
                <w:szCs w:val="13"/>
                <w:color w:val="auto"/>
                <w:w w:val="82"/>
              </w:rPr>
              <w:t>6,027,167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82"/>
              </w:rPr>
              <w:t>19,712,944</w:t>
            </w:r>
          </w:p>
        </w:tc>
        <w:tc>
          <w:tcPr>
            <w:tcW w:w="4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13,400,184</w:t>
            </w:r>
          </w:p>
        </w:tc>
        <w:tc>
          <w:tcPr>
            <w:tcW w:w="2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2,517,121</w:t>
            </w:r>
          </w:p>
        </w:tc>
        <w:tc>
          <w:tcPr>
            <w:tcW w:w="1200" w:type="dxa"/>
            <w:vAlign w:val="bottom"/>
            <w:gridSpan w:val="3"/>
          </w:tcPr>
          <w:p>
            <w:pPr>
              <w:ind w:left="260"/>
              <w:spacing w:after="0"/>
              <w:rPr>
                <w:sz w:val="20"/>
                <w:szCs w:val="20"/>
                <w:color w:val="auto"/>
              </w:rPr>
            </w:pPr>
            <w:r>
              <w:rPr>
                <w:rFonts w:ascii="Arial" w:cs="Arial" w:eastAsia="Arial" w:hAnsi="Arial"/>
                <w:sz w:val="13"/>
                <w:szCs w:val="13"/>
                <w:color w:val="auto"/>
              </w:rPr>
              <w:t>$2,517,121</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ind w:left="40"/>
              <w:spacing w:after="0"/>
              <w:rPr>
                <w:sz w:val="20"/>
                <w:szCs w:val="20"/>
                <w:color w:val="auto"/>
              </w:rPr>
            </w:pPr>
            <w:r>
              <w:rPr>
                <w:rFonts w:ascii="Arial" w:cs="Arial" w:eastAsia="Arial" w:hAnsi="Arial"/>
                <w:sz w:val="13"/>
                <w:szCs w:val="13"/>
                <w:color w:val="auto"/>
                <w:w w:val="80"/>
              </w:rPr>
              <w:t>425,875</w:t>
            </w:r>
          </w:p>
        </w:tc>
        <w:tc>
          <w:tcPr>
            <w:tcW w:w="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7277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88" w:lineRule="exact"/>
        <w:rPr>
          <w:sz w:val="20"/>
          <w:szCs w:val="20"/>
          <w:color w:val="auto"/>
        </w:rPr>
      </w:pPr>
    </w:p>
    <w:p>
      <w:pPr>
        <w:ind w:left="560" w:right="520" w:hanging="559"/>
        <w:spacing w:after="0" w:line="267" w:lineRule="auto"/>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benefits shown are also payable if the executive officer voluntarily leaves within 12 months after a change in control that is not approved by our board of directors.</w:t>
      </w:r>
    </w:p>
    <w:p>
      <w:pPr>
        <w:ind w:left="560" w:right="80" w:hanging="559"/>
        <w:spacing w:after="0" w:line="280" w:lineRule="auto"/>
        <w:tabs>
          <w:tab w:leader="none" w:pos="5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Under the terms of his employment agreement dated January 14, 2010, Mr. Fishman is entitled to payments as follows: cash severance equal to the amount of his base salary and target annual bonus and the amount of base salary and annual bonus he would have received (at target) over the remaining balance of the employment period (one year); a cash bonus equal to his actual annual bonus earned but not yet paid; an additional bonus equal to his bonus for the quarter in which the termination occurs that was earned but not yet paid multiplied by two; continued medical and dental benefits (or estimated costs of those benefits) through the remaining balance of the employment period (one year); and the acceleration of all outstanding equity awards.</w:t>
      </w:r>
    </w:p>
    <w:p>
      <w:pPr>
        <w:spacing w:after="0" w:line="1" w:lineRule="exact"/>
        <w:rPr>
          <w:rFonts w:ascii="Arial" w:cs="Arial" w:eastAsia="Arial" w:hAnsi="Arial"/>
          <w:sz w:val="15"/>
          <w:szCs w:val="15"/>
          <w:color w:val="auto"/>
        </w:rPr>
      </w:pPr>
    </w:p>
    <w:p>
      <w:pPr>
        <w:ind w:left="560" w:right="20" w:hanging="559"/>
        <w:spacing w:after="0" w:line="285" w:lineRule="auto"/>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Fishman is entitled to a payment under the terms of his employment agreement dated January 14, 2010. This payment represents the amount of annual bonus and additional bonus (annual bonus multiplied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39"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by two) earned but not yet paid, that would have been paid to Mr. Fishman had he remained Chief Executive Officer of ADI at the time of payment.</w:t>
      </w:r>
    </w:p>
    <w:p>
      <w:pPr>
        <w:spacing w:after="0" w:line="24" w:lineRule="exact"/>
        <w:rPr>
          <w:sz w:val="20"/>
          <w:szCs w:val="20"/>
          <w:color w:val="auto"/>
        </w:rPr>
      </w:pPr>
    </w:p>
    <w:p>
      <w:pPr>
        <w:ind w:left="560" w:hanging="559"/>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Fishman also receives these benefits in the event of termination due to disability.</w:t>
      </w:r>
    </w:p>
    <w:p>
      <w:pPr>
        <w:spacing w:after="0" w:line="17" w:lineRule="exact"/>
        <w:rPr>
          <w:rFonts w:ascii="Arial" w:cs="Arial" w:eastAsia="Arial" w:hAnsi="Arial"/>
          <w:sz w:val="16"/>
          <w:szCs w:val="16"/>
          <w:color w:val="auto"/>
        </w:rPr>
      </w:pPr>
    </w:p>
    <w:p>
      <w:pPr>
        <w:ind w:left="560" w:hanging="559"/>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upon a multiplier of 299% of the executive officer’s base salary.</w:t>
      </w:r>
    </w:p>
    <w:p>
      <w:pPr>
        <w:spacing w:after="0" w:line="17" w:lineRule="exact"/>
        <w:rPr>
          <w:rFonts w:ascii="Arial" w:cs="Arial" w:eastAsia="Arial" w:hAnsi="Arial"/>
          <w:sz w:val="16"/>
          <w:szCs w:val="16"/>
          <w:color w:val="auto"/>
        </w:rPr>
      </w:pPr>
    </w:p>
    <w:p>
      <w:pPr>
        <w:ind w:left="560" w:hanging="559"/>
        <w:spacing w:after="0"/>
        <w:tabs>
          <w:tab w:leader="none" w:pos="5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upon a multiplier of 299% of the sum of the executive officer’s total cash bonuses awarded to him in the four fiscal quarters preceding his termination.</w:t>
      </w:r>
    </w:p>
    <w:p>
      <w:pPr>
        <w:spacing w:after="0" w:line="29" w:lineRule="exact"/>
        <w:rPr>
          <w:rFonts w:ascii="Arial" w:cs="Arial" w:eastAsia="Arial" w:hAnsi="Arial"/>
          <w:sz w:val="15"/>
          <w:szCs w:val="15"/>
          <w:color w:val="auto"/>
        </w:rPr>
      </w:pPr>
    </w:p>
    <w:p>
      <w:pPr>
        <w:ind w:left="560" w:right="60" w:hanging="559"/>
        <w:spacing w:after="0" w:line="268" w:lineRule="auto"/>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value of accelerated unvested options as of October 29, 2011 is calculated by taking the difference between the closing price of our common stock on the NYSE on the last trading day of the fiscal year ($37.70 on October 28, 2011) and the option exercise price and multiplying it by the number of accelerated options. For RSUs, the value represents the closing price of our common stock on the last trading day of the fiscal year multiplied by the number of accelerated units. As of October 29, 2011, upon termination by us without cause or by the NEO for good reason after a change in control event, the officer would be entitled to acceleration of vesting of all unvested outstanding stock options or RSUs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060" w:type="dxa"/>
            <w:vAlign w:val="bottom"/>
            <w:gridSpan w:val="2"/>
          </w:tcPr>
          <w:p>
            <w:pPr>
              <w:jc w:val="center"/>
              <w:ind w:right="1520"/>
              <w:spacing w:after="0"/>
              <w:rPr>
                <w:sz w:val="20"/>
                <w:szCs w:val="20"/>
                <w:color w:val="auto"/>
              </w:rPr>
            </w:pPr>
            <w:r>
              <w:rPr>
                <w:rFonts w:ascii="Arial" w:cs="Arial" w:eastAsia="Arial" w:hAnsi="Arial"/>
                <w:sz w:val="13"/>
                <w:szCs w:val="13"/>
                <w:b w:val="1"/>
                <w:bCs w:val="1"/>
                <w:color w:val="auto"/>
                <w:w w:val="86"/>
              </w:rPr>
              <w:t>Unvested Option</w:t>
            </w:r>
          </w:p>
        </w:tc>
        <w:tc>
          <w:tcPr>
            <w:tcW w:w="1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Unvested Stock</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060" w:type="dxa"/>
            <w:vAlign w:val="bottom"/>
            <w:gridSpan w:val="2"/>
          </w:tcPr>
          <w:p>
            <w:pPr>
              <w:jc w:val="right"/>
              <w:ind w:right="1500"/>
              <w:spacing w:after="0" w:line="139" w:lineRule="exact"/>
              <w:rPr>
                <w:sz w:val="20"/>
                <w:szCs w:val="20"/>
                <w:color w:val="auto"/>
              </w:rPr>
            </w:pPr>
            <w:r>
              <w:rPr>
                <w:rFonts w:ascii="Arial" w:cs="Arial" w:eastAsia="Arial" w:hAnsi="Arial"/>
                <w:sz w:val="13"/>
                <w:szCs w:val="13"/>
                <w:b w:val="1"/>
                <w:bCs w:val="1"/>
                <w:color w:val="auto"/>
                <w:w w:val="85"/>
              </w:rPr>
              <w:t>Awards that Accelerate upon</w:t>
            </w:r>
          </w:p>
        </w:tc>
        <w:tc>
          <w:tcPr>
            <w:tcW w:w="164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7"/>
              </w:rPr>
              <w:t>Awards that Accelerate upon</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060" w:type="dxa"/>
            <w:vAlign w:val="bottom"/>
            <w:gridSpan w:val="2"/>
          </w:tcPr>
          <w:p>
            <w:pPr>
              <w:jc w:val="center"/>
              <w:ind w:right="1500"/>
              <w:spacing w:after="0" w:line="139" w:lineRule="exact"/>
              <w:rPr>
                <w:sz w:val="20"/>
                <w:szCs w:val="20"/>
                <w:color w:val="auto"/>
              </w:rPr>
            </w:pPr>
            <w:r>
              <w:rPr>
                <w:rFonts w:ascii="Arial" w:cs="Arial" w:eastAsia="Arial" w:hAnsi="Arial"/>
                <w:sz w:val="13"/>
                <w:szCs w:val="13"/>
                <w:b w:val="1"/>
                <w:bCs w:val="1"/>
                <w:color w:val="auto"/>
                <w:w w:val="90"/>
              </w:rPr>
              <w:t>Termination After a</w:t>
            </w:r>
          </w:p>
        </w:tc>
        <w:tc>
          <w:tcPr>
            <w:tcW w:w="164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0"/>
              </w:rPr>
              <w:t>Termination After a</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6380" w:type="dxa"/>
            <w:vAlign w:val="bottom"/>
            <w:vMerge w:val="restart"/>
          </w:tcPr>
          <w:p>
            <w:pPr>
              <w:spacing w:after="0"/>
              <w:rPr>
                <w:sz w:val="12"/>
                <w:szCs w:val="12"/>
                <w:color w:val="auto"/>
              </w:rPr>
            </w:pPr>
          </w:p>
        </w:tc>
        <w:tc>
          <w:tcPr>
            <w:tcW w:w="3060" w:type="dxa"/>
            <w:vAlign w:val="bottom"/>
            <w:gridSpan w:val="2"/>
          </w:tcPr>
          <w:p>
            <w:pPr>
              <w:jc w:val="center"/>
              <w:ind w:right="1500"/>
              <w:spacing w:after="0" w:line="139" w:lineRule="exact"/>
              <w:rPr>
                <w:sz w:val="20"/>
                <w:szCs w:val="20"/>
                <w:color w:val="auto"/>
              </w:rPr>
            </w:pPr>
            <w:r>
              <w:rPr>
                <w:rFonts w:ascii="Arial" w:cs="Arial" w:eastAsia="Arial" w:hAnsi="Arial"/>
                <w:sz w:val="13"/>
                <w:szCs w:val="13"/>
                <w:b w:val="1"/>
                <w:bCs w:val="1"/>
                <w:color w:val="auto"/>
                <w:w w:val="88"/>
              </w:rPr>
              <w:t>Change in Control</w:t>
            </w:r>
          </w:p>
        </w:tc>
        <w:tc>
          <w:tcPr>
            <w:tcW w:w="164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8"/>
              </w:rPr>
              <w:t>Change in Control</w:t>
            </w: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6380" w:type="dxa"/>
            <w:vAlign w:val="bottom"/>
            <w:vMerge w:val="continue"/>
          </w:tcPr>
          <w:p>
            <w:pPr>
              <w:spacing w:after="0"/>
              <w:rPr>
                <w:sz w:val="13"/>
                <w:szCs w:val="13"/>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1500" w:type="dxa"/>
            <w:vAlign w:val="bottom"/>
          </w:tcPr>
          <w:p>
            <w:pPr>
              <w:spacing w:after="0"/>
              <w:rPr>
                <w:sz w:val="13"/>
                <w:szCs w:val="13"/>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15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720" w:type="dxa"/>
            <w:vAlign w:val="bottom"/>
            <w:gridSpan w:val="2"/>
          </w:tcPr>
          <w:p>
            <w:pPr>
              <w:spacing w:after="0"/>
              <w:rPr>
                <w:sz w:val="20"/>
                <w:szCs w:val="20"/>
                <w:color w:val="auto"/>
              </w:rPr>
            </w:pPr>
            <w:r>
              <w:rPr>
                <w:rFonts w:ascii="Arial" w:cs="Arial" w:eastAsia="Arial" w:hAnsi="Arial"/>
                <w:sz w:val="16"/>
                <w:szCs w:val="16"/>
                <w:color w:val="auto"/>
              </w:rPr>
              <w:t>David A. Zinsner</w:t>
            </w:r>
          </w:p>
        </w:tc>
        <w:tc>
          <w:tcPr>
            <w:tcW w:w="3060" w:type="dxa"/>
            <w:vAlign w:val="bottom"/>
            <w:gridSpan w:val="2"/>
          </w:tcPr>
          <w:p>
            <w:pPr>
              <w:jc w:val="right"/>
              <w:ind w:right="1500"/>
              <w:spacing w:after="0"/>
              <w:rPr>
                <w:sz w:val="20"/>
                <w:szCs w:val="20"/>
                <w:color w:val="auto"/>
              </w:rPr>
            </w:pPr>
            <w:r>
              <w:rPr>
                <w:rFonts w:ascii="Arial" w:cs="Arial" w:eastAsia="Arial" w:hAnsi="Arial"/>
                <w:sz w:val="16"/>
                <w:szCs w:val="16"/>
                <w:color w:val="auto"/>
              </w:rPr>
              <w:t>141,110</w:t>
            </w:r>
          </w:p>
        </w:tc>
        <w:tc>
          <w:tcPr>
            <w:tcW w:w="1560" w:type="dxa"/>
            <w:vAlign w:val="bottom"/>
          </w:tcPr>
          <w:p>
            <w:pPr>
              <w:jc w:val="right"/>
              <w:spacing w:after="0"/>
              <w:rPr>
                <w:sz w:val="20"/>
                <w:szCs w:val="20"/>
                <w:color w:val="auto"/>
              </w:rPr>
            </w:pPr>
            <w:r>
              <w:rPr>
                <w:rFonts w:ascii="Arial" w:cs="Arial" w:eastAsia="Arial" w:hAnsi="Arial"/>
                <w:sz w:val="16"/>
                <w:szCs w:val="16"/>
                <w:color w:val="auto"/>
              </w:rPr>
              <w:t>31,345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3060" w:type="dxa"/>
            <w:vAlign w:val="bottom"/>
            <w:gridSpan w:val="2"/>
            <w:shd w:val="clear" w:color="auto" w:fill="CCEEFF"/>
          </w:tcPr>
          <w:p>
            <w:pPr>
              <w:jc w:val="right"/>
              <w:ind w:right="1500"/>
              <w:spacing w:after="0"/>
              <w:rPr>
                <w:sz w:val="20"/>
                <w:szCs w:val="20"/>
                <w:color w:val="auto"/>
              </w:rPr>
            </w:pPr>
            <w:r>
              <w:rPr>
                <w:rFonts w:ascii="Arial" w:cs="Arial" w:eastAsia="Arial" w:hAnsi="Arial"/>
                <w:sz w:val="16"/>
                <w:szCs w:val="16"/>
                <w:color w:val="auto"/>
              </w:rPr>
              <w:t>165,630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3060" w:type="dxa"/>
            <w:vAlign w:val="bottom"/>
            <w:gridSpan w:val="2"/>
          </w:tcPr>
          <w:p>
            <w:pPr>
              <w:jc w:val="right"/>
              <w:ind w:right="1500"/>
              <w:spacing w:after="0"/>
              <w:rPr>
                <w:sz w:val="20"/>
                <w:szCs w:val="20"/>
                <w:color w:val="auto"/>
              </w:rPr>
            </w:pPr>
            <w:r>
              <w:rPr>
                <w:rFonts w:ascii="Arial" w:cs="Arial" w:eastAsia="Arial" w:hAnsi="Arial"/>
                <w:sz w:val="16"/>
                <w:szCs w:val="16"/>
                <w:color w:val="auto"/>
              </w:rPr>
              <w:t>165,630</w:t>
            </w:r>
          </w:p>
        </w:tc>
        <w:tc>
          <w:tcPr>
            <w:tcW w:w="1560" w:type="dxa"/>
            <w:vAlign w:val="bottom"/>
          </w:tcPr>
          <w:p>
            <w:pPr>
              <w:jc w:val="right"/>
              <w:spacing w:after="0"/>
              <w:rPr>
                <w:sz w:val="20"/>
                <w:szCs w:val="20"/>
                <w:color w:val="auto"/>
              </w:rPr>
            </w:pPr>
            <w:r>
              <w:rPr>
                <w:rFonts w:ascii="Arial" w:cs="Arial" w:eastAsia="Arial" w:hAnsi="Arial"/>
                <w:sz w:val="16"/>
                <w:szCs w:val="16"/>
                <w:color w:val="auto"/>
              </w:rPr>
              <w:t>24,895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3060" w:type="dxa"/>
            <w:vAlign w:val="bottom"/>
            <w:gridSpan w:val="2"/>
            <w:shd w:val="clear" w:color="auto" w:fill="CCEEFF"/>
          </w:tcPr>
          <w:p>
            <w:pPr>
              <w:jc w:val="right"/>
              <w:ind w:right="1500"/>
              <w:spacing w:after="0"/>
              <w:rPr>
                <w:sz w:val="20"/>
                <w:szCs w:val="20"/>
                <w:color w:val="auto"/>
              </w:rPr>
            </w:pPr>
            <w:r>
              <w:rPr>
                <w:rFonts w:ascii="Arial" w:cs="Arial" w:eastAsia="Arial" w:hAnsi="Arial"/>
                <w:sz w:val="16"/>
                <w:szCs w:val="16"/>
                <w:color w:val="auto"/>
              </w:rPr>
              <w:t>186,630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60" w:right="180" w:hanging="559"/>
        <w:spacing w:after="0" w:line="267" w:lineRule="auto"/>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Under the terms of Mr. Fishman’s employment agreement dated January 14, 2010, he is entitled to an additional annual bonus equal to his annual bonus multiplied by two, not to exceed $5 million in any fiscal year.</w:t>
      </w:r>
    </w:p>
    <w:p>
      <w:pPr>
        <w:ind w:left="560" w:right="40" w:hanging="559"/>
        <w:spacing w:after="0" w:line="280" w:lineRule="auto"/>
        <w:tabs>
          <w:tab w:leader="none" w:pos="5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Amount represents the incremental benefit that would be granted to executives actively participating in The Analog Devices B.V. Retirement and Death Benefit Plan (Mr. Marshall)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Mr. Marshall’s annual salary and represents the enhancement of the death benefit calculation for executives over non-executive employees.</w:t>
      </w:r>
    </w:p>
    <w:p>
      <w:pPr>
        <w:spacing w:after="0" w:line="1" w:lineRule="exact"/>
        <w:rPr>
          <w:rFonts w:ascii="Arial" w:cs="Arial" w:eastAsia="Arial" w:hAnsi="Arial"/>
          <w:sz w:val="15"/>
          <w:szCs w:val="15"/>
          <w:color w:val="auto"/>
        </w:rPr>
      </w:pPr>
    </w:p>
    <w:p>
      <w:pPr>
        <w:ind w:left="560" w:right="160" w:hanging="559"/>
        <w:spacing w:after="0" w:line="262" w:lineRule="auto"/>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include life, disability, dental, accident and group health insurance benefit continuation for 24 months after a termination in connection with a change in control. The annual benefit costs for each executive are: $10,201 for Mr. Fishman, $13,527 for Mr. Zinsner, $17,291 for Mr. Roche and $10,418 for Mr. Marshall. Mr. McAdam has reached his normal retirement age and is no longer eligible for the Company-provided life, disability, dental, accident and group health insurance benefit continuation.</w:t>
      </w:r>
    </w:p>
    <w:p>
      <w:pPr>
        <w:spacing w:after="0" w:line="2" w:lineRule="exact"/>
        <w:rPr>
          <w:rFonts w:ascii="Arial" w:cs="Arial" w:eastAsia="Arial" w:hAnsi="Arial"/>
          <w:sz w:val="16"/>
          <w:szCs w:val="16"/>
          <w:color w:val="auto"/>
        </w:rPr>
      </w:pPr>
    </w:p>
    <w:p>
      <w:pPr>
        <w:ind w:left="560" w:right="20" w:hanging="559"/>
        <w:spacing w:after="0" w:line="266" w:lineRule="auto"/>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calculating the excise tax gross-up amounts, we take into account the officer’s earnings from ADI for the prior five years. We include the change-in-control cash severance and bonus, valuations of unvested stock options that become vested upon a change-in-control (using the fiscal 2011 year end closing stock price), valuations of restricted stock units that become vested upon a change-in-control (using the fiscal 2011 year end closing stock price), and our estimated cost of medical and other benefits. Whether the officer will receive a gross-up amount will depend primarily on the officer’s earnings in the previous five years, which will vary depending on stock option exercise activity and amounts of salary and incentives deferred under the Deferred Compensation Plan. Mr. Fishman agreed to eliminate his right to any such excise tax gross-up payment in connection with the amendment to his employment agreement in 2010. We have also eliminated excise tax gross-up provisions from all future employee retention agreements.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39"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Award Program Description</w:t>
      </w:r>
    </w:p>
    <w:p>
      <w:pPr>
        <w:spacing w:after="0" w:line="97"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on the date of grant. Generally, our RSUs vest in full on the third anniversary of the date of grant.</w:t>
      </w:r>
    </w:p>
    <w:p>
      <w:pPr>
        <w:spacing w:after="0" w:line="123" w:lineRule="exact"/>
        <w:rPr>
          <w:sz w:val="20"/>
          <w:szCs w:val="20"/>
          <w:color w:val="auto"/>
        </w:rPr>
      </w:pPr>
    </w:p>
    <w:p>
      <w:pPr>
        <w:ind w:right="140" w:firstLine="457"/>
        <w:spacing w:after="0" w:line="294" w:lineRule="auto"/>
        <w:rPr>
          <w:sz w:val="20"/>
          <w:szCs w:val="20"/>
          <w:color w:val="auto"/>
        </w:rPr>
      </w:pPr>
      <w:r>
        <w:rPr>
          <w:rFonts w:ascii="Arial" w:cs="Arial" w:eastAsia="Arial" w:hAnsi="Arial"/>
          <w:sz w:val="16"/>
          <w:szCs w:val="16"/>
          <w:color w:val="auto"/>
        </w:rPr>
        <w:t>We can make equity award grants to executive officers and directors only from shareholder-approved plans after the Compensation Committee reviews and approves the grants. All members of the Compensation Committee are independent directors, as defined by the rules of the NYSE.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97" w:lineRule="exact"/>
        <w:rPr>
          <w:sz w:val="20"/>
          <w:szCs w:val="20"/>
          <w:color w:val="auto"/>
        </w:rPr>
      </w:pPr>
    </w:p>
    <w:p>
      <w:pPr>
        <w:ind w:right="340" w:firstLine="457"/>
        <w:spacing w:after="0" w:line="273" w:lineRule="auto"/>
        <w:rPr>
          <w:sz w:val="20"/>
          <w:szCs w:val="20"/>
          <w:color w:val="auto"/>
        </w:rPr>
      </w:pPr>
      <w:r>
        <w:rPr>
          <w:rFonts w:ascii="Arial" w:cs="Arial" w:eastAsia="Arial" w:hAnsi="Arial"/>
          <w:sz w:val="16"/>
          <w:szCs w:val="16"/>
          <w:color w:val="auto"/>
        </w:rPr>
        <w:t>The following table provides information as of October 29, 2011 about the securities which are either already issued, or authorized for future issuance, under the following equity compensation plans: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520" w:type="dxa"/>
            <w:vAlign w:val="bottom"/>
            <w:gridSpan w:val="2"/>
          </w:tcPr>
          <w:p>
            <w:pPr>
              <w:jc w:val="center"/>
              <w:ind w:right="1700"/>
              <w:spacing w:after="0"/>
              <w:rPr>
                <w:sz w:val="20"/>
                <w:szCs w:val="20"/>
                <w:color w:val="auto"/>
              </w:rPr>
            </w:pPr>
            <w:r>
              <w:rPr>
                <w:rFonts w:ascii="Arial" w:cs="Arial" w:eastAsia="Arial" w:hAnsi="Arial"/>
                <w:sz w:val="13"/>
                <w:szCs w:val="13"/>
                <w:b w:val="1"/>
                <w:bCs w:val="1"/>
                <w:color w:val="auto"/>
                <w:w w:val="87"/>
              </w:rPr>
              <w:t>(a)</w:t>
            </w:r>
          </w:p>
        </w:tc>
        <w:tc>
          <w:tcPr>
            <w:tcW w:w="80" w:type="dxa"/>
            <w:vAlign w:val="bottom"/>
          </w:tcPr>
          <w:p>
            <w:pPr>
              <w:spacing w:after="0"/>
              <w:rPr>
                <w:sz w:val="13"/>
                <w:szCs w:val="13"/>
                <w:color w:val="auto"/>
              </w:rPr>
            </w:pPr>
          </w:p>
        </w:tc>
        <w:tc>
          <w:tcPr>
            <w:tcW w:w="2340" w:type="dxa"/>
            <w:vAlign w:val="bottom"/>
            <w:gridSpan w:val="2"/>
          </w:tcPr>
          <w:p>
            <w:pPr>
              <w:jc w:val="center"/>
              <w:ind w:right="1800"/>
              <w:spacing w:after="0"/>
              <w:rPr>
                <w:sz w:val="20"/>
                <w:szCs w:val="20"/>
                <w:color w:val="auto"/>
              </w:rPr>
            </w:pPr>
            <w:r>
              <w:rPr>
                <w:rFonts w:ascii="Arial" w:cs="Arial" w:eastAsia="Arial" w:hAnsi="Arial"/>
                <w:sz w:val="13"/>
                <w:szCs w:val="13"/>
                <w:b w:val="1"/>
                <w:bCs w:val="1"/>
                <w:color w:val="auto"/>
                <w:w w:val="84"/>
              </w:rPr>
              <w:t>(b)</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6"/>
              </w:rPr>
              <w:t>Securities</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9"/>
              </w:rPr>
              <w:t>Available for</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3"/>
              </w:rPr>
              <w:t>Future</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20" w:type="dxa"/>
            <w:vAlign w:val="bottom"/>
            <w:gridSpan w:val="2"/>
          </w:tcPr>
          <w:p>
            <w:pPr>
              <w:jc w:val="center"/>
              <w:ind w:right="1700"/>
              <w:spacing w:after="0" w:line="139"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2"/>
              </w:rPr>
              <w:t>Issuance</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20" w:type="dxa"/>
            <w:vAlign w:val="bottom"/>
            <w:gridSpan w:val="2"/>
          </w:tcPr>
          <w:p>
            <w:pPr>
              <w:jc w:val="center"/>
              <w:ind w:right="1700"/>
              <w:spacing w:after="0" w:line="139" w:lineRule="exact"/>
              <w:rPr>
                <w:sz w:val="20"/>
                <w:szCs w:val="20"/>
                <w:color w:val="auto"/>
              </w:rPr>
            </w:pPr>
            <w:r>
              <w:rPr>
                <w:rFonts w:ascii="Arial" w:cs="Arial" w:eastAsia="Arial" w:hAnsi="Arial"/>
                <w:sz w:val="13"/>
                <w:szCs w:val="13"/>
                <w:b w:val="1"/>
                <w:bCs w:val="1"/>
                <w:color w:val="auto"/>
                <w:w w:val="84"/>
              </w:rPr>
              <w:t>Securities to</w:t>
            </w:r>
          </w:p>
        </w:tc>
        <w:tc>
          <w:tcPr>
            <w:tcW w:w="2420" w:type="dxa"/>
            <w:vAlign w:val="bottom"/>
            <w:gridSpan w:val="3"/>
          </w:tcPr>
          <w:p>
            <w:pPr>
              <w:jc w:val="center"/>
              <w:ind w:right="1720"/>
              <w:spacing w:after="0" w:line="139" w:lineRule="exact"/>
              <w:rPr>
                <w:sz w:val="20"/>
                <w:szCs w:val="20"/>
                <w:color w:val="auto"/>
              </w:rPr>
            </w:pPr>
            <w:r>
              <w:rPr>
                <w:rFonts w:ascii="Arial" w:cs="Arial" w:eastAsia="Arial" w:hAnsi="Arial"/>
                <w:sz w:val="13"/>
                <w:szCs w:val="13"/>
                <w:b w:val="1"/>
                <w:bCs w:val="1"/>
                <w:color w:val="auto"/>
                <w:w w:val="85"/>
              </w:rPr>
              <w:t>Weighted-</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0"/>
              </w:rPr>
              <w:t>Under</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20" w:type="dxa"/>
            <w:vAlign w:val="bottom"/>
            <w:gridSpan w:val="2"/>
          </w:tcPr>
          <w:p>
            <w:pPr>
              <w:jc w:val="center"/>
              <w:ind w:right="1700"/>
              <w:spacing w:after="0" w:line="139" w:lineRule="exact"/>
              <w:rPr>
                <w:sz w:val="20"/>
                <w:szCs w:val="20"/>
                <w:color w:val="auto"/>
              </w:rPr>
            </w:pPr>
            <w:r>
              <w:rPr>
                <w:rFonts w:ascii="Arial" w:cs="Arial" w:eastAsia="Arial" w:hAnsi="Arial"/>
                <w:sz w:val="13"/>
                <w:szCs w:val="13"/>
                <w:b w:val="1"/>
                <w:bCs w:val="1"/>
                <w:color w:val="auto"/>
                <w:w w:val="83"/>
              </w:rPr>
              <w:t>be Issued</w:t>
            </w:r>
          </w:p>
        </w:tc>
        <w:tc>
          <w:tcPr>
            <w:tcW w:w="80" w:type="dxa"/>
            <w:vAlign w:val="bottom"/>
          </w:tcPr>
          <w:p>
            <w:pPr>
              <w:spacing w:after="0"/>
              <w:rPr>
                <w:sz w:val="12"/>
                <w:szCs w:val="12"/>
                <w:color w:val="auto"/>
              </w:rPr>
            </w:pPr>
          </w:p>
        </w:tc>
        <w:tc>
          <w:tcPr>
            <w:tcW w:w="2340" w:type="dxa"/>
            <w:vAlign w:val="bottom"/>
            <w:gridSpan w:val="2"/>
          </w:tcPr>
          <w:p>
            <w:pPr>
              <w:jc w:val="center"/>
              <w:ind w:right="1820"/>
              <w:spacing w:after="0" w:line="139"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20" w:type="dxa"/>
            <w:vAlign w:val="bottom"/>
            <w:gridSpan w:val="2"/>
          </w:tcPr>
          <w:p>
            <w:pPr>
              <w:jc w:val="center"/>
              <w:ind w:right="1700"/>
              <w:spacing w:after="0" w:line="139" w:lineRule="exact"/>
              <w:rPr>
                <w:sz w:val="20"/>
                <w:szCs w:val="20"/>
                <w:color w:val="auto"/>
              </w:rPr>
            </w:pPr>
            <w:r>
              <w:rPr>
                <w:rFonts w:ascii="Arial" w:cs="Arial" w:eastAsia="Arial" w:hAnsi="Arial"/>
                <w:sz w:val="13"/>
                <w:szCs w:val="13"/>
                <w:b w:val="1"/>
                <w:bCs w:val="1"/>
                <w:color w:val="auto"/>
                <w:w w:val="86"/>
              </w:rPr>
              <w:t>Upon Exercise</w:t>
            </w:r>
          </w:p>
        </w:tc>
        <w:tc>
          <w:tcPr>
            <w:tcW w:w="80" w:type="dxa"/>
            <w:vAlign w:val="bottom"/>
          </w:tcPr>
          <w:p>
            <w:pPr>
              <w:spacing w:after="0"/>
              <w:rPr>
                <w:sz w:val="12"/>
                <w:szCs w:val="12"/>
                <w:color w:val="auto"/>
              </w:rPr>
            </w:pPr>
          </w:p>
        </w:tc>
        <w:tc>
          <w:tcPr>
            <w:tcW w:w="2340" w:type="dxa"/>
            <w:vAlign w:val="bottom"/>
            <w:gridSpan w:val="2"/>
          </w:tcPr>
          <w:p>
            <w:pPr>
              <w:jc w:val="center"/>
              <w:ind w:right="1800"/>
              <w:spacing w:after="0" w:line="139" w:lineRule="exact"/>
              <w:rPr>
                <w:sz w:val="20"/>
                <w:szCs w:val="20"/>
                <w:color w:val="auto"/>
              </w:rPr>
            </w:pPr>
            <w:r>
              <w:rPr>
                <w:rFonts w:ascii="Arial" w:cs="Arial" w:eastAsia="Arial" w:hAnsi="Arial"/>
                <w:sz w:val="13"/>
                <w:szCs w:val="13"/>
                <w:b w:val="1"/>
                <w:bCs w:val="1"/>
                <w:color w:val="auto"/>
                <w:w w:val="85"/>
              </w:rPr>
              <w:t>Exercise</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6"/>
              </w:rPr>
              <w:t>Compensation</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20" w:type="dxa"/>
            <w:vAlign w:val="bottom"/>
            <w:gridSpan w:val="2"/>
          </w:tcPr>
          <w:p>
            <w:pPr>
              <w:jc w:val="center"/>
              <w:ind w:right="1700"/>
              <w:spacing w:after="0" w:line="139"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2"/>
                <w:szCs w:val="12"/>
                <w:color w:val="auto"/>
              </w:rPr>
            </w:pPr>
          </w:p>
        </w:tc>
        <w:tc>
          <w:tcPr>
            <w:tcW w:w="2340" w:type="dxa"/>
            <w:vAlign w:val="bottom"/>
            <w:gridSpan w:val="2"/>
          </w:tcPr>
          <w:p>
            <w:pPr>
              <w:jc w:val="center"/>
              <w:ind w:right="1800"/>
              <w:spacing w:after="0" w:line="139" w:lineRule="exact"/>
              <w:rPr>
                <w:sz w:val="20"/>
                <w:szCs w:val="20"/>
                <w:color w:val="auto"/>
              </w:rPr>
            </w:pPr>
            <w:r>
              <w:rPr>
                <w:rFonts w:ascii="Arial" w:cs="Arial" w:eastAsia="Arial" w:hAnsi="Arial"/>
                <w:sz w:val="13"/>
                <w:szCs w:val="13"/>
                <w:b w:val="1"/>
                <w:bCs w:val="1"/>
                <w:color w:val="auto"/>
                <w:w w:val="87"/>
              </w:rPr>
              <w:t>Price of</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6"/>
              </w:rPr>
              <w:t>Plans</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20" w:type="dxa"/>
            <w:vAlign w:val="bottom"/>
            <w:gridSpan w:val="2"/>
          </w:tcPr>
          <w:p>
            <w:pPr>
              <w:jc w:val="center"/>
              <w:ind w:right="1720"/>
              <w:spacing w:after="0" w:line="139" w:lineRule="exact"/>
              <w:rPr>
                <w:sz w:val="20"/>
                <w:szCs w:val="20"/>
                <w:color w:val="auto"/>
              </w:rPr>
            </w:pPr>
            <w:r>
              <w:rPr>
                <w:rFonts w:ascii="Arial" w:cs="Arial" w:eastAsia="Arial" w:hAnsi="Arial"/>
                <w:sz w:val="13"/>
                <w:szCs w:val="13"/>
                <w:b w:val="1"/>
                <w:bCs w:val="1"/>
                <w:color w:val="auto"/>
                <w:w w:val="88"/>
              </w:rPr>
              <w:t>Outstanding</w:t>
            </w:r>
          </w:p>
        </w:tc>
        <w:tc>
          <w:tcPr>
            <w:tcW w:w="2420" w:type="dxa"/>
            <w:vAlign w:val="bottom"/>
            <w:gridSpan w:val="3"/>
          </w:tcPr>
          <w:p>
            <w:pPr>
              <w:jc w:val="center"/>
              <w:ind w:right="1720"/>
              <w:spacing w:after="0" w:line="139" w:lineRule="exact"/>
              <w:rPr>
                <w:sz w:val="20"/>
                <w:szCs w:val="20"/>
                <w:color w:val="auto"/>
              </w:rPr>
            </w:pPr>
            <w:r>
              <w:rPr>
                <w:rFonts w:ascii="Arial" w:cs="Arial" w:eastAsia="Arial" w:hAnsi="Arial"/>
                <w:sz w:val="13"/>
                <w:szCs w:val="13"/>
                <w:b w:val="1"/>
                <w:bCs w:val="1"/>
                <w:color w:val="auto"/>
                <w:w w:val="86"/>
              </w:rPr>
              <w:t>Outstanding</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7"/>
              </w:rPr>
              <w:t>(Excluding</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20" w:type="dxa"/>
            <w:vAlign w:val="bottom"/>
            <w:gridSpan w:val="2"/>
          </w:tcPr>
          <w:p>
            <w:pPr>
              <w:jc w:val="center"/>
              <w:ind w:right="1700"/>
              <w:spacing w:after="0" w:line="139" w:lineRule="exact"/>
              <w:rPr>
                <w:sz w:val="20"/>
                <w:szCs w:val="20"/>
                <w:color w:val="auto"/>
              </w:rPr>
            </w:pPr>
            <w:r>
              <w:rPr>
                <w:rFonts w:ascii="Arial" w:cs="Arial" w:eastAsia="Arial" w:hAnsi="Arial"/>
                <w:sz w:val="13"/>
                <w:szCs w:val="13"/>
                <w:b w:val="1"/>
                <w:bCs w:val="1"/>
                <w:color w:val="auto"/>
                <w:w w:val="87"/>
              </w:rPr>
              <w:t>Options,</w:t>
            </w:r>
          </w:p>
        </w:tc>
        <w:tc>
          <w:tcPr>
            <w:tcW w:w="80" w:type="dxa"/>
            <w:vAlign w:val="bottom"/>
          </w:tcPr>
          <w:p>
            <w:pPr>
              <w:spacing w:after="0"/>
              <w:rPr>
                <w:sz w:val="12"/>
                <w:szCs w:val="12"/>
                <w:color w:val="auto"/>
              </w:rPr>
            </w:pPr>
          </w:p>
        </w:tc>
        <w:tc>
          <w:tcPr>
            <w:tcW w:w="2340" w:type="dxa"/>
            <w:vAlign w:val="bottom"/>
            <w:gridSpan w:val="2"/>
          </w:tcPr>
          <w:p>
            <w:pPr>
              <w:jc w:val="center"/>
              <w:ind w:right="1800"/>
              <w:spacing w:after="0" w:line="139" w:lineRule="exact"/>
              <w:rPr>
                <w:sz w:val="20"/>
                <w:szCs w:val="20"/>
                <w:color w:val="auto"/>
              </w:rPr>
            </w:pPr>
            <w:r>
              <w:rPr>
                <w:rFonts w:ascii="Arial" w:cs="Arial" w:eastAsia="Arial" w:hAnsi="Arial"/>
                <w:sz w:val="13"/>
                <w:szCs w:val="13"/>
                <w:b w:val="1"/>
                <w:bCs w:val="1"/>
                <w:color w:val="auto"/>
                <w:w w:val="87"/>
              </w:rPr>
              <w:t>Options,</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6"/>
              </w:rPr>
              <w:t>Securities</w:t>
            </w: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3"/>
                <w:szCs w:val="13"/>
                <w:b w:val="1"/>
                <w:bCs w:val="1"/>
                <w:color w:val="auto"/>
                <w:w w:val="91"/>
              </w:rPr>
              <w:t>Plan Category</w:t>
            </w:r>
          </w:p>
        </w:tc>
        <w:tc>
          <w:tcPr>
            <w:tcW w:w="4640" w:type="dxa"/>
            <w:vAlign w:val="bottom"/>
            <w:gridSpan w:val="2"/>
            <w:vMerge w:val="restart"/>
          </w:tcPr>
          <w:p>
            <w:pPr>
              <w:spacing w:after="0"/>
              <w:rPr>
                <w:sz w:val="12"/>
                <w:szCs w:val="12"/>
                <w:color w:val="auto"/>
              </w:rPr>
            </w:pPr>
          </w:p>
        </w:tc>
        <w:tc>
          <w:tcPr>
            <w:tcW w:w="2520" w:type="dxa"/>
            <w:vAlign w:val="bottom"/>
            <w:gridSpan w:val="2"/>
          </w:tcPr>
          <w:p>
            <w:pPr>
              <w:jc w:val="center"/>
              <w:ind w:right="1720"/>
              <w:spacing w:after="0" w:line="139" w:lineRule="exact"/>
              <w:rPr>
                <w:sz w:val="20"/>
                <w:szCs w:val="20"/>
                <w:color w:val="auto"/>
              </w:rPr>
            </w:pPr>
            <w:r>
              <w:rPr>
                <w:rFonts w:ascii="Arial" w:cs="Arial" w:eastAsia="Arial" w:hAnsi="Arial"/>
                <w:sz w:val="13"/>
                <w:szCs w:val="13"/>
                <w:b w:val="1"/>
                <w:bCs w:val="1"/>
                <w:color w:val="auto"/>
                <w:w w:val="91"/>
              </w:rPr>
              <w:t>Warrants and</w:t>
            </w:r>
          </w:p>
        </w:tc>
        <w:tc>
          <w:tcPr>
            <w:tcW w:w="80" w:type="dxa"/>
            <w:vAlign w:val="bottom"/>
          </w:tcPr>
          <w:p>
            <w:pPr>
              <w:spacing w:after="0"/>
              <w:rPr>
                <w:sz w:val="12"/>
                <w:szCs w:val="12"/>
                <w:color w:val="auto"/>
              </w:rPr>
            </w:pPr>
          </w:p>
        </w:tc>
        <w:tc>
          <w:tcPr>
            <w:tcW w:w="2340" w:type="dxa"/>
            <w:vAlign w:val="bottom"/>
            <w:gridSpan w:val="2"/>
          </w:tcPr>
          <w:p>
            <w:pPr>
              <w:jc w:val="center"/>
              <w:ind w:right="1820"/>
              <w:spacing w:after="0" w:line="139" w:lineRule="exact"/>
              <w:rPr>
                <w:sz w:val="20"/>
                <w:szCs w:val="20"/>
                <w:color w:val="auto"/>
              </w:rPr>
            </w:pPr>
            <w:r>
              <w:rPr>
                <w:rFonts w:ascii="Arial" w:cs="Arial" w:eastAsia="Arial" w:hAnsi="Arial"/>
                <w:sz w:val="13"/>
                <w:szCs w:val="13"/>
                <w:b w:val="1"/>
                <w:bCs w:val="1"/>
                <w:color w:val="auto"/>
                <w:w w:val="92"/>
              </w:rPr>
              <w:t>Warrants</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9"/>
              </w:rPr>
              <w:t>Reflected In</w:t>
            </w:r>
          </w:p>
        </w:tc>
        <w:tc>
          <w:tcPr>
            <w:tcW w:w="0" w:type="dxa"/>
            <w:vAlign w:val="bottom"/>
          </w:tcPr>
          <w:p>
            <w:pPr>
              <w:spacing w:after="0"/>
              <w:rPr>
                <w:sz w:val="1"/>
                <w:szCs w:val="1"/>
                <w:color w:val="auto"/>
              </w:rPr>
            </w:pPr>
          </w:p>
        </w:tc>
      </w:tr>
      <w:tr>
        <w:trPr>
          <w:trHeight w:val="144"/>
        </w:trPr>
        <w:tc>
          <w:tcPr>
            <w:tcW w:w="820" w:type="dxa"/>
            <w:vAlign w:val="bottom"/>
            <w:tcBorders>
              <w:bottom w:val="single" w:sz="8" w:color="auto"/>
            </w:tcBorders>
            <w:vMerge w:val="continue"/>
          </w:tcPr>
          <w:p>
            <w:pPr>
              <w:spacing w:after="0"/>
              <w:rPr>
                <w:sz w:val="12"/>
                <w:szCs w:val="12"/>
                <w:color w:val="auto"/>
              </w:rPr>
            </w:pPr>
          </w:p>
        </w:tc>
        <w:tc>
          <w:tcPr>
            <w:tcW w:w="4640" w:type="dxa"/>
            <w:vAlign w:val="bottom"/>
            <w:gridSpan w:val="2"/>
            <w:vMerge w:val="continue"/>
          </w:tcPr>
          <w:p>
            <w:pPr>
              <w:spacing w:after="0"/>
              <w:rPr>
                <w:sz w:val="12"/>
                <w:szCs w:val="12"/>
                <w:color w:val="auto"/>
              </w:rPr>
            </w:pPr>
          </w:p>
        </w:tc>
        <w:tc>
          <w:tcPr>
            <w:tcW w:w="2520" w:type="dxa"/>
            <w:vAlign w:val="bottom"/>
            <w:gridSpan w:val="2"/>
          </w:tcPr>
          <w:p>
            <w:pPr>
              <w:jc w:val="center"/>
              <w:ind w:right="1700"/>
              <w:spacing w:after="0" w:line="139" w:lineRule="exact"/>
              <w:rPr>
                <w:sz w:val="20"/>
                <w:szCs w:val="20"/>
                <w:color w:val="auto"/>
              </w:rPr>
            </w:pPr>
            <w:r>
              <w:rPr>
                <w:rFonts w:ascii="Arial" w:cs="Arial" w:eastAsia="Arial" w:hAnsi="Arial"/>
                <w:sz w:val="13"/>
                <w:szCs w:val="13"/>
                <w:b w:val="1"/>
                <w:bCs w:val="1"/>
                <w:color w:val="auto"/>
                <w:w w:val="83"/>
              </w:rPr>
              <w:t>Rights</w:t>
            </w:r>
          </w:p>
        </w:tc>
        <w:tc>
          <w:tcPr>
            <w:tcW w:w="2420" w:type="dxa"/>
            <w:vAlign w:val="bottom"/>
            <w:gridSpan w:val="3"/>
          </w:tcPr>
          <w:p>
            <w:pPr>
              <w:jc w:val="center"/>
              <w:ind w:right="1720"/>
              <w:spacing w:after="0" w:line="139" w:lineRule="exact"/>
              <w:rPr>
                <w:sz w:val="20"/>
                <w:szCs w:val="20"/>
                <w:color w:val="auto"/>
              </w:rPr>
            </w:pPr>
            <w:r>
              <w:rPr>
                <w:rFonts w:ascii="Arial" w:cs="Arial" w:eastAsia="Arial" w:hAnsi="Arial"/>
                <w:sz w:val="13"/>
                <w:szCs w:val="13"/>
                <w:b w:val="1"/>
                <w:bCs w:val="1"/>
                <w:color w:val="auto"/>
                <w:w w:val="86"/>
              </w:rPr>
              <w:t>and Rights</w:t>
            </w: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Column (a))</w:t>
            </w:r>
          </w:p>
        </w:tc>
        <w:tc>
          <w:tcPr>
            <w:tcW w:w="0" w:type="dxa"/>
            <w:vAlign w:val="bottom"/>
          </w:tcPr>
          <w:p>
            <w:pPr>
              <w:spacing w:after="0"/>
              <w:rPr>
                <w:sz w:val="1"/>
                <w:szCs w:val="1"/>
                <w:color w:val="auto"/>
              </w:rPr>
            </w:pPr>
          </w:p>
        </w:tc>
      </w:tr>
      <w:tr>
        <w:trPr>
          <w:trHeight w:val="20"/>
        </w:trPr>
        <w:tc>
          <w:tcPr>
            <w:tcW w:w="54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Equity compensation plans approved by shareholders</w:t>
            </w:r>
          </w:p>
        </w:tc>
        <w:tc>
          <w:tcPr>
            <w:tcW w:w="800" w:type="dxa"/>
            <w:vAlign w:val="bottom"/>
            <w:shd w:val="clear" w:color="auto" w:fill="000000"/>
          </w:tcPr>
          <w:p>
            <w:pPr>
              <w:spacing w:after="0" w:line="20" w:lineRule="exact"/>
              <w:rPr>
                <w:sz w:val="1"/>
                <w:szCs w:val="1"/>
                <w:color w:val="auto"/>
              </w:rPr>
            </w:pPr>
          </w:p>
        </w:tc>
        <w:tc>
          <w:tcPr>
            <w:tcW w:w="17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60" w:type="dxa"/>
            <w:vAlign w:val="bottom"/>
            <w:gridSpan w:val="3"/>
            <w:vMerge w:val="continue"/>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8"/>
              </w:rPr>
              <w:t>30,627,763(1)</w:t>
            </w:r>
          </w:p>
        </w:tc>
        <w:tc>
          <w:tcPr>
            <w:tcW w:w="1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29.87(2)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6"/>
              </w:rPr>
              <w:t>10,803,862(3)</w:t>
            </w:r>
          </w:p>
        </w:tc>
        <w:tc>
          <w:tcPr>
            <w:tcW w:w="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6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shareholders</w:t>
            </w:r>
          </w:p>
        </w:tc>
        <w:tc>
          <w:tcPr>
            <w:tcW w:w="2520" w:type="dxa"/>
            <w:vAlign w:val="bottom"/>
            <w:gridSpan w:val="2"/>
          </w:tcPr>
          <w:p>
            <w:pPr>
              <w:jc w:val="right"/>
              <w:ind w:right="1520"/>
              <w:spacing w:after="0"/>
              <w:rPr>
                <w:sz w:val="20"/>
                <w:szCs w:val="20"/>
                <w:color w:val="auto"/>
              </w:rPr>
            </w:pPr>
            <w:r>
              <w:rPr>
                <w:rFonts w:ascii="Arial" w:cs="Arial" w:eastAsia="Arial" w:hAnsi="Arial"/>
                <w:sz w:val="16"/>
                <w:szCs w:val="16"/>
                <w:color w:val="auto"/>
              </w:rPr>
              <w:t>5,576,103(4)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240"/>
              <w:spacing w:after="0"/>
              <w:rPr>
                <w:sz w:val="20"/>
                <w:szCs w:val="20"/>
                <w:color w:val="auto"/>
              </w:rPr>
            </w:pPr>
            <w:r>
              <w:rPr>
                <w:rFonts w:ascii="Arial" w:cs="Arial" w:eastAsia="Arial" w:hAnsi="Arial"/>
                <w:sz w:val="16"/>
                <w:szCs w:val="16"/>
                <w:color w:val="auto"/>
                <w:w w:val="84"/>
              </w:rPr>
              <w:t>32.32</w:t>
            </w:r>
          </w:p>
        </w:tc>
        <w:tc>
          <w:tcPr>
            <w:tcW w:w="174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50,961(5)</w:t>
            </w:r>
          </w:p>
        </w:tc>
        <w:tc>
          <w:tcPr>
            <w:tcW w:w="0" w:type="dxa"/>
            <w:vAlign w:val="bottom"/>
          </w:tcPr>
          <w:p>
            <w:pPr>
              <w:spacing w:after="0"/>
              <w:rPr>
                <w:sz w:val="1"/>
                <w:szCs w:val="1"/>
                <w:color w:val="auto"/>
              </w:rPr>
            </w:pPr>
          </w:p>
        </w:tc>
      </w:tr>
      <w:tr>
        <w:trPr>
          <w:trHeight w:val="202"/>
        </w:trPr>
        <w:tc>
          <w:tcPr>
            <w:tcW w:w="5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36,203,866</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30.27(2)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10,854,823</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8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9"/>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2,087,771 restricted stock units that were outstanding on October 29, 2011.</w:t>
      </w:r>
    </w:p>
    <w:p>
      <w:pPr>
        <w:spacing w:after="0" w:line="23" w:lineRule="exact"/>
        <w:rPr>
          <w:rFonts w:ascii="Arial" w:cs="Arial" w:eastAsia="Arial" w:hAnsi="Arial"/>
          <w:sz w:val="16"/>
          <w:szCs w:val="16"/>
          <w:color w:val="auto"/>
        </w:rPr>
      </w:pPr>
    </w:p>
    <w:p>
      <w:pPr>
        <w:ind w:left="460" w:hanging="459"/>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Only stock option awards were used in computing the weighted-average exercise price.</w:t>
      </w:r>
    </w:p>
    <w:p>
      <w:pPr>
        <w:spacing w:after="0" w:line="17" w:lineRule="exact"/>
        <w:rPr>
          <w:rFonts w:ascii="Arial" w:cs="Arial" w:eastAsia="Arial" w:hAnsi="Arial"/>
          <w:sz w:val="16"/>
          <w:szCs w:val="16"/>
          <w:color w:val="auto"/>
        </w:rPr>
      </w:pPr>
    </w:p>
    <w:p>
      <w:pPr>
        <w:ind w:left="460" w:hanging="459"/>
        <w:spacing w:after="0" w:line="26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2006 Plan, which was approved by shareholders in March 2006, allows for the issuance of 15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or surrendered but not issued as new awards under a shareholder approved option exchange program are not available for use under the plan.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39"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right="120" w:hanging="459"/>
        <w:spacing w:after="0" w:line="265"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shares issuable upon the exercise of outstanding options granted under our 2001 Broad-Based Stock Option Plan, which did not require the approval of shareholders and has not been approved by our shareholders. Since our adoption of the 2006 Plan, we may make no further grants under the 2001 Broad-Based Stock Option Plan. A description of the 2001 Broad-Based Stock Option Plan appears below.</w:t>
      </w:r>
    </w:p>
    <w:p>
      <w:pPr>
        <w:spacing w:after="0" w:line="1" w:lineRule="exact"/>
        <w:rPr>
          <w:rFonts w:ascii="Arial" w:cs="Arial" w:eastAsia="Arial" w:hAnsi="Arial"/>
          <w:sz w:val="16"/>
          <w:szCs w:val="16"/>
          <w:color w:val="auto"/>
        </w:rPr>
      </w:pPr>
    </w:p>
    <w:p>
      <w:pPr>
        <w:ind w:left="460" w:hanging="459"/>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50,961 shares issuable under our Employee Service Award Program. A description of the Employee Service Award Program appears below.</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2001 Broad-Based Stock Option Plan</w:t>
      </w:r>
    </w:p>
    <w:p>
      <w:pPr>
        <w:spacing w:after="0" w:line="93"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In December 2001, our Board of Directors adopted the 2001 Broad-Based Stock Option Plan, or 2001 Plan, under which we were permitted to grant non-statutory stock options for up to 50,000,000 shares of common stock to employees, consultants and advisors of ADI and its subsidiaries, other than executive officers and directors. The 2001 Plan was filed most recently as an exhibit to our Annual Report on Form 10-K for the fiscal year ended November 2, 2002 (File No. 1-7819).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124" w:lineRule="exact"/>
        <w:rPr>
          <w:sz w:val="20"/>
          <w:szCs w:val="20"/>
          <w:color w:val="auto"/>
        </w:rPr>
      </w:pPr>
    </w:p>
    <w:p>
      <w:pPr>
        <w:ind w:right="180" w:firstLine="457"/>
        <w:spacing w:after="0" w:line="288" w:lineRule="auto"/>
        <w:rPr>
          <w:sz w:val="20"/>
          <w:szCs w:val="20"/>
          <w:color w:val="auto"/>
        </w:rPr>
      </w:pPr>
      <w:r>
        <w:rPr>
          <w:rFonts w:ascii="Arial" w:cs="Arial" w:eastAsia="Arial" w:hAnsi="Arial"/>
          <w:sz w:val="15"/>
          <w:szCs w:val="15"/>
          <w:color w:val="auto"/>
        </w:rPr>
        <w:t>If ADI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 also constitutes a change in control of ADI, then one-half of the shares of common stock subject to then outstanding unvested options would become immediately exercisable and the remaining one-half of the unvested options would continue to vest in accordance with their original vesting schedules.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113" w:lineRule="exact"/>
        <w:rPr>
          <w:sz w:val="20"/>
          <w:szCs w:val="20"/>
          <w:color w:val="auto"/>
        </w:rPr>
      </w:pPr>
    </w:p>
    <w:p>
      <w:pPr>
        <w:jc w:val="both"/>
        <w:ind w:right="80" w:firstLine="457"/>
        <w:spacing w:after="0" w:line="278" w:lineRule="auto"/>
        <w:rPr>
          <w:sz w:val="20"/>
          <w:szCs w:val="20"/>
          <w:color w:val="auto"/>
        </w:rPr>
      </w:pPr>
      <w:r>
        <w:rPr>
          <w:rFonts w:ascii="Arial" w:cs="Arial" w:eastAsia="Arial" w:hAnsi="Arial"/>
          <w:sz w:val="16"/>
          <w:szCs w:val="16"/>
          <w:color w:val="auto"/>
        </w:rPr>
        <w:t>Since our adoption of the 2006 Plan, our Board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Plan.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Service Award Program</w:t>
      </w:r>
    </w:p>
    <w:p>
      <w:pPr>
        <w:spacing w:after="0" w:line="93" w:lineRule="exact"/>
        <w:rPr>
          <w:sz w:val="20"/>
          <w:szCs w:val="20"/>
          <w:color w:val="auto"/>
        </w:rPr>
      </w:pPr>
    </w:p>
    <w:p>
      <w:pPr>
        <w:ind w:right="120" w:firstLine="457"/>
        <w:spacing w:after="0" w:line="314" w:lineRule="auto"/>
        <w:rPr>
          <w:sz w:val="20"/>
          <w:szCs w:val="20"/>
          <w:color w:val="auto"/>
        </w:rPr>
      </w:pPr>
      <w:r>
        <w:rPr>
          <w:rFonts w:ascii="Arial" w:cs="Arial" w:eastAsia="Arial" w:hAnsi="Arial"/>
          <w:sz w:val="14"/>
          <w:szCs w:val="14"/>
          <w:color w:val="auto"/>
        </w:rPr>
        <w:t>Our Employee Service Award Program is designed to recognize and thank employees for their long-term working relationship with ADI. All regular employees other than executive officers are eligible to receive these awards in the form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the NYSE on a specified date. Our Board may terminate, amend or suspend the program at any time at its discretion.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97" w:lineRule="exact"/>
        <w:rPr>
          <w:sz w:val="20"/>
          <w:szCs w:val="20"/>
          <w:color w:val="auto"/>
        </w:rPr>
      </w:pPr>
    </w:p>
    <w:p>
      <w:pPr>
        <w:ind w:right="180" w:firstLine="457"/>
        <w:spacing w:after="0" w:line="329" w:lineRule="auto"/>
        <w:rPr>
          <w:sz w:val="20"/>
          <w:szCs w:val="20"/>
          <w:color w:val="auto"/>
        </w:rPr>
      </w:pPr>
      <w:r>
        <w:rPr>
          <w:rFonts w:ascii="Arial" w:cs="Arial" w:eastAsia="Arial" w:hAnsi="Arial"/>
          <w:sz w:val="15"/>
          <w:szCs w:val="15"/>
          <w:color w:val="auto"/>
        </w:rPr>
        <w:t>During fiscal 2011, Messrs. Novich, Saviers and Severino served as members of our Compensation Committee. No member of our Compensation Committee was at any time during fiscal 2011, or formerly, an officer or employee of ADI or any subsidiary of ADI. No member of our Compensation Committee had any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39"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us during fiscal 2011 requiring disclosure under Item 404 of Regulation S-K under the Securities Exchange Act of 1934.</w:t>
      </w:r>
    </w:p>
    <w:p>
      <w:pPr>
        <w:spacing w:after="0" w:line="169" w:lineRule="exact"/>
        <w:rPr>
          <w:sz w:val="20"/>
          <w:szCs w:val="20"/>
          <w:color w:val="auto"/>
        </w:rPr>
      </w:pPr>
    </w:p>
    <w:p>
      <w:pPr>
        <w:ind w:right="40" w:firstLine="457"/>
        <w:spacing w:after="0" w:line="294" w:lineRule="auto"/>
        <w:rPr>
          <w:sz w:val="20"/>
          <w:szCs w:val="20"/>
          <w:color w:val="auto"/>
        </w:rPr>
      </w:pPr>
      <w:r>
        <w:rPr>
          <w:rFonts w:ascii="Arial" w:cs="Arial" w:eastAsia="Arial" w:hAnsi="Arial"/>
          <w:sz w:val="16"/>
          <w:szCs w:val="16"/>
          <w:color w:val="auto"/>
        </w:rPr>
        <w:t>During fiscal 2011,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9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the Compensation Committee of the Board of Directors of Analog Devices, Inc.</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Neil Novich, Chairman</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 Grant Saviers</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Paul J. Severino</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40" w:top="439" w:right="2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PROPOSAL 3 — RATIFICATION OF SELECTION OF</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162" w:lineRule="exact"/>
        <w:rPr>
          <w:sz w:val="20"/>
          <w:szCs w:val="20"/>
          <w:color w:val="auto"/>
        </w:rPr>
      </w:pPr>
    </w:p>
    <w:p>
      <w:pPr>
        <w:ind w:right="160" w:firstLine="457"/>
        <w:spacing w:after="0" w:line="273" w:lineRule="auto"/>
        <w:rPr>
          <w:sz w:val="20"/>
          <w:szCs w:val="20"/>
          <w:color w:val="auto"/>
        </w:rPr>
      </w:pPr>
      <w:r>
        <w:rPr>
          <w:rFonts w:ascii="Arial" w:cs="Arial" w:eastAsia="Arial" w:hAnsi="Arial"/>
          <w:sz w:val="16"/>
          <w:szCs w:val="16"/>
          <w:color w:val="auto"/>
        </w:rPr>
        <w:t>Our Audit Committee has selected the firm of Ernst &amp; Young LLP, independent registered public accounting firm, as our auditors for the fiscal year ending November 3, 2012. Although shareholder approval of the selection of Ernst &amp; Young LLP is not required by law, our Board of Directors believes that it is advisable to give shareholders an opportunity to ratify this selection. If this proposal is not approved by our shareholders at the 2012 annual meeting, our Audit Committee will reconsider its selection of Ernst &amp; Young LLP.</w:t>
      </w:r>
    </w:p>
    <w:p>
      <w:pPr>
        <w:spacing w:after="0" w:line="120" w:lineRule="exact"/>
        <w:rPr>
          <w:sz w:val="20"/>
          <w:szCs w:val="20"/>
          <w:color w:val="auto"/>
        </w:rPr>
      </w:pPr>
    </w:p>
    <w:p>
      <w:pPr>
        <w:ind w:right="100" w:firstLine="457"/>
        <w:spacing w:after="0" w:line="294" w:lineRule="auto"/>
        <w:rPr>
          <w:sz w:val="20"/>
          <w:szCs w:val="20"/>
          <w:color w:val="auto"/>
        </w:rPr>
      </w:pPr>
      <w:r>
        <w:rPr>
          <w:rFonts w:ascii="Arial" w:cs="Arial" w:eastAsia="Arial" w:hAnsi="Arial"/>
          <w:sz w:val="16"/>
          <w:szCs w:val="16"/>
          <w:color w:val="auto"/>
        </w:rPr>
        <w:t>Representatives of Ernst &amp; Young LLP are expected to be present at the 2012 annual meeting. They will have the opportunity to make a statement if they desire to do so and will also be available to respond to appropriate questions from shareholders.</w:t>
      </w:r>
    </w:p>
    <w:p>
      <w:pPr>
        <w:spacing w:after="0" w:line="104" w:lineRule="exact"/>
        <w:rPr>
          <w:sz w:val="20"/>
          <w:szCs w:val="20"/>
          <w:color w:val="auto"/>
        </w:rPr>
      </w:pPr>
    </w:p>
    <w:p>
      <w:pPr>
        <w:ind w:right="240" w:firstLine="457"/>
        <w:spacing w:after="0" w:line="294" w:lineRule="auto"/>
        <w:rPr>
          <w:sz w:val="20"/>
          <w:szCs w:val="20"/>
          <w:color w:val="auto"/>
        </w:rPr>
      </w:pPr>
      <w:r>
        <w:rPr>
          <w:rFonts w:ascii="Arial" w:cs="Arial" w:eastAsia="Arial" w:hAnsi="Arial"/>
          <w:sz w:val="16"/>
          <w:szCs w:val="16"/>
          <w:b w:val="1"/>
          <w:bCs w:val="1"/>
          <w:i w:val="1"/>
          <w:iCs w:val="1"/>
          <w:color w:val="auto"/>
        </w:rPr>
        <w:t>Our Board of Directors recommends that you vote FOR the ratification of the selection of Ernst &amp; Young LLP as our independent registered public accounting firm for the 2012 fiscal year.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MATTERS</w:t>
      </w:r>
    </w:p>
    <w:p>
      <w:pPr>
        <w:spacing w:after="0" w:line="173" w:lineRule="exact"/>
        <w:rPr>
          <w:sz w:val="20"/>
          <w:szCs w:val="20"/>
          <w:color w:val="auto"/>
        </w:rPr>
      </w:pPr>
    </w:p>
    <w:p>
      <w:pPr>
        <w:ind w:right="20" w:firstLine="457"/>
        <w:spacing w:after="0" w:line="329" w:lineRule="auto"/>
        <w:rPr>
          <w:sz w:val="20"/>
          <w:szCs w:val="20"/>
          <w:color w:val="auto"/>
        </w:rPr>
      </w:pPr>
      <w:r>
        <w:rPr>
          <w:rFonts w:ascii="Arial" w:cs="Arial" w:eastAsia="Arial" w:hAnsi="Arial"/>
          <w:sz w:val="15"/>
          <w:szCs w:val="15"/>
          <w:color w:val="auto"/>
        </w:rPr>
        <w:t>Our Board of Directors does not know of any other matters that may come before the 2012 annual meeting. However, if any other matters are properly presented at the 2012 annual meeting, it is the intention of the persons named as proxies to vote, or otherwise act, in accordance with their judgment on such matters.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ELECTRONIC VOTING</w:t>
      </w:r>
    </w:p>
    <w:p>
      <w:pPr>
        <w:spacing w:after="0" w:line="173" w:lineRule="exact"/>
        <w:rPr>
          <w:sz w:val="20"/>
          <w:szCs w:val="20"/>
          <w:color w:val="auto"/>
        </w:rPr>
      </w:pPr>
    </w:p>
    <w:p>
      <w:pPr>
        <w:jc w:val="both"/>
        <w:ind w:right="240" w:firstLine="457"/>
        <w:spacing w:after="0" w:line="370" w:lineRule="auto"/>
        <w:rPr>
          <w:sz w:val="20"/>
          <w:szCs w:val="20"/>
          <w:color w:val="auto"/>
        </w:rPr>
      </w:pPr>
      <w:r>
        <w:rPr>
          <w:rFonts w:ascii="Arial" w:cs="Arial" w:eastAsia="Arial" w:hAnsi="Arial"/>
          <w:sz w:val="14"/>
          <w:szCs w:val="14"/>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EST on March 12, 2012.</w:t>
      </w:r>
    </w:p>
    <w:p>
      <w:pPr>
        <w:spacing w:after="0" w:line="5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 xml:space="preserve">If the shares you own are held in “street name” by a bank or brokerage firm, your bank or brokerage firm will provide a vote instruction form to you with this proxy statement, which you may use to direct how your shares will be voted. </w:t>
      </w:r>
      <w:r>
        <w:rPr>
          <w:rFonts w:ascii="Arial" w:cs="Arial" w:eastAsia="Arial" w:hAnsi="Arial"/>
          <w:sz w:val="15"/>
          <w:szCs w:val="15"/>
          <w:b w:val="1"/>
          <w:bCs w:val="1"/>
          <w:color w:val="auto"/>
        </w:rPr>
        <w:t>You must instruct your broker how to vote with respect to the election of directors and the say on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pay advisory vote; your broker can not exercise its discretion to vote on these matters on your behalf. </w:t>
      </w:r>
      <w:r>
        <w:rPr>
          <w:rFonts w:ascii="Arial" w:cs="Arial" w:eastAsia="Arial" w:hAnsi="Arial"/>
          <w:sz w:val="15"/>
          <w:szCs w:val="15"/>
          <w:color w:val="auto"/>
        </w:rPr>
        <w:t>Many banks and brokerage firms also offer the option of voting</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Internet or by telephone, instructions for which would be provided by your bank or brokerage firm on your vote instruction form.</w:t>
      </w:r>
    </w:p>
    <w:p>
      <w:pPr>
        <w:spacing w:after="0" w:line="103" w:lineRule="exact"/>
        <w:rPr>
          <w:sz w:val="20"/>
          <w:szCs w:val="20"/>
          <w:color w:val="auto"/>
        </w:rPr>
      </w:pPr>
    </w:p>
    <w:p>
      <w:pPr>
        <w:jc w:val="both"/>
        <w:ind w:right="100" w:firstLine="457"/>
        <w:spacing w:after="0" w:line="275" w:lineRule="auto"/>
        <w:rPr>
          <w:sz w:val="20"/>
          <w:szCs w:val="20"/>
          <w:color w:val="auto"/>
        </w:rPr>
      </w:pPr>
      <w:r>
        <w:rPr>
          <w:rFonts w:ascii="Arial" w:cs="Arial" w:eastAsia="Arial" w:hAnsi="Arial"/>
          <w:sz w:val="16"/>
          <w:szCs w:val="16"/>
          <w:b w:val="1"/>
          <w:bCs w:val="1"/>
          <w:color w:val="auto"/>
        </w:rPr>
        <w:t>We hope that shareholders will attend the meeting. Whether or not you plan to attend, we urge you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previously sent in their proxies.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39" w:right="239" w:bottom="1440" w:gutter="0" w:footer="0" w:header="0"/>
        </w:sectPr>
      </w:pPr>
    </w:p>
    <w:bookmarkStart w:id="63" w:name="page64"/>
    <w:bookmarkEnd w:id="63"/>
    <w:p>
      <w:pPr>
        <w:ind w:left="20"/>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596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-86360</wp:posOffset>
            </wp:positionV>
            <wp:extent cx="1407795" cy="408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07795" cy="408305"/>
                    </a:xfrm>
                    <a:prstGeom prst="rect">
                      <a:avLst/>
                    </a:prstGeom>
                    <a:noFill/>
                  </pic:spPr>
                </pic:pic>
              </a:graphicData>
            </a:graphic>
          </wp:anchor>
        </w:drawing>
      </w:r>
    </w:p>
    <w:p>
      <w:pPr>
        <w:ind w:left="5960" w:right="40"/>
        <w:spacing w:after="0" w:line="326" w:lineRule="auto"/>
        <w:rPr>
          <w:sz w:val="20"/>
          <w:szCs w:val="20"/>
          <w:color w:val="auto"/>
        </w:rPr>
      </w:pPr>
      <w:r>
        <w:rPr>
          <w:rFonts w:ascii="Arial" w:cs="Arial" w:eastAsia="Arial" w:hAnsi="Arial"/>
          <w:sz w:val="10"/>
          <w:szCs w:val="10"/>
          <w:color w:val="auto"/>
        </w:rPr>
        <w:t>Use the Internet to transmit your voting instructions and for electronic delivery of information up until 11:59 P.M. Eastern Time on March 12, 2012. Have your proxy card in hand when you access the web site and follow the instructions to obtain your records and to create an electronic voting instruction form.</w:t>
      </w:r>
    </w:p>
    <w:p>
      <w:pPr>
        <w:spacing w:after="0" w:line="77"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880" w:type="dxa"/>
            <w:vAlign w:val="bottom"/>
          </w:tcPr>
          <w:p>
            <w:pPr>
              <w:spacing w:after="0"/>
              <w:rPr>
                <w:sz w:val="20"/>
                <w:szCs w:val="20"/>
                <w:color w:val="auto"/>
              </w:rPr>
            </w:pPr>
            <w:r>
              <w:rPr>
                <w:rFonts w:ascii="Arial" w:cs="Arial" w:eastAsia="Arial" w:hAnsi="Arial"/>
                <w:sz w:val="13"/>
                <w:szCs w:val="13"/>
                <w:b w:val="1"/>
                <w:bCs w:val="1"/>
                <w:color w:val="auto"/>
              </w:rPr>
              <w:t>ANALOG DEVICES, INC.</w:t>
            </w:r>
          </w:p>
        </w:tc>
        <w:tc>
          <w:tcPr>
            <w:tcW w:w="7040" w:type="dxa"/>
            <w:vAlign w:val="bottom"/>
          </w:tcPr>
          <w:p>
            <w:pPr>
              <w:ind w:left="1660"/>
              <w:spacing w:after="0"/>
              <w:rPr>
                <w:sz w:val="20"/>
                <w:szCs w:val="20"/>
                <w:color w:val="auto"/>
              </w:rPr>
            </w:pPr>
            <w:r>
              <w:rPr>
                <w:rFonts w:ascii="Arial" w:cs="Arial" w:eastAsia="Arial" w:hAnsi="Arial"/>
                <w:sz w:val="13"/>
                <w:szCs w:val="13"/>
                <w:b w:val="1"/>
                <w:bCs w:val="1"/>
                <w:color w:val="auto"/>
              </w:rPr>
              <w:t>ELECTRONIC DELIVERY OF FUTURE PROXY MATERIALS</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P.O. BOX 9106</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88"/>
              </w:rPr>
              <w:t>If you would like to reduce the costs incurred by our company in mailing proxy materials, you can consent</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ATTN: INVESTOR RELATIONS DEPT.</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91"/>
              </w:rPr>
              <w:t>to receiving all future proxy statements, proxy cards and annual reports electronically via e-mail or the</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ONE TECHNOLOGY WAY</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89"/>
              </w:rPr>
              <w:t>Internet. To sign up for electronic delivery, please follow the instructions above to vote using the Internet</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NORWOOD, MA 02062-9106</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89"/>
              </w:rPr>
              <w:t>and, when prompted, indicate that you agree to receive or access proxy materials electronically in future</w:t>
            </w:r>
          </w:p>
        </w:tc>
      </w:tr>
      <w:tr>
        <w:trPr>
          <w:trHeight w:val="160"/>
        </w:trPr>
        <w:tc>
          <w:tcPr>
            <w:tcW w:w="3880" w:type="dxa"/>
            <w:vAlign w:val="bottom"/>
          </w:tcPr>
          <w:p>
            <w:pPr>
              <w:spacing w:after="0"/>
              <w:rPr>
                <w:sz w:val="13"/>
                <w:szCs w:val="13"/>
                <w:color w:val="auto"/>
              </w:rPr>
            </w:pPr>
          </w:p>
        </w:tc>
        <w:tc>
          <w:tcPr>
            <w:tcW w:w="7040" w:type="dxa"/>
            <w:vAlign w:val="bottom"/>
          </w:tcPr>
          <w:p>
            <w:pPr>
              <w:ind w:left="1660"/>
              <w:spacing w:after="0"/>
              <w:rPr>
                <w:sz w:val="20"/>
                <w:szCs w:val="20"/>
                <w:color w:val="auto"/>
              </w:rPr>
            </w:pPr>
            <w:r>
              <w:rPr>
                <w:rFonts w:ascii="Arial" w:cs="Arial" w:eastAsia="Arial" w:hAnsi="Arial"/>
                <w:sz w:val="13"/>
                <w:szCs w:val="13"/>
                <w:color w:val="auto"/>
              </w:rPr>
              <w:t>years.</w:t>
            </w: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80" w:type="dxa"/>
            <w:vAlign w:val="bottom"/>
            <w:gridSpan w:val="3"/>
          </w:tcPr>
          <w:p>
            <w:pPr>
              <w:ind w:left="700"/>
              <w:spacing w:after="0"/>
              <w:rPr>
                <w:sz w:val="20"/>
                <w:szCs w:val="20"/>
                <w:color w:val="auto"/>
              </w:rPr>
            </w:pPr>
            <w:r>
              <w:rPr>
                <w:rFonts w:ascii="Arial" w:cs="Arial" w:eastAsia="Arial" w:hAnsi="Arial"/>
                <w:sz w:val="13"/>
                <w:szCs w:val="13"/>
                <w:b w:val="1"/>
                <w:bCs w:val="1"/>
                <w:color w:val="auto"/>
              </w:rPr>
              <w:t>VOTE BY PHONE - 1-800-690-6903</w:t>
            </w: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20" w:type="dxa"/>
            <w:vAlign w:val="bottom"/>
            <w:gridSpan w:val="6"/>
          </w:tcPr>
          <w:p>
            <w:pPr>
              <w:ind w:left="700"/>
              <w:spacing w:after="0" w:line="139" w:lineRule="exact"/>
              <w:rPr>
                <w:sz w:val="20"/>
                <w:szCs w:val="20"/>
                <w:color w:val="auto"/>
              </w:rPr>
            </w:pPr>
            <w:r>
              <w:rPr>
                <w:rFonts w:ascii="Arial" w:cs="Arial" w:eastAsia="Arial" w:hAnsi="Arial"/>
                <w:sz w:val="13"/>
                <w:szCs w:val="13"/>
                <w:color w:val="auto"/>
                <w:w w:val="93"/>
              </w:rPr>
              <w:t>Use any touch-tone telephone to transmit your voting instructions up until 11:59 P.M. Eastern Time on</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20" w:type="dxa"/>
            <w:vAlign w:val="bottom"/>
            <w:gridSpan w:val="6"/>
          </w:tcPr>
          <w:p>
            <w:pPr>
              <w:ind w:left="700"/>
              <w:spacing w:after="0"/>
              <w:rPr>
                <w:sz w:val="20"/>
                <w:szCs w:val="20"/>
                <w:color w:val="auto"/>
              </w:rPr>
            </w:pPr>
            <w:r>
              <w:rPr>
                <w:rFonts w:ascii="Arial" w:cs="Arial" w:eastAsia="Arial" w:hAnsi="Arial"/>
                <w:sz w:val="13"/>
                <w:szCs w:val="13"/>
                <w:color w:val="auto"/>
              </w:rPr>
              <w:t>March 12, 2012. Have your proxy card in hand when you call and then follow the instructions.</w:t>
            </w:r>
          </w:p>
        </w:tc>
        <w:tc>
          <w:tcPr>
            <w:tcW w:w="0" w:type="dxa"/>
            <w:vAlign w:val="bottom"/>
          </w:tcPr>
          <w:p>
            <w:pPr>
              <w:spacing w:after="0"/>
              <w:rPr>
                <w:sz w:val="1"/>
                <w:szCs w:val="1"/>
                <w:color w:val="auto"/>
              </w:rPr>
            </w:pPr>
          </w:p>
        </w:tc>
      </w:tr>
      <w:tr>
        <w:trPr>
          <w:trHeight w:val="268"/>
        </w:trPr>
        <w:tc>
          <w:tcPr>
            <w:tcW w:w="8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380" w:type="dxa"/>
            <w:vAlign w:val="bottom"/>
            <w:gridSpan w:val="3"/>
          </w:tcPr>
          <w:p>
            <w:pPr>
              <w:ind w:left="700"/>
              <w:spacing w:after="0"/>
              <w:rPr>
                <w:sz w:val="20"/>
                <w:szCs w:val="20"/>
                <w:color w:val="auto"/>
              </w:rPr>
            </w:pPr>
            <w:r>
              <w:rPr>
                <w:rFonts w:ascii="Arial" w:cs="Arial" w:eastAsia="Arial" w:hAnsi="Arial"/>
                <w:sz w:val="13"/>
                <w:szCs w:val="13"/>
                <w:b w:val="1"/>
                <w:bCs w:val="1"/>
                <w:color w:val="auto"/>
              </w:rPr>
              <w:t>VOTE BY MAIL</w:t>
            </w:r>
          </w:p>
        </w:tc>
        <w:tc>
          <w:tcPr>
            <w:tcW w:w="2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20" w:type="dxa"/>
            <w:vAlign w:val="bottom"/>
            <w:gridSpan w:val="6"/>
          </w:tcPr>
          <w:p>
            <w:pPr>
              <w:ind w:left="700"/>
              <w:spacing w:after="0" w:line="139" w:lineRule="exact"/>
              <w:rPr>
                <w:sz w:val="20"/>
                <w:szCs w:val="20"/>
                <w:color w:val="auto"/>
              </w:rPr>
            </w:pPr>
            <w:r>
              <w:rPr>
                <w:rFonts w:ascii="Arial" w:cs="Arial" w:eastAsia="Arial" w:hAnsi="Arial"/>
                <w:sz w:val="13"/>
                <w:szCs w:val="13"/>
                <w:color w:val="auto"/>
                <w:w w:val="88"/>
              </w:rPr>
              <w:t>Mark, sign and date your proxy card and return it in the postage-paid envelope we have provided or return it</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20" w:type="dxa"/>
            <w:vAlign w:val="bottom"/>
            <w:gridSpan w:val="6"/>
          </w:tcPr>
          <w:p>
            <w:pPr>
              <w:ind w:left="700"/>
              <w:spacing w:after="0"/>
              <w:rPr>
                <w:sz w:val="20"/>
                <w:szCs w:val="20"/>
                <w:color w:val="auto"/>
              </w:rPr>
            </w:pPr>
            <w:r>
              <w:rPr>
                <w:rFonts w:ascii="Arial" w:cs="Arial" w:eastAsia="Arial" w:hAnsi="Arial"/>
                <w:sz w:val="13"/>
                <w:szCs w:val="13"/>
                <w:color w:val="auto"/>
              </w:rPr>
              <w:t>to Vote Processing, c/o Broadridge, 51 Mercedes Way, Edgewood, NY 11717.</w:t>
            </w:r>
          </w:p>
        </w:tc>
        <w:tc>
          <w:tcPr>
            <w:tcW w:w="0" w:type="dxa"/>
            <w:vAlign w:val="bottom"/>
          </w:tcPr>
          <w:p>
            <w:pPr>
              <w:spacing w:after="0"/>
              <w:rPr>
                <w:sz w:val="1"/>
                <w:szCs w:val="1"/>
                <w:color w:val="auto"/>
              </w:rPr>
            </w:pPr>
          </w:p>
        </w:tc>
      </w:tr>
      <w:tr>
        <w:trPr>
          <w:trHeight w:val="659"/>
        </w:trPr>
        <w:tc>
          <w:tcPr>
            <w:tcW w:w="8640" w:type="dxa"/>
            <w:vAlign w:val="bottom"/>
            <w:gridSpan w:val="9"/>
          </w:tcPr>
          <w:p>
            <w:pPr>
              <w:ind w:left="20"/>
              <w:spacing w:after="0"/>
              <w:rPr>
                <w:sz w:val="20"/>
                <w:szCs w:val="20"/>
                <w:color w:val="auto"/>
              </w:rPr>
            </w:pPr>
            <w:r>
              <w:rPr>
                <w:rFonts w:ascii="Arial" w:cs="Arial" w:eastAsia="Arial" w:hAnsi="Arial"/>
                <w:sz w:val="13"/>
                <w:szCs w:val="13"/>
                <w:color w:val="auto"/>
              </w:rPr>
              <w:t>TO VOTE, MARK BLOCKS BELOW IN BLUE OR BLACK INK AS FOLLOWS:</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ind w:left="1140"/>
              <w:spacing w:after="0"/>
              <w:rPr>
                <w:sz w:val="20"/>
                <w:szCs w:val="20"/>
                <w:color w:val="auto"/>
              </w:rPr>
            </w:pPr>
            <w:r>
              <w:rPr>
                <w:rFonts w:ascii="Arial" w:cs="Arial" w:eastAsia="Arial" w:hAnsi="Arial"/>
                <w:sz w:val="13"/>
                <w:szCs w:val="13"/>
                <w:color w:val="auto"/>
              </w:rPr>
              <w:t>M40374-P18814</w:t>
            </w:r>
          </w:p>
        </w:tc>
        <w:tc>
          <w:tcPr>
            <w:tcW w:w="2840" w:type="dxa"/>
            <w:vAlign w:val="bottom"/>
            <w:gridSpan w:val="3"/>
          </w:tcPr>
          <w:p>
            <w:pPr>
              <w:jc w:val="right"/>
              <w:ind w:right="4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4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840" w:type="dxa"/>
            <w:vAlign w:val="bottom"/>
            <w:gridSpan w:val="3"/>
          </w:tcPr>
          <w:p>
            <w:pPr>
              <w:jc w:val="right"/>
              <w:ind w:right="4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69"/>
        </w:trPr>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gridSpan w:val="5"/>
            <w:vMerge w:val="continue"/>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40" w:type="dxa"/>
            <w:vAlign w:val="bottom"/>
            <w:gridSpan w:val="9"/>
          </w:tcPr>
          <w:p>
            <w:pPr>
              <w:ind w:left="280"/>
              <w:spacing w:after="0"/>
              <w:rPr>
                <w:sz w:val="20"/>
                <w:szCs w:val="20"/>
                <w:color w:val="auto"/>
              </w:rPr>
            </w:pPr>
            <w:r>
              <w:rPr>
                <w:rFonts w:ascii="Arial" w:cs="Arial" w:eastAsia="Arial" w:hAnsi="Arial"/>
                <w:sz w:val="13"/>
                <w:szCs w:val="13"/>
                <w:b w:val="1"/>
                <w:bCs w:val="1"/>
                <w:color w:val="auto"/>
              </w:rPr>
              <w:t>ANALOG DEVICES, INC.</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640" w:type="dxa"/>
            <w:vAlign w:val="bottom"/>
            <w:gridSpan w:val="9"/>
            <w:vMerge w:val="restart"/>
          </w:tcPr>
          <w:p>
            <w:pPr>
              <w:ind w:left="480"/>
              <w:spacing w:after="0"/>
              <w:rPr>
                <w:sz w:val="20"/>
                <w:szCs w:val="20"/>
                <w:color w:val="auto"/>
              </w:rPr>
            </w:pPr>
            <w:r>
              <w:rPr>
                <w:rFonts w:ascii="Arial" w:cs="Arial" w:eastAsia="Arial" w:hAnsi="Arial"/>
                <w:sz w:val="13"/>
                <w:szCs w:val="13"/>
                <w:color w:val="auto"/>
              </w:rPr>
              <w:t>The shares represented by this proxy when properly executed will be voted in the manner directed by the undersigned shareholder.</w:t>
            </w:r>
          </w:p>
        </w:tc>
        <w:tc>
          <w:tcPr>
            <w:tcW w:w="20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8640" w:type="dxa"/>
            <w:vAlign w:val="bottom"/>
            <w:gridSpan w:val="9"/>
            <w:vMerge w:val="continue"/>
          </w:tcPr>
          <w:p>
            <w:pPr>
              <w:spacing w:after="0"/>
              <w:rPr>
                <w:sz w:val="8"/>
                <w:szCs w:val="8"/>
                <w:color w:val="auto"/>
              </w:rPr>
            </w:pPr>
          </w:p>
        </w:tc>
        <w:tc>
          <w:tcPr>
            <w:tcW w:w="206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640" w:type="dxa"/>
            <w:vAlign w:val="bottom"/>
            <w:gridSpan w:val="9"/>
          </w:tcPr>
          <w:p>
            <w:pPr>
              <w:ind w:left="480"/>
              <w:spacing w:after="0" w:line="139" w:lineRule="exact"/>
              <w:rPr>
                <w:sz w:val="20"/>
                <w:szCs w:val="20"/>
                <w:color w:val="auto"/>
              </w:rPr>
            </w:pPr>
            <w:r>
              <w:rPr>
                <w:rFonts w:ascii="Arial" w:cs="Arial" w:eastAsia="Arial" w:hAnsi="Arial"/>
                <w:sz w:val="13"/>
                <w:szCs w:val="13"/>
                <w:b w:val="1"/>
                <w:bCs w:val="1"/>
                <w:color w:val="auto"/>
              </w:rPr>
              <w:t>If no direction is made, this proxy will be voted FOR the election of each of the nominees for Director and FOR Proposals 2 and 3.</w:t>
            </w:r>
          </w:p>
        </w:tc>
        <w:tc>
          <w:tcPr>
            <w:tcW w:w="20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gridSpan w:val="2"/>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640" w:type="dxa"/>
            <w:vAlign w:val="bottom"/>
            <w:gridSpan w:val="9"/>
          </w:tcPr>
          <w:p>
            <w:pPr>
              <w:ind w:left="480"/>
              <w:spacing w:after="0"/>
              <w:rPr>
                <w:sz w:val="20"/>
                <w:szCs w:val="20"/>
                <w:color w:val="auto"/>
              </w:rPr>
            </w:pPr>
            <w:r>
              <w:rPr>
                <w:rFonts w:ascii="Arial" w:cs="Arial" w:eastAsia="Arial" w:hAnsi="Arial"/>
                <w:sz w:val="13"/>
                <w:szCs w:val="13"/>
                <w:b w:val="1"/>
                <w:bCs w:val="1"/>
                <w:color w:val="auto"/>
              </w:rPr>
              <w:t>The Board of Directors recommends a vote FOR each of the Director nominees and FOR Proposals 2 and 3.</w:t>
            </w:r>
          </w:p>
        </w:tc>
        <w:tc>
          <w:tcPr>
            <w:tcW w:w="206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80" w:type="dxa"/>
            <w:vAlign w:val="bottom"/>
            <w:tcBorders>
              <w:right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3"/>
        </w:trPr>
        <w:tc>
          <w:tcPr>
            <w:tcW w:w="800" w:type="dxa"/>
            <w:vAlign w:val="bottom"/>
          </w:tcPr>
          <w:p>
            <w:pPr>
              <w:ind w:left="480"/>
              <w:spacing w:after="0"/>
              <w:rPr>
                <w:sz w:val="20"/>
                <w:szCs w:val="20"/>
                <w:color w:val="auto"/>
              </w:rPr>
            </w:pPr>
            <w:r>
              <w:rPr>
                <w:rFonts w:ascii="Arial" w:cs="Arial" w:eastAsia="Arial" w:hAnsi="Arial"/>
                <w:sz w:val="13"/>
                <w:szCs w:val="13"/>
                <w:color w:val="auto"/>
              </w:rPr>
              <w:t>1)</w:t>
            </w:r>
          </w:p>
        </w:tc>
        <w:tc>
          <w:tcPr>
            <w:tcW w:w="7840" w:type="dxa"/>
            <w:vAlign w:val="bottom"/>
            <w:gridSpan w:val="8"/>
          </w:tcPr>
          <w:p>
            <w:pPr>
              <w:ind w:left="220"/>
              <w:spacing w:after="0"/>
              <w:rPr>
                <w:sz w:val="20"/>
                <w:szCs w:val="20"/>
                <w:color w:val="auto"/>
              </w:rPr>
            </w:pPr>
            <w:r>
              <w:rPr>
                <w:rFonts w:ascii="Arial" w:cs="Arial" w:eastAsia="Arial" w:hAnsi="Arial"/>
                <w:sz w:val="13"/>
                <w:szCs w:val="13"/>
                <w:color w:val="auto"/>
              </w:rPr>
              <w:t>To elect the following nine nominees to our Board of Directors, each for a term of one year.</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79640" cy="45116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640" cy="4511675"/>
                    </a:xfrm>
                    <a:prstGeom prst="rect">
                      <a:avLst/>
                    </a:prstGeom>
                    <a:noFill/>
                  </pic:spPr>
                </pic:pic>
              </a:graphicData>
            </a:graphic>
          </wp:anchor>
        </w:drawing>
      </w:r>
    </w:p>
    <w:p>
      <w:pPr>
        <w:sectPr>
          <w:pgSz w:w="11900" w:h="16838" w:orient="portrait"/>
          <w:cols w:equalWidth="0" w:num="1">
            <w:col w:w="11480"/>
          </w:cols>
          <w:pgMar w:left="220" w:top="439" w:right="199" w:bottom="1440" w:gutter="0" w:footer="0" w:header="0"/>
        </w:sectPr>
      </w:pPr>
    </w:p>
    <w:p>
      <w:pPr>
        <w:spacing w:after="0" w:line="126"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19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Nominees</w:t>
            </w:r>
          </w:p>
        </w:tc>
        <w:tc>
          <w:tcPr>
            <w:tcW w:w="740" w:type="dxa"/>
            <w:vAlign w:val="bottom"/>
          </w:tcPr>
          <w:p>
            <w:pPr>
              <w:jc w:val="center"/>
              <w:ind w:left="297"/>
              <w:spacing w:after="0"/>
              <w:rPr>
                <w:sz w:val="20"/>
                <w:szCs w:val="20"/>
                <w:color w:val="auto"/>
              </w:rPr>
            </w:pPr>
            <w:r>
              <w:rPr>
                <w:rFonts w:ascii="Arial" w:cs="Arial" w:eastAsia="Arial" w:hAnsi="Arial"/>
                <w:sz w:val="13"/>
                <w:szCs w:val="13"/>
                <w:b w:val="1"/>
                <w:bCs w:val="1"/>
                <w:color w:val="auto"/>
                <w:w w:val="85"/>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39"/>
        </w:trPr>
        <w:tc>
          <w:tcPr>
            <w:tcW w:w="19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320"/>
              <w:spacing w:after="0"/>
              <w:rPr>
                <w:sz w:val="20"/>
                <w:szCs w:val="20"/>
                <w:color w:val="auto"/>
              </w:rPr>
            </w:pPr>
            <w:r>
              <w:rPr>
                <w:rFonts w:ascii="Arial" w:cs="Arial" w:eastAsia="Arial" w:hAnsi="Arial"/>
                <w:sz w:val="13"/>
                <w:szCs w:val="13"/>
                <w:color w:val="auto"/>
                <w:w w:val="99"/>
              </w:rPr>
              <w:t>1a.</w:t>
            </w:r>
          </w:p>
        </w:tc>
        <w:tc>
          <w:tcPr>
            <w:tcW w:w="1440" w:type="dxa"/>
            <w:vAlign w:val="bottom"/>
          </w:tcPr>
          <w:p>
            <w:pPr>
              <w:ind w:left="100"/>
              <w:spacing w:after="0"/>
              <w:rPr>
                <w:sz w:val="20"/>
                <w:szCs w:val="20"/>
                <w:color w:val="auto"/>
              </w:rPr>
            </w:pPr>
            <w:r>
              <w:rPr>
                <w:rFonts w:ascii="Arial" w:cs="Arial" w:eastAsia="Arial" w:hAnsi="Arial"/>
                <w:sz w:val="13"/>
                <w:szCs w:val="13"/>
                <w:color w:val="auto"/>
              </w:rPr>
              <w:t>Ray Stata</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520" w:type="dxa"/>
            <w:vAlign w:val="bottom"/>
          </w:tcPr>
          <w:p>
            <w:pPr>
              <w:ind w:left="320"/>
              <w:spacing w:after="0"/>
              <w:rPr>
                <w:sz w:val="20"/>
                <w:szCs w:val="20"/>
                <w:color w:val="auto"/>
              </w:rPr>
            </w:pPr>
            <w:r>
              <w:rPr>
                <w:rFonts w:ascii="Arial" w:cs="Arial" w:eastAsia="Arial" w:hAnsi="Arial"/>
                <w:sz w:val="13"/>
                <w:szCs w:val="13"/>
                <w:color w:val="auto"/>
                <w:w w:val="99"/>
              </w:rPr>
              <w:t>1b.</w:t>
            </w:r>
          </w:p>
        </w:tc>
        <w:tc>
          <w:tcPr>
            <w:tcW w:w="1440" w:type="dxa"/>
            <w:vAlign w:val="bottom"/>
          </w:tcPr>
          <w:p>
            <w:pPr>
              <w:ind w:left="80"/>
              <w:spacing w:after="0"/>
              <w:rPr>
                <w:sz w:val="20"/>
                <w:szCs w:val="20"/>
                <w:color w:val="auto"/>
              </w:rPr>
            </w:pPr>
            <w:r>
              <w:rPr>
                <w:rFonts w:ascii="Arial" w:cs="Arial" w:eastAsia="Arial" w:hAnsi="Arial"/>
                <w:sz w:val="13"/>
                <w:szCs w:val="13"/>
                <w:color w:val="auto"/>
              </w:rPr>
              <w:t>Jerald G. Fishman</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77"/>
        </w:trPr>
        <w:tc>
          <w:tcPr>
            <w:tcW w:w="520" w:type="dxa"/>
            <w:vAlign w:val="bottom"/>
          </w:tcPr>
          <w:p>
            <w:pPr>
              <w:ind w:left="320"/>
              <w:spacing w:after="0"/>
              <w:rPr>
                <w:sz w:val="20"/>
                <w:szCs w:val="20"/>
                <w:color w:val="auto"/>
              </w:rPr>
            </w:pPr>
            <w:r>
              <w:rPr>
                <w:rFonts w:ascii="Arial" w:cs="Arial" w:eastAsia="Arial" w:hAnsi="Arial"/>
                <w:sz w:val="13"/>
                <w:szCs w:val="13"/>
                <w:color w:val="auto"/>
              </w:rPr>
              <w:t>1c.</w:t>
            </w:r>
          </w:p>
        </w:tc>
        <w:tc>
          <w:tcPr>
            <w:tcW w:w="1440" w:type="dxa"/>
            <w:vAlign w:val="bottom"/>
          </w:tcPr>
          <w:p>
            <w:pPr>
              <w:ind w:left="80"/>
              <w:spacing w:after="0"/>
              <w:rPr>
                <w:sz w:val="20"/>
                <w:szCs w:val="20"/>
                <w:color w:val="auto"/>
              </w:rPr>
            </w:pPr>
            <w:r>
              <w:rPr>
                <w:rFonts w:ascii="Arial" w:cs="Arial" w:eastAsia="Arial" w:hAnsi="Arial"/>
                <w:sz w:val="13"/>
                <w:szCs w:val="13"/>
                <w:color w:val="auto"/>
              </w:rPr>
              <w:t>James A. Champy</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520" w:type="dxa"/>
            <w:vAlign w:val="bottom"/>
          </w:tcPr>
          <w:p>
            <w:pPr>
              <w:ind w:left="320"/>
              <w:spacing w:after="0"/>
              <w:rPr>
                <w:sz w:val="20"/>
                <w:szCs w:val="20"/>
                <w:color w:val="auto"/>
              </w:rPr>
            </w:pPr>
            <w:r>
              <w:rPr>
                <w:rFonts w:ascii="Arial" w:cs="Arial" w:eastAsia="Arial" w:hAnsi="Arial"/>
                <w:sz w:val="13"/>
                <w:szCs w:val="13"/>
                <w:color w:val="auto"/>
                <w:w w:val="99"/>
              </w:rPr>
              <w:t>1d.</w:t>
            </w:r>
          </w:p>
        </w:tc>
        <w:tc>
          <w:tcPr>
            <w:tcW w:w="1440" w:type="dxa"/>
            <w:vAlign w:val="bottom"/>
          </w:tcPr>
          <w:p>
            <w:pPr>
              <w:ind w:left="80"/>
              <w:spacing w:after="0"/>
              <w:rPr>
                <w:sz w:val="20"/>
                <w:szCs w:val="20"/>
                <w:color w:val="auto"/>
              </w:rPr>
            </w:pPr>
            <w:r>
              <w:rPr>
                <w:rFonts w:ascii="Arial" w:cs="Arial" w:eastAsia="Arial" w:hAnsi="Arial"/>
                <w:sz w:val="13"/>
                <w:szCs w:val="13"/>
                <w:color w:val="auto"/>
              </w:rPr>
              <w:t>John C. Hodgson</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520" w:type="dxa"/>
            <w:vAlign w:val="bottom"/>
          </w:tcPr>
          <w:p>
            <w:pPr>
              <w:ind w:left="320"/>
              <w:spacing w:after="0"/>
              <w:rPr>
                <w:sz w:val="20"/>
                <w:szCs w:val="20"/>
                <w:color w:val="auto"/>
              </w:rPr>
            </w:pPr>
            <w:r>
              <w:rPr>
                <w:rFonts w:ascii="Arial" w:cs="Arial" w:eastAsia="Arial" w:hAnsi="Arial"/>
                <w:sz w:val="13"/>
                <w:szCs w:val="13"/>
                <w:color w:val="auto"/>
                <w:w w:val="99"/>
              </w:rPr>
              <w:t>1e.</w:t>
            </w:r>
          </w:p>
        </w:tc>
        <w:tc>
          <w:tcPr>
            <w:tcW w:w="1440" w:type="dxa"/>
            <w:vAlign w:val="bottom"/>
          </w:tcPr>
          <w:p>
            <w:pPr>
              <w:ind w:left="60"/>
              <w:spacing w:after="0"/>
              <w:rPr>
                <w:sz w:val="20"/>
                <w:szCs w:val="20"/>
                <w:color w:val="auto"/>
              </w:rPr>
            </w:pPr>
            <w:r>
              <w:rPr>
                <w:rFonts w:ascii="Arial" w:cs="Arial" w:eastAsia="Arial" w:hAnsi="Arial"/>
                <w:sz w:val="13"/>
                <w:szCs w:val="13"/>
                <w:color w:val="auto"/>
              </w:rPr>
              <w:t>Yves-Andre Istel</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520" w:type="dxa"/>
            <w:vAlign w:val="bottom"/>
          </w:tcPr>
          <w:p>
            <w:pPr>
              <w:ind w:left="320"/>
              <w:spacing w:after="0"/>
              <w:rPr>
                <w:sz w:val="20"/>
                <w:szCs w:val="20"/>
                <w:color w:val="auto"/>
              </w:rPr>
            </w:pPr>
            <w:r>
              <w:rPr>
                <w:rFonts w:ascii="Arial" w:cs="Arial" w:eastAsia="Arial" w:hAnsi="Arial"/>
                <w:sz w:val="13"/>
                <w:szCs w:val="13"/>
                <w:color w:val="auto"/>
              </w:rPr>
              <w:t>1f.</w:t>
            </w:r>
          </w:p>
        </w:tc>
        <w:tc>
          <w:tcPr>
            <w:tcW w:w="1440" w:type="dxa"/>
            <w:vAlign w:val="bottom"/>
          </w:tcPr>
          <w:p>
            <w:pPr>
              <w:ind w:left="60"/>
              <w:spacing w:after="0"/>
              <w:rPr>
                <w:sz w:val="20"/>
                <w:szCs w:val="20"/>
                <w:color w:val="auto"/>
              </w:rPr>
            </w:pPr>
            <w:r>
              <w:rPr>
                <w:rFonts w:ascii="Arial" w:cs="Arial" w:eastAsia="Arial" w:hAnsi="Arial"/>
                <w:sz w:val="13"/>
                <w:szCs w:val="13"/>
                <w:color w:val="auto"/>
              </w:rPr>
              <w:t>Neil Novich</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65"/>
        </w:trPr>
        <w:tc>
          <w:tcPr>
            <w:tcW w:w="520" w:type="dxa"/>
            <w:vAlign w:val="bottom"/>
          </w:tcPr>
          <w:p>
            <w:pPr>
              <w:ind w:left="320"/>
              <w:spacing w:after="0"/>
              <w:rPr>
                <w:sz w:val="20"/>
                <w:szCs w:val="20"/>
                <w:color w:val="auto"/>
              </w:rPr>
            </w:pPr>
            <w:r>
              <w:rPr>
                <w:rFonts w:ascii="Arial" w:cs="Arial" w:eastAsia="Arial" w:hAnsi="Arial"/>
                <w:sz w:val="13"/>
                <w:szCs w:val="13"/>
                <w:color w:val="auto"/>
                <w:w w:val="99"/>
              </w:rPr>
              <w:t>1g.</w:t>
            </w:r>
          </w:p>
        </w:tc>
        <w:tc>
          <w:tcPr>
            <w:tcW w:w="1440" w:type="dxa"/>
            <w:vAlign w:val="bottom"/>
          </w:tcPr>
          <w:p>
            <w:pPr>
              <w:ind w:left="80"/>
              <w:spacing w:after="0"/>
              <w:rPr>
                <w:sz w:val="20"/>
                <w:szCs w:val="20"/>
                <w:color w:val="auto"/>
              </w:rPr>
            </w:pPr>
            <w:r>
              <w:rPr>
                <w:rFonts w:ascii="Arial" w:cs="Arial" w:eastAsia="Arial" w:hAnsi="Arial"/>
                <w:sz w:val="13"/>
                <w:szCs w:val="13"/>
                <w:color w:val="auto"/>
              </w:rPr>
              <w:t>F. Grant Saviers</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783"/>
        </w:trPr>
        <w:tc>
          <w:tcPr>
            <w:tcW w:w="3300" w:type="dxa"/>
            <w:vAlign w:val="bottom"/>
            <w:gridSpan w:val="4"/>
          </w:tcPr>
          <w:p>
            <w:pPr>
              <w:spacing w:after="0"/>
              <w:rPr>
                <w:sz w:val="20"/>
                <w:szCs w:val="20"/>
                <w:color w:val="auto"/>
              </w:rPr>
            </w:pPr>
            <w:r>
              <w:rPr>
                <w:rFonts w:ascii="Arial" w:cs="Arial" w:eastAsia="Arial" w:hAnsi="Arial"/>
                <w:sz w:val="13"/>
                <w:szCs w:val="13"/>
                <w:color w:val="auto"/>
                <w:w w:val="91"/>
              </w:rPr>
              <w:t>For address changes/comments, mark here and write them on</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3"/>
                <w:szCs w:val="13"/>
                <w:color w:val="auto"/>
              </w:rPr>
              <w:t>the back where indicated.</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80" w:type="dxa"/>
            <w:vAlign w:val="bottom"/>
          </w:tcPr>
          <w:p>
            <w:pPr>
              <w:jc w:val="center"/>
              <w:ind w:left="57"/>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Against</w:t>
            </w:r>
          </w:p>
        </w:tc>
        <w:tc>
          <w:tcPr>
            <w:tcW w:w="50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442"/>
        </w:trPr>
        <w:tc>
          <w:tcPr>
            <w:tcW w:w="26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Arial" w:cs="Arial" w:eastAsia="Arial" w:hAnsi="Arial"/>
                <w:sz w:val="13"/>
                <w:szCs w:val="13"/>
                <w:color w:val="auto"/>
              </w:rPr>
              <w:t>1h.</w:t>
            </w:r>
          </w:p>
        </w:tc>
        <w:tc>
          <w:tcPr>
            <w:tcW w:w="4460" w:type="dxa"/>
            <w:vAlign w:val="bottom"/>
            <w:gridSpan w:val="3"/>
          </w:tcPr>
          <w:p>
            <w:pPr>
              <w:ind w:left="80"/>
              <w:spacing w:after="0"/>
              <w:rPr>
                <w:sz w:val="20"/>
                <w:szCs w:val="20"/>
                <w:color w:val="auto"/>
              </w:rPr>
            </w:pPr>
            <w:r>
              <w:rPr>
                <w:rFonts w:ascii="Arial" w:cs="Arial" w:eastAsia="Arial" w:hAnsi="Arial"/>
                <w:sz w:val="13"/>
                <w:szCs w:val="13"/>
                <w:color w:val="auto"/>
              </w:rPr>
              <w:t>Paul J. Severino</w:t>
            </w:r>
          </w:p>
        </w:tc>
        <w:tc>
          <w:tcPr>
            <w:tcW w:w="48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26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Arial" w:cs="Arial" w:eastAsia="Arial" w:hAnsi="Arial"/>
                <w:sz w:val="13"/>
                <w:szCs w:val="13"/>
                <w:color w:val="auto"/>
              </w:rPr>
              <w:t>1i.</w:t>
            </w:r>
          </w:p>
        </w:tc>
        <w:tc>
          <w:tcPr>
            <w:tcW w:w="4460" w:type="dxa"/>
            <w:vAlign w:val="bottom"/>
            <w:gridSpan w:val="3"/>
          </w:tcPr>
          <w:p>
            <w:pPr>
              <w:ind w:left="80"/>
              <w:spacing w:after="0"/>
              <w:rPr>
                <w:sz w:val="20"/>
                <w:szCs w:val="20"/>
                <w:color w:val="auto"/>
              </w:rPr>
            </w:pPr>
            <w:r>
              <w:rPr>
                <w:rFonts w:ascii="Arial" w:cs="Arial" w:eastAsia="Arial" w:hAnsi="Arial"/>
                <w:sz w:val="13"/>
                <w:szCs w:val="13"/>
                <w:color w:val="auto"/>
              </w:rPr>
              <w:t>Kenton J. Sicchitano</w:t>
            </w:r>
          </w:p>
        </w:tc>
        <w:tc>
          <w:tcPr>
            <w:tcW w:w="48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25"/>
        </w:trPr>
        <w:tc>
          <w:tcPr>
            <w:tcW w:w="5100" w:type="dxa"/>
            <w:vAlign w:val="bottom"/>
            <w:gridSpan w:val="5"/>
          </w:tcPr>
          <w:p>
            <w:pPr>
              <w:spacing w:after="0"/>
              <w:rPr>
                <w:sz w:val="20"/>
                <w:szCs w:val="20"/>
                <w:color w:val="auto"/>
              </w:rPr>
            </w:pPr>
            <w:r>
              <w:rPr>
                <w:rFonts w:ascii="Arial" w:cs="Arial" w:eastAsia="Arial" w:hAnsi="Arial"/>
                <w:sz w:val="13"/>
                <w:szCs w:val="13"/>
                <w:b w:val="1"/>
                <w:bCs w:val="1"/>
                <w:color w:val="auto"/>
              </w:rPr>
              <w:t>The Board of Directors recommends a vote FOR Proposal 2.</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80" w:type="dxa"/>
            <w:vAlign w:val="bottom"/>
            <w:vMerge w:val="restart"/>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20"/>
                <w:szCs w:val="20"/>
                <w:color w:val="auto"/>
              </w:rPr>
            </w:pPr>
            <w:r>
              <w:rPr>
                <w:rFonts w:ascii="Arial" w:cs="Arial" w:eastAsia="Arial" w:hAnsi="Arial"/>
                <w:sz w:val="13"/>
                <w:szCs w:val="13"/>
                <w:color w:val="auto"/>
              </w:rPr>
              <w:t>2)</w:t>
            </w:r>
          </w:p>
        </w:tc>
        <w:tc>
          <w:tcPr>
            <w:tcW w:w="4840" w:type="dxa"/>
            <w:vAlign w:val="bottom"/>
            <w:gridSpan w:val="4"/>
          </w:tcPr>
          <w:p>
            <w:pPr>
              <w:ind w:left="160"/>
              <w:spacing w:after="0"/>
              <w:rPr>
                <w:sz w:val="20"/>
                <w:szCs w:val="20"/>
                <w:color w:val="auto"/>
              </w:rPr>
            </w:pPr>
            <w:r>
              <w:rPr>
                <w:rFonts w:ascii="Arial" w:cs="Arial" w:eastAsia="Arial" w:hAnsi="Arial"/>
                <w:sz w:val="13"/>
                <w:szCs w:val="13"/>
                <w:color w:val="auto"/>
                <w:w w:val="93"/>
              </w:rPr>
              <w:t>To consider a non-binding “say on pay” vote regarding the compensation of our named</w:t>
            </w:r>
          </w:p>
        </w:tc>
        <w:tc>
          <w:tcPr>
            <w:tcW w:w="4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4840" w:type="dxa"/>
            <w:vAlign w:val="bottom"/>
            <w:gridSpan w:val="4"/>
          </w:tcPr>
          <w:p>
            <w:pPr>
              <w:ind w:left="160"/>
              <w:spacing w:after="0" w:line="139" w:lineRule="exact"/>
              <w:rPr>
                <w:sz w:val="20"/>
                <w:szCs w:val="20"/>
                <w:color w:val="auto"/>
              </w:rPr>
            </w:pPr>
            <w:r>
              <w:rPr>
                <w:rFonts w:ascii="Arial" w:cs="Arial" w:eastAsia="Arial" w:hAnsi="Arial"/>
                <w:sz w:val="13"/>
                <w:szCs w:val="13"/>
                <w:color w:val="auto"/>
                <w:w w:val="91"/>
              </w:rPr>
              <w:t>executive officers, as described in the Compensation Discussion and Analysis, executive</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4840" w:type="dxa"/>
            <w:vAlign w:val="bottom"/>
            <w:gridSpan w:val="4"/>
          </w:tcPr>
          <w:p>
            <w:pPr>
              <w:ind w:left="160"/>
              <w:spacing w:after="0"/>
              <w:rPr>
                <w:sz w:val="20"/>
                <w:szCs w:val="20"/>
                <w:color w:val="auto"/>
              </w:rPr>
            </w:pPr>
            <w:r>
              <w:rPr>
                <w:rFonts w:ascii="Arial" w:cs="Arial" w:eastAsia="Arial" w:hAnsi="Arial"/>
                <w:sz w:val="13"/>
                <w:szCs w:val="13"/>
                <w:color w:val="auto"/>
                <w:w w:val="94"/>
              </w:rPr>
              <w:t>compensation tables and accompanying narrative disclosures in our proxy statement.</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The Board of Directors recommends a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Proposal 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 w:type="dxa"/>
            <w:vAlign w:val="bottom"/>
          </w:tcPr>
          <w:p>
            <w:pPr>
              <w:jc w:val="right"/>
              <w:ind w:right="102"/>
              <w:spacing w:after="0"/>
              <w:rPr>
                <w:sz w:val="20"/>
                <w:szCs w:val="20"/>
                <w:color w:val="auto"/>
              </w:rPr>
            </w:pPr>
            <w:r>
              <w:rPr>
                <w:rFonts w:ascii="Arial" w:cs="Arial" w:eastAsia="Arial" w:hAnsi="Arial"/>
                <w:sz w:val="12"/>
                <w:szCs w:val="12"/>
                <w:color w:val="auto"/>
                <w:w w:val="74"/>
              </w:rPr>
              <w:t>3)</w:t>
            </w:r>
          </w:p>
        </w:tc>
        <w:tc>
          <w:tcPr>
            <w:tcW w:w="5380" w:type="dxa"/>
            <w:vAlign w:val="bottom"/>
          </w:tcPr>
          <w:p>
            <w:pPr>
              <w:ind w:left="160"/>
              <w:spacing w:after="0" w:line="150" w:lineRule="exact"/>
              <w:rPr>
                <w:sz w:val="20"/>
                <w:szCs w:val="20"/>
                <w:color w:val="auto"/>
              </w:rPr>
            </w:pPr>
            <w:r>
              <w:rPr>
                <w:rFonts w:ascii="Arial" w:cs="Arial" w:eastAsia="Arial" w:hAnsi="Arial"/>
                <w:sz w:val="13"/>
                <w:szCs w:val="13"/>
                <w:color w:val="auto"/>
                <w:w w:val="93"/>
              </w:rPr>
              <w:t xml:space="preserve">To ratify the selection of Ernst &amp; Young LLP as our independent registered public accounting   </w:t>
            </w:r>
            <w:r>
              <w:rPr>
                <w:rFonts w:ascii="MS PGothic" w:cs="MS PGothic" w:eastAsia="MS PGothic" w:hAnsi="MS PGothic"/>
                <w:sz w:val="13"/>
                <w:szCs w:val="13"/>
                <w:color w:val="auto"/>
                <w:w w:val="93"/>
              </w:rPr>
              <w:t>☐</w:t>
            </w:r>
          </w:p>
        </w:tc>
        <w:tc>
          <w:tcPr>
            <w:tcW w:w="5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0"/>
        </w:trPr>
        <w:tc>
          <w:tcPr>
            <w:tcW w:w="260" w:type="dxa"/>
            <w:vAlign w:val="bottom"/>
          </w:tcPr>
          <w:p>
            <w:pPr>
              <w:spacing w:after="0"/>
              <w:rPr>
                <w:sz w:val="13"/>
                <w:szCs w:val="13"/>
                <w:color w:val="auto"/>
              </w:rPr>
            </w:pPr>
          </w:p>
        </w:tc>
        <w:tc>
          <w:tcPr>
            <w:tcW w:w="5380" w:type="dxa"/>
            <w:vAlign w:val="bottom"/>
          </w:tcPr>
          <w:p>
            <w:pPr>
              <w:ind w:left="160"/>
              <w:spacing w:after="0"/>
              <w:rPr>
                <w:sz w:val="20"/>
                <w:szCs w:val="20"/>
                <w:color w:val="auto"/>
              </w:rPr>
            </w:pPr>
            <w:r>
              <w:rPr>
                <w:rFonts w:ascii="Arial" w:cs="Arial" w:eastAsia="Arial" w:hAnsi="Arial"/>
                <w:sz w:val="13"/>
                <w:szCs w:val="13"/>
                <w:color w:val="auto"/>
              </w:rPr>
              <w:t>firm for the fiscal year ending November 3, 2012.</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spacing w:after="0" w:line="696" w:lineRule="exact"/>
        <w:rPr>
          <w:sz w:val="20"/>
          <w:szCs w:val="20"/>
          <w:color w:val="auto"/>
        </w:rPr>
      </w:pPr>
    </w:p>
    <w:p>
      <w:pPr>
        <w:sectPr>
          <w:pgSz w:w="11900" w:h="16838" w:orient="portrait"/>
          <w:cols w:equalWidth="0" w:num="2">
            <w:col w:w="4480" w:space="140"/>
            <w:col w:w="6860"/>
          </w:cols>
          <w:pgMar w:left="220" w:top="439" w:right="199" w:bottom="1440" w:gutter="0" w:footer="0" w:header="0"/>
          <w:type w:val="continuous"/>
        </w:sectPr>
      </w:pPr>
    </w:p>
    <w:p>
      <w:pPr>
        <w:ind w:left="700"/>
        <w:spacing w:after="0" w:line="150" w:lineRule="exact"/>
        <w:tabs>
          <w:tab w:leader="none" w:pos="3140" w:val="left"/>
          <w:tab w:leader="none" w:pos="3640" w:val="left"/>
        </w:tabs>
        <w:rPr>
          <w:sz w:val="20"/>
          <w:szCs w:val="20"/>
          <w:color w:val="auto"/>
        </w:rPr>
      </w:pPr>
      <w:r>
        <w:rPr>
          <w:rFonts w:ascii="Arial" w:cs="Arial" w:eastAsia="Arial" w:hAnsi="Arial"/>
          <w:sz w:val="13"/>
          <w:szCs w:val="13"/>
          <w:color w:val="auto"/>
        </w:rPr>
        <w:t>Please indicate if you plan to attend this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meeting.</w:t>
      </w:r>
    </w:p>
    <w:p>
      <w:pPr>
        <w:spacing w:after="0" w:line="51" w:lineRule="exact"/>
        <w:rPr>
          <w:sz w:val="20"/>
          <w:szCs w:val="20"/>
          <w:color w:val="auto"/>
        </w:rPr>
      </w:pPr>
    </w:p>
    <w:p>
      <w:pPr>
        <w:ind w:left="3120"/>
        <w:spacing w:after="0"/>
        <w:tabs>
          <w:tab w:leader="none" w:pos="362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195" w:lineRule="exact"/>
        <w:rPr>
          <w:sz w:val="20"/>
          <w:szCs w:val="20"/>
          <w:color w:val="auto"/>
        </w:rPr>
      </w:pPr>
    </w:p>
    <w:p>
      <w:pPr>
        <w:ind w:left="700" w:right="1720"/>
        <w:spacing w:after="0" w:line="279" w:lineRule="auto"/>
        <w:rPr>
          <w:sz w:val="20"/>
          <w:szCs w:val="20"/>
          <w:color w:val="auto"/>
        </w:rPr>
      </w:pPr>
      <w:r>
        <w:rPr>
          <w:rFonts w:ascii="Arial" w:cs="Arial" w:eastAsia="Arial" w:hAnsi="Arial"/>
          <w:sz w:val="12"/>
          <w:szCs w:val="12"/>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11" w:lineRule="exact"/>
        <w:rPr>
          <w:sz w:val="20"/>
          <w:szCs w:val="20"/>
          <w:color w:val="auto"/>
        </w:rPr>
      </w:pPr>
    </w:p>
    <w:p>
      <w:pPr>
        <w:ind w:left="700"/>
        <w:spacing w:after="0"/>
        <w:tabs>
          <w:tab w:leader="none" w:pos="3460" w:val="left"/>
          <w:tab w:leader="none" w:pos="4600" w:val="left"/>
          <w:tab w:leader="none" w:pos="102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0"/>
          <w:szCs w:val="10"/>
          <w:color w:val="auto"/>
        </w:rPr>
        <w:t>Date</w:t>
      </w:r>
    </w:p>
    <w:p>
      <w:pPr>
        <w:sectPr>
          <w:pgSz w:w="11900" w:h="16838" w:orient="portrait"/>
          <w:cols w:equalWidth="0" w:num="1">
            <w:col w:w="11480"/>
          </w:cols>
          <w:pgMar w:left="220" w:top="439" w:right="199" w:bottom="1440" w:gutter="0" w:footer="0" w:header="0"/>
          <w:type w:val="continuous"/>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 — — — — — — — — — — — — — — — — — — — — — — — — — — — — — — — — — — — — — — — — —</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M40375-P18814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7272020" cy="34956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3495675"/>
                    </a:xfrm>
                    <a:prstGeom prst="rect">
                      <a:avLst/>
                    </a:prstGeom>
                    <a:noFill/>
                  </pic:spPr>
                </pic:pic>
              </a:graphicData>
            </a:graphic>
          </wp:anchor>
        </w:drawing>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ANALOG DEVICES, INC.</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Annual Meeting of Shareholders - March 13, 2012 9:00 AM</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11" w:lineRule="exact"/>
        <w:rPr>
          <w:sz w:val="20"/>
          <w:szCs w:val="20"/>
          <w:color w:val="auto"/>
        </w:rPr>
      </w:pPr>
    </w:p>
    <w:p>
      <w:pPr>
        <w:ind w:left="580" w:right="480"/>
        <w:spacing w:after="0" w:line="296" w:lineRule="auto"/>
        <w:rPr>
          <w:sz w:val="20"/>
          <w:szCs w:val="20"/>
          <w:color w:val="auto"/>
        </w:rPr>
      </w:pPr>
      <w:r>
        <w:rPr>
          <w:rFonts w:ascii="Arial" w:cs="Arial" w:eastAsia="Arial" w:hAnsi="Arial"/>
          <w:sz w:val="15"/>
          <w:szCs w:val="15"/>
          <w:color w:val="auto"/>
        </w:rPr>
        <w:t>The shareholder(s) hereby appoint(s) Ray Stata, Jerald G. Fishman and Margaret K. Seif, or either of them, as proxies, each with the power to appoint his or her substitute, and hereby authorizes them to represent and to vote, as designated on the reverse side of this ballot, all of the shares of common stock of ANALOG DEVICES, INC. that the shareholder(s) is/are entitled to vote at the Annual Meeting of shareholder(s) to be held at 9:00 AM Eastern on March 13, 2012, at Analog Devices, Inc., 3 Technology Way, Norwood, MA 02062, and any adjournment or postponement thereof.</w:t>
      </w:r>
    </w:p>
    <w:p>
      <w:pPr>
        <w:spacing w:after="0" w:line="144" w:lineRule="exact"/>
        <w:rPr>
          <w:sz w:val="20"/>
          <w:szCs w:val="20"/>
          <w:color w:val="auto"/>
        </w:rPr>
      </w:pPr>
    </w:p>
    <w:p>
      <w:pPr>
        <w:ind w:left="580" w:right="620"/>
        <w:spacing w:after="0" w:line="294" w:lineRule="auto"/>
        <w:rPr>
          <w:sz w:val="20"/>
          <w:szCs w:val="20"/>
          <w:color w:val="auto"/>
        </w:rPr>
      </w:pPr>
      <w:r>
        <w:rPr>
          <w:rFonts w:ascii="Arial" w:cs="Arial" w:eastAsia="Arial" w:hAnsi="Arial"/>
          <w:sz w:val="16"/>
          <w:szCs w:val="16"/>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Unless voting the shares over the Internet or by telephone, please fill in, date, sign and mail this proxy card promptly using the enclosed envelope.</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(If you noted any Address Changes/Comments above, please mark corresponding box on the reverse side.)</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Continued and to be signed on reverse side</w:t>
      </w:r>
    </w:p>
    <w:p>
      <w:pPr>
        <w:sectPr>
          <w:pgSz w:w="11900" w:h="16838" w:orient="portrait"/>
          <w:cols w:equalWidth="0" w:num="1">
            <w:col w:w="11420"/>
          </w:cols>
          <w:pgMar w:left="240" w:top="439" w:right="239" w:bottom="1440" w:gutter="0" w:footer="0" w:header="0"/>
        </w:sectPr>
      </w:pPr>
    </w:p>
    <w:bookmarkStart w:id="65" w:name="page66"/>
    <w:bookmarkEnd w:id="65"/>
    <w:p>
      <w:pPr>
        <w:ind w:left="20"/>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596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-86360</wp:posOffset>
            </wp:positionV>
            <wp:extent cx="1407795" cy="408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07795" cy="408305"/>
                    </a:xfrm>
                    <a:prstGeom prst="rect">
                      <a:avLst/>
                    </a:prstGeom>
                    <a:noFill/>
                  </pic:spPr>
                </pic:pic>
              </a:graphicData>
            </a:graphic>
          </wp:anchor>
        </w:drawing>
      </w:r>
    </w:p>
    <w:p>
      <w:pPr>
        <w:ind w:left="5960" w:right="40"/>
        <w:spacing w:after="0" w:line="326" w:lineRule="auto"/>
        <w:rPr>
          <w:sz w:val="20"/>
          <w:szCs w:val="20"/>
          <w:color w:val="auto"/>
        </w:rPr>
      </w:pPr>
      <w:r>
        <w:rPr>
          <w:rFonts w:ascii="Arial" w:cs="Arial" w:eastAsia="Arial" w:hAnsi="Arial"/>
          <w:sz w:val="10"/>
          <w:szCs w:val="10"/>
          <w:color w:val="auto"/>
        </w:rPr>
        <w:t>Use the Internet to transmit your voting instructions and for electronic delivery of information up until 11:59 P.M. Eastern Time on March 12, 2012. Have your proxy card in hand when you access the web site and follow the instructions to obtain your records and to create an electronic voting instruction form.</w:t>
      </w:r>
    </w:p>
    <w:p>
      <w:pPr>
        <w:spacing w:after="0" w:line="77"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880" w:type="dxa"/>
            <w:vAlign w:val="bottom"/>
          </w:tcPr>
          <w:p>
            <w:pPr>
              <w:spacing w:after="0"/>
              <w:rPr>
                <w:sz w:val="20"/>
                <w:szCs w:val="20"/>
                <w:color w:val="auto"/>
              </w:rPr>
            </w:pPr>
            <w:r>
              <w:rPr>
                <w:rFonts w:ascii="Arial" w:cs="Arial" w:eastAsia="Arial" w:hAnsi="Arial"/>
                <w:sz w:val="13"/>
                <w:szCs w:val="13"/>
                <w:b w:val="1"/>
                <w:bCs w:val="1"/>
                <w:color w:val="auto"/>
              </w:rPr>
              <w:t>ANALOG DEVICES, INC.</w:t>
            </w:r>
          </w:p>
        </w:tc>
        <w:tc>
          <w:tcPr>
            <w:tcW w:w="7040" w:type="dxa"/>
            <w:vAlign w:val="bottom"/>
          </w:tcPr>
          <w:p>
            <w:pPr>
              <w:ind w:left="1660"/>
              <w:spacing w:after="0"/>
              <w:rPr>
                <w:sz w:val="20"/>
                <w:szCs w:val="20"/>
                <w:color w:val="auto"/>
              </w:rPr>
            </w:pPr>
            <w:r>
              <w:rPr>
                <w:rFonts w:ascii="Arial" w:cs="Arial" w:eastAsia="Arial" w:hAnsi="Arial"/>
                <w:sz w:val="13"/>
                <w:szCs w:val="13"/>
                <w:b w:val="1"/>
                <w:bCs w:val="1"/>
                <w:color w:val="auto"/>
              </w:rPr>
              <w:t>ELECTRONIC DELIVERY OF FUTURE PROXY MATERIALS</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P.O. BOX 9106</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88"/>
              </w:rPr>
              <w:t>If you would like to reduce the costs incurred by our company in mailing proxy materials, you can consent</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ATTN: INVESTOR RELATIONS DEPT.</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91"/>
              </w:rPr>
              <w:t>to receiving all future proxy statements, proxy cards and annual reports electronically via e-mail or the</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ONE TECHNOLOGY WAY</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89"/>
              </w:rPr>
              <w:t>Internet. To sign up for electronic delivery, please follow the instructions above to vote using the Internet</w:t>
            </w:r>
          </w:p>
        </w:tc>
      </w:tr>
      <w:tr>
        <w:trPr>
          <w:trHeight w:val="139"/>
        </w:trPr>
        <w:tc>
          <w:tcPr>
            <w:tcW w:w="3880" w:type="dxa"/>
            <w:vAlign w:val="bottom"/>
          </w:tcPr>
          <w:p>
            <w:pPr>
              <w:spacing w:after="0" w:line="139" w:lineRule="exact"/>
              <w:rPr>
                <w:sz w:val="20"/>
                <w:szCs w:val="20"/>
                <w:color w:val="auto"/>
              </w:rPr>
            </w:pPr>
            <w:r>
              <w:rPr>
                <w:rFonts w:ascii="Arial" w:cs="Arial" w:eastAsia="Arial" w:hAnsi="Arial"/>
                <w:sz w:val="13"/>
                <w:szCs w:val="13"/>
                <w:b w:val="1"/>
                <w:bCs w:val="1"/>
                <w:color w:val="auto"/>
              </w:rPr>
              <w:t>NORWOOD, MA 02062-9106</w:t>
            </w:r>
          </w:p>
        </w:tc>
        <w:tc>
          <w:tcPr>
            <w:tcW w:w="7040" w:type="dxa"/>
            <w:vAlign w:val="bottom"/>
          </w:tcPr>
          <w:p>
            <w:pPr>
              <w:ind w:left="1660"/>
              <w:spacing w:after="0" w:line="139" w:lineRule="exact"/>
              <w:rPr>
                <w:sz w:val="20"/>
                <w:szCs w:val="20"/>
                <w:color w:val="auto"/>
              </w:rPr>
            </w:pPr>
            <w:r>
              <w:rPr>
                <w:rFonts w:ascii="Arial" w:cs="Arial" w:eastAsia="Arial" w:hAnsi="Arial"/>
                <w:sz w:val="13"/>
                <w:szCs w:val="13"/>
                <w:color w:val="auto"/>
                <w:w w:val="89"/>
              </w:rPr>
              <w:t>and, when prompted, indicate that you agree to receive or access proxy materials electronically in future</w:t>
            </w:r>
          </w:p>
        </w:tc>
      </w:tr>
      <w:tr>
        <w:trPr>
          <w:trHeight w:val="160"/>
        </w:trPr>
        <w:tc>
          <w:tcPr>
            <w:tcW w:w="3880" w:type="dxa"/>
            <w:vAlign w:val="bottom"/>
          </w:tcPr>
          <w:p>
            <w:pPr>
              <w:spacing w:after="0"/>
              <w:rPr>
                <w:sz w:val="13"/>
                <w:szCs w:val="13"/>
                <w:color w:val="auto"/>
              </w:rPr>
            </w:pPr>
          </w:p>
        </w:tc>
        <w:tc>
          <w:tcPr>
            <w:tcW w:w="7040" w:type="dxa"/>
            <w:vAlign w:val="bottom"/>
          </w:tcPr>
          <w:p>
            <w:pPr>
              <w:ind w:left="1660"/>
              <w:spacing w:after="0"/>
              <w:rPr>
                <w:sz w:val="20"/>
                <w:szCs w:val="20"/>
                <w:color w:val="auto"/>
              </w:rPr>
            </w:pPr>
            <w:r>
              <w:rPr>
                <w:rFonts w:ascii="Arial" w:cs="Arial" w:eastAsia="Arial" w:hAnsi="Arial"/>
                <w:sz w:val="13"/>
                <w:szCs w:val="13"/>
                <w:color w:val="auto"/>
              </w:rPr>
              <w:t>years.</w:t>
            </w: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80" w:type="dxa"/>
            <w:vAlign w:val="bottom"/>
            <w:gridSpan w:val="3"/>
          </w:tcPr>
          <w:p>
            <w:pPr>
              <w:ind w:left="700"/>
              <w:spacing w:after="0"/>
              <w:rPr>
                <w:sz w:val="20"/>
                <w:szCs w:val="20"/>
                <w:color w:val="auto"/>
              </w:rPr>
            </w:pPr>
            <w:r>
              <w:rPr>
                <w:rFonts w:ascii="Arial" w:cs="Arial" w:eastAsia="Arial" w:hAnsi="Arial"/>
                <w:sz w:val="13"/>
                <w:szCs w:val="13"/>
                <w:b w:val="1"/>
                <w:bCs w:val="1"/>
                <w:color w:val="auto"/>
              </w:rPr>
              <w:t>VOTE BY PHONE - 1-800-690-6903</w:t>
            </w: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20" w:type="dxa"/>
            <w:vAlign w:val="bottom"/>
            <w:gridSpan w:val="6"/>
          </w:tcPr>
          <w:p>
            <w:pPr>
              <w:ind w:left="700"/>
              <w:spacing w:after="0" w:line="139" w:lineRule="exact"/>
              <w:rPr>
                <w:sz w:val="20"/>
                <w:szCs w:val="20"/>
                <w:color w:val="auto"/>
              </w:rPr>
            </w:pPr>
            <w:r>
              <w:rPr>
                <w:rFonts w:ascii="Arial" w:cs="Arial" w:eastAsia="Arial" w:hAnsi="Arial"/>
                <w:sz w:val="13"/>
                <w:szCs w:val="13"/>
                <w:color w:val="auto"/>
                <w:w w:val="93"/>
              </w:rPr>
              <w:t>Use any touch-tone telephone to transmit your voting instructions up until 11:59 P.M. Eastern Time on</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20" w:type="dxa"/>
            <w:vAlign w:val="bottom"/>
            <w:gridSpan w:val="6"/>
          </w:tcPr>
          <w:p>
            <w:pPr>
              <w:ind w:left="700"/>
              <w:spacing w:after="0"/>
              <w:rPr>
                <w:sz w:val="20"/>
                <w:szCs w:val="20"/>
                <w:color w:val="auto"/>
              </w:rPr>
            </w:pPr>
            <w:r>
              <w:rPr>
                <w:rFonts w:ascii="Arial" w:cs="Arial" w:eastAsia="Arial" w:hAnsi="Arial"/>
                <w:sz w:val="13"/>
                <w:szCs w:val="13"/>
                <w:color w:val="auto"/>
              </w:rPr>
              <w:t>March 12, 2012. Have your proxy card in hand when you call and then follow the instructions.</w:t>
            </w:r>
          </w:p>
        </w:tc>
        <w:tc>
          <w:tcPr>
            <w:tcW w:w="0" w:type="dxa"/>
            <w:vAlign w:val="bottom"/>
          </w:tcPr>
          <w:p>
            <w:pPr>
              <w:spacing w:after="0"/>
              <w:rPr>
                <w:sz w:val="1"/>
                <w:szCs w:val="1"/>
                <w:color w:val="auto"/>
              </w:rPr>
            </w:pPr>
          </w:p>
        </w:tc>
      </w:tr>
      <w:tr>
        <w:trPr>
          <w:trHeight w:val="268"/>
        </w:trPr>
        <w:tc>
          <w:tcPr>
            <w:tcW w:w="8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380" w:type="dxa"/>
            <w:vAlign w:val="bottom"/>
            <w:gridSpan w:val="3"/>
          </w:tcPr>
          <w:p>
            <w:pPr>
              <w:ind w:left="700"/>
              <w:spacing w:after="0"/>
              <w:rPr>
                <w:sz w:val="20"/>
                <w:szCs w:val="20"/>
                <w:color w:val="auto"/>
              </w:rPr>
            </w:pPr>
            <w:r>
              <w:rPr>
                <w:rFonts w:ascii="Arial" w:cs="Arial" w:eastAsia="Arial" w:hAnsi="Arial"/>
                <w:sz w:val="13"/>
                <w:szCs w:val="13"/>
                <w:b w:val="1"/>
                <w:bCs w:val="1"/>
                <w:color w:val="auto"/>
              </w:rPr>
              <w:t>VOTE BY MAIL</w:t>
            </w:r>
          </w:p>
        </w:tc>
        <w:tc>
          <w:tcPr>
            <w:tcW w:w="2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20" w:type="dxa"/>
            <w:vAlign w:val="bottom"/>
            <w:gridSpan w:val="6"/>
          </w:tcPr>
          <w:p>
            <w:pPr>
              <w:ind w:left="700"/>
              <w:spacing w:after="0" w:line="139" w:lineRule="exact"/>
              <w:rPr>
                <w:sz w:val="20"/>
                <w:szCs w:val="20"/>
                <w:color w:val="auto"/>
              </w:rPr>
            </w:pPr>
            <w:r>
              <w:rPr>
                <w:rFonts w:ascii="Arial" w:cs="Arial" w:eastAsia="Arial" w:hAnsi="Arial"/>
                <w:sz w:val="13"/>
                <w:szCs w:val="13"/>
                <w:color w:val="auto"/>
                <w:w w:val="88"/>
              </w:rPr>
              <w:t>Mark, sign and date your proxy card and return it in the postage-paid envelope we have provided or return it</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20" w:type="dxa"/>
            <w:vAlign w:val="bottom"/>
            <w:gridSpan w:val="6"/>
          </w:tcPr>
          <w:p>
            <w:pPr>
              <w:ind w:left="700"/>
              <w:spacing w:after="0"/>
              <w:rPr>
                <w:sz w:val="20"/>
                <w:szCs w:val="20"/>
                <w:color w:val="auto"/>
              </w:rPr>
            </w:pPr>
            <w:r>
              <w:rPr>
                <w:rFonts w:ascii="Arial" w:cs="Arial" w:eastAsia="Arial" w:hAnsi="Arial"/>
                <w:sz w:val="13"/>
                <w:szCs w:val="13"/>
                <w:color w:val="auto"/>
              </w:rPr>
              <w:t>to Vote Processing, c/o Broadridge, 51 Mercedes Way, Edgewood, NY 11717.</w:t>
            </w:r>
          </w:p>
        </w:tc>
        <w:tc>
          <w:tcPr>
            <w:tcW w:w="0" w:type="dxa"/>
            <w:vAlign w:val="bottom"/>
          </w:tcPr>
          <w:p>
            <w:pPr>
              <w:spacing w:after="0"/>
              <w:rPr>
                <w:sz w:val="1"/>
                <w:szCs w:val="1"/>
                <w:color w:val="auto"/>
              </w:rPr>
            </w:pPr>
          </w:p>
        </w:tc>
      </w:tr>
      <w:tr>
        <w:trPr>
          <w:trHeight w:val="659"/>
        </w:trPr>
        <w:tc>
          <w:tcPr>
            <w:tcW w:w="8640" w:type="dxa"/>
            <w:vAlign w:val="bottom"/>
            <w:gridSpan w:val="9"/>
          </w:tcPr>
          <w:p>
            <w:pPr>
              <w:ind w:left="20"/>
              <w:spacing w:after="0"/>
              <w:rPr>
                <w:sz w:val="20"/>
                <w:szCs w:val="20"/>
                <w:color w:val="auto"/>
              </w:rPr>
            </w:pPr>
            <w:r>
              <w:rPr>
                <w:rFonts w:ascii="Arial" w:cs="Arial" w:eastAsia="Arial" w:hAnsi="Arial"/>
                <w:sz w:val="13"/>
                <w:szCs w:val="13"/>
                <w:color w:val="auto"/>
              </w:rPr>
              <w:t>TO VOTE, MARK BLOCKS BELOW IN BLUE OR BLACK INK AS FOLLOWS:</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ind w:left="1140"/>
              <w:spacing w:after="0"/>
              <w:rPr>
                <w:sz w:val="20"/>
                <w:szCs w:val="20"/>
                <w:color w:val="auto"/>
              </w:rPr>
            </w:pPr>
            <w:r>
              <w:rPr>
                <w:rFonts w:ascii="Arial" w:cs="Arial" w:eastAsia="Arial" w:hAnsi="Arial"/>
                <w:sz w:val="13"/>
                <w:szCs w:val="13"/>
                <w:color w:val="auto"/>
              </w:rPr>
              <w:t>M40376-Z56885</w:t>
            </w:r>
          </w:p>
        </w:tc>
        <w:tc>
          <w:tcPr>
            <w:tcW w:w="2840" w:type="dxa"/>
            <w:vAlign w:val="bottom"/>
            <w:gridSpan w:val="3"/>
          </w:tcPr>
          <w:p>
            <w:pPr>
              <w:jc w:val="right"/>
              <w:ind w:right="4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4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840" w:type="dxa"/>
            <w:vAlign w:val="bottom"/>
            <w:gridSpan w:val="3"/>
          </w:tcPr>
          <w:p>
            <w:pPr>
              <w:jc w:val="right"/>
              <w:ind w:right="4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69"/>
        </w:trPr>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gridSpan w:val="5"/>
            <w:vMerge w:val="continue"/>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40" w:type="dxa"/>
            <w:vAlign w:val="bottom"/>
            <w:gridSpan w:val="9"/>
          </w:tcPr>
          <w:p>
            <w:pPr>
              <w:ind w:left="280"/>
              <w:spacing w:after="0"/>
              <w:rPr>
                <w:sz w:val="20"/>
                <w:szCs w:val="20"/>
                <w:color w:val="auto"/>
              </w:rPr>
            </w:pPr>
            <w:r>
              <w:rPr>
                <w:rFonts w:ascii="Arial" w:cs="Arial" w:eastAsia="Arial" w:hAnsi="Arial"/>
                <w:sz w:val="13"/>
                <w:szCs w:val="13"/>
                <w:b w:val="1"/>
                <w:bCs w:val="1"/>
                <w:color w:val="auto"/>
              </w:rPr>
              <w:t>ANALOG DEVICES, INC.</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640" w:type="dxa"/>
            <w:vAlign w:val="bottom"/>
            <w:gridSpan w:val="9"/>
            <w:vMerge w:val="restart"/>
          </w:tcPr>
          <w:p>
            <w:pPr>
              <w:ind w:left="480"/>
              <w:spacing w:after="0"/>
              <w:rPr>
                <w:sz w:val="20"/>
                <w:szCs w:val="20"/>
                <w:color w:val="auto"/>
              </w:rPr>
            </w:pPr>
            <w:r>
              <w:rPr>
                <w:rFonts w:ascii="Arial" w:cs="Arial" w:eastAsia="Arial" w:hAnsi="Arial"/>
                <w:sz w:val="13"/>
                <w:szCs w:val="13"/>
                <w:color w:val="auto"/>
              </w:rPr>
              <w:t>The shares represented by this proxy when properly executed will be voted in the manner directed by the undersigned shareholder.</w:t>
            </w:r>
          </w:p>
        </w:tc>
        <w:tc>
          <w:tcPr>
            <w:tcW w:w="20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8640" w:type="dxa"/>
            <w:vAlign w:val="bottom"/>
            <w:gridSpan w:val="9"/>
            <w:vMerge w:val="continue"/>
          </w:tcPr>
          <w:p>
            <w:pPr>
              <w:spacing w:after="0"/>
              <w:rPr>
                <w:sz w:val="8"/>
                <w:szCs w:val="8"/>
                <w:color w:val="auto"/>
              </w:rPr>
            </w:pPr>
          </w:p>
        </w:tc>
        <w:tc>
          <w:tcPr>
            <w:tcW w:w="206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640" w:type="dxa"/>
            <w:vAlign w:val="bottom"/>
            <w:gridSpan w:val="9"/>
          </w:tcPr>
          <w:p>
            <w:pPr>
              <w:ind w:left="480"/>
              <w:spacing w:after="0" w:line="139" w:lineRule="exact"/>
              <w:rPr>
                <w:sz w:val="20"/>
                <w:szCs w:val="20"/>
                <w:color w:val="auto"/>
              </w:rPr>
            </w:pPr>
            <w:r>
              <w:rPr>
                <w:rFonts w:ascii="Arial" w:cs="Arial" w:eastAsia="Arial" w:hAnsi="Arial"/>
                <w:sz w:val="13"/>
                <w:szCs w:val="13"/>
                <w:b w:val="1"/>
                <w:bCs w:val="1"/>
                <w:color w:val="auto"/>
              </w:rPr>
              <w:t>If no direction is made, this proxy will be voted FOR the election of each of the nominees for Director and FOR Proposals 2 and 3.</w:t>
            </w:r>
          </w:p>
        </w:tc>
        <w:tc>
          <w:tcPr>
            <w:tcW w:w="20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gridSpan w:val="2"/>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640" w:type="dxa"/>
            <w:vAlign w:val="bottom"/>
            <w:gridSpan w:val="9"/>
          </w:tcPr>
          <w:p>
            <w:pPr>
              <w:ind w:left="480"/>
              <w:spacing w:after="0"/>
              <w:rPr>
                <w:sz w:val="20"/>
                <w:szCs w:val="20"/>
                <w:color w:val="auto"/>
              </w:rPr>
            </w:pPr>
            <w:r>
              <w:rPr>
                <w:rFonts w:ascii="Arial" w:cs="Arial" w:eastAsia="Arial" w:hAnsi="Arial"/>
                <w:sz w:val="13"/>
                <w:szCs w:val="13"/>
                <w:b w:val="1"/>
                <w:bCs w:val="1"/>
                <w:color w:val="auto"/>
              </w:rPr>
              <w:t>The Board of Directors recommends a vote FOR each of the Director nominees and FOR Proposals 2 and 3.</w:t>
            </w:r>
          </w:p>
        </w:tc>
        <w:tc>
          <w:tcPr>
            <w:tcW w:w="206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80" w:type="dxa"/>
            <w:vAlign w:val="bottom"/>
            <w:tcBorders>
              <w:right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3"/>
        </w:trPr>
        <w:tc>
          <w:tcPr>
            <w:tcW w:w="800" w:type="dxa"/>
            <w:vAlign w:val="bottom"/>
          </w:tcPr>
          <w:p>
            <w:pPr>
              <w:ind w:left="480"/>
              <w:spacing w:after="0"/>
              <w:rPr>
                <w:sz w:val="20"/>
                <w:szCs w:val="20"/>
                <w:color w:val="auto"/>
              </w:rPr>
            </w:pPr>
            <w:r>
              <w:rPr>
                <w:rFonts w:ascii="Arial" w:cs="Arial" w:eastAsia="Arial" w:hAnsi="Arial"/>
                <w:sz w:val="13"/>
                <w:szCs w:val="13"/>
                <w:color w:val="auto"/>
              </w:rPr>
              <w:t>1)</w:t>
            </w:r>
          </w:p>
        </w:tc>
        <w:tc>
          <w:tcPr>
            <w:tcW w:w="7840" w:type="dxa"/>
            <w:vAlign w:val="bottom"/>
            <w:gridSpan w:val="8"/>
          </w:tcPr>
          <w:p>
            <w:pPr>
              <w:ind w:left="220"/>
              <w:spacing w:after="0"/>
              <w:rPr>
                <w:sz w:val="20"/>
                <w:szCs w:val="20"/>
                <w:color w:val="auto"/>
              </w:rPr>
            </w:pPr>
            <w:r>
              <w:rPr>
                <w:rFonts w:ascii="Arial" w:cs="Arial" w:eastAsia="Arial" w:hAnsi="Arial"/>
                <w:sz w:val="13"/>
                <w:szCs w:val="13"/>
                <w:color w:val="auto"/>
              </w:rPr>
              <w:t>To elect the following nine nominees to our Board of Directors, each for a term of one year.</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79640" cy="45116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9640" cy="4511675"/>
                    </a:xfrm>
                    <a:prstGeom prst="rect">
                      <a:avLst/>
                    </a:prstGeom>
                    <a:noFill/>
                  </pic:spPr>
                </pic:pic>
              </a:graphicData>
            </a:graphic>
          </wp:anchor>
        </w:drawing>
      </w:r>
    </w:p>
    <w:p>
      <w:pPr>
        <w:sectPr>
          <w:pgSz w:w="11900" w:h="16838" w:orient="portrait"/>
          <w:cols w:equalWidth="0" w:num="1">
            <w:col w:w="11480"/>
          </w:cols>
          <w:pgMar w:left="220" w:top="439" w:right="199" w:bottom="1440" w:gutter="0" w:footer="0" w:header="0"/>
        </w:sectPr>
      </w:pPr>
    </w:p>
    <w:p>
      <w:pPr>
        <w:spacing w:after="0" w:line="126" w:lineRule="exact"/>
        <w:rPr>
          <w:sz w:val="20"/>
          <w:szCs w:val="20"/>
          <w:color w:val="auto"/>
        </w:rPr>
      </w:pPr>
    </w:p>
    <w:tbl>
      <w:tblPr>
        <w:tblLayout w:type="fixed"/>
        <w:tblInd w:w="1020" w:type="dxa"/>
        <w:tblCellMar>
          <w:top w:w="0" w:type="dxa"/>
          <w:left w:w="0" w:type="dxa"/>
          <w:bottom w:w="0" w:type="dxa"/>
          <w:right w:w="0" w:type="dxa"/>
        </w:tblCellMar>
      </w:tblPr>
      <w:tr>
        <w:trPr>
          <w:trHeight w:val="164"/>
        </w:trPr>
        <w:tc>
          <w:tcPr>
            <w:tcW w:w="1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Nominees</w:t>
            </w:r>
          </w:p>
        </w:tc>
        <w:tc>
          <w:tcPr>
            <w:tcW w:w="740" w:type="dxa"/>
            <w:vAlign w:val="bottom"/>
          </w:tcPr>
          <w:p>
            <w:pPr>
              <w:jc w:val="center"/>
              <w:ind w:left="297"/>
              <w:spacing w:after="0"/>
              <w:rPr>
                <w:sz w:val="20"/>
                <w:szCs w:val="20"/>
                <w:color w:val="auto"/>
              </w:rPr>
            </w:pPr>
            <w:r>
              <w:rPr>
                <w:rFonts w:ascii="Arial" w:cs="Arial" w:eastAsia="Arial" w:hAnsi="Arial"/>
                <w:sz w:val="13"/>
                <w:szCs w:val="13"/>
                <w:b w:val="1"/>
                <w:bCs w:val="1"/>
                <w:color w:val="auto"/>
                <w:w w:val="85"/>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39"/>
        </w:trPr>
        <w:tc>
          <w:tcPr>
            <w:tcW w:w="16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3"/>
                <w:szCs w:val="13"/>
                <w:color w:val="auto"/>
                <w:w w:val="99"/>
              </w:rPr>
              <w:t>1a.</w:t>
            </w:r>
          </w:p>
        </w:tc>
        <w:tc>
          <w:tcPr>
            <w:tcW w:w="1440" w:type="dxa"/>
            <w:vAlign w:val="bottom"/>
          </w:tcPr>
          <w:p>
            <w:pPr>
              <w:ind w:left="40"/>
              <w:spacing w:after="0"/>
              <w:rPr>
                <w:sz w:val="20"/>
                <w:szCs w:val="20"/>
                <w:color w:val="auto"/>
              </w:rPr>
            </w:pPr>
            <w:r>
              <w:rPr>
                <w:rFonts w:ascii="Arial" w:cs="Arial" w:eastAsia="Arial" w:hAnsi="Arial"/>
                <w:sz w:val="13"/>
                <w:szCs w:val="13"/>
                <w:color w:val="auto"/>
              </w:rPr>
              <w:t>Ray Stata</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200" w:type="dxa"/>
            <w:vAlign w:val="bottom"/>
          </w:tcPr>
          <w:p>
            <w:pPr>
              <w:spacing w:after="0"/>
              <w:rPr>
                <w:sz w:val="20"/>
                <w:szCs w:val="20"/>
                <w:color w:val="auto"/>
              </w:rPr>
            </w:pPr>
            <w:r>
              <w:rPr>
                <w:rFonts w:ascii="Arial" w:cs="Arial" w:eastAsia="Arial" w:hAnsi="Arial"/>
                <w:sz w:val="13"/>
                <w:szCs w:val="13"/>
                <w:color w:val="auto"/>
                <w:w w:val="99"/>
              </w:rPr>
              <w:t>1b.</w:t>
            </w:r>
          </w:p>
        </w:tc>
        <w:tc>
          <w:tcPr>
            <w:tcW w:w="1440" w:type="dxa"/>
            <w:vAlign w:val="bottom"/>
          </w:tcPr>
          <w:p>
            <w:pPr>
              <w:ind w:left="80"/>
              <w:spacing w:after="0"/>
              <w:rPr>
                <w:sz w:val="20"/>
                <w:szCs w:val="20"/>
                <w:color w:val="auto"/>
              </w:rPr>
            </w:pPr>
            <w:r>
              <w:rPr>
                <w:rFonts w:ascii="Arial" w:cs="Arial" w:eastAsia="Arial" w:hAnsi="Arial"/>
                <w:sz w:val="13"/>
                <w:szCs w:val="13"/>
                <w:color w:val="auto"/>
              </w:rPr>
              <w:t>Jerald G. Fishman</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0"/>
                <w:szCs w:val="20"/>
                <w:color w:val="auto"/>
              </w:rPr>
            </w:pPr>
            <w:r>
              <w:rPr>
                <w:rFonts w:ascii="Arial" w:cs="Arial" w:eastAsia="Arial" w:hAnsi="Arial"/>
                <w:sz w:val="13"/>
                <w:szCs w:val="13"/>
                <w:color w:val="auto"/>
              </w:rPr>
              <w:t>1c.</w:t>
            </w:r>
          </w:p>
        </w:tc>
        <w:tc>
          <w:tcPr>
            <w:tcW w:w="1440" w:type="dxa"/>
            <w:vAlign w:val="bottom"/>
          </w:tcPr>
          <w:p>
            <w:pPr>
              <w:ind w:left="80"/>
              <w:spacing w:after="0"/>
              <w:rPr>
                <w:sz w:val="20"/>
                <w:szCs w:val="20"/>
                <w:color w:val="auto"/>
              </w:rPr>
            </w:pPr>
            <w:r>
              <w:rPr>
                <w:rFonts w:ascii="Arial" w:cs="Arial" w:eastAsia="Arial" w:hAnsi="Arial"/>
                <w:sz w:val="13"/>
                <w:szCs w:val="13"/>
                <w:color w:val="auto"/>
              </w:rPr>
              <w:t>James A. Champy</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200" w:type="dxa"/>
            <w:vAlign w:val="bottom"/>
          </w:tcPr>
          <w:p>
            <w:pPr>
              <w:spacing w:after="0"/>
              <w:rPr>
                <w:sz w:val="20"/>
                <w:szCs w:val="20"/>
                <w:color w:val="auto"/>
              </w:rPr>
            </w:pPr>
            <w:r>
              <w:rPr>
                <w:rFonts w:ascii="Arial" w:cs="Arial" w:eastAsia="Arial" w:hAnsi="Arial"/>
                <w:sz w:val="13"/>
                <w:szCs w:val="13"/>
                <w:color w:val="auto"/>
                <w:w w:val="99"/>
              </w:rPr>
              <w:t>1d.</w:t>
            </w:r>
          </w:p>
        </w:tc>
        <w:tc>
          <w:tcPr>
            <w:tcW w:w="1440" w:type="dxa"/>
            <w:vAlign w:val="bottom"/>
          </w:tcPr>
          <w:p>
            <w:pPr>
              <w:ind w:left="80"/>
              <w:spacing w:after="0"/>
              <w:rPr>
                <w:sz w:val="20"/>
                <w:szCs w:val="20"/>
                <w:color w:val="auto"/>
              </w:rPr>
            </w:pPr>
            <w:r>
              <w:rPr>
                <w:rFonts w:ascii="Arial" w:cs="Arial" w:eastAsia="Arial" w:hAnsi="Arial"/>
                <w:sz w:val="13"/>
                <w:szCs w:val="13"/>
                <w:color w:val="auto"/>
              </w:rPr>
              <w:t>John C. Hodgson</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200" w:type="dxa"/>
            <w:vAlign w:val="bottom"/>
          </w:tcPr>
          <w:p>
            <w:pPr>
              <w:spacing w:after="0"/>
              <w:rPr>
                <w:sz w:val="20"/>
                <w:szCs w:val="20"/>
                <w:color w:val="auto"/>
              </w:rPr>
            </w:pPr>
            <w:r>
              <w:rPr>
                <w:rFonts w:ascii="Arial" w:cs="Arial" w:eastAsia="Arial" w:hAnsi="Arial"/>
                <w:sz w:val="13"/>
                <w:szCs w:val="13"/>
                <w:color w:val="auto"/>
                <w:w w:val="99"/>
              </w:rPr>
              <w:t>1e.</w:t>
            </w:r>
          </w:p>
        </w:tc>
        <w:tc>
          <w:tcPr>
            <w:tcW w:w="1440" w:type="dxa"/>
            <w:vAlign w:val="bottom"/>
          </w:tcPr>
          <w:p>
            <w:pPr>
              <w:ind w:left="60"/>
              <w:spacing w:after="0"/>
              <w:rPr>
                <w:sz w:val="20"/>
                <w:szCs w:val="20"/>
                <w:color w:val="auto"/>
              </w:rPr>
            </w:pPr>
            <w:r>
              <w:rPr>
                <w:rFonts w:ascii="Arial" w:cs="Arial" w:eastAsia="Arial" w:hAnsi="Arial"/>
                <w:sz w:val="13"/>
                <w:szCs w:val="13"/>
                <w:color w:val="auto"/>
              </w:rPr>
              <w:t>Yves-Andre Istel</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200" w:type="dxa"/>
            <w:vAlign w:val="bottom"/>
          </w:tcPr>
          <w:p>
            <w:pPr>
              <w:spacing w:after="0"/>
              <w:rPr>
                <w:sz w:val="20"/>
                <w:szCs w:val="20"/>
                <w:color w:val="auto"/>
              </w:rPr>
            </w:pPr>
            <w:r>
              <w:rPr>
                <w:rFonts w:ascii="Arial" w:cs="Arial" w:eastAsia="Arial" w:hAnsi="Arial"/>
                <w:sz w:val="13"/>
                <w:szCs w:val="13"/>
                <w:color w:val="auto"/>
              </w:rPr>
              <w:t>1f.</w:t>
            </w:r>
          </w:p>
        </w:tc>
        <w:tc>
          <w:tcPr>
            <w:tcW w:w="1440" w:type="dxa"/>
            <w:vAlign w:val="bottom"/>
          </w:tcPr>
          <w:p>
            <w:pPr>
              <w:ind w:left="60"/>
              <w:spacing w:after="0"/>
              <w:rPr>
                <w:sz w:val="20"/>
                <w:szCs w:val="20"/>
                <w:color w:val="auto"/>
              </w:rPr>
            </w:pPr>
            <w:r>
              <w:rPr>
                <w:rFonts w:ascii="Arial" w:cs="Arial" w:eastAsia="Arial" w:hAnsi="Arial"/>
                <w:sz w:val="13"/>
                <w:szCs w:val="13"/>
                <w:color w:val="auto"/>
              </w:rPr>
              <w:t>Neil Novich</w:t>
            </w:r>
          </w:p>
        </w:tc>
        <w:tc>
          <w:tcPr>
            <w:tcW w:w="740" w:type="dxa"/>
            <w:vAlign w:val="bottom"/>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51"/>
        </w:trPr>
        <w:tc>
          <w:tcPr>
            <w:tcW w:w="200" w:type="dxa"/>
            <w:vAlign w:val="bottom"/>
          </w:tcPr>
          <w:p>
            <w:pPr>
              <w:spacing w:after="0"/>
              <w:rPr>
                <w:sz w:val="20"/>
                <w:szCs w:val="20"/>
                <w:color w:val="auto"/>
              </w:rPr>
            </w:pPr>
            <w:r>
              <w:rPr>
                <w:rFonts w:ascii="Arial" w:cs="Arial" w:eastAsia="Arial" w:hAnsi="Arial"/>
                <w:sz w:val="13"/>
                <w:szCs w:val="13"/>
                <w:color w:val="auto"/>
                <w:w w:val="99"/>
              </w:rPr>
              <w:t>1g.</w:t>
            </w:r>
          </w:p>
        </w:tc>
        <w:tc>
          <w:tcPr>
            <w:tcW w:w="1440" w:type="dxa"/>
            <w:vAlign w:val="bottom"/>
          </w:tcPr>
          <w:p>
            <w:pPr>
              <w:ind w:left="80"/>
              <w:spacing w:after="0"/>
              <w:rPr>
                <w:sz w:val="20"/>
                <w:szCs w:val="20"/>
                <w:color w:val="auto"/>
              </w:rPr>
            </w:pPr>
            <w:r>
              <w:rPr>
                <w:rFonts w:ascii="Arial" w:cs="Arial" w:eastAsia="Arial" w:hAnsi="Arial"/>
                <w:sz w:val="13"/>
                <w:szCs w:val="13"/>
                <w:color w:val="auto"/>
              </w:rPr>
              <w:t>F. Grant Saviers</w:t>
            </w:r>
          </w:p>
        </w:tc>
        <w:tc>
          <w:tcPr>
            <w:tcW w:w="740" w:type="dxa"/>
            <w:vAlign w:val="bottom"/>
            <w:vMerge w:val="restart"/>
          </w:tcPr>
          <w:p>
            <w:pPr>
              <w:jc w:val="center"/>
              <w:ind w:left="297"/>
              <w:spacing w:after="0" w:line="131" w:lineRule="exact"/>
              <w:rPr>
                <w:sz w:val="20"/>
                <w:szCs w:val="20"/>
                <w:color w:val="auto"/>
              </w:rPr>
            </w:pPr>
            <w:r>
              <w:rPr>
                <w:rFonts w:ascii="MS PGothic" w:cs="MS PGothic" w:eastAsia="MS PGothic" w:hAnsi="MS PGothic"/>
                <w:sz w:val="13"/>
                <w:szCs w:val="13"/>
                <w:color w:val="auto"/>
                <w:w w:val="76"/>
              </w:rPr>
              <w:t>☐</w:t>
            </w:r>
          </w:p>
        </w:tc>
        <w:tc>
          <w:tcPr>
            <w:tcW w:w="6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vMerge w:val="restart"/>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80" w:type="dxa"/>
            <w:vAlign w:val="bottom"/>
          </w:tcPr>
          <w:p>
            <w:pPr>
              <w:jc w:val="center"/>
              <w:ind w:left="57"/>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Against</w:t>
            </w:r>
          </w:p>
        </w:tc>
        <w:tc>
          <w:tcPr>
            <w:tcW w:w="50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442"/>
        </w:trPr>
        <w:tc>
          <w:tcPr>
            <w:tcW w:w="26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Arial" w:cs="Arial" w:eastAsia="Arial" w:hAnsi="Arial"/>
                <w:sz w:val="13"/>
                <w:szCs w:val="13"/>
                <w:color w:val="auto"/>
              </w:rPr>
              <w:t>1h.</w:t>
            </w:r>
          </w:p>
        </w:tc>
        <w:tc>
          <w:tcPr>
            <w:tcW w:w="4460" w:type="dxa"/>
            <w:vAlign w:val="bottom"/>
            <w:gridSpan w:val="3"/>
          </w:tcPr>
          <w:p>
            <w:pPr>
              <w:ind w:left="80"/>
              <w:spacing w:after="0"/>
              <w:rPr>
                <w:sz w:val="20"/>
                <w:szCs w:val="20"/>
                <w:color w:val="auto"/>
              </w:rPr>
            </w:pPr>
            <w:r>
              <w:rPr>
                <w:rFonts w:ascii="Arial" w:cs="Arial" w:eastAsia="Arial" w:hAnsi="Arial"/>
                <w:sz w:val="13"/>
                <w:szCs w:val="13"/>
                <w:color w:val="auto"/>
              </w:rPr>
              <w:t>Paul J. Severino</w:t>
            </w:r>
          </w:p>
        </w:tc>
        <w:tc>
          <w:tcPr>
            <w:tcW w:w="48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28"/>
        </w:trPr>
        <w:tc>
          <w:tcPr>
            <w:tcW w:w="26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Arial" w:cs="Arial" w:eastAsia="Arial" w:hAnsi="Arial"/>
                <w:sz w:val="13"/>
                <w:szCs w:val="13"/>
                <w:color w:val="auto"/>
              </w:rPr>
              <w:t>1i.</w:t>
            </w:r>
          </w:p>
        </w:tc>
        <w:tc>
          <w:tcPr>
            <w:tcW w:w="4460" w:type="dxa"/>
            <w:vAlign w:val="bottom"/>
            <w:gridSpan w:val="3"/>
          </w:tcPr>
          <w:p>
            <w:pPr>
              <w:ind w:left="40"/>
              <w:spacing w:after="0"/>
              <w:rPr>
                <w:sz w:val="20"/>
                <w:szCs w:val="20"/>
                <w:color w:val="auto"/>
              </w:rPr>
            </w:pPr>
            <w:r>
              <w:rPr>
                <w:rFonts w:ascii="Arial" w:cs="Arial" w:eastAsia="Arial" w:hAnsi="Arial"/>
                <w:sz w:val="13"/>
                <w:szCs w:val="13"/>
                <w:color w:val="auto"/>
              </w:rPr>
              <w:t>Kenton J. Sicchitano</w:t>
            </w:r>
          </w:p>
        </w:tc>
        <w:tc>
          <w:tcPr>
            <w:tcW w:w="48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25"/>
        </w:trPr>
        <w:tc>
          <w:tcPr>
            <w:tcW w:w="5100" w:type="dxa"/>
            <w:vAlign w:val="bottom"/>
            <w:gridSpan w:val="5"/>
          </w:tcPr>
          <w:p>
            <w:pPr>
              <w:spacing w:after="0"/>
              <w:rPr>
                <w:sz w:val="20"/>
                <w:szCs w:val="20"/>
                <w:color w:val="auto"/>
              </w:rPr>
            </w:pPr>
            <w:r>
              <w:rPr>
                <w:rFonts w:ascii="Arial" w:cs="Arial" w:eastAsia="Arial" w:hAnsi="Arial"/>
                <w:sz w:val="13"/>
                <w:szCs w:val="13"/>
                <w:b w:val="1"/>
                <w:bCs w:val="1"/>
                <w:color w:val="auto"/>
              </w:rPr>
              <w:t>The Board of Directors recommends a vote FOR Proposal 2.</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80" w:type="dxa"/>
            <w:vAlign w:val="bottom"/>
            <w:vMerge w:val="restart"/>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20"/>
                <w:szCs w:val="20"/>
                <w:color w:val="auto"/>
              </w:rPr>
            </w:pPr>
            <w:r>
              <w:rPr>
                <w:rFonts w:ascii="Arial" w:cs="Arial" w:eastAsia="Arial" w:hAnsi="Arial"/>
                <w:sz w:val="13"/>
                <w:szCs w:val="13"/>
                <w:color w:val="auto"/>
              </w:rPr>
              <w:t>2)</w:t>
            </w:r>
          </w:p>
        </w:tc>
        <w:tc>
          <w:tcPr>
            <w:tcW w:w="4840" w:type="dxa"/>
            <w:vAlign w:val="bottom"/>
            <w:gridSpan w:val="4"/>
          </w:tcPr>
          <w:p>
            <w:pPr>
              <w:ind w:left="160"/>
              <w:spacing w:after="0"/>
              <w:rPr>
                <w:sz w:val="20"/>
                <w:szCs w:val="20"/>
                <w:color w:val="auto"/>
              </w:rPr>
            </w:pPr>
            <w:r>
              <w:rPr>
                <w:rFonts w:ascii="Arial" w:cs="Arial" w:eastAsia="Arial" w:hAnsi="Arial"/>
                <w:sz w:val="13"/>
                <w:szCs w:val="13"/>
                <w:color w:val="auto"/>
                <w:w w:val="93"/>
              </w:rPr>
              <w:t>To consider a non-binding “say on pay” vote regarding the compensation of our named</w:t>
            </w:r>
          </w:p>
        </w:tc>
        <w:tc>
          <w:tcPr>
            <w:tcW w:w="4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4840" w:type="dxa"/>
            <w:vAlign w:val="bottom"/>
            <w:gridSpan w:val="4"/>
          </w:tcPr>
          <w:p>
            <w:pPr>
              <w:ind w:left="160"/>
              <w:spacing w:after="0" w:line="139" w:lineRule="exact"/>
              <w:rPr>
                <w:sz w:val="20"/>
                <w:szCs w:val="20"/>
                <w:color w:val="auto"/>
              </w:rPr>
            </w:pPr>
            <w:r>
              <w:rPr>
                <w:rFonts w:ascii="Arial" w:cs="Arial" w:eastAsia="Arial" w:hAnsi="Arial"/>
                <w:sz w:val="13"/>
                <w:szCs w:val="13"/>
                <w:color w:val="auto"/>
                <w:w w:val="91"/>
              </w:rPr>
              <w:t>executive officers, as described in the Compensation Discussion and Analysis, executive</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4840" w:type="dxa"/>
            <w:vAlign w:val="bottom"/>
            <w:gridSpan w:val="4"/>
          </w:tcPr>
          <w:p>
            <w:pPr>
              <w:ind w:left="160"/>
              <w:spacing w:after="0"/>
              <w:rPr>
                <w:sz w:val="20"/>
                <w:szCs w:val="20"/>
                <w:color w:val="auto"/>
              </w:rPr>
            </w:pPr>
            <w:r>
              <w:rPr>
                <w:rFonts w:ascii="Arial" w:cs="Arial" w:eastAsia="Arial" w:hAnsi="Arial"/>
                <w:sz w:val="13"/>
                <w:szCs w:val="13"/>
                <w:color w:val="auto"/>
                <w:w w:val="94"/>
              </w:rPr>
              <w:t>compensation tables and accompanying narrative disclosures in our proxy statement.</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The Board of Directors recommends a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Proposal 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 w:type="dxa"/>
            <w:vAlign w:val="bottom"/>
          </w:tcPr>
          <w:p>
            <w:pPr>
              <w:jc w:val="right"/>
              <w:ind w:right="102"/>
              <w:spacing w:after="0"/>
              <w:rPr>
                <w:sz w:val="20"/>
                <w:szCs w:val="20"/>
                <w:color w:val="auto"/>
              </w:rPr>
            </w:pPr>
            <w:r>
              <w:rPr>
                <w:rFonts w:ascii="Arial" w:cs="Arial" w:eastAsia="Arial" w:hAnsi="Arial"/>
                <w:sz w:val="12"/>
                <w:szCs w:val="12"/>
                <w:color w:val="auto"/>
                <w:w w:val="74"/>
              </w:rPr>
              <w:t>3)</w:t>
            </w:r>
          </w:p>
        </w:tc>
        <w:tc>
          <w:tcPr>
            <w:tcW w:w="5380" w:type="dxa"/>
            <w:vAlign w:val="bottom"/>
          </w:tcPr>
          <w:p>
            <w:pPr>
              <w:ind w:left="160"/>
              <w:spacing w:after="0" w:line="150" w:lineRule="exact"/>
              <w:rPr>
                <w:sz w:val="20"/>
                <w:szCs w:val="20"/>
                <w:color w:val="auto"/>
              </w:rPr>
            </w:pPr>
            <w:r>
              <w:rPr>
                <w:rFonts w:ascii="Arial" w:cs="Arial" w:eastAsia="Arial" w:hAnsi="Arial"/>
                <w:sz w:val="13"/>
                <w:szCs w:val="13"/>
                <w:color w:val="auto"/>
                <w:w w:val="93"/>
              </w:rPr>
              <w:t xml:space="preserve">To ratify the selection of Ernst &amp; Young LLP as our independent registered public accounting   </w:t>
            </w:r>
            <w:r>
              <w:rPr>
                <w:rFonts w:ascii="MS PGothic" w:cs="MS PGothic" w:eastAsia="MS PGothic" w:hAnsi="MS PGothic"/>
                <w:sz w:val="13"/>
                <w:szCs w:val="13"/>
                <w:color w:val="auto"/>
                <w:w w:val="93"/>
              </w:rPr>
              <w:t>☐</w:t>
            </w:r>
          </w:p>
        </w:tc>
        <w:tc>
          <w:tcPr>
            <w:tcW w:w="5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0"/>
        </w:trPr>
        <w:tc>
          <w:tcPr>
            <w:tcW w:w="260" w:type="dxa"/>
            <w:vAlign w:val="bottom"/>
          </w:tcPr>
          <w:p>
            <w:pPr>
              <w:spacing w:after="0"/>
              <w:rPr>
                <w:sz w:val="13"/>
                <w:szCs w:val="13"/>
                <w:color w:val="auto"/>
              </w:rPr>
            </w:pPr>
          </w:p>
        </w:tc>
        <w:tc>
          <w:tcPr>
            <w:tcW w:w="5380" w:type="dxa"/>
            <w:vAlign w:val="bottom"/>
          </w:tcPr>
          <w:p>
            <w:pPr>
              <w:ind w:left="160"/>
              <w:spacing w:after="0"/>
              <w:rPr>
                <w:sz w:val="20"/>
                <w:szCs w:val="20"/>
                <w:color w:val="auto"/>
              </w:rPr>
            </w:pPr>
            <w:r>
              <w:rPr>
                <w:rFonts w:ascii="Arial" w:cs="Arial" w:eastAsia="Arial" w:hAnsi="Arial"/>
                <w:sz w:val="13"/>
                <w:szCs w:val="13"/>
                <w:color w:val="auto"/>
              </w:rPr>
              <w:t>firm for the fiscal year ending November 3, 2012.</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spacing w:after="0" w:line="192" w:lineRule="exact"/>
        <w:rPr>
          <w:sz w:val="20"/>
          <w:szCs w:val="20"/>
          <w:color w:val="auto"/>
        </w:rPr>
      </w:pPr>
    </w:p>
    <w:p>
      <w:pPr>
        <w:sectPr>
          <w:pgSz w:w="11900" w:h="16838" w:orient="portrait"/>
          <w:cols w:equalWidth="0" w:num="2">
            <w:col w:w="4480" w:space="140"/>
            <w:col w:w="6860"/>
          </w:cols>
          <w:pgMar w:left="220" w:top="439" w:right="199" w:bottom="1440" w:gutter="0" w:footer="0" w:header="0"/>
          <w:type w:val="continuous"/>
        </w:sectPr>
      </w:pPr>
    </w:p>
    <w:p>
      <w:pPr>
        <w:ind w:left="700"/>
        <w:spacing w:after="0" w:line="150" w:lineRule="exact"/>
        <w:tabs>
          <w:tab w:leader="none" w:pos="4200" w:val="left"/>
        </w:tabs>
        <w:rPr>
          <w:sz w:val="20"/>
          <w:szCs w:val="20"/>
          <w:color w:val="auto"/>
        </w:rPr>
      </w:pPr>
      <w:r>
        <w:rPr>
          <w:rFonts w:ascii="Arial" w:cs="Arial" w:eastAsia="Arial" w:hAnsi="Arial"/>
          <w:sz w:val="13"/>
          <w:szCs w:val="13"/>
          <w:color w:val="auto"/>
        </w:rPr>
        <w:t>For address changes/comments, mark here and write them on</w:t>
      </w:r>
      <w:r>
        <w:rPr>
          <w:sz w:val="20"/>
          <w:szCs w:val="20"/>
          <w:color w:val="auto"/>
        </w:rPr>
        <w:tab/>
      </w:r>
      <w:r>
        <w:rPr>
          <w:rFonts w:ascii="MS PGothic" w:cs="MS PGothic" w:eastAsia="MS PGothic" w:hAnsi="MS PGothic"/>
          <w:sz w:val="12"/>
          <w:szCs w:val="12"/>
          <w:color w:val="auto"/>
        </w:rPr>
        <w:t>☐</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back where indicated.</w:t>
      </w:r>
    </w:p>
    <w:p>
      <w:pPr>
        <w:spacing w:after="0" w:line="180" w:lineRule="exact"/>
        <w:rPr>
          <w:sz w:val="20"/>
          <w:szCs w:val="20"/>
          <w:color w:val="auto"/>
        </w:rPr>
      </w:pPr>
    </w:p>
    <w:p>
      <w:pPr>
        <w:ind w:left="700"/>
        <w:spacing w:after="0" w:line="150" w:lineRule="exact"/>
        <w:tabs>
          <w:tab w:leader="none" w:pos="3140" w:val="left"/>
          <w:tab w:leader="none" w:pos="3640" w:val="left"/>
        </w:tabs>
        <w:rPr>
          <w:sz w:val="20"/>
          <w:szCs w:val="20"/>
          <w:color w:val="auto"/>
        </w:rPr>
      </w:pPr>
      <w:r>
        <w:rPr>
          <w:rFonts w:ascii="Arial" w:cs="Arial" w:eastAsia="Arial" w:hAnsi="Arial"/>
          <w:sz w:val="13"/>
          <w:szCs w:val="13"/>
          <w:color w:val="auto"/>
        </w:rPr>
        <w:t>Please indicate if you plan to attend this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meeting.</w:t>
      </w:r>
    </w:p>
    <w:p>
      <w:pPr>
        <w:spacing w:after="0" w:line="51" w:lineRule="exact"/>
        <w:rPr>
          <w:sz w:val="20"/>
          <w:szCs w:val="20"/>
          <w:color w:val="auto"/>
        </w:rPr>
      </w:pPr>
    </w:p>
    <w:p>
      <w:pPr>
        <w:ind w:left="3120"/>
        <w:spacing w:after="0"/>
        <w:tabs>
          <w:tab w:leader="none" w:pos="362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195" w:lineRule="exact"/>
        <w:rPr>
          <w:sz w:val="20"/>
          <w:szCs w:val="20"/>
          <w:color w:val="auto"/>
        </w:rPr>
      </w:pPr>
    </w:p>
    <w:p>
      <w:pPr>
        <w:ind w:left="700" w:right="1720"/>
        <w:spacing w:after="0" w:line="279" w:lineRule="auto"/>
        <w:rPr>
          <w:sz w:val="20"/>
          <w:szCs w:val="20"/>
          <w:color w:val="auto"/>
        </w:rPr>
      </w:pPr>
      <w:r>
        <w:rPr>
          <w:rFonts w:ascii="Arial" w:cs="Arial" w:eastAsia="Arial" w:hAnsi="Arial"/>
          <w:sz w:val="12"/>
          <w:szCs w:val="12"/>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11" w:lineRule="exact"/>
        <w:rPr>
          <w:sz w:val="20"/>
          <w:szCs w:val="20"/>
          <w:color w:val="auto"/>
        </w:rPr>
      </w:pPr>
    </w:p>
    <w:p>
      <w:pPr>
        <w:ind w:left="700"/>
        <w:spacing w:after="0"/>
        <w:tabs>
          <w:tab w:leader="none" w:pos="3460" w:val="left"/>
          <w:tab w:leader="none" w:pos="4600" w:val="left"/>
          <w:tab w:leader="none" w:pos="102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0"/>
          <w:szCs w:val="10"/>
          <w:color w:val="auto"/>
        </w:rPr>
        <w:t>Date</w:t>
      </w:r>
    </w:p>
    <w:p>
      <w:pPr>
        <w:sectPr>
          <w:pgSz w:w="11900" w:h="16838" w:orient="portrait"/>
          <w:cols w:equalWidth="0" w:num="1">
            <w:col w:w="11480"/>
          </w:cols>
          <w:pgMar w:left="220" w:top="439" w:right="199" w:bottom="1440" w:gutter="0" w:footer="0" w:header="0"/>
          <w:type w:val="continuous"/>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Notice and Proxy Statement, Annual Report and Shareholder Letter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 — — — — — — — — — — — — — — — — — — — — — — — — — — — — — — — — — — — — — — — — —</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M40377-Z56885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7272020" cy="34956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3495675"/>
                    </a:xfrm>
                    <a:prstGeom prst="rect">
                      <a:avLst/>
                    </a:prstGeom>
                    <a:noFill/>
                  </pic:spPr>
                </pic:pic>
              </a:graphicData>
            </a:graphic>
          </wp:anchor>
        </w:drawing>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ANALOG DEVICES, INC.</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Annual Meeting of Shareholders - March 13, 2012 9:00 AM</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11" w:lineRule="exact"/>
        <w:rPr>
          <w:sz w:val="20"/>
          <w:szCs w:val="20"/>
          <w:color w:val="auto"/>
        </w:rPr>
      </w:pPr>
    </w:p>
    <w:p>
      <w:pPr>
        <w:ind w:left="580" w:right="480"/>
        <w:spacing w:after="0" w:line="296" w:lineRule="auto"/>
        <w:rPr>
          <w:sz w:val="20"/>
          <w:szCs w:val="20"/>
          <w:color w:val="auto"/>
        </w:rPr>
      </w:pPr>
      <w:r>
        <w:rPr>
          <w:rFonts w:ascii="Arial" w:cs="Arial" w:eastAsia="Arial" w:hAnsi="Arial"/>
          <w:sz w:val="15"/>
          <w:szCs w:val="15"/>
          <w:color w:val="auto"/>
        </w:rPr>
        <w:t>The shareholder(s) hereby appoint(s) Ray Stata, Jerald G. Fishman and Margaret K. Seif, or either of them, as proxies, each with the power to appoint his or her substitute, and hereby authorizes them to represent and to vote, as designated on the reverse side of this ballot, all of the shares of common stock of ANALOG DEVICES, INC. that the shareholder(s) is/are entitled to vote at the Annual Meeting of shareholder(s) to be held at 9:00 AM Eastern on March 13, 2012, at Analog Devices, Inc., 3 Technology Way, Norwood, MA 02062, and any adjournment or postponement thereof.</w:t>
      </w:r>
    </w:p>
    <w:p>
      <w:pPr>
        <w:spacing w:after="0" w:line="144" w:lineRule="exact"/>
        <w:rPr>
          <w:sz w:val="20"/>
          <w:szCs w:val="20"/>
          <w:color w:val="auto"/>
        </w:rPr>
      </w:pPr>
    </w:p>
    <w:p>
      <w:pPr>
        <w:ind w:left="580" w:right="620"/>
        <w:spacing w:after="0" w:line="294" w:lineRule="auto"/>
        <w:rPr>
          <w:sz w:val="20"/>
          <w:szCs w:val="20"/>
          <w:color w:val="auto"/>
        </w:rPr>
      </w:pPr>
      <w:r>
        <w:rPr>
          <w:rFonts w:ascii="Arial" w:cs="Arial" w:eastAsia="Arial" w:hAnsi="Arial"/>
          <w:sz w:val="16"/>
          <w:szCs w:val="16"/>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Unless voting the shares over the Internet or by telephone, please fill in, date, sign and mail this proxy card promptly using the enclosed envelope.</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(If you noted any Address Changes/Comments above, please mark corresponding box on the reverse side.)</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11420"/>
      </w:cols>
      <w:pgMar w:left="240" w:top="4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2)"/>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3"/>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4"/>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lvl w:ilvl="1">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lvl w:ilvl="1">
      <w:lvlJc w:val="left"/>
      <w:lvlText w:val="¡"/>
      <w:numFmt w:val="bullet"/>
      <w:start w:val="1"/>
    </w:lvl>
  </w:abstractNum>
  <w:abstractNum w:abstractNumId="26">
    <w:nsid w:val="580BD78F"/>
    <w:multiLevelType w:val="hybridMultilevel"/>
    <w:lvl w:ilvl="0">
      <w:lvlJc w:val="left"/>
      <w:lvlText w:val="•"/>
      <w:numFmt w:val="bullet"/>
      <w:start w:val="1"/>
    </w:lvl>
    <w:lvl w:ilvl="1">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3"/>
    </w:lvl>
  </w:abstractNum>
  <w:abstractNum w:abstractNumId="36">
    <w:nsid w:val="7A6D8D3C"/>
    <w:multiLevelType w:val="hybridMultilevel"/>
    <w:lvl w:ilvl="0">
      <w:lvlJc w:val="left"/>
      <w:lvlText w:val="(%1)"/>
      <w:numFmt w:val="decimal"/>
      <w:start w:val="5"/>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2"/>
    </w:lvl>
  </w:abstractNum>
  <w:abstractNum w:abstractNumId="40">
    <w:nsid w:val="38437FDB"/>
    <w:multiLevelType w:val="hybridMultilevel"/>
    <w:lvl w:ilvl="0">
      <w:lvlJc w:val="left"/>
      <w:lvlText w:val="(%1)"/>
      <w:numFmt w:val="decimal"/>
      <w:start w:val="7"/>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4"/>
    </w:lvl>
  </w:abstractNum>
  <w:abstractNum w:abstractNumId="51">
    <w:nsid w:val="70C6A529"/>
    <w:multiLevelType w:val="hybridMultilevel"/>
    <w:lvl w:ilvl="0">
      <w:lvlJc w:val="left"/>
      <w:lvlText w:val="(%1)"/>
      <w:numFmt w:val="decimal"/>
      <w:start w:val="8"/>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2019-12-09T05:57:35Z</dcterms:created>
  <dcterms:modified xsi:type="dcterms:W3CDTF">2019-12-09T05:57:35Z</dcterms:modified>
</cp:coreProperties>
</file>