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Arial" w:cs="Arial" w:eastAsia="Arial" w:hAnsi="Arial"/>
          <w:sz w:val="22"/>
          <w:szCs w:val="22"/>
          <w:b w:val="1"/>
          <w:bCs w:val="1"/>
          <w:color w:val="auto"/>
        </w:rPr>
        <w:t>_________________________________________________________________________</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9" w:lineRule="exact"/>
        <w:rPr>
          <w:sz w:val="24"/>
          <w:szCs w:val="24"/>
          <w:color w:val="auto"/>
        </w:rPr>
      </w:pPr>
    </w:p>
    <w:p>
      <w:pPr>
        <w:ind w:left="108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1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Date of Report (Date of earliest event reported): May 20, 2020</w:t>
      </w:r>
    </w:p>
    <w:p>
      <w:pPr>
        <w:spacing w:after="0" w:line="27" w:lineRule="exact"/>
        <w:rPr>
          <w:sz w:val="24"/>
          <w:szCs w:val="24"/>
          <w:color w:val="auto"/>
        </w:rPr>
      </w:pPr>
    </w:p>
    <w:p>
      <w:pPr>
        <w:ind w:left="112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w:t>
      </w:r>
    </w:p>
    <w:p>
      <w:pPr>
        <w:spacing w:after="0" w:line="28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Analog Devices, Inc.</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44"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ectPr>
          <w:pgSz w:w="11900" w:h="16838" w:orient="portrait"/>
          <w:cols w:equalWidth="0" w:num="1">
            <w:col w:w="11240"/>
          </w:cols>
          <w:pgMar w:left="320" w:top="1035" w:right="339" w:bottom="1440" w:gutter="0" w:footer="0" w:header="0"/>
        </w:sectPr>
      </w:pPr>
    </w:p>
    <w:p>
      <w:pPr>
        <w:spacing w:after="0" w:line="86" w:lineRule="exact"/>
        <w:rPr>
          <w:sz w:val="24"/>
          <w:szCs w:val="24"/>
          <w:color w:val="auto"/>
        </w:rPr>
      </w:pPr>
    </w:p>
    <w:p>
      <w:pPr>
        <w:ind w:left="1220"/>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244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90" w:lineRule="exact"/>
        <w:rPr>
          <w:sz w:val="24"/>
          <w:szCs w:val="24"/>
          <w:color w:val="auto"/>
        </w:rPr>
      </w:pPr>
    </w:p>
    <w:p>
      <w:pPr>
        <w:sectPr>
          <w:pgSz w:w="11900" w:h="16838" w:orient="portrait"/>
          <w:cols w:equalWidth="0" w:num="3">
            <w:col w:w="4680" w:space="720"/>
            <w:col w:w="2940" w:space="720"/>
            <w:col w:w="2180"/>
          </w:cols>
          <w:pgMar w:left="320" w:top="1035"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1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(Commission</w:t>
      </w:r>
    </w:p>
    <w:p>
      <w:pPr>
        <w:spacing w:after="0" w:line="35"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420" w:space="720"/>
            <w:col w:w="2960" w:space="720"/>
            <w:col w:w="2420"/>
          </w:cols>
          <w:pgMar w:left="320" w:top="1035" w:right="339" w:bottom="1440" w:gutter="0" w:footer="0" w:header="0"/>
          <w:type w:val="continuous"/>
        </w:sectPr>
      </w:pPr>
    </w:p>
    <w:p>
      <w:pPr>
        <w:spacing w:after="0" w:line="223"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One Technology Way,</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Norwood, MA</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02062</w:t>
      </w:r>
    </w:p>
    <w:p>
      <w:pPr>
        <w:spacing w:after="0" w:line="90" w:lineRule="exact"/>
        <w:rPr>
          <w:sz w:val="24"/>
          <w:szCs w:val="24"/>
          <w:color w:val="auto"/>
        </w:rPr>
      </w:pPr>
    </w:p>
    <w:p>
      <w:pPr>
        <w:sectPr>
          <w:pgSz w:w="11900" w:h="16838" w:orient="portrait"/>
          <w:cols w:equalWidth="0" w:num="3">
            <w:col w:w="2740" w:space="360"/>
            <w:col w:w="3960" w:space="720"/>
            <w:col w:w="3460"/>
          </w:cols>
          <w:pgMar w:left="320" w:top="1035" w:right="339" w:bottom="1440" w:gutter="0" w:footer="0" w:header="0"/>
          <w:type w:val="continuous"/>
        </w:sectPr>
      </w:pPr>
    </w:p>
    <w:p>
      <w:pPr>
        <w:ind w:left="9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163" w:lineRule="exact"/>
        <w:rPr>
          <w:sz w:val="24"/>
          <w:szCs w:val="24"/>
          <w:color w:val="auto"/>
        </w:rPr>
      </w:pPr>
    </w:p>
    <w:p>
      <w:pPr>
        <w:sectPr>
          <w:pgSz w:w="11900" w:h="16838" w:orient="portrait"/>
          <w:cols w:equalWidth="0" w:num="2">
            <w:col w:w="6900" w:space="720"/>
            <w:col w:w="3620"/>
          </w:cols>
          <w:pgMar w:left="320" w:top="1035" w:right="339" w:bottom="1440" w:gutter="0" w:footer="0" w:header="0"/>
          <w:type w:val="continuous"/>
        </w:sect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6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40" w:lineRule="exact"/>
        <w:rPr>
          <w:sz w:val="24"/>
          <w:szCs w:val="24"/>
          <w:color w:val="auto"/>
        </w:rPr>
      </w:pPr>
    </w:p>
    <w:p>
      <w:pPr>
        <w:ind w:left="1040"/>
        <w:spacing w:after="0"/>
        <w:rPr>
          <w:sz w:val="20"/>
          <w:szCs w:val="20"/>
          <w:color w:val="auto"/>
        </w:rPr>
      </w:pPr>
      <w:r>
        <w:rPr>
          <w:rFonts w:ascii="Arial" w:cs="Arial" w:eastAsia="Arial" w:hAnsi="Arial"/>
          <w:sz w:val="16"/>
          <w:szCs w:val="16"/>
          <w:b w:val="1"/>
          <w:bCs w:val="1"/>
          <w:color w:val="auto"/>
        </w:rPr>
        <w:t>______________________________________________________________________________________________________</w:t>
      </w:r>
    </w:p>
    <w:p>
      <w:pPr>
        <w:spacing w:after="0" w:line="279"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37"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34" w:lineRule="exact"/>
        <w:rPr>
          <w:rFonts w:ascii="MS PGothic" w:cs="MS PGothic" w:eastAsia="MS PGothic" w:hAnsi="MS PGothic"/>
          <w:sz w:val="22"/>
          <w:szCs w:val="22"/>
          <w:color w:val="auto"/>
        </w:rPr>
      </w:pPr>
    </w:p>
    <w:p>
      <w:pPr>
        <w:ind w:left="240" w:hanging="232"/>
        <w:spacing w:after="0" w:line="235" w:lineRule="auto"/>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35" w:right="339" w:bottom="1440" w:gutter="0" w:footer="0" w:header="0"/>
          <w:type w:val="continuous"/>
        </w:sect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Trading</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Symbol(s)</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w:t>
      </w:r>
    </w:p>
    <w:p>
      <w:pPr>
        <w:spacing w:after="0" w:line="62" w:lineRule="exact"/>
        <w:rPr>
          <w:sz w:val="24"/>
          <w:szCs w:val="24"/>
          <w:color w:val="auto"/>
        </w:rPr>
      </w:pPr>
    </w:p>
    <w:p>
      <w:pPr>
        <w:ind w:left="160"/>
        <w:spacing w:after="0"/>
        <w:rPr>
          <w:sz w:val="20"/>
          <w:szCs w:val="20"/>
          <w:color w:val="auto"/>
        </w:rPr>
      </w:pPr>
      <w:r>
        <w:rPr>
          <w:rFonts w:ascii="Arial" w:cs="Arial" w:eastAsia="Arial" w:hAnsi="Arial"/>
          <w:sz w:val="17"/>
          <w:szCs w:val="17"/>
          <w:b w:val="1"/>
          <w:bCs w:val="1"/>
          <w:color w:val="auto"/>
        </w:rPr>
        <w:t>on which registered</w:t>
      </w:r>
    </w:p>
    <w:p>
      <w:pPr>
        <w:spacing w:after="0" w:line="60" w:lineRule="exact"/>
        <w:rPr>
          <w:sz w:val="24"/>
          <w:szCs w:val="24"/>
          <w:color w:val="auto"/>
        </w:rPr>
      </w:pPr>
    </w:p>
    <w:p>
      <w:pPr>
        <w:sectPr>
          <w:pgSz w:w="11900" w:h="16838" w:orient="portrait"/>
          <w:cols w:equalWidth="0" w:num="3">
            <w:col w:w="4480" w:space="720"/>
            <w:col w:w="2140" w:space="720"/>
            <w:col w:w="3180"/>
          </w:cols>
          <w:pgMar w:left="320" w:top="1035" w:right="33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$0.16 2/3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Nasdaq Global Select Market</w:t>
      </w:r>
    </w:p>
    <w:p>
      <w:pPr>
        <w:spacing w:after="0" w:line="222" w:lineRule="exact"/>
        <w:rPr>
          <w:sz w:val="24"/>
          <w:szCs w:val="24"/>
          <w:color w:val="auto"/>
        </w:rPr>
      </w:pPr>
    </w:p>
    <w:p>
      <w:pPr>
        <w:sectPr>
          <w:pgSz w:w="11900" w:h="16838" w:orient="portrait"/>
          <w:cols w:equalWidth="0" w:num="3">
            <w:col w:w="4720" w:space="720"/>
            <w:col w:w="1760" w:space="720"/>
            <w:col w:w="3320"/>
          </w:cols>
          <w:pgMar w:left="320" w:top="1035" w:right="339" w:bottom="1440" w:gutter="0" w:footer="0" w:header="0"/>
          <w:type w:val="continuous"/>
        </w:sectPr>
      </w:pPr>
    </w:p>
    <w:p>
      <w:pPr>
        <w:spacing w:after="0" w:line="187" w:lineRule="exact"/>
        <w:rPr>
          <w:sz w:val="24"/>
          <w:szCs w:val="24"/>
          <w:color w:val="auto"/>
        </w:rPr>
      </w:pPr>
    </w:p>
    <w:p>
      <w:pPr>
        <w:ind w:right="520"/>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040"/>
        <w:spacing w:after="0" w:line="219"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9"/>
          <w:szCs w:val="19"/>
          <w:color w:val="auto"/>
        </w:rPr>
        <w:t>☐</w:t>
      </w:r>
    </w:p>
    <w:p>
      <w:pPr>
        <w:spacing w:after="0" w:line="267" w:lineRule="exact"/>
        <w:rPr>
          <w:sz w:val="24"/>
          <w:szCs w:val="24"/>
          <w:color w:val="auto"/>
        </w:rPr>
      </w:pPr>
    </w:p>
    <w:p>
      <w:pPr>
        <w:ind w:right="160"/>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9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On May 20, 2020, Analog Devices, Inc. (the “Registrant”) announced its financial results for its fiscal second quarter ended May 2, 2020. The full text of the press release issued by the Registrant concerning the foregoing results is furnished herewith as Exhibit 99.1.</w:t>
      </w:r>
    </w:p>
    <w:p>
      <w:pPr>
        <w:spacing w:after="0" w:line="49"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86"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4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840" w:type="dxa"/>
            <w:vAlign w:val="bottom"/>
          </w:tcPr>
          <w:p>
            <w:pPr>
              <w:spacing w:after="0"/>
              <w:rPr>
                <w:sz w:val="20"/>
                <w:szCs w:val="20"/>
                <w:color w:val="auto"/>
              </w:rPr>
            </w:pPr>
            <w:r>
              <w:rPr>
                <w:rFonts w:ascii="Arial" w:cs="Arial" w:eastAsia="Arial" w:hAnsi="Arial"/>
                <w:sz w:val="18"/>
                <w:szCs w:val="18"/>
                <w:color w:val="auto"/>
                <w:w w:val="94"/>
              </w:rPr>
              <w:t>Exhibit No.</w:t>
            </w:r>
          </w:p>
        </w:tc>
        <w:tc>
          <w:tcPr>
            <w:tcW w:w="1000" w:type="dxa"/>
            <w:vAlign w:val="bottom"/>
          </w:tcPr>
          <w:p>
            <w:pPr>
              <w:spacing w:after="0"/>
              <w:rPr>
                <w:sz w:val="17"/>
                <w:szCs w:val="17"/>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561"/>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99.1</w:t>
            </w:r>
          </w:p>
        </w:tc>
        <w:tc>
          <w:tcPr>
            <w:tcW w:w="9320" w:type="dxa"/>
            <w:vAlign w:val="bottom"/>
            <w:gridSpan w:val="2"/>
          </w:tcPr>
          <w:p>
            <w:pPr>
              <w:spacing w:after="0"/>
              <w:rPr>
                <w:rFonts w:ascii="Arial" w:cs="Arial" w:eastAsia="Arial" w:hAnsi="Arial"/>
                <w:sz w:val="18"/>
                <w:szCs w:val="18"/>
                <w:color w:val="0000FF"/>
              </w:rPr>
            </w:pPr>
            <w:hyperlink w:anchor="page4">
              <w:r>
                <w:rPr>
                  <w:rFonts w:ascii="Arial" w:cs="Arial" w:eastAsia="Arial" w:hAnsi="Arial"/>
                  <w:sz w:val="18"/>
                  <w:szCs w:val="18"/>
                  <w:u w:val="single" w:color="auto"/>
                  <w:color w:val="0000FF"/>
                </w:rPr>
                <w:t>Press release</w:t>
              </w:r>
              <w:r>
                <w:rPr>
                  <w:rFonts w:ascii="Arial" w:cs="Arial" w:eastAsia="Arial" w:hAnsi="Arial"/>
                  <w:sz w:val="18"/>
                  <w:szCs w:val="18"/>
                  <w:color w:val="0000FF"/>
                </w:rPr>
                <w:t xml:space="preserve"> </w:t>
              </w:r>
            </w:hyperlink>
            <w:r>
              <w:rPr>
                <w:rFonts w:ascii="Arial" w:cs="Arial" w:eastAsia="Arial" w:hAnsi="Arial"/>
                <w:sz w:val="18"/>
                <w:szCs w:val="18"/>
                <w:color w:val="000000"/>
              </w:rPr>
              <w:t>dated</w:t>
            </w:r>
            <w:r>
              <w:rPr>
                <w:rFonts w:ascii="Arial" w:cs="Arial" w:eastAsia="Arial" w:hAnsi="Arial"/>
                <w:sz w:val="18"/>
                <w:szCs w:val="18"/>
                <w:color w:val="0000FF"/>
              </w:rPr>
              <w:t xml:space="preserve"> </w:t>
            </w:r>
            <w:r>
              <w:rPr>
                <w:rFonts w:ascii="Arial" w:cs="Arial" w:eastAsia="Arial" w:hAnsi="Arial"/>
                <w:sz w:val="18"/>
                <w:szCs w:val="18"/>
                <w:color w:val="000000"/>
              </w:rPr>
              <w:t>May 20, 2020</w:t>
            </w:r>
          </w:p>
        </w:tc>
      </w:tr>
      <w:tr>
        <w:trPr>
          <w:trHeight w:val="256"/>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101.INS</w:t>
            </w:r>
          </w:p>
        </w:tc>
        <w:tc>
          <w:tcPr>
            <w:tcW w:w="9320" w:type="dxa"/>
            <w:vAlign w:val="bottom"/>
            <w:gridSpan w:val="2"/>
          </w:tcPr>
          <w:p>
            <w:pPr>
              <w:spacing w:after="0"/>
              <w:rPr>
                <w:sz w:val="20"/>
                <w:szCs w:val="20"/>
                <w:color w:val="auto"/>
              </w:rPr>
            </w:pPr>
            <w:r>
              <w:rPr>
                <w:rFonts w:ascii="Arial" w:cs="Arial" w:eastAsia="Arial" w:hAnsi="Arial"/>
                <w:sz w:val="18"/>
                <w:szCs w:val="18"/>
                <w:color w:val="auto"/>
                <w:w w:val="90"/>
              </w:rPr>
              <w:t>The instance document does not appear in the Interactive Data File because its XBRL tags are embedded within the inline XBRL</w:t>
            </w:r>
          </w:p>
        </w:tc>
      </w:tr>
      <w:tr>
        <w:trPr>
          <w:trHeight w:val="230"/>
        </w:trPr>
        <w:tc>
          <w:tcPr>
            <w:tcW w:w="8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320" w:type="dxa"/>
            <w:vAlign w:val="bottom"/>
            <w:gridSpan w:val="2"/>
          </w:tcPr>
          <w:p>
            <w:pPr>
              <w:spacing w:after="0"/>
              <w:rPr>
                <w:sz w:val="20"/>
                <w:szCs w:val="20"/>
                <w:color w:val="auto"/>
              </w:rPr>
            </w:pPr>
            <w:r>
              <w:rPr>
                <w:rFonts w:ascii="Arial" w:cs="Arial" w:eastAsia="Arial" w:hAnsi="Arial"/>
                <w:sz w:val="18"/>
                <w:szCs w:val="18"/>
                <w:color w:val="auto"/>
              </w:rPr>
              <w:t>document.**</w:t>
            </w:r>
          </w:p>
        </w:tc>
      </w:tr>
      <w:tr>
        <w:trPr>
          <w:trHeight w:val="27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101.SCH</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Schema Document.**</w:t>
            </w:r>
          </w:p>
        </w:tc>
      </w:tr>
      <w:tr>
        <w:trPr>
          <w:trHeight w:val="27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7"/>
              </w:rPr>
              <w:t>101.CAL</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Calculation Linkbase Document.**</w:t>
            </w:r>
          </w:p>
        </w:tc>
      </w:tr>
      <w:tr>
        <w:trPr>
          <w:trHeight w:val="27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8"/>
              </w:rPr>
              <w:t>101.LAB</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Labels Linkbase Document.**</w:t>
            </w:r>
          </w:p>
        </w:tc>
      </w:tr>
      <w:tr>
        <w:trPr>
          <w:trHeight w:val="27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101.PRE</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Presentation Linkbase Document.**</w:t>
            </w:r>
          </w:p>
        </w:tc>
      </w:tr>
      <w:tr>
        <w:trPr>
          <w:trHeight w:val="270"/>
        </w:trPr>
        <w:tc>
          <w:tcPr>
            <w:tcW w:w="18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101.DEF</w:t>
            </w:r>
          </w:p>
        </w:tc>
        <w:tc>
          <w:tcPr>
            <w:tcW w:w="9320" w:type="dxa"/>
            <w:vAlign w:val="bottom"/>
            <w:gridSpan w:val="2"/>
          </w:tcPr>
          <w:p>
            <w:pPr>
              <w:spacing w:after="0"/>
              <w:rPr>
                <w:sz w:val="20"/>
                <w:szCs w:val="20"/>
                <w:color w:val="auto"/>
              </w:rPr>
            </w:pPr>
            <w:r>
              <w:rPr>
                <w:rFonts w:ascii="Arial" w:cs="Arial" w:eastAsia="Arial" w:hAnsi="Arial"/>
                <w:sz w:val="18"/>
                <w:szCs w:val="18"/>
                <w:color w:val="auto"/>
              </w:rPr>
              <w:t>Inline XBRL Definition Linkbase Document.**</w:t>
            </w:r>
          </w:p>
        </w:tc>
      </w:tr>
    </w:tbl>
    <w:p>
      <w:pPr>
        <w:spacing w:after="0" w:line="40" w:lineRule="exact"/>
        <w:rPr>
          <w:sz w:val="20"/>
          <w:szCs w:val="20"/>
          <w:color w:val="auto"/>
        </w:rPr>
      </w:pPr>
    </w:p>
    <w:p>
      <w:pPr>
        <w:ind w:left="1880" w:right="520" w:hanging="1157"/>
        <w:spacing w:after="0" w:line="277" w:lineRule="auto"/>
        <w:tabs>
          <w:tab w:leader="none" w:pos="1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8" w:lineRule="exact"/>
        <w:rPr>
          <w:sz w:val="20"/>
          <w:szCs w:val="20"/>
          <w:color w:val="auto"/>
        </w:rPr>
      </w:pPr>
    </w:p>
    <w:p>
      <w:pPr>
        <w:ind w:left="1880" w:hanging="1112"/>
        <w:spacing w:after="0"/>
        <w:tabs>
          <w:tab w:leader="none" w:pos="1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812165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color w:val="auto"/>
        </w:rPr>
        <w:t>SIGNATURE</w:t>
      </w:r>
    </w:p>
    <w:p>
      <w:pPr>
        <w:spacing w:after="0" w:line="9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78" w:lineRule="exact"/>
        <w:rPr>
          <w:sz w:val="20"/>
          <w:szCs w:val="20"/>
          <w:color w:val="auto"/>
        </w:rPr>
      </w:pPr>
    </w:p>
    <w:p>
      <w:pPr>
        <w:ind w:left="40"/>
        <w:spacing w:after="0"/>
        <w:tabs>
          <w:tab w:leader="none" w:pos="660" w:val="left"/>
          <w:tab w:leader="none" w:pos="6000" w:val="left"/>
        </w:tabs>
        <w:rPr>
          <w:sz w:val="20"/>
          <w:szCs w:val="20"/>
          <w:color w:val="auto"/>
        </w:rPr>
      </w:pPr>
      <w:r>
        <w:rPr>
          <w:rFonts w:ascii="Arial" w:cs="Arial" w:eastAsia="Arial" w:hAnsi="Arial"/>
          <w:sz w:val="18"/>
          <w:szCs w:val="18"/>
          <w:color w:val="auto"/>
        </w:rPr>
        <w:t>Date:</w:t>
        <w:tab/>
        <w:t>May 20, 2020</w:t>
      </w:r>
      <w:r>
        <w:rPr>
          <w:sz w:val="20"/>
          <w:szCs w:val="20"/>
          <w:color w:val="auto"/>
        </w:rPr>
        <w:tab/>
      </w:r>
      <w:r>
        <w:rPr>
          <w:rFonts w:ascii="Arial" w:cs="Arial" w:eastAsia="Arial" w:hAnsi="Arial"/>
          <w:sz w:val="17"/>
          <w:szCs w:val="17"/>
          <w:color w:val="auto"/>
        </w:rPr>
        <w:t>ANALOG DEVICES, INC.</w:t>
      </w:r>
    </w:p>
    <w:p>
      <w:pPr>
        <w:spacing w:after="0" w:line="279" w:lineRule="exact"/>
        <w:rPr>
          <w:sz w:val="20"/>
          <w:szCs w:val="20"/>
          <w:color w:val="auto"/>
        </w:rPr>
      </w:pPr>
    </w:p>
    <w:p>
      <w:pPr>
        <w:ind w:left="6020"/>
        <w:spacing w:after="0"/>
        <w:tabs>
          <w:tab w:leader="none" w:pos="6540" w:val="left"/>
        </w:tabs>
        <w:rPr>
          <w:sz w:val="20"/>
          <w:szCs w:val="20"/>
          <w:color w:val="auto"/>
        </w:rPr>
      </w:pPr>
      <w:r>
        <w:rPr>
          <w:rFonts w:ascii="Arial" w:cs="Arial" w:eastAsia="Arial" w:hAnsi="Arial"/>
          <w:sz w:val="18"/>
          <w:szCs w:val="18"/>
          <w:color w:val="auto"/>
        </w:rPr>
        <w:t>By:</w:t>
        <w:tab/>
        <w:t>/s/ Prashanth Mahendra-Rajah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31750</wp:posOffset>
            </wp:positionV>
            <wp:extent cx="196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62785" cy="8890"/>
                    </a:xfrm>
                    <a:prstGeom prst="rect">
                      <a:avLst/>
                    </a:prstGeom>
                    <a:noFill/>
                  </pic:spPr>
                </pic:pic>
              </a:graphicData>
            </a:graphic>
          </wp:anchor>
        </w:drawing>
      </w:r>
    </w:p>
    <w:p>
      <w:pPr>
        <w:spacing w:after="0" w:line="5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Prashanth Mahendra-Rajah</w:t>
      </w:r>
    </w:p>
    <w:p>
      <w:pPr>
        <w:spacing w:after="0" w:line="6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Senior Vice President, Finance and Chief</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Financial Officer</w:t>
      </w:r>
    </w:p>
    <w:p>
      <w:pPr>
        <w:sectPr>
          <w:pgSz w:w="11900" w:h="16838" w:orient="portrait"/>
          <w:cols w:equalWidth="0" w:num="1">
            <w:col w:w="10980"/>
          </w:cols>
          <w:pgMar w:left="320" w:top="989"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Analog Devices Reports Second Quarter Fiscal 2020 Results</w:t>
      </w:r>
    </w:p>
    <w:p>
      <w:pPr>
        <w:spacing w:after="0" w:line="25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Revenue of $1.32 billion increased sequentially</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B2B revenue increased 3% sequentially led by the communication and industrial sectors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cash flow of $2.0 billion and free cash flow of $1.8 billion on a trailing twelve month basis</w:t>
      </w:r>
    </w:p>
    <w:p>
      <w:pPr>
        <w:spacing w:after="0" w:line="3" w:lineRule="exact"/>
        <w:rPr>
          <w:rFonts w:ascii="Arial" w:cs="Arial" w:eastAsia="Arial" w:hAnsi="Arial"/>
          <w:sz w:val="22"/>
          <w:szCs w:val="22"/>
          <w:color w:val="auto"/>
        </w:rPr>
      </w:pPr>
    </w:p>
    <w:p>
      <w:pPr>
        <w:ind w:left="660" w:hanging="328"/>
        <w:spacing w:after="0"/>
        <w:tabs>
          <w:tab w:leader="none" w:pos="66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Returned over $340 million to shareholders in the second quarter through dividends and share repurchases</w:t>
      </w:r>
    </w:p>
    <w:p>
      <w:pPr>
        <w:spacing w:after="0" w:line="223" w:lineRule="exact"/>
        <w:rPr>
          <w:sz w:val="20"/>
          <w:szCs w:val="20"/>
          <w:color w:val="auto"/>
        </w:rPr>
      </w:pPr>
    </w:p>
    <w:p>
      <w:pPr>
        <w:ind w:right="320"/>
        <w:spacing w:after="0" w:line="256" w:lineRule="auto"/>
        <w:rPr>
          <w:sz w:val="20"/>
          <w:szCs w:val="20"/>
          <w:color w:val="auto"/>
        </w:rPr>
      </w:pPr>
      <w:r>
        <w:rPr>
          <w:rFonts w:ascii="Arial" w:cs="Arial" w:eastAsia="Arial" w:hAnsi="Arial"/>
          <w:sz w:val="22"/>
          <w:szCs w:val="22"/>
          <w:b w:val="1"/>
          <w:bCs w:val="1"/>
          <w:color w:val="auto"/>
        </w:rPr>
        <w:t>NORWOOD, Mass.--(BUSINESS WIRE)--May 20, 2020</w:t>
      </w:r>
      <w:r>
        <w:rPr>
          <w:rFonts w:ascii="Arial" w:cs="Arial" w:eastAsia="Arial" w:hAnsi="Arial"/>
          <w:sz w:val="22"/>
          <w:szCs w:val="22"/>
          <w:color w:val="auto"/>
        </w:rPr>
        <w:t>--Analog Devices, Inc. (Nasdaq: ADI), a leading global high-performance analog technology company, today announced financial results for its second quarter of fiscal 2020, which ended May 2, 2020.</w:t>
      </w:r>
    </w:p>
    <w:p>
      <w:pPr>
        <w:spacing w:after="0" w:line="196" w:lineRule="exact"/>
        <w:rPr>
          <w:sz w:val="20"/>
          <w:szCs w:val="20"/>
          <w:color w:val="auto"/>
        </w:rPr>
      </w:pPr>
    </w:p>
    <w:p>
      <w:pPr>
        <w:ind w:right="20"/>
        <w:spacing w:after="0" w:line="234" w:lineRule="auto"/>
        <w:rPr>
          <w:sz w:val="20"/>
          <w:szCs w:val="20"/>
          <w:color w:val="auto"/>
        </w:rPr>
      </w:pPr>
      <w:r>
        <w:rPr>
          <w:rFonts w:ascii="Arial" w:cs="Arial" w:eastAsia="Arial" w:hAnsi="Arial"/>
          <w:sz w:val="22"/>
          <w:szCs w:val="22"/>
          <w:color w:val="auto"/>
        </w:rPr>
        <w:t>“During this unprecedented time, ADI has moved with speed and agility to pivot our supply chain and meet customer demand, expediting production and shipments of essential products, including solutions used in medical equipment in the fight against COVID-19. I’m proud of the way our team has adapted, demonstrating determination, resilience and unity in the face of this pandemic,” said Vincent Roche, President and CEO of Analog Devices. “Our diversification across customers, applications, and markets is mitigating weaker global business activity. This enabled us to deliver second quarter results within our original guidance range and generate solid free cash flow, underscoring the strength and flexibility of our business model in any economic backdrop.”</w:t>
      </w:r>
    </w:p>
    <w:p>
      <w:pPr>
        <w:spacing w:after="0" w:line="218" w:lineRule="exact"/>
        <w:rPr>
          <w:sz w:val="20"/>
          <w:szCs w:val="20"/>
          <w:color w:val="auto"/>
        </w:rPr>
      </w:pPr>
    </w:p>
    <w:p>
      <w:pPr>
        <w:jc w:val="both"/>
        <w:ind w:right="300"/>
        <w:spacing w:after="0" w:line="297" w:lineRule="auto"/>
        <w:rPr>
          <w:sz w:val="20"/>
          <w:szCs w:val="20"/>
          <w:color w:val="auto"/>
        </w:rPr>
      </w:pPr>
      <w:r>
        <w:rPr>
          <w:rFonts w:ascii="Arial" w:cs="Arial" w:eastAsia="Arial" w:hAnsi="Arial"/>
          <w:sz w:val="19"/>
          <w:szCs w:val="19"/>
          <w:color w:val="auto"/>
        </w:rPr>
        <w:t>Roche continued, “Looking forward, we remain focused on pushing the limits of innovation to develop leading edge solutions that deliver maximum impact for our customers. I am confident that ADI is well positioned to accelerate in the recovery phase and deliver value for all stakeholders as we continue to solve the toughest engineering challenges of today and tomorrow.”</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Performance for the Second Quarter of Fiscal 2020</w:t>
      </w:r>
    </w:p>
    <w:p>
      <w:pPr>
        <w:spacing w:after="0" w:line="264" w:lineRule="exact"/>
        <w:rPr>
          <w:sz w:val="20"/>
          <w:szCs w:val="20"/>
          <w:color w:val="auto"/>
        </w:rPr>
      </w:pPr>
    </w:p>
    <w:p>
      <w:pPr>
        <w:ind w:left="20"/>
        <w:spacing w:after="0"/>
        <w:rPr>
          <w:sz w:val="20"/>
          <w:szCs w:val="20"/>
          <w:color w:val="auto"/>
        </w:rPr>
      </w:pPr>
      <w:r>
        <w:rPr>
          <w:rFonts w:ascii="Arial" w:cs="Arial" w:eastAsia="Arial" w:hAnsi="Arial"/>
          <w:sz w:val="22"/>
          <w:szCs w:val="22"/>
          <w:b w:val="1"/>
          <w:bCs w:val="1"/>
          <w:u w:val="single" w:color="auto"/>
          <w:color w:val="auto"/>
        </w:rPr>
        <w:t>Results Summary</w:t>
      </w:r>
      <w:r>
        <w:rPr>
          <w:rFonts w:ascii="Arial" w:cs="Arial" w:eastAsia="Arial" w:hAnsi="Arial"/>
          <w:sz w:val="28"/>
          <w:szCs w:val="28"/>
          <w:b w:val="1"/>
          <w:bCs w:val="1"/>
          <w:color w:val="auto"/>
          <w:vertAlign w:val="superscript"/>
        </w:rPr>
        <w:t>(1)</w:t>
      </w:r>
    </w:p>
    <w:p>
      <w:pPr>
        <w:ind w:left="20"/>
        <w:spacing w:after="0"/>
        <w:rPr>
          <w:sz w:val="20"/>
          <w:szCs w:val="20"/>
          <w:color w:val="auto"/>
        </w:rPr>
      </w:pPr>
      <w:r>
        <w:rPr>
          <w:rFonts w:ascii="Arial" w:cs="Arial" w:eastAsia="Arial" w:hAnsi="Arial"/>
          <w:sz w:val="18"/>
          <w:szCs w:val="18"/>
          <w:i w:val="1"/>
          <w:iCs w:val="1"/>
          <w:color w:val="auto"/>
        </w:rPr>
        <w:t>(in millions, except per-share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184785</wp:posOffset>
            </wp:positionV>
            <wp:extent cx="38144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814445" cy="8255"/>
                    </a:xfrm>
                    <a:prstGeom prst="rect">
                      <a:avLst/>
                    </a:prstGeom>
                    <a:noFill/>
                  </pic:spPr>
                </pic:pic>
              </a:graphicData>
            </a:graphic>
          </wp:anchor>
        </w:drawing>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940" w:type="dxa"/>
            <w:vAlign w:val="bottom"/>
          </w:tcPr>
          <w:p>
            <w:pPr>
              <w:spacing w:after="0"/>
              <w:rPr>
                <w:sz w:val="20"/>
                <w:szCs w:val="20"/>
                <w:color w:val="auto"/>
              </w:rPr>
            </w:pPr>
          </w:p>
        </w:tc>
      </w:tr>
      <w:tr>
        <w:trPr>
          <w:trHeight w:val="27"/>
        </w:trPr>
        <w:tc>
          <w:tcPr>
            <w:tcW w:w="52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37"/>
        </w:trPr>
        <w:tc>
          <w:tcPr>
            <w:tcW w:w="5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2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2, 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jc w:val="right"/>
              <w:ind w:right="210"/>
              <w:spacing w:after="0"/>
              <w:rPr>
                <w:sz w:val="20"/>
                <w:szCs w:val="20"/>
                <w:color w:val="auto"/>
              </w:rPr>
            </w:pPr>
            <w:r>
              <w:rPr>
                <w:rFonts w:ascii="Arial" w:cs="Arial" w:eastAsia="Arial" w:hAnsi="Arial"/>
                <w:sz w:val="18"/>
                <w:szCs w:val="18"/>
                <w:b w:val="1"/>
                <w:bCs w:val="1"/>
                <w:color w:val="auto"/>
              </w:rPr>
              <w:t>May 4, 2019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jc w:val="right"/>
              <w:ind w:right="590"/>
              <w:spacing w:after="0"/>
              <w:rPr>
                <w:sz w:val="20"/>
                <w:szCs w:val="20"/>
                <w:color w:val="auto"/>
              </w:rPr>
            </w:pPr>
            <w:r>
              <w:rPr>
                <w:rFonts w:ascii="Arial" w:cs="Arial" w:eastAsia="Arial" w:hAnsi="Arial"/>
                <w:sz w:val="18"/>
                <w:szCs w:val="18"/>
                <w:b w:val="1"/>
                <w:bCs w:val="1"/>
                <w:color w:val="auto"/>
              </w:rPr>
              <w:t>Change</w:t>
            </w:r>
          </w:p>
        </w:tc>
      </w:tr>
      <w:tr>
        <w:trPr>
          <w:trHeight w:val="27"/>
        </w:trPr>
        <w:tc>
          <w:tcPr>
            <w:tcW w:w="52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1,317</w:t>
            </w:r>
          </w:p>
        </w:tc>
        <w:tc>
          <w:tcPr>
            <w:tcW w:w="4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847</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 percentage</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 bps)</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470</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(470 bps)</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0.98</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5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6"/>
        </w:trPr>
        <w:tc>
          <w:tcPr>
            <w:tcW w:w="52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40" w:type="dxa"/>
            <w:vAlign w:val="bottom"/>
            <w:shd w:val="clear" w:color="auto" w:fill="CCEEFF"/>
          </w:tcPr>
          <w:p>
            <w:pPr>
              <w:spacing w:after="0"/>
              <w:rPr>
                <w:sz w:val="22"/>
                <w:szCs w:val="22"/>
                <w:color w:val="auto"/>
              </w:rPr>
            </w:pPr>
          </w:p>
        </w:tc>
      </w:tr>
    </w:tbl>
    <w:p>
      <w:pPr>
        <w:ind w:left="20"/>
        <w:spacing w:after="0"/>
        <w:rPr>
          <w:sz w:val="20"/>
          <w:szCs w:val="20"/>
          <w:color w:val="auto"/>
        </w:rPr>
      </w:pPr>
      <w:r>
        <w:rPr>
          <w:rFonts w:ascii="Arial" w:cs="Arial" w:eastAsia="Arial" w:hAnsi="Arial"/>
          <w:sz w:val="22"/>
          <w:szCs w:val="22"/>
          <w:b w:val="1"/>
          <w:bCs w:val="1"/>
          <w:color w:val="auto"/>
        </w:rPr>
        <w:t>Adjusted Results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0" w:type="dxa"/>
            <w:vAlign w:val="bottom"/>
            <w:shd w:val="clear" w:color="auto" w:fill="CCEEFF"/>
          </w:tcPr>
          <w:p>
            <w:pPr>
              <w:spacing w:after="0"/>
              <w:rPr>
                <w:sz w:val="23"/>
                <w:szCs w:val="23"/>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Adjusted gross margin</w:t>
            </w:r>
          </w:p>
        </w:tc>
        <w:tc>
          <w:tcPr>
            <w:tcW w:w="18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Adjusted gross margin percentage</w:t>
            </w:r>
          </w:p>
        </w:tc>
        <w:tc>
          <w:tcPr>
            <w:tcW w:w="18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67.7</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70.6</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(290 bps)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operating income</w:t>
            </w:r>
          </w:p>
        </w:tc>
        <w:tc>
          <w:tcPr>
            <w:tcW w:w="1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Adjusted operating margin</w:t>
            </w:r>
          </w:p>
        </w:tc>
        <w:tc>
          <w:tcPr>
            <w:tcW w:w="18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41.5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(350 bps)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Adjusted diluted earnings per share</w:t>
            </w:r>
          </w:p>
        </w:tc>
        <w:tc>
          <w:tcPr>
            <w:tcW w:w="18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520" w:type="dxa"/>
            <w:vAlign w:val="bottom"/>
          </w:tcPr>
          <w:p>
            <w:pPr>
              <w:spacing w:after="0"/>
              <w:rPr>
                <w:sz w:val="23"/>
                <w:szCs w:val="23"/>
                <w:color w:val="auto"/>
              </w:rPr>
            </w:pPr>
          </w:p>
        </w:tc>
        <w:tc>
          <w:tcPr>
            <w:tcW w:w="18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gridSpan w:val="2"/>
          </w:tcPr>
          <w:p>
            <w:pPr>
              <w:spacing w:after="0"/>
              <w:rPr>
                <w:sz w:val="23"/>
                <w:szCs w:val="23"/>
                <w:color w:val="auto"/>
              </w:rPr>
            </w:pPr>
          </w:p>
        </w:tc>
        <w:tc>
          <w:tcPr>
            <w:tcW w:w="100" w:type="dxa"/>
            <w:vAlign w:val="bottom"/>
          </w:tcPr>
          <w:p>
            <w:pPr>
              <w:spacing w:after="0"/>
              <w:rPr>
                <w:sz w:val="23"/>
                <w:szCs w:val="23"/>
                <w:color w:val="auto"/>
              </w:rPr>
            </w:pPr>
          </w:p>
        </w:tc>
        <w:tc>
          <w:tcPr>
            <w:tcW w:w="1940" w:type="dxa"/>
            <w:vAlign w:val="bottom"/>
            <w:tcBorders>
              <w:bottom w:val="single" w:sz="8" w:color="auto"/>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Generation</w:t>
            </w: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vMerge w:val="continue"/>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May 2,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May 2, 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80" w:type="dxa"/>
            <w:vAlign w:val="bottom"/>
            <w:tcBorders>
              <w:top w:val="single" w:sz="8" w:color="auto"/>
              <w:bottom w:val="single" w:sz="8" w:color="CCEEFF"/>
            </w:tcBorders>
          </w:tcPr>
          <w:p>
            <w:pPr>
              <w:spacing w:after="0"/>
              <w:rPr>
                <w:sz w:val="4"/>
                <w:szCs w:val="4"/>
                <w:color w:val="auto"/>
              </w:rPr>
            </w:pPr>
          </w:p>
        </w:tc>
        <w:tc>
          <w:tcPr>
            <w:tcW w:w="400" w:type="dxa"/>
            <w:vAlign w:val="bottom"/>
            <w:tcBorders>
              <w:top w:val="single" w:sz="8" w:color="auto"/>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 of revenue</w:t>
            </w: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Free cash flow</w:t>
            </w: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50"/>
              <w:spacing w:after="0"/>
              <w:rPr>
                <w:sz w:val="20"/>
                <w:szCs w:val="20"/>
                <w:color w:val="auto"/>
              </w:rPr>
            </w:pPr>
            <w:r>
              <w:rPr>
                <w:rFonts w:ascii="Arial" w:cs="Arial" w:eastAsia="Arial" w:hAnsi="Arial"/>
                <w:sz w:val="18"/>
                <w:szCs w:val="18"/>
                <w:color w:val="auto"/>
              </w:rPr>
              <w:t>1,765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of revenue</w:t>
            </w:r>
          </w:p>
        </w:tc>
        <w:tc>
          <w:tcPr>
            <w:tcW w:w="1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gridSpan w:val="2"/>
          </w:tcPr>
          <w:p>
            <w:pPr>
              <w:spacing w:after="0"/>
              <w:rPr>
                <w:sz w:val="22"/>
                <w:szCs w:val="22"/>
                <w:color w:val="auto"/>
              </w:rPr>
            </w:pPr>
          </w:p>
        </w:tc>
        <w:tc>
          <w:tcPr>
            <w:tcW w:w="100" w:type="dxa"/>
            <w:vAlign w:val="bottom"/>
          </w:tcPr>
          <w:p>
            <w:pPr>
              <w:spacing w:after="0"/>
              <w:rPr>
                <w:sz w:val="22"/>
                <w:szCs w:val="22"/>
                <w:color w:val="auto"/>
              </w:rPr>
            </w:pPr>
          </w:p>
        </w:tc>
        <w:tc>
          <w:tcPr>
            <w:tcW w:w="1940" w:type="dxa"/>
            <w:vAlign w:val="bottom"/>
            <w:tcBorders>
              <w:bottom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Three Months Ended</w:t>
            </w:r>
          </w:p>
        </w:tc>
        <w:tc>
          <w:tcPr>
            <w:tcW w:w="19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Trailing Twelve Months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gridSpan w:val="3"/>
            <w:vMerge w:val="restart"/>
          </w:tcPr>
          <w:p>
            <w:pPr>
              <w:spacing w:after="0"/>
              <w:rPr>
                <w:sz w:val="20"/>
                <w:szCs w:val="20"/>
                <w:color w:val="auto"/>
              </w:rPr>
            </w:pPr>
            <w:r>
              <w:rPr>
                <w:rFonts w:ascii="Arial" w:cs="Arial" w:eastAsia="Arial" w:hAnsi="Arial"/>
                <w:sz w:val="22"/>
                <w:szCs w:val="22"/>
                <w:b w:val="1"/>
                <w:bCs w:val="1"/>
                <w:color w:val="auto"/>
              </w:rPr>
              <w:t>Cash Return</w:t>
            </w:r>
          </w:p>
        </w:tc>
        <w:tc>
          <w:tcPr>
            <w:tcW w:w="186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3"/>
            <w:vMerge w:val="continue"/>
          </w:tcPr>
          <w:p>
            <w:pPr>
              <w:spacing w:after="0"/>
              <w:rPr>
                <w:sz w:val="18"/>
                <w:szCs w:val="18"/>
                <w:color w:val="auto"/>
              </w:rPr>
            </w:pPr>
          </w:p>
        </w:tc>
        <w:tc>
          <w:tcPr>
            <w:tcW w:w="18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3"/>
              </w:rPr>
              <w:t>May 2, 2020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center"/>
              <w:ind w:right="230"/>
              <w:spacing w:after="0"/>
              <w:rPr>
                <w:sz w:val="20"/>
                <w:szCs w:val="20"/>
                <w:color w:val="auto"/>
              </w:rPr>
            </w:pPr>
            <w:r>
              <w:rPr>
                <w:rFonts w:ascii="Arial" w:cs="Arial" w:eastAsia="Arial" w:hAnsi="Arial"/>
                <w:sz w:val="18"/>
                <w:szCs w:val="18"/>
                <w:b w:val="1"/>
                <w:bCs w:val="1"/>
                <w:color w:val="auto"/>
                <w:w w:val="93"/>
              </w:rPr>
              <w:t>May 2, 2020</w:t>
            </w:r>
          </w:p>
        </w:tc>
        <w:tc>
          <w:tcPr>
            <w:tcW w:w="0" w:type="dxa"/>
            <w:vAlign w:val="bottom"/>
          </w:tcPr>
          <w:p>
            <w:pPr>
              <w:spacing w:after="0"/>
              <w:rPr>
                <w:sz w:val="1"/>
                <w:szCs w:val="1"/>
                <w:color w:val="auto"/>
              </w:rPr>
            </w:pPr>
          </w:p>
        </w:tc>
      </w:tr>
      <w:tr>
        <w:trPr>
          <w:trHeight w:val="48"/>
        </w:trPr>
        <w:tc>
          <w:tcPr>
            <w:tcW w:w="20" w:type="dxa"/>
            <w:vAlign w:val="bottom"/>
            <w:tcBorders>
              <w:bottom w:val="single" w:sz="8" w:color="CCEEFF"/>
            </w:tcBorders>
          </w:tcPr>
          <w:p>
            <w:pPr>
              <w:spacing w:after="0"/>
              <w:rPr>
                <w:sz w:val="4"/>
                <w:szCs w:val="4"/>
                <w:color w:val="auto"/>
              </w:rPr>
            </w:pPr>
          </w:p>
        </w:tc>
        <w:tc>
          <w:tcPr>
            <w:tcW w:w="1180" w:type="dxa"/>
            <w:vAlign w:val="bottom"/>
            <w:tcBorders>
              <w:top w:val="single" w:sz="8" w:color="auto"/>
              <w:bottom w:val="single" w:sz="8" w:color="CCEEFF"/>
            </w:tcBorders>
          </w:tcPr>
          <w:p>
            <w:pPr>
              <w:spacing w:after="0"/>
              <w:rPr>
                <w:sz w:val="4"/>
                <w:szCs w:val="4"/>
                <w:color w:val="auto"/>
              </w:rPr>
            </w:pPr>
          </w:p>
        </w:tc>
        <w:tc>
          <w:tcPr>
            <w:tcW w:w="400" w:type="dxa"/>
            <w:vAlign w:val="bottom"/>
            <w:tcBorders>
              <w:bottom w:val="single" w:sz="8" w:color="CCEEFF"/>
            </w:tcBorders>
          </w:tcPr>
          <w:p>
            <w:pPr>
              <w:spacing w:after="0"/>
              <w:rPr>
                <w:sz w:val="4"/>
                <w:szCs w:val="4"/>
                <w:color w:val="auto"/>
              </w:rPr>
            </w:pPr>
          </w:p>
        </w:tc>
        <w:tc>
          <w:tcPr>
            <w:tcW w:w="2520" w:type="dxa"/>
            <w:vAlign w:val="bottom"/>
            <w:tcBorders>
              <w:bottom w:val="single" w:sz="8" w:color="CCEEFF"/>
            </w:tcBorders>
          </w:tcPr>
          <w:p>
            <w:pPr>
              <w:spacing w:after="0"/>
              <w:rPr>
                <w:sz w:val="4"/>
                <w:szCs w:val="4"/>
                <w:color w:val="auto"/>
              </w:rPr>
            </w:pPr>
          </w:p>
        </w:tc>
        <w:tc>
          <w:tcPr>
            <w:tcW w:w="1860" w:type="dxa"/>
            <w:vAlign w:val="bottom"/>
            <w:tcBorders>
              <w:bottom w:val="single" w:sz="8" w:color="CCEEFF"/>
            </w:tcBorders>
          </w:tcPr>
          <w:p>
            <w:pPr>
              <w:spacing w:after="0"/>
              <w:rPr>
                <w:sz w:val="4"/>
                <w:szCs w:val="4"/>
                <w:color w:val="auto"/>
              </w:rPr>
            </w:pPr>
          </w:p>
        </w:tc>
        <w:tc>
          <w:tcPr>
            <w:tcW w:w="98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Dividend paid</w:t>
            </w:r>
          </w:p>
        </w:tc>
        <w:tc>
          <w:tcPr>
            <w:tcW w:w="18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Stock repurchases</w:t>
            </w: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4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cash returned</w:t>
            </w:r>
          </w:p>
        </w:tc>
        <w:tc>
          <w:tcPr>
            <w:tcW w:w="18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(1,332)</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c>
          <w:tcPr>
            <w:tcW w:w="18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The sum and/or computation of the individual amounts may not equal the total due to rounding.</w:t>
      </w:r>
    </w:p>
    <w:p>
      <w:pPr>
        <w:sectPr>
          <w:pgSz w:w="11900" w:h="16838" w:orient="portrait"/>
          <w:cols w:equalWidth="0" w:num="1">
            <w:col w:w="11240"/>
          </w:cols>
          <w:pgMar w:left="320" w:top="895" w:right="339" w:bottom="144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u w:val="single" w:color="auto"/>
          <w:color w:val="auto"/>
        </w:rPr>
        <w:t>Outlook for the Third Quarter of Fiscal Year 2020</w:t>
      </w:r>
    </w:p>
    <w:p>
      <w:pPr>
        <w:spacing w:after="0" w:line="23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For the third quarter of fiscal 2020, we are forecasting revenue of $1.32 billion, +/- $70 million. At the midpoint of this revenue outlook, we expect reported operating margins of approximately 26.4%, +/-200 bps, and adjusted operating margins of approximately 38.3%, +/-150 bps. We are planning for reported EPS to be $0.72, +/-$0.11, and adjusted EPS to be $1.08, +/-$0.11.</w:t>
      </w:r>
    </w:p>
    <w:p>
      <w:pPr>
        <w:spacing w:after="0" w:line="225"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Our third quarter fiscal 2020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15"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Dividend Payment</w:t>
      </w:r>
    </w:p>
    <w:p>
      <w:pPr>
        <w:spacing w:after="0" w:line="253" w:lineRule="exact"/>
        <w:rPr>
          <w:sz w:val="20"/>
          <w:szCs w:val="20"/>
          <w:color w:val="auto"/>
        </w:rPr>
      </w:pPr>
    </w:p>
    <w:p>
      <w:pPr>
        <w:ind w:right="700"/>
        <w:spacing w:after="0" w:line="343" w:lineRule="auto"/>
        <w:rPr>
          <w:sz w:val="20"/>
          <w:szCs w:val="20"/>
          <w:color w:val="auto"/>
        </w:rPr>
      </w:pPr>
      <w:r>
        <w:rPr>
          <w:rFonts w:ascii="Arial" w:cs="Arial" w:eastAsia="Arial" w:hAnsi="Arial"/>
          <w:sz w:val="19"/>
          <w:szCs w:val="19"/>
          <w:color w:val="auto"/>
        </w:rPr>
        <w:t>The ADI Board of Directors has declared a quarterly cash dividend of $0.62 per outstanding share of common stock. The dividend will be paid on June 9, 2020 to all shareholders of record at the close of business on May 29, 2020.</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Scheduled for Today, Wednesday, May 20, 2020 at 10:00 am ET</w:t>
      </w:r>
    </w:p>
    <w:p>
      <w:pPr>
        <w:spacing w:after="0" w:line="253"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ADI will host a conference call to discuss our second quarter fiscal 2020 results and short-term outlook today, beginning at 10:00 am ET. Investors may join via webcast, accessible at investor.analog.com, or by telephone (call 800-859-9560, or 706-634-7193 for international calls, ten minutes before the call begins and provide the password "ADI").</w:t>
      </w:r>
    </w:p>
    <w:p>
      <w:pPr>
        <w:spacing w:after="0" w:line="194" w:lineRule="exact"/>
        <w:rPr>
          <w:sz w:val="20"/>
          <w:szCs w:val="20"/>
          <w:color w:val="auto"/>
        </w:rPr>
      </w:pPr>
    </w:p>
    <w:p>
      <w:pPr>
        <w:ind w:right="100"/>
        <w:spacing w:after="0" w:line="287" w:lineRule="auto"/>
        <w:rPr>
          <w:sz w:val="20"/>
          <w:szCs w:val="20"/>
          <w:color w:val="auto"/>
        </w:rPr>
      </w:pPr>
      <w:r>
        <w:rPr>
          <w:rFonts w:ascii="Arial" w:cs="Arial" w:eastAsia="Arial" w:hAnsi="Arial"/>
          <w:sz w:val="21"/>
          <w:szCs w:val="21"/>
          <w:color w:val="auto"/>
        </w:rPr>
        <w:t>A replay will be available two hours after the completion of the call. The replay may be accessed for up to two weeks by dialing 855-859-2056 (replay only) and providing the conference ID: 4990445, or by visiting investor.analog.com.</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Information</w:t>
      </w:r>
    </w:p>
    <w:p>
      <w:pPr>
        <w:spacing w:after="0" w:line="253"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 comparable financial measures calculated and presented in accordance with GAAP are provided in the financial tables included in this release.</w:t>
      </w:r>
    </w:p>
    <w:p>
      <w:pPr>
        <w:sectPr>
          <w:pgSz w:w="11900" w:h="16838" w:orient="portrait"/>
          <w:cols w:equalWidth="0" w:num="1">
            <w:col w:w="11180"/>
          </w:cols>
          <w:pgMar w:left="320" w:top="895" w:right="399" w:bottom="1440" w:gutter="0" w:footer="0" w:header="0"/>
        </w:sectPr>
      </w:pPr>
    </w:p>
    <w:bookmarkStart w:id="6" w:name="page7"/>
    <w:bookmarkEnd w:id="6"/>
    <w:p>
      <w:pPr>
        <w:spacing w:after="0" w:line="258" w:lineRule="auto"/>
        <w:rPr>
          <w:sz w:val="20"/>
          <w:szCs w:val="20"/>
          <w:color w:val="auto"/>
        </w:rPr>
      </w:pPr>
      <w:r>
        <w:rPr>
          <w:rFonts w:ascii="Arial" w:cs="Arial" w:eastAsia="Arial" w:hAnsi="Arial"/>
          <w:sz w:val="21"/>
          <w:szCs w:val="21"/>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free cash flow, and free cash flow margin percentage.</w:t>
      </w:r>
    </w:p>
    <w:p>
      <w:pPr>
        <w:spacing w:after="0" w:line="66" w:lineRule="exact"/>
        <w:rPr>
          <w:sz w:val="20"/>
          <w:szCs w:val="20"/>
          <w:color w:val="auto"/>
        </w:rPr>
      </w:pPr>
    </w:p>
    <w:p>
      <w:pPr>
        <w:ind w:right="300"/>
        <w:spacing w:after="0" w:line="228" w:lineRule="auto"/>
        <w:rPr>
          <w:sz w:val="20"/>
          <w:szCs w:val="20"/>
          <w:color w:val="auto"/>
        </w:rPr>
      </w:pPr>
      <w:r>
        <w:rPr>
          <w:rFonts w:ascii="Arial" w:cs="Arial" w:eastAsia="Arial" w:hAnsi="Arial"/>
          <w:sz w:val="22"/>
          <w:szCs w:val="22"/>
          <w:color w:val="auto"/>
        </w:rPr>
        <w:t xml:space="preserve">Adjusted gross margin is defined as gross margin, determined in accordance with GAAP, excluding certain </w:t>
      </w:r>
      <w:r>
        <w:rPr>
          <w:rFonts w:ascii="Arial" w:cs="Arial" w:eastAsia="Arial" w:hAnsi="Arial"/>
          <w:sz w:val="22"/>
          <w:szCs w:val="22"/>
          <w:i w:val="1"/>
          <w:iCs w:val="1"/>
          <w:color w:val="auto"/>
        </w:rPr>
        <w:t>acquisition-related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color w:val="auto"/>
          <w:vertAlign w:val="superscript"/>
        </w:rPr>
        <w:t>1</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gross margin percentage represents adjusted gross margin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revenue.</w:t>
      </w:r>
    </w:p>
    <w:p>
      <w:pPr>
        <w:spacing w:after="0" w:line="77" w:lineRule="exact"/>
        <w:rPr>
          <w:sz w:val="20"/>
          <w:szCs w:val="20"/>
          <w:color w:val="auto"/>
        </w:rPr>
      </w:pPr>
    </w:p>
    <w:p>
      <w:pPr>
        <w:ind w:right="40"/>
        <w:spacing w:after="0" w:line="254" w:lineRule="auto"/>
        <w:rPr>
          <w:sz w:val="20"/>
          <w:szCs w:val="20"/>
          <w:color w:val="auto"/>
        </w:rPr>
      </w:pPr>
      <w:r>
        <w:rPr>
          <w:rFonts w:ascii="Arial" w:cs="Arial" w:eastAsia="Arial" w:hAnsi="Arial"/>
          <w:sz w:val="20"/>
          <w:szCs w:val="20"/>
          <w:color w:val="auto"/>
        </w:rPr>
        <w:t xml:space="preserve">Adjusted operating expenses is defined as operating expenses, determined in accordance with GAAP, excluding: certain </w:t>
      </w:r>
      <w:r>
        <w:rPr>
          <w:rFonts w:ascii="Arial" w:cs="Arial" w:eastAsia="Arial" w:hAnsi="Arial"/>
          <w:sz w:val="20"/>
          <w:szCs w:val="20"/>
          <w:i w:val="1"/>
          <w:iCs w:val="1"/>
          <w:color w:val="auto"/>
        </w:rPr>
        <w:t>acquisition-related expenses</w:t>
      </w:r>
      <w:r>
        <w:rPr>
          <w:rFonts w:ascii="Arial" w:cs="Arial" w:eastAsia="Arial" w:hAnsi="Arial"/>
          <w:sz w:val="26"/>
          <w:szCs w:val="26"/>
          <w:i w:val="1"/>
          <w:iCs w:val="1"/>
          <w:color w:val="auto"/>
          <w:vertAlign w:val="superscript"/>
        </w:rPr>
        <w:t>1</w:t>
      </w:r>
      <w:r>
        <w:rPr>
          <w:rFonts w:ascii="Arial" w:cs="Arial" w:eastAsia="Arial" w:hAnsi="Arial"/>
          <w:sz w:val="20"/>
          <w:szCs w:val="20"/>
          <w:color w:val="auto"/>
        </w:rPr>
        <w:t>;</w:t>
      </w:r>
      <w:r>
        <w:rPr>
          <w:rFonts w:ascii="Arial" w:cs="Arial" w:eastAsia="Arial" w:hAnsi="Arial"/>
          <w:sz w:val="20"/>
          <w:szCs w:val="20"/>
          <w:i w:val="1"/>
          <w:iCs w:val="1"/>
          <w:color w:val="auto"/>
        </w:rPr>
        <w:t xml:space="preserve"> restructuring related expense</w:t>
      </w:r>
      <w:r>
        <w:rPr>
          <w:rFonts w:ascii="Arial" w:cs="Arial" w:eastAsia="Arial" w:hAnsi="Arial"/>
          <w:sz w:val="26"/>
          <w:szCs w:val="26"/>
          <w:i w:val="1"/>
          <w:iCs w:val="1"/>
          <w:color w:val="auto"/>
          <w:vertAlign w:val="superscript"/>
        </w:rPr>
        <w:t>2</w:t>
      </w:r>
      <w:r>
        <w:rPr>
          <w:rFonts w:ascii="Arial" w:cs="Arial" w:eastAsia="Arial" w:hAnsi="Arial"/>
          <w:sz w:val="20"/>
          <w:szCs w:val="20"/>
          <w:color w:val="auto"/>
        </w:rPr>
        <w:t>; and</w:t>
      </w:r>
      <w:r>
        <w:rPr>
          <w:rFonts w:ascii="Arial" w:cs="Arial" w:eastAsia="Arial" w:hAnsi="Arial"/>
          <w:sz w:val="20"/>
          <w:szCs w:val="20"/>
          <w:i w:val="1"/>
          <w:iCs w:val="1"/>
          <w:color w:val="auto"/>
        </w:rPr>
        <w:t xml:space="preserve"> charitable foundation contribution</w:t>
      </w:r>
      <w:r>
        <w:rPr>
          <w:rFonts w:ascii="Arial" w:cs="Arial" w:eastAsia="Arial" w:hAnsi="Arial"/>
          <w:sz w:val="26"/>
          <w:szCs w:val="26"/>
          <w:i w:val="1"/>
          <w:iCs w:val="1"/>
          <w:color w:val="auto"/>
          <w:vertAlign w:val="superscript"/>
        </w:rPr>
        <w:t>3</w:t>
      </w:r>
      <w:r>
        <w:rPr>
          <w:rFonts w:ascii="Arial" w:cs="Arial" w:eastAsia="Arial" w:hAnsi="Arial"/>
          <w:sz w:val="20"/>
          <w:szCs w:val="20"/>
          <w:i w:val="1"/>
          <w:iCs w:val="1"/>
          <w:color w:val="auto"/>
        </w:rPr>
        <w:t xml:space="preserve"> </w:t>
      </w:r>
      <w:r>
        <w:rPr>
          <w:rFonts w:ascii="Arial" w:cs="Arial" w:eastAsia="Arial" w:hAnsi="Arial"/>
          <w:sz w:val="20"/>
          <w:szCs w:val="20"/>
          <w:color w:val="auto"/>
        </w:rPr>
        <w:t>which are described further</w:t>
      </w:r>
      <w:r>
        <w:rPr>
          <w:rFonts w:ascii="Arial" w:cs="Arial" w:eastAsia="Arial" w:hAnsi="Arial"/>
          <w:sz w:val="20"/>
          <w:szCs w:val="20"/>
          <w:i w:val="1"/>
          <w:iCs w:val="1"/>
          <w:color w:val="auto"/>
        </w:rPr>
        <w:t xml:space="preserve"> </w:t>
      </w:r>
      <w:r>
        <w:rPr>
          <w:rFonts w:ascii="Arial" w:cs="Arial" w:eastAsia="Arial" w:hAnsi="Arial"/>
          <w:sz w:val="20"/>
          <w:szCs w:val="20"/>
          <w:color w:val="auto"/>
        </w:rPr>
        <w:t>below. Adjusted operating expenses percentage represents adjusted operating expenses divided by revenue.</w:t>
      </w:r>
    </w:p>
    <w:p>
      <w:pPr>
        <w:spacing w:after="0" w:line="47" w:lineRule="exact"/>
        <w:rPr>
          <w:sz w:val="20"/>
          <w:szCs w:val="20"/>
          <w:color w:val="auto"/>
        </w:rPr>
      </w:pPr>
    </w:p>
    <w:p>
      <w:pPr>
        <w:ind w:right="100"/>
        <w:spacing w:after="0" w:line="228" w:lineRule="auto"/>
        <w:rPr>
          <w:sz w:val="20"/>
          <w:szCs w:val="20"/>
          <w:color w:val="auto"/>
        </w:rPr>
      </w:pPr>
      <w:r>
        <w:rPr>
          <w:rFonts w:ascii="Arial" w:cs="Arial" w:eastAsia="Arial" w:hAnsi="Arial"/>
          <w:sz w:val="22"/>
          <w:szCs w:val="22"/>
          <w:color w:val="auto"/>
        </w:rPr>
        <w:t xml:space="preserve">Adjusted operating income is defined as operating income, determined in accordance with GAAP, excluding: </w:t>
      </w:r>
      <w:r>
        <w:rPr>
          <w:rFonts w:ascii="Arial" w:cs="Arial" w:eastAsia="Arial" w:hAnsi="Arial"/>
          <w:sz w:val="22"/>
          <w:szCs w:val="22"/>
          <w:i w:val="1"/>
          <w:iCs w:val="1"/>
          <w:color w:val="auto"/>
        </w:rPr>
        <w:t>acquisition-related</w:t>
      </w:r>
      <w:r>
        <w:rPr>
          <w:rFonts w:ascii="Arial" w:cs="Arial" w:eastAsia="Arial" w:hAnsi="Arial"/>
          <w:sz w:val="22"/>
          <w:szCs w:val="22"/>
          <w:color w:val="auto"/>
        </w:rPr>
        <w:t xml:space="preserve"> </w:t>
      </w:r>
      <w:r>
        <w:rPr>
          <w:rFonts w:ascii="Arial" w:cs="Arial" w:eastAsia="Arial" w:hAnsi="Arial"/>
          <w:sz w:val="22"/>
          <w:szCs w:val="22"/>
          <w:i w:val="1"/>
          <w:iCs w:val="1"/>
          <w:color w:val="auto"/>
        </w:rPr>
        <w:t>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w:t>
      </w:r>
      <w:r>
        <w:rPr>
          <w:rFonts w:ascii="Arial" w:cs="Arial" w:eastAsia="Arial" w:hAnsi="Arial"/>
          <w:sz w:val="22"/>
          <w:szCs w:val="22"/>
          <w:i w:val="1"/>
          <w:iCs w:val="1"/>
          <w:color w:val="auto"/>
        </w:rPr>
        <w:t xml:space="preserve"> restructuring related expense</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and</w:t>
      </w:r>
      <w:r>
        <w:rPr>
          <w:rFonts w:ascii="Arial" w:cs="Arial" w:eastAsia="Arial" w:hAnsi="Arial"/>
          <w:sz w:val="22"/>
          <w:szCs w:val="22"/>
          <w:i w:val="1"/>
          <w:iCs w:val="1"/>
          <w:color w:val="auto"/>
        </w:rPr>
        <w:t xml:space="preserve"> charitable foundation contribution</w:t>
      </w:r>
      <w:r>
        <w:rPr>
          <w:rFonts w:ascii="Arial" w:cs="Arial" w:eastAsia="Arial" w:hAnsi="Arial"/>
          <w:sz w:val="28"/>
          <w:szCs w:val="28"/>
          <w:i w:val="1"/>
          <w:iCs w:val="1"/>
          <w:color w:val="auto"/>
          <w:vertAlign w:val="superscript"/>
        </w:rPr>
        <w:t>3</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w:t>
      </w:r>
      <w:r>
        <w:rPr>
          <w:rFonts w:ascii="Arial" w:cs="Arial" w:eastAsia="Arial" w:hAnsi="Arial"/>
          <w:sz w:val="22"/>
          <w:szCs w:val="22"/>
          <w:i w:val="1"/>
          <w:iCs w:val="1"/>
          <w:color w:val="auto"/>
        </w:rPr>
        <w:t xml:space="preserve"> </w:t>
      </w:r>
      <w:r>
        <w:rPr>
          <w:rFonts w:ascii="Arial" w:cs="Arial" w:eastAsia="Arial" w:hAnsi="Arial"/>
          <w:sz w:val="22"/>
          <w:szCs w:val="22"/>
          <w:color w:val="auto"/>
        </w:rPr>
        <w:t>operating margin represents adjusted operating income divided by revenue.</w:t>
      </w:r>
    </w:p>
    <w:p>
      <w:pPr>
        <w:spacing w:after="0" w:line="77" w:lineRule="exact"/>
        <w:rPr>
          <w:sz w:val="20"/>
          <w:szCs w:val="20"/>
          <w:color w:val="auto"/>
        </w:rPr>
      </w:pPr>
    </w:p>
    <w:p>
      <w:pPr>
        <w:ind w:right="580"/>
        <w:spacing w:after="0" w:line="210" w:lineRule="auto"/>
        <w:rPr>
          <w:sz w:val="20"/>
          <w:szCs w:val="20"/>
          <w:color w:val="auto"/>
        </w:rPr>
      </w:pPr>
      <w:r>
        <w:rPr>
          <w:rFonts w:ascii="Arial" w:cs="Arial" w:eastAsia="Arial" w:hAnsi="Arial"/>
          <w:sz w:val="22"/>
          <w:szCs w:val="22"/>
          <w:color w:val="auto"/>
        </w:rPr>
        <w:t xml:space="preserve">Adjusted income before income taxes is defined as income before income taxes, determined in accordance with GAAP, excluding: </w:t>
      </w:r>
      <w:r>
        <w:rPr>
          <w:rFonts w:ascii="Arial" w:cs="Arial" w:eastAsia="Arial" w:hAnsi="Arial"/>
          <w:sz w:val="22"/>
          <w:szCs w:val="22"/>
          <w:i w:val="1"/>
          <w:iCs w:val="1"/>
          <w:color w:val="auto"/>
        </w:rPr>
        <w:t>acquisition-related expenses</w:t>
      </w:r>
      <w:r>
        <w:rPr>
          <w:rFonts w:ascii="Arial" w:cs="Arial" w:eastAsia="Arial" w:hAnsi="Arial"/>
          <w:sz w:val="28"/>
          <w:szCs w:val="28"/>
          <w:i w:val="1"/>
          <w:iCs w:val="1"/>
          <w:color w:val="auto"/>
          <w:vertAlign w:val="superscript"/>
        </w:rPr>
        <w:t>1</w:t>
      </w:r>
      <w:r>
        <w:rPr>
          <w:rFonts w:ascii="Arial" w:cs="Arial" w:eastAsia="Arial" w:hAnsi="Arial"/>
          <w:sz w:val="22"/>
          <w:szCs w:val="22"/>
          <w:color w:val="auto"/>
        </w:rPr>
        <w:t xml:space="preserve">; </w:t>
      </w:r>
      <w:r>
        <w:rPr>
          <w:rFonts w:ascii="Arial" w:cs="Arial" w:eastAsia="Arial" w:hAnsi="Arial"/>
          <w:sz w:val="22"/>
          <w:szCs w:val="22"/>
          <w:i w:val="1"/>
          <w:iCs w:val="1"/>
          <w:color w:val="auto"/>
        </w:rPr>
        <w:t>restructuring related expense</w:t>
      </w:r>
      <w:r>
        <w:rPr>
          <w:rFonts w:ascii="Arial" w:cs="Arial" w:eastAsia="Arial" w:hAnsi="Arial"/>
          <w:sz w:val="28"/>
          <w:szCs w:val="28"/>
          <w:i w:val="1"/>
          <w:iCs w:val="1"/>
          <w:color w:val="auto"/>
          <w:vertAlign w:val="superscript"/>
        </w:rPr>
        <w:t>2</w:t>
      </w:r>
      <w:r>
        <w:rPr>
          <w:rFonts w:ascii="Arial" w:cs="Arial" w:eastAsia="Arial" w:hAnsi="Arial"/>
          <w:sz w:val="22"/>
          <w:szCs w:val="22"/>
          <w:color w:val="auto"/>
        </w:rPr>
        <w:t xml:space="preserve">; and </w:t>
      </w:r>
      <w:r>
        <w:rPr>
          <w:rFonts w:ascii="Arial" w:cs="Arial" w:eastAsia="Arial" w:hAnsi="Arial"/>
          <w:sz w:val="22"/>
          <w:szCs w:val="22"/>
          <w:i w:val="1"/>
          <w:iCs w:val="1"/>
          <w:color w:val="auto"/>
        </w:rPr>
        <w:t>charitable foundation contribution</w:t>
      </w:r>
      <w:r>
        <w:rPr>
          <w:rFonts w:ascii="Arial" w:cs="Arial" w:eastAsia="Arial" w:hAnsi="Arial"/>
          <w:sz w:val="28"/>
          <w:szCs w:val="28"/>
          <w:i w:val="1"/>
          <w:iCs w:val="1"/>
          <w:color w:val="auto"/>
          <w:vertAlign w:val="superscript"/>
        </w:rPr>
        <w:t>3</w:t>
      </w:r>
      <w:r>
        <w:rPr>
          <w:rFonts w:ascii="Arial" w:cs="Arial" w:eastAsia="Arial" w:hAnsi="Arial"/>
          <w:sz w:val="22"/>
          <w:szCs w:val="22"/>
          <w:color w:val="auto"/>
        </w:rPr>
        <w:t xml:space="preserve"> which are described further below.</w:t>
      </w:r>
    </w:p>
    <w:p>
      <w:pPr>
        <w:spacing w:after="0" w:line="79" w:lineRule="exact"/>
        <w:rPr>
          <w:sz w:val="20"/>
          <w:szCs w:val="20"/>
          <w:color w:val="auto"/>
        </w:rPr>
      </w:pPr>
    </w:p>
    <w:p>
      <w:pPr>
        <w:ind w:right="140"/>
        <w:spacing w:after="0" w:line="228" w:lineRule="auto"/>
        <w:rPr>
          <w:sz w:val="20"/>
          <w:szCs w:val="20"/>
          <w:color w:val="auto"/>
        </w:rPr>
      </w:pPr>
      <w:r>
        <w:rPr>
          <w:rFonts w:ascii="Arial" w:cs="Arial" w:eastAsia="Arial" w:hAnsi="Arial"/>
          <w:sz w:val="22"/>
          <w:szCs w:val="22"/>
          <w:color w:val="auto"/>
        </w:rPr>
        <w:t xml:space="preserve">Adjusted provision for income taxes is defined as provision for income taxes, determined in accordance with GAAP, excluding </w:t>
      </w:r>
      <w:r>
        <w:rPr>
          <w:rFonts w:ascii="Arial" w:cs="Arial" w:eastAsia="Arial" w:hAnsi="Arial"/>
          <w:sz w:val="22"/>
          <w:szCs w:val="22"/>
          <w:i w:val="1"/>
          <w:iCs w:val="1"/>
          <w:color w:val="auto"/>
        </w:rPr>
        <w:t>tax related items</w:t>
      </w:r>
      <w:r>
        <w:rPr>
          <w:rFonts w:ascii="Arial" w:cs="Arial" w:eastAsia="Arial" w:hAnsi="Arial"/>
          <w:sz w:val="28"/>
          <w:szCs w:val="28"/>
          <w:i w:val="1"/>
          <w:iCs w:val="1"/>
          <w:color w:val="auto"/>
          <w:vertAlign w:val="superscript"/>
        </w:rPr>
        <w:t>4</w:t>
      </w:r>
      <w:r>
        <w:rPr>
          <w:rFonts w:ascii="Arial" w:cs="Arial" w:eastAsia="Arial" w:hAnsi="Arial"/>
          <w:sz w:val="22"/>
          <w:szCs w:val="22"/>
          <w:i w:val="1"/>
          <w:iCs w:val="1"/>
          <w:color w:val="auto"/>
        </w:rPr>
        <w:t xml:space="preserve"> </w:t>
      </w:r>
      <w:r>
        <w:rPr>
          <w:rFonts w:ascii="Arial" w:cs="Arial" w:eastAsia="Arial" w:hAnsi="Arial"/>
          <w:sz w:val="22"/>
          <w:szCs w:val="22"/>
          <w:color w:val="auto"/>
        </w:rPr>
        <w:t>which are described further below. Adjusted tax rate represents adjusted provision for income taxes divided by</w:t>
      </w:r>
      <w:r>
        <w:rPr>
          <w:rFonts w:ascii="Arial" w:cs="Arial" w:eastAsia="Arial" w:hAnsi="Arial"/>
          <w:sz w:val="22"/>
          <w:szCs w:val="22"/>
          <w:i w:val="1"/>
          <w:iCs w:val="1"/>
          <w:color w:val="auto"/>
        </w:rPr>
        <w:t xml:space="preserve"> </w:t>
      </w:r>
      <w:r>
        <w:rPr>
          <w:rFonts w:ascii="Arial" w:cs="Arial" w:eastAsia="Arial" w:hAnsi="Arial"/>
          <w:sz w:val="22"/>
          <w:szCs w:val="22"/>
          <w:color w:val="auto"/>
        </w:rPr>
        <w:t>adjusted income before income taxes.</w:t>
      </w:r>
    </w:p>
    <w:p>
      <w:pPr>
        <w:spacing w:after="0" w:line="56" w:lineRule="exact"/>
        <w:rPr>
          <w:sz w:val="20"/>
          <w:szCs w:val="20"/>
          <w:color w:val="auto"/>
        </w:rPr>
      </w:pPr>
    </w:p>
    <w:p>
      <w:pPr>
        <w:ind w:right="120"/>
        <w:spacing w:after="0" w:line="260" w:lineRule="auto"/>
        <w:rPr>
          <w:sz w:val="20"/>
          <w:szCs w:val="20"/>
          <w:color w:val="auto"/>
        </w:rPr>
      </w:pPr>
      <w:r>
        <w:rPr>
          <w:rFonts w:ascii="Arial" w:cs="Arial" w:eastAsia="Arial" w:hAnsi="Arial"/>
          <w:sz w:val="19"/>
          <w:szCs w:val="19"/>
          <w:color w:val="auto"/>
        </w:rPr>
        <w:t xml:space="preserve">Adjusted diluted EPS is defined as diluted EPS, determined in accordance with GAAP, excluding: </w:t>
      </w:r>
      <w:r>
        <w:rPr>
          <w:rFonts w:ascii="Arial" w:cs="Arial" w:eastAsia="Arial" w:hAnsi="Arial"/>
          <w:sz w:val="19"/>
          <w:szCs w:val="19"/>
          <w:i w:val="1"/>
          <w:iCs w:val="1"/>
          <w:color w:val="auto"/>
        </w:rPr>
        <w:t>acquisition-related expenses</w:t>
      </w:r>
      <w:r>
        <w:rPr>
          <w:rFonts w:ascii="Arial" w:cs="Arial" w:eastAsia="Arial" w:hAnsi="Arial"/>
          <w:sz w:val="25"/>
          <w:szCs w:val="25"/>
          <w:i w:val="1"/>
          <w:iCs w:val="1"/>
          <w:color w:val="auto"/>
          <w:vertAlign w:val="superscript"/>
        </w:rPr>
        <w:t>1</w:t>
      </w:r>
      <w:r>
        <w:rPr>
          <w:rFonts w:ascii="Arial" w:cs="Arial" w:eastAsia="Arial" w:hAnsi="Arial"/>
          <w:sz w:val="19"/>
          <w:szCs w:val="19"/>
          <w:color w:val="auto"/>
        </w:rPr>
        <w:t xml:space="preserve">; </w:t>
      </w:r>
      <w:r>
        <w:rPr>
          <w:rFonts w:ascii="Arial" w:cs="Arial" w:eastAsia="Arial" w:hAnsi="Arial"/>
          <w:sz w:val="19"/>
          <w:szCs w:val="19"/>
          <w:i w:val="1"/>
          <w:iCs w:val="1"/>
          <w:color w:val="auto"/>
        </w:rPr>
        <w:t>restructuring related expense</w:t>
      </w:r>
      <w:r>
        <w:rPr>
          <w:rFonts w:ascii="Arial" w:cs="Arial" w:eastAsia="Arial" w:hAnsi="Arial"/>
          <w:sz w:val="25"/>
          <w:szCs w:val="25"/>
          <w:i w:val="1"/>
          <w:iCs w:val="1"/>
          <w:color w:val="auto"/>
          <w:vertAlign w:val="superscript"/>
        </w:rPr>
        <w:t>2</w:t>
      </w:r>
      <w:r>
        <w:rPr>
          <w:rFonts w:ascii="Arial" w:cs="Arial" w:eastAsia="Arial" w:hAnsi="Arial"/>
          <w:sz w:val="19"/>
          <w:szCs w:val="19"/>
          <w:color w:val="auto"/>
        </w:rPr>
        <w:t>;</w:t>
      </w:r>
      <w:r>
        <w:rPr>
          <w:rFonts w:ascii="Arial" w:cs="Arial" w:eastAsia="Arial" w:hAnsi="Arial"/>
          <w:sz w:val="19"/>
          <w:szCs w:val="19"/>
          <w:i w:val="1"/>
          <w:iCs w:val="1"/>
          <w:color w:val="auto"/>
        </w:rPr>
        <w:t xml:space="preserve"> charitable foundation contribution</w:t>
      </w:r>
      <w:r>
        <w:rPr>
          <w:rFonts w:ascii="Arial" w:cs="Arial" w:eastAsia="Arial" w:hAnsi="Arial"/>
          <w:sz w:val="25"/>
          <w:szCs w:val="25"/>
          <w:i w:val="1"/>
          <w:iCs w:val="1"/>
          <w:color w:val="auto"/>
          <w:vertAlign w:val="superscript"/>
        </w:rPr>
        <w:t>3</w:t>
      </w:r>
      <w:r>
        <w:rPr>
          <w:rFonts w:ascii="Arial" w:cs="Arial" w:eastAsia="Arial" w:hAnsi="Arial"/>
          <w:sz w:val="19"/>
          <w:szCs w:val="19"/>
          <w:i w:val="1"/>
          <w:iCs w:val="1"/>
          <w:color w:val="auto"/>
        </w:rPr>
        <w:t xml:space="preserve">; </w:t>
      </w:r>
      <w:r>
        <w:rPr>
          <w:rFonts w:ascii="Arial" w:cs="Arial" w:eastAsia="Arial" w:hAnsi="Arial"/>
          <w:sz w:val="19"/>
          <w:szCs w:val="19"/>
          <w:color w:val="auto"/>
        </w:rPr>
        <w:t>and</w:t>
      </w:r>
      <w:r>
        <w:rPr>
          <w:rFonts w:ascii="Arial" w:cs="Arial" w:eastAsia="Arial" w:hAnsi="Arial"/>
          <w:sz w:val="19"/>
          <w:szCs w:val="19"/>
          <w:i w:val="1"/>
          <w:iCs w:val="1"/>
          <w:color w:val="auto"/>
        </w:rPr>
        <w:t xml:space="preserve"> tax related items</w:t>
      </w:r>
      <w:r>
        <w:rPr>
          <w:rFonts w:ascii="Arial" w:cs="Arial" w:eastAsia="Arial" w:hAnsi="Arial"/>
          <w:sz w:val="25"/>
          <w:szCs w:val="25"/>
          <w:i w:val="1"/>
          <w:iCs w:val="1"/>
          <w:color w:val="auto"/>
          <w:vertAlign w:val="superscript"/>
        </w:rPr>
        <w:t>4</w:t>
      </w:r>
      <w:r>
        <w:rPr>
          <w:rFonts w:ascii="Arial" w:cs="Arial" w:eastAsia="Arial" w:hAnsi="Arial"/>
          <w:sz w:val="19"/>
          <w:szCs w:val="19"/>
          <w:i w:val="1"/>
          <w:iCs w:val="1"/>
          <w:color w:val="auto"/>
        </w:rPr>
        <w:t xml:space="preserve"> </w:t>
      </w:r>
      <w:r>
        <w:rPr>
          <w:rFonts w:ascii="Arial" w:cs="Arial" w:eastAsia="Arial" w:hAnsi="Arial"/>
          <w:sz w:val="19"/>
          <w:szCs w:val="19"/>
          <w:color w:val="auto"/>
        </w:rPr>
        <w:t>which are described further below.</w:t>
      </w:r>
    </w:p>
    <w:p>
      <w:pPr>
        <w:ind w:right="400"/>
        <w:spacing w:after="0" w:line="325" w:lineRule="auto"/>
        <w:rPr>
          <w:sz w:val="20"/>
          <w:szCs w:val="20"/>
          <w:color w:val="auto"/>
        </w:rPr>
      </w:pPr>
      <w:r>
        <w:rPr>
          <w:rFonts w:ascii="Arial" w:cs="Arial" w:eastAsia="Arial" w:hAnsi="Arial"/>
          <w:sz w:val="19"/>
          <w:szCs w:val="19"/>
          <w:color w:val="auto"/>
        </w:rPr>
        <w:t>Free cash flow is defined as net cash provided by operating activities, determined in accordance with GAAP, less additions to property, plant and equipment, net. Free cash flow margin percentage represents free cash flow divided by revenue.</w:t>
      </w:r>
    </w:p>
    <w:p>
      <w:pPr>
        <w:ind w:left="660" w:right="160"/>
        <w:spacing w:after="0" w:line="261" w:lineRule="auto"/>
        <w:rPr>
          <w:sz w:val="20"/>
          <w:szCs w:val="20"/>
          <w:color w:val="auto"/>
        </w:rPr>
      </w:pPr>
      <w:r>
        <w:rPr>
          <w:rFonts w:ascii="Arial" w:cs="Arial" w:eastAsia="Arial" w:hAnsi="Arial"/>
          <w:sz w:val="26"/>
          <w:szCs w:val="26"/>
          <w:i w:val="1"/>
          <w:iCs w:val="1"/>
          <w:color w:val="auto"/>
          <w:vertAlign w:val="superscript"/>
        </w:rPr>
        <w:t>1</w:t>
      </w:r>
      <w:r>
        <w:rPr>
          <w:rFonts w:ascii="Arial" w:cs="Arial" w:eastAsia="Arial" w:hAnsi="Arial"/>
          <w:sz w:val="20"/>
          <w:szCs w:val="20"/>
          <w:i w:val="1"/>
          <w:iCs w:val="1"/>
          <w:color w:val="auto"/>
        </w:rPr>
        <w:t>Acquisition-Related Expenses</w:t>
      </w:r>
      <w:r>
        <w:rPr>
          <w:rFonts w:ascii="Arial" w:cs="Arial" w:eastAsia="Arial" w:hAnsi="Arial"/>
          <w:sz w:val="20"/>
          <w:szCs w:val="20"/>
          <w:color w:val="auto"/>
        </w:rPr>
        <w:t>: Expenses incurred as a result of current and prior period acquisitions and primarily</w:t>
      </w:r>
      <w:r>
        <w:rPr>
          <w:rFonts w:ascii="Arial" w:cs="Arial" w:eastAsia="Arial" w:hAnsi="Arial"/>
          <w:sz w:val="20"/>
          <w:szCs w:val="20"/>
          <w:i w:val="1"/>
          <w:iCs w:val="1"/>
          <w:color w:val="auto"/>
        </w:rPr>
        <w:t xml:space="preserve"> </w:t>
      </w:r>
      <w:r>
        <w:rPr>
          <w:rFonts w:ascii="Arial" w:cs="Arial" w:eastAsia="Arial" w:hAnsi="Arial"/>
          <w:sz w:val="20"/>
          <w:szCs w:val="20"/>
          <w:color w:val="auto"/>
        </w:rPr>
        <w:t>include expenses 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w:t>
      </w:r>
    </w:p>
    <w:p>
      <w:pPr>
        <w:sectPr>
          <w:pgSz w:w="11900" w:h="16838" w:orient="portrait"/>
          <w:cols w:equalWidth="0" w:num="1">
            <w:col w:w="11240"/>
          </w:cols>
          <w:pgMar w:left="320" w:top="996" w:right="339" w:bottom="1440" w:gutter="0" w:footer="0" w:header="0"/>
        </w:sectPr>
      </w:pPr>
    </w:p>
    <w:bookmarkStart w:id="7" w:name="page8"/>
    <w:bookmarkEnd w:id="7"/>
    <w:p>
      <w:pPr>
        <w:ind w:left="660" w:right="300"/>
        <w:spacing w:after="0" w:line="263" w:lineRule="auto"/>
        <w:rPr>
          <w:sz w:val="20"/>
          <w:szCs w:val="20"/>
          <w:color w:val="auto"/>
        </w:rPr>
      </w:pPr>
      <w:r>
        <w:rPr>
          <w:rFonts w:ascii="Arial" w:cs="Arial" w:eastAsia="Arial" w:hAnsi="Arial"/>
          <w:sz w:val="22"/>
          <w:szCs w:val="22"/>
          <w:color w:val="auto"/>
        </w:rPr>
        <w:t>acquisition. We excluded these costs from our non-GAAP measures because they relate to specific transactions and are not reflective of our ongoing financial performance.</w:t>
      </w:r>
    </w:p>
    <w:p>
      <w:pPr>
        <w:spacing w:after="0" w:line="32" w:lineRule="exact"/>
        <w:rPr>
          <w:sz w:val="20"/>
          <w:szCs w:val="20"/>
          <w:color w:val="auto"/>
        </w:rPr>
      </w:pPr>
    </w:p>
    <w:p>
      <w:pPr>
        <w:ind w:left="660"/>
        <w:spacing w:after="0" w:line="259" w:lineRule="auto"/>
        <w:rPr>
          <w:sz w:val="20"/>
          <w:szCs w:val="20"/>
          <w:color w:val="auto"/>
        </w:rPr>
      </w:pPr>
      <w:r>
        <w:rPr>
          <w:rFonts w:ascii="Arial" w:cs="Arial" w:eastAsia="Arial" w:hAnsi="Arial"/>
          <w:sz w:val="26"/>
          <w:szCs w:val="26"/>
          <w:i w:val="1"/>
          <w:iCs w:val="1"/>
          <w:color w:val="auto"/>
          <w:vertAlign w:val="superscript"/>
        </w:rPr>
        <w:t>2</w:t>
      </w:r>
      <w:r>
        <w:rPr>
          <w:rFonts w:ascii="Arial" w:cs="Arial" w:eastAsia="Arial" w:hAnsi="Arial"/>
          <w:sz w:val="20"/>
          <w:szCs w:val="20"/>
          <w:i w:val="1"/>
          <w:iCs w:val="1"/>
          <w:color w:val="auto"/>
        </w:rPr>
        <w:t>Restructuring-Related Expense</w:t>
      </w:r>
      <w:r>
        <w:rPr>
          <w:rFonts w:ascii="Arial" w:cs="Arial" w:eastAsia="Arial" w:hAnsi="Arial"/>
          <w:sz w:val="20"/>
          <w:szCs w:val="20"/>
          <w:color w:val="auto"/>
        </w:rPr>
        <w:t>: Expenses incurred in connection with facility closures, consolidation of manufacturing</w:t>
      </w:r>
      <w:r>
        <w:rPr>
          <w:rFonts w:ascii="Arial" w:cs="Arial" w:eastAsia="Arial" w:hAnsi="Arial"/>
          <w:sz w:val="20"/>
          <w:szCs w:val="20"/>
          <w:i w:val="1"/>
          <w:iCs w:val="1"/>
          <w:color w:val="auto"/>
        </w:rPr>
        <w:t xml:space="preserve"> </w:t>
      </w:r>
      <w:r>
        <w:rPr>
          <w:rFonts w:ascii="Arial" w:cs="Arial" w:eastAsia="Arial" w:hAnsi="Arial"/>
          <w:sz w:val="20"/>
          <w:szCs w:val="20"/>
          <w:color w:val="auto"/>
        </w:rPr>
        <w:t>facilities, severance, other accelerated stock-based compensation expense and other cost reduction efforts. We excluded these expenses from our non-GAAP measures because apart from ongoing expense savings as a result of such items, these expenses have no direct correlation to the operation of our business in the future.</w:t>
      </w:r>
    </w:p>
    <w:p>
      <w:pPr>
        <w:spacing w:after="0" w:line="53" w:lineRule="exact"/>
        <w:rPr>
          <w:sz w:val="20"/>
          <w:szCs w:val="20"/>
          <w:color w:val="auto"/>
        </w:rPr>
      </w:pPr>
    </w:p>
    <w:p>
      <w:pPr>
        <w:jc w:val="both"/>
        <w:ind w:left="660" w:right="180"/>
        <w:spacing w:after="0"/>
        <w:rPr>
          <w:sz w:val="20"/>
          <w:szCs w:val="20"/>
          <w:color w:val="auto"/>
        </w:rPr>
      </w:pPr>
      <w:r>
        <w:rPr>
          <w:rFonts w:ascii="Arial" w:cs="Arial" w:eastAsia="Arial" w:hAnsi="Arial"/>
          <w:sz w:val="27"/>
          <w:szCs w:val="27"/>
          <w:i w:val="1"/>
          <w:iCs w:val="1"/>
          <w:color w:val="auto"/>
          <w:vertAlign w:val="superscript"/>
        </w:rPr>
        <w:t>3</w:t>
      </w:r>
      <w:r>
        <w:rPr>
          <w:rFonts w:ascii="Arial" w:cs="Arial" w:eastAsia="Arial" w:hAnsi="Arial"/>
          <w:sz w:val="21"/>
          <w:szCs w:val="21"/>
          <w:i w:val="1"/>
          <w:iCs w:val="1"/>
          <w:color w:val="auto"/>
        </w:rPr>
        <w:t>Charitable Foundation Contribution</w:t>
      </w:r>
      <w:r>
        <w:rPr>
          <w:rFonts w:ascii="Arial" w:cs="Arial" w:eastAsia="Arial" w:hAnsi="Arial"/>
          <w:sz w:val="21"/>
          <w:szCs w:val="21"/>
          <w:color w:val="auto"/>
        </w:rPr>
        <w:t>: Expenses incurred in connection with a one time contribution of registered shares</w:t>
      </w:r>
      <w:r>
        <w:rPr>
          <w:rFonts w:ascii="Arial" w:cs="Arial" w:eastAsia="Arial" w:hAnsi="Arial"/>
          <w:sz w:val="21"/>
          <w:szCs w:val="21"/>
          <w:i w:val="1"/>
          <w:iCs w:val="1"/>
          <w:color w:val="auto"/>
        </w:rPr>
        <w:t xml:space="preserve"> </w:t>
      </w:r>
      <w:r>
        <w:rPr>
          <w:rFonts w:ascii="Arial" w:cs="Arial" w:eastAsia="Arial" w:hAnsi="Arial"/>
          <w:sz w:val="21"/>
          <w:szCs w:val="21"/>
          <w:color w:val="auto"/>
        </w:rPr>
        <w:t>of common stock to the Analog Devices Foundation. We excluded this expense from our non-GAAP measures because this expense has no direct correlation to the operation of our business in the future.</w:t>
      </w:r>
    </w:p>
    <w:p>
      <w:pPr>
        <w:spacing w:after="0" w:line="71" w:lineRule="exact"/>
        <w:rPr>
          <w:sz w:val="20"/>
          <w:szCs w:val="20"/>
          <w:color w:val="auto"/>
        </w:rPr>
      </w:pPr>
    </w:p>
    <w:p>
      <w:pPr>
        <w:ind w:left="660" w:right="240"/>
        <w:spacing w:after="0" w:line="273" w:lineRule="auto"/>
        <w:rPr>
          <w:sz w:val="20"/>
          <w:szCs w:val="20"/>
          <w:color w:val="auto"/>
        </w:rPr>
      </w:pPr>
      <w:r>
        <w:rPr>
          <w:rFonts w:ascii="Arial" w:cs="Arial" w:eastAsia="Arial" w:hAnsi="Arial"/>
          <w:sz w:val="25"/>
          <w:szCs w:val="25"/>
          <w:i w:val="1"/>
          <w:iCs w:val="1"/>
          <w:color w:val="auto"/>
          <w:vertAlign w:val="superscript"/>
        </w:rPr>
        <w:t>4</w:t>
      </w:r>
      <w:r>
        <w:rPr>
          <w:rFonts w:ascii="Arial" w:cs="Arial" w:eastAsia="Arial" w:hAnsi="Arial"/>
          <w:sz w:val="19"/>
          <w:szCs w:val="19"/>
          <w:i w:val="1"/>
          <w:iCs w:val="1"/>
          <w:color w:val="auto"/>
        </w:rPr>
        <w:t>Tax-Related Items</w:t>
      </w:r>
      <w:r>
        <w:rPr>
          <w:rFonts w:ascii="Arial" w:cs="Arial" w:eastAsia="Arial" w:hAnsi="Arial"/>
          <w:sz w:val="19"/>
          <w:szCs w:val="19"/>
          <w:color w:val="auto"/>
        </w:rPr>
        <w:t>: Income tax effect of the non-GAAP items discussed above and income tax from certain discrete tax</w:t>
      </w:r>
      <w:r>
        <w:rPr>
          <w:rFonts w:ascii="Arial" w:cs="Arial" w:eastAsia="Arial" w:hAnsi="Arial"/>
          <w:sz w:val="19"/>
          <w:szCs w:val="19"/>
          <w:i w:val="1"/>
          <w:iCs w:val="1"/>
          <w:color w:val="auto"/>
        </w:rPr>
        <w:t xml:space="preserve"> </w:t>
      </w:r>
      <w:r>
        <w:rPr>
          <w:rFonts w:ascii="Arial" w:cs="Arial" w:eastAsia="Arial" w:hAnsi="Arial"/>
          <w:sz w:val="19"/>
          <w:szCs w:val="19"/>
          <w:color w:val="auto"/>
        </w:rPr>
        <w:t>items related to the impact of the Tax Cuts and Jobs Act of 2017 or prior periods. We excluded these tax-related items from our non-GAAP measures because they are not associated with the tax expense on our current operating results.</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Analog Devices</w:t>
      </w:r>
    </w:p>
    <w:p>
      <w:pPr>
        <w:spacing w:after="0" w:line="253" w:lineRule="exact"/>
        <w:rPr>
          <w:sz w:val="20"/>
          <w:szCs w:val="20"/>
          <w:color w:val="auto"/>
        </w:rPr>
      </w:pPr>
    </w:p>
    <w:p>
      <w:pPr>
        <w:ind w:right="160"/>
        <w:spacing w:after="0" w:line="312" w:lineRule="auto"/>
        <w:rPr>
          <w:sz w:val="20"/>
          <w:szCs w:val="20"/>
          <w:color w:val="auto"/>
        </w:rPr>
      </w:pPr>
      <w:r>
        <w:rPr>
          <w:rFonts w:ascii="Arial" w:cs="Arial" w:eastAsia="Arial" w:hAnsi="Arial"/>
          <w:sz w:val="19"/>
          <w:szCs w:val="19"/>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 Looking Statements</w:t>
      </w:r>
    </w:p>
    <w:p>
      <w:pPr>
        <w:spacing w:after="0" w:line="239" w:lineRule="exact"/>
        <w:rPr>
          <w:sz w:val="20"/>
          <w:szCs w:val="20"/>
          <w:color w:val="auto"/>
        </w:rPr>
      </w:pPr>
    </w:p>
    <w:p>
      <w:pPr>
        <w:ind w:right="120"/>
        <w:spacing w:after="0" w:line="270" w:lineRule="auto"/>
        <w:rPr>
          <w:sz w:val="20"/>
          <w:szCs w:val="20"/>
          <w:color w:val="auto"/>
        </w:rPr>
      </w:pPr>
      <w:r>
        <w:rPr>
          <w:rFonts w:ascii="Arial" w:cs="Arial" w:eastAsia="Arial" w:hAnsi="Arial"/>
          <w:sz w:val="19"/>
          <w:szCs w:val="19"/>
          <w:i w:val="1"/>
          <w:iCs w:val="1"/>
          <w:color w:val="auto"/>
        </w:rPr>
        <w:t>This press release contains forward-looking statements, which address a variety of subjects including, for example, our statements regarding expected revenue, operating margin, tax rate, earnings per share, and other financial results, expected market trends, market share gains, operating leverage, production and inventory levels, and expected customer demand and order rates for our products,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estimates of our expected tax rate based on current tax law; our ability to successfully integrate acquired businesses and technologies; the risk that expected benefits, synergies and growth prospects of acquisitions may not be fully achieved in a timely manner, or at all; adverse results in litigation matters; and the risk that we will be unable to retain and hire key personnel.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w:t>
      </w:r>
    </w:p>
    <w:p>
      <w:pPr>
        <w:sectPr>
          <w:pgSz w:w="11900" w:h="16838" w:orient="portrait"/>
          <w:cols w:equalWidth="0" w:num="1">
            <w:col w:w="11240"/>
          </w:cols>
          <w:pgMar w:left="320" w:top="996" w:right="339" w:bottom="1440" w:gutter="0" w:footer="0" w:header="0"/>
        </w:sectPr>
      </w:pPr>
    </w:p>
    <w:bookmarkStart w:id="8" w:name="page9"/>
    <w:bookmarkEnd w:id="8"/>
    <w:p>
      <w:pPr>
        <w:spacing w:after="0" w:line="250" w:lineRule="auto"/>
        <w:rPr>
          <w:sz w:val="20"/>
          <w:szCs w:val="20"/>
          <w:color w:val="auto"/>
        </w:rPr>
      </w:pPr>
      <w:r>
        <w:rPr>
          <w:rFonts w:ascii="Arial" w:cs="Arial" w:eastAsia="Arial" w:hAnsi="Arial"/>
          <w:sz w:val="22"/>
          <w:szCs w:val="22"/>
          <w:i w:val="1"/>
          <w:iCs w:val="1"/>
          <w:color w:val="auto"/>
        </w:rPr>
        <w:t>by law, we do not undertake any obligation to update forward-looking statements made by us to reflect subsequent events or circumstances.</w:t>
      </w:r>
    </w:p>
    <w:p>
      <w:pPr>
        <w:spacing w:after="0" w:line="215"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0720"/>
          </w:cols>
          <w:pgMar w:left="320" w:top="888" w:right="85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177165</wp:posOffset>
            </wp:positionV>
            <wp:extent cx="36175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80" w:type="dxa"/>
            <w:vAlign w:val="bottom"/>
            <w:gridSpan w:val="5"/>
          </w:tcPr>
          <w:p>
            <w:pPr>
              <w:ind w:left="44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26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5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5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2020</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4, 2019</w:t>
            </w:r>
          </w:p>
        </w:tc>
        <w:tc>
          <w:tcPr>
            <w:tcW w:w="16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b w:val="1"/>
                <w:bCs w:val="1"/>
                <w:color w:val="auto"/>
              </w:rPr>
              <w:t>May 2, 2020</w:t>
            </w:r>
          </w:p>
        </w:tc>
        <w:tc>
          <w:tcPr>
            <w:tcW w:w="140" w:type="dxa"/>
            <w:vAlign w:val="bottom"/>
          </w:tcPr>
          <w:p>
            <w:pPr>
              <w:spacing w:after="0"/>
              <w:rPr>
                <w:sz w:val="20"/>
                <w:szCs w:val="20"/>
                <w:color w:val="auto"/>
              </w:rPr>
            </w:pPr>
          </w:p>
        </w:tc>
        <w:tc>
          <w:tcPr>
            <w:tcW w:w="1180" w:type="dxa"/>
            <w:vAlign w:val="bottom"/>
          </w:tcPr>
          <w:p>
            <w:pPr>
              <w:jc w:val="right"/>
              <w:ind w:right="110"/>
              <w:spacing w:after="0"/>
              <w:rPr>
                <w:sz w:val="20"/>
                <w:szCs w:val="20"/>
                <w:color w:val="auto"/>
              </w:rPr>
            </w:pPr>
            <w:r>
              <w:rPr>
                <w:rFonts w:ascii="Arial" w:cs="Arial" w:eastAsia="Arial" w:hAnsi="Arial"/>
                <w:sz w:val="18"/>
                <w:szCs w:val="18"/>
                <w:b w:val="1"/>
                <w:bCs w:val="1"/>
                <w:color w:val="auto"/>
                <w:w w:val="95"/>
              </w:rPr>
              <w:t>May 4, 2019</w:t>
            </w:r>
          </w:p>
        </w:tc>
      </w:tr>
      <w:tr>
        <w:trPr>
          <w:trHeight w:val="27"/>
        </w:trPr>
        <w:tc>
          <w:tcPr>
            <w:tcW w:w="5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1,317,060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1,526,602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2,620,625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3,067,703</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470,386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492,510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925,809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993,955</w:t>
            </w:r>
          </w:p>
        </w:tc>
      </w:tr>
      <w:tr>
        <w:trPr>
          <w:trHeight w:val="27"/>
        </w:trPr>
        <w:tc>
          <w:tcPr>
            <w:tcW w:w="5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846,674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1,034,092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1,694,816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2,073,748</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Research &amp;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252,413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285,846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509,486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573,228</w:t>
            </w: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Selling, marketing, general and administrative</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141,775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163,128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341,055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330,470</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intangibles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107,146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107,261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214,371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214,585</w:t>
            </w: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Special charges</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12,456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29,944</w:t>
            </w:r>
          </w:p>
        </w:tc>
      </w:tr>
      <w:tr>
        <w:trPr>
          <w:trHeight w:val="27"/>
        </w:trPr>
        <w:tc>
          <w:tcPr>
            <w:tcW w:w="5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502,654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564,397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1,077,368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1,148,227</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344,020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469,695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617,448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925,521</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49,985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59,701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98,798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118,429</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(5,616)</w:t>
            </w:r>
          </w:p>
        </w:tc>
      </w:tr>
      <w:tr>
        <w:trPr>
          <w:trHeight w:val="243"/>
        </w:trPr>
        <w:tc>
          <w:tcPr>
            <w:tcW w:w="5540" w:type="dxa"/>
            <w:vAlign w:val="bottom"/>
          </w:tcPr>
          <w:p>
            <w:pPr>
              <w:ind w:left="160"/>
              <w:spacing w:after="0"/>
              <w:rPr>
                <w:sz w:val="20"/>
                <w:szCs w:val="20"/>
                <w:color w:val="auto"/>
              </w:rPr>
            </w:pPr>
            <w:r>
              <w:rPr>
                <w:rFonts w:ascii="Arial" w:cs="Arial" w:eastAsia="Arial" w:hAnsi="Arial"/>
                <w:sz w:val="18"/>
                <w:szCs w:val="18"/>
                <w:color w:val="auto"/>
              </w:rPr>
              <w:t>Other, net</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4,525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4,365</w:t>
            </w:r>
          </w:p>
        </w:tc>
      </w:tr>
      <w:tr>
        <w:trPr>
          <w:trHeight w:val="27"/>
        </w:trPr>
        <w:tc>
          <w:tcPr>
            <w:tcW w:w="5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64"/>
        </w:trPr>
        <w:tc>
          <w:tcPr>
            <w:tcW w:w="55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48,959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61,298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96,170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117,178</w:t>
            </w:r>
          </w:p>
        </w:tc>
      </w:tr>
      <w:tr>
        <w:trPr>
          <w:trHeight w:val="237"/>
        </w:trPr>
        <w:tc>
          <w:tcPr>
            <w:tcW w:w="5540" w:type="dxa"/>
            <w:vAlign w:val="bottom"/>
          </w:tcPr>
          <w:p>
            <w:pPr>
              <w:ind w:left="20"/>
              <w:spacing w:after="0"/>
              <w:rPr>
                <w:sz w:val="20"/>
                <w:szCs w:val="20"/>
                <w:color w:val="auto"/>
              </w:rPr>
            </w:pPr>
            <w:r>
              <w:rPr>
                <w:rFonts w:ascii="Arial" w:cs="Arial" w:eastAsia="Arial" w:hAnsi="Arial"/>
                <w:sz w:val="18"/>
                <w:szCs w:val="18"/>
                <w:color w:val="auto"/>
              </w:rPr>
              <w:t>Income before income tax</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295,061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408,397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521,278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808,343</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27,365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40,460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49,708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85,400</w:t>
            </w:r>
          </w:p>
        </w:tc>
      </w:tr>
      <w:tr>
        <w:trPr>
          <w:trHeight w:val="263"/>
        </w:trPr>
        <w:tc>
          <w:tcPr>
            <w:tcW w:w="5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267,696</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367,937</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471,570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722,943</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4"/>
        </w:trPr>
        <w:tc>
          <w:tcPr>
            <w:tcW w:w="5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Shares used to compute earnings per common share - basic</w:t>
            </w:r>
          </w:p>
        </w:tc>
        <w:tc>
          <w:tcPr>
            <w:tcW w:w="16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368,217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369,246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368,229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368,974</w:t>
            </w:r>
          </w:p>
        </w:tc>
      </w:tr>
      <w:tr>
        <w:trPr>
          <w:trHeight w:val="27"/>
        </w:trPr>
        <w:tc>
          <w:tcPr>
            <w:tcW w:w="5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to compute earnings per common share - diluted</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371,305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373,342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371,784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372,912</w:t>
            </w:r>
          </w:p>
        </w:tc>
      </w:tr>
      <w:tr>
        <w:trPr>
          <w:trHeight w:val="256"/>
        </w:trPr>
        <w:tc>
          <w:tcPr>
            <w:tcW w:w="55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1.95</w:t>
            </w:r>
          </w:p>
        </w:tc>
      </w:tr>
      <w:tr>
        <w:trPr>
          <w:trHeight w:val="243"/>
        </w:trPr>
        <w:tc>
          <w:tcPr>
            <w:tcW w:w="554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0.72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0.98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1.93</w:t>
            </w:r>
          </w:p>
        </w:tc>
      </w:tr>
    </w:tbl>
    <w:p>
      <w:pPr>
        <w:sectPr>
          <w:pgSz w:w="11900" w:h="16838" w:orient="portrait"/>
          <w:cols w:equalWidth="0" w:num="1">
            <w:col w:w="11240"/>
          </w:cols>
          <w:pgMar w:left="320" w:top="891" w:right="33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40" w:type="dxa"/>
            <w:vAlign w:val="bottom"/>
            <w:gridSpan w:val="2"/>
          </w:tcPr>
          <w:p>
            <w:pPr>
              <w:ind w:left="260"/>
              <w:spacing w:after="0"/>
              <w:rPr>
                <w:sz w:val="20"/>
                <w:szCs w:val="20"/>
                <w:color w:val="auto"/>
              </w:rPr>
            </w:pPr>
            <w:r>
              <w:rPr>
                <w:rFonts w:ascii="Arial" w:cs="Arial" w:eastAsia="Arial" w:hAnsi="Arial"/>
                <w:sz w:val="18"/>
                <w:szCs w:val="18"/>
                <w:b w:val="1"/>
                <w:bCs w:val="1"/>
                <w:color w:val="auto"/>
              </w:rPr>
              <w:t>May 2, 2020</w:t>
            </w:r>
          </w:p>
        </w:tc>
        <w:tc>
          <w:tcPr>
            <w:tcW w:w="360" w:type="dxa"/>
            <w:vAlign w:val="bottom"/>
          </w:tcPr>
          <w:p>
            <w:pPr>
              <w:spacing w:after="0"/>
              <w:rPr>
                <w:sz w:val="20"/>
                <w:szCs w:val="20"/>
                <w:color w:val="auto"/>
              </w:rPr>
            </w:pPr>
          </w:p>
        </w:tc>
        <w:tc>
          <w:tcPr>
            <w:tcW w:w="1820" w:type="dxa"/>
            <w:vAlign w:val="bottom"/>
          </w:tcPr>
          <w:p>
            <w:pPr>
              <w:jc w:val="right"/>
              <w:ind w:right="530"/>
              <w:spacing w:after="0"/>
              <w:rPr>
                <w:sz w:val="20"/>
                <w:szCs w:val="20"/>
                <w:color w:val="auto"/>
              </w:rPr>
            </w:pPr>
            <w:r>
              <w:rPr>
                <w:rFonts w:ascii="Arial" w:cs="Arial" w:eastAsia="Arial" w:hAnsi="Arial"/>
                <w:sz w:val="18"/>
                <w:szCs w:val="18"/>
                <w:b w:val="1"/>
                <w:bCs w:val="1"/>
                <w:color w:val="auto"/>
              </w:rPr>
              <w:t>Nov. 2, 2019</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784,937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648,322</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588,244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635,136</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590,268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609,886</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87,844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91,782</w:t>
            </w:r>
          </w:p>
        </w:tc>
      </w:tr>
      <w:tr>
        <w:trPr>
          <w:trHeight w:val="27"/>
        </w:trPr>
        <w:tc>
          <w:tcPr>
            <w:tcW w:w="67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43"/>
        </w:trPr>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2,051,293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1,985,126</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Net property, plant and equipment</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1,189,332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1,219,989</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76,025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77,324</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12,253,670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12,256,880</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3,928,902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4,217,224</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Deferred tax assets</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1,553,902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1,582,382</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297,814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53,716</w:t>
            </w:r>
          </w:p>
        </w:tc>
      </w:tr>
      <w:tr>
        <w:trPr>
          <w:trHeight w:val="263"/>
        </w:trPr>
        <w:tc>
          <w:tcPr>
            <w:tcW w:w="6700" w:type="dxa"/>
            <w:vAlign w:val="bottom"/>
          </w:tcPr>
          <w:p>
            <w:pPr>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21,350,938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21,392,641</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1,133,057</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1,208,965</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current</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448,945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299,667</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5,142,223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5,192,252</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2,000,644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2,088,212</w:t>
            </w:r>
          </w:p>
        </w:tc>
      </w:tr>
      <w:tr>
        <w:trPr>
          <w:trHeight w:val="243"/>
        </w:trPr>
        <w:tc>
          <w:tcPr>
            <w:tcW w:w="67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1,035,211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820" w:type="dxa"/>
            <w:vAlign w:val="bottom"/>
          </w:tcPr>
          <w:p>
            <w:pPr>
              <w:jc w:val="right"/>
              <w:ind w:right="70"/>
              <w:spacing w:after="0"/>
              <w:rPr>
                <w:sz w:val="20"/>
                <w:szCs w:val="20"/>
                <w:color w:val="auto"/>
              </w:rPr>
            </w:pPr>
            <w:r>
              <w:rPr>
                <w:rFonts w:ascii="Arial" w:cs="Arial" w:eastAsia="Arial" w:hAnsi="Arial"/>
                <w:sz w:val="18"/>
                <w:szCs w:val="18"/>
                <w:color w:val="auto"/>
              </w:rPr>
              <w:t>894,357</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36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11,590,858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11,709,188</w:t>
            </w:r>
          </w:p>
        </w:tc>
      </w:tr>
      <w:tr>
        <w:trPr>
          <w:trHeight w:val="263"/>
        </w:trPr>
        <w:tc>
          <w:tcPr>
            <w:tcW w:w="6700" w:type="dxa"/>
            <w:vAlign w:val="bottom"/>
          </w:tcPr>
          <w:p>
            <w:pPr>
              <w:spacing w:after="0"/>
              <w:rPr>
                <w:sz w:val="20"/>
                <w:szCs w:val="20"/>
                <w:color w:val="auto"/>
              </w:rPr>
            </w:pPr>
            <w:r>
              <w:rPr>
                <w:rFonts w:ascii="Arial" w:cs="Arial" w:eastAsia="Arial" w:hAnsi="Arial"/>
                <w:sz w:val="18"/>
                <w:szCs w:val="18"/>
                <w:color w:val="auto"/>
              </w:rPr>
              <w:t>Total liabilities &amp; equity</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21,350,938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21,392,641</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91" w:right="35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177165</wp:posOffset>
            </wp:positionV>
            <wp:extent cx="3823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ectPr>
          <w:pgSz w:w="11900" w:h="16838" w:orient="portrait"/>
          <w:cols w:equalWidth="0" w:num="1">
            <w:col w:w="11100"/>
          </w:cols>
          <w:pgMar w:left="400" w:top="891" w:right="399" w:bottom="1440" w:gutter="0" w:footer="0" w:header="0"/>
        </w:sectPr>
      </w:pPr>
    </w:p>
    <w:p>
      <w:pPr>
        <w:spacing w:after="0" w:line="301" w:lineRule="exact"/>
        <w:rPr>
          <w:sz w:val="20"/>
          <w:szCs w:val="20"/>
          <w:color w:val="auto"/>
        </w:rPr>
      </w:pPr>
    </w:p>
    <w:p>
      <w:pPr>
        <w:jc w:val="center"/>
        <w:ind w:left="532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34290</wp:posOffset>
            </wp:positionV>
            <wp:extent cx="18688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57" w:lineRule="exact"/>
        <w:rPr>
          <w:sz w:val="20"/>
          <w:szCs w:val="20"/>
          <w:color w:val="auto"/>
        </w:rPr>
      </w:pPr>
    </w:p>
    <w:p>
      <w:pPr>
        <w:ind w:left="5320"/>
        <w:spacing w:after="0"/>
        <w:tabs>
          <w:tab w:leader="none" w:pos="6820" w:val="left"/>
        </w:tabs>
        <w:rPr>
          <w:sz w:val="20"/>
          <w:szCs w:val="20"/>
          <w:color w:val="auto"/>
        </w:rPr>
      </w:pPr>
      <w:r>
        <w:rPr>
          <w:rFonts w:ascii="Arial" w:cs="Arial" w:eastAsia="Arial" w:hAnsi="Arial"/>
          <w:sz w:val="18"/>
          <w:szCs w:val="18"/>
          <w:b w:val="1"/>
          <w:bCs w:val="1"/>
          <w:color w:val="auto"/>
        </w:rPr>
        <w:t>May 2, 2020</w:t>
      </w:r>
      <w:r>
        <w:rPr>
          <w:sz w:val="20"/>
          <w:szCs w:val="20"/>
          <w:color w:val="auto"/>
        </w:rPr>
        <w:tab/>
      </w:r>
      <w:r>
        <w:rPr>
          <w:rFonts w:ascii="Arial" w:cs="Arial" w:eastAsia="Arial" w:hAnsi="Arial"/>
          <w:sz w:val="16"/>
          <w:szCs w:val="16"/>
          <w:b w:val="1"/>
          <w:bCs w:val="1"/>
          <w:color w:val="auto"/>
        </w:rPr>
        <w:t>May 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054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5485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1"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-154305</wp:posOffset>
            </wp:positionH>
            <wp:positionV relativeFrom="paragraph">
              <wp:posOffset>34290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57"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b w:val="1"/>
          <w:bCs w:val="1"/>
          <w:color w:val="auto"/>
        </w:rPr>
        <w:t>May 2, 2020</w:t>
      </w:r>
      <w:r>
        <w:rPr>
          <w:sz w:val="20"/>
          <w:szCs w:val="20"/>
          <w:color w:val="auto"/>
        </w:rPr>
        <w:tab/>
      </w:r>
      <w:r>
        <w:rPr>
          <w:rFonts w:ascii="Arial" w:cs="Arial" w:eastAsia="Arial" w:hAnsi="Arial"/>
          <w:sz w:val="16"/>
          <w:szCs w:val="16"/>
          <w:b w:val="1"/>
          <w:bCs w:val="1"/>
          <w:color w:val="auto"/>
        </w:rPr>
        <w:t>May 4, 2019</w:t>
      </w:r>
    </w:p>
    <w:p>
      <w:pPr>
        <w:spacing w:after="0" w:line="67" w:lineRule="exact"/>
        <w:rPr>
          <w:sz w:val="20"/>
          <w:szCs w:val="20"/>
          <w:color w:val="auto"/>
        </w:rPr>
      </w:pPr>
    </w:p>
    <w:p>
      <w:pPr>
        <w:sectPr>
          <w:pgSz w:w="11900" w:h="16838" w:orient="portrait"/>
          <w:cols w:equalWidth="0" w:num="2">
            <w:col w:w="7780" w:space="600"/>
            <w:col w:w="2720"/>
          </w:cols>
          <w:pgMar w:left="400" w:top="891" w:right="399" w:bottom="1440" w:gutter="0" w:footer="0" w:header="0"/>
          <w:type w:val="continuous"/>
        </w:sectPr>
      </w:pPr>
    </w:p>
    <w:p>
      <w:pPr>
        <w:spacing w:after="0"/>
        <w:rPr>
          <w:sz w:val="20"/>
          <w:szCs w:val="20"/>
          <w:color w:val="auto"/>
        </w:rPr>
      </w:pPr>
      <w:r>
        <w:rPr>
          <w:rFonts w:ascii="Arial" w:cs="Arial" w:eastAsia="Arial" w:hAnsi="Arial"/>
          <w:sz w:val="18"/>
          <w:szCs w:val="18"/>
          <w:color w:val="auto"/>
        </w:rPr>
        <w:t>Cash flows from operating activities: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267,696</w:t>
            </w:r>
          </w:p>
        </w:tc>
        <w:tc>
          <w:tcPr>
            <w:tcW w:w="6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367,937</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471,570</w:t>
            </w:r>
          </w:p>
        </w:tc>
        <w:tc>
          <w:tcPr>
            <w:tcW w:w="58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722,943</w:t>
            </w:r>
          </w:p>
        </w:tc>
        <w:tc>
          <w:tcPr>
            <w:tcW w:w="18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175"/>
        </w:trPr>
        <w:tc>
          <w:tcPr>
            <w:tcW w:w="5080" w:type="dxa"/>
            <w:vAlign w:val="bottom"/>
            <w:shd w:val="clear" w:color="auto" w:fill="CCEEFF"/>
          </w:tcPr>
          <w:p>
            <w:pPr>
              <w:ind w:left="160"/>
              <w:spacing w:after="0" w:line="176" w:lineRule="exact"/>
              <w:rPr>
                <w:sz w:val="20"/>
                <w:szCs w:val="20"/>
                <w:color w:val="auto"/>
              </w:rPr>
            </w:pPr>
            <w:r>
              <w:rPr>
                <w:rFonts w:ascii="Arial" w:cs="Arial" w:eastAsia="Arial" w:hAnsi="Arial"/>
                <w:sz w:val="18"/>
                <w:szCs w:val="18"/>
                <w:color w:val="auto"/>
              </w:rPr>
              <w:t>Adjustments to reconcile net income to net cash provided by</w:t>
            </w: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r>
      <w:tr>
        <w:trPr>
          <w:trHeight w:val="230"/>
        </w:trPr>
        <w:tc>
          <w:tcPr>
            <w:tcW w:w="5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59,142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119,124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117,435</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Amortization of intangibles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144,051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142,233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288,120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284,525</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Stock-based compensation expense</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35,900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40,229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73,401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76,622</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Non-cash portion of special charge</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(21,408)</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(37,495)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(35,390)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(21,843)</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Non-cash contribution to charitable foundation</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320"/>
              <w:spacing w:after="0"/>
              <w:rPr>
                <w:sz w:val="20"/>
                <w:szCs w:val="20"/>
                <w:color w:val="auto"/>
              </w:rPr>
            </w:pPr>
            <w:r>
              <w:rPr>
                <w:rFonts w:ascii="Arial" w:cs="Arial" w:eastAsia="Arial" w:hAnsi="Arial"/>
                <w:sz w:val="18"/>
                <w:szCs w:val="18"/>
                <w:color w:val="auto"/>
              </w:rPr>
              <w:t>Other non-cash activity</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1,469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11,736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3,801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18,429</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(57,928)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87,100</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(181,937)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(159,829)</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080" w:type="dxa"/>
            <w:vAlign w:val="bottom"/>
          </w:tcPr>
          <w:p>
            <w:pPr>
              <w:ind w:left="140"/>
              <w:spacing w:after="0"/>
              <w:rPr>
                <w:sz w:val="20"/>
                <w:szCs w:val="20"/>
                <w:color w:val="auto"/>
              </w:rPr>
            </w:pPr>
            <w:r>
              <w:rPr>
                <w:rFonts w:ascii="Arial" w:cs="Arial" w:eastAsia="Arial" w:hAnsi="Arial"/>
                <w:sz w:val="18"/>
                <w:szCs w:val="18"/>
                <w:color w:val="auto"/>
              </w:rPr>
              <w:t>Total adjustments</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161,345</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302,945</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307,119</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319,706</w:t>
            </w:r>
          </w:p>
        </w:tc>
        <w:tc>
          <w:tcPr>
            <w:tcW w:w="180" w:type="dxa"/>
            <w:vAlign w:val="bottom"/>
            <w:tcBorders>
              <w:top w:val="single" w:sz="8" w:color="auto"/>
            </w:tcBorders>
          </w:tcPr>
          <w:p>
            <w:pPr>
              <w:spacing w:after="0"/>
              <w:rPr>
                <w:sz w:val="20"/>
                <w:szCs w:val="20"/>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429,041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670,882</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778,689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1,042,649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7"/>
        </w:trPr>
        <w:tc>
          <w:tcPr>
            <w:tcW w:w="5080" w:type="dxa"/>
            <w:vAlign w:val="bottom"/>
          </w:tcPr>
          <w:p>
            <w:pPr>
              <w:ind w:left="140"/>
              <w:spacing w:after="0"/>
              <w:rPr>
                <w:sz w:val="20"/>
                <w:szCs w:val="20"/>
                <w:color w:val="auto"/>
              </w:rPr>
            </w:pPr>
            <w:r>
              <w:rPr>
                <w:rFonts w:ascii="Arial" w:cs="Arial" w:eastAsia="Arial" w:hAnsi="Arial"/>
                <w:sz w:val="18"/>
                <w:szCs w:val="18"/>
                <w:color w:val="auto"/>
              </w:rPr>
              <w:t>Percent of revenue</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43.9</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34.0</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80"/>
              <w:spacing w:after="0"/>
              <w:rPr>
                <w:sz w:val="20"/>
                <w:szCs w:val="20"/>
                <w:color w:val="auto"/>
              </w:rPr>
            </w:pPr>
            <w:r>
              <w:rPr>
                <w:rFonts w:ascii="Arial" w:cs="Arial" w:eastAsia="Arial" w:hAnsi="Arial"/>
                <w:sz w:val="18"/>
                <w:szCs w:val="18"/>
                <w:color w:val="auto"/>
              </w:rPr>
              <w:t>Additions to property, plant and equipment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(60,161)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(75,209)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(166,202)</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Changes in 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(4,585)</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(61,552)</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(74,572)</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(116,284)</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(170,787)</w:t>
            </w:r>
          </w:p>
        </w:tc>
        <w:tc>
          <w:tcPr>
            <w:tcW w:w="180" w:type="dxa"/>
            <w:vAlign w:val="bottom"/>
            <w:tcBorders>
              <w:top w:val="single" w:sz="8" w:color="auto"/>
            </w:tcBorders>
          </w:tcPr>
          <w:p>
            <w:pPr>
              <w:spacing w:after="0"/>
              <w:rPr>
                <w:sz w:val="20"/>
                <w:szCs w:val="20"/>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debt</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395,646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395,646</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00"/>
              <w:spacing w:after="0"/>
              <w:rPr>
                <w:sz w:val="20"/>
                <w:szCs w:val="20"/>
                <w:color w:val="auto"/>
              </w:rPr>
            </w:pPr>
            <w:r>
              <w:rPr>
                <w:rFonts w:ascii="Arial" w:cs="Arial" w:eastAsia="Arial" w:hAnsi="Arial"/>
                <w:sz w:val="18"/>
                <w:szCs w:val="18"/>
                <w:color w:val="auto"/>
              </w:rPr>
              <w:t>Payments on revolver</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revolver</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00"/>
              <w:spacing w:after="0"/>
              <w:rPr>
                <w:sz w:val="20"/>
                <w:szCs w:val="20"/>
                <w:color w:val="auto"/>
              </w:rPr>
            </w:pPr>
            <w:r>
              <w:rPr>
                <w:rFonts w:ascii="Arial" w:cs="Arial" w:eastAsia="Arial" w:hAnsi="Arial"/>
                <w:sz w:val="18"/>
                <w:szCs w:val="18"/>
                <w:color w:val="auto"/>
              </w:rPr>
              <w:t>Debt repayments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(250,000)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(350,000)</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Dividend payments to shareholders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(228,600)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(199,501)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(427,760)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(377,217)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00"/>
              <w:spacing w:after="0"/>
              <w:rPr>
                <w:sz w:val="20"/>
                <w:szCs w:val="20"/>
                <w:color w:val="auto"/>
              </w:rPr>
            </w:pPr>
            <w:r>
              <w:rPr>
                <w:rFonts w:ascii="Arial" w:cs="Arial" w:eastAsia="Arial" w:hAnsi="Arial"/>
                <w:sz w:val="18"/>
                <w:szCs w:val="18"/>
                <w:color w:val="auto"/>
              </w:rPr>
              <w:t>Repurchase of common stock</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(113,584)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(101,522)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(219,614)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(328,615)</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Proceeds from employee stock plans</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14,784</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67,678</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30,897</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86,907</w:t>
            </w:r>
          </w:p>
        </w:tc>
        <w:tc>
          <w:tcPr>
            <w:tcW w:w="18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100"/>
              <w:spacing w:after="0"/>
              <w:rPr>
                <w:sz w:val="20"/>
                <w:szCs w:val="20"/>
                <w:color w:val="auto"/>
              </w:rPr>
            </w:pPr>
            <w:r>
              <w:rPr>
                <w:rFonts w:ascii="Arial" w:cs="Arial" w:eastAsia="Arial" w:hAnsi="Arial"/>
                <w:sz w:val="18"/>
                <w:szCs w:val="18"/>
                <w:color w:val="auto"/>
              </w:rPr>
              <w:t>Changes in other financing activities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(3,956)</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(6,144)</w:t>
            </w:r>
          </w:p>
        </w:tc>
        <w:tc>
          <w:tcPr>
            <w:tcW w:w="180" w:type="dxa"/>
            <w:vAlign w:val="bottom"/>
          </w:tcPr>
          <w:p>
            <w:pPr>
              <w:spacing w:after="0"/>
              <w:rPr>
                <w:sz w:val="21"/>
                <w:szCs w:val="2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63"/>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(235,710)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(488,920)</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(525,282)</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(975,069)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37"/>
        </w:trPr>
        <w:tc>
          <w:tcPr>
            <w:tcW w:w="5080" w:type="dxa"/>
            <w:vAlign w:val="bottom"/>
          </w:tcPr>
          <w:p>
            <w:pPr>
              <w:spacing w:after="0"/>
              <w:rPr>
                <w:sz w:val="20"/>
                <w:szCs w:val="20"/>
                <w:color w:val="auto"/>
              </w:rPr>
            </w:pPr>
            <w:r>
              <w:rPr>
                <w:rFonts w:ascii="Arial" w:cs="Arial" w:eastAsia="Arial" w:hAnsi="Arial"/>
                <w:sz w:val="18"/>
                <w:szCs w:val="18"/>
                <w:color w:val="auto"/>
              </w:rPr>
              <w:t>Effect of exchange rate changes on cash</w:t>
            </w: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(1,250)</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80" w:type="dxa"/>
            <w:vAlign w:val="bottom"/>
            <w:tcBorders>
              <w:top w:val="single" w:sz="8" w:color="auto"/>
            </w:tcBorders>
          </w:tcPr>
          <w:p>
            <w:pPr>
              <w:spacing w:after="0"/>
              <w:rPr>
                <w:sz w:val="20"/>
                <w:szCs w:val="20"/>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0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130,529</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107,737</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136,615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(102,990)</w:t>
            </w:r>
          </w:p>
        </w:tc>
        <w:tc>
          <w:tcPr>
            <w:tcW w:w="18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654,408</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605,864</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648,322</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816,591</w:t>
            </w:r>
          </w:p>
        </w:tc>
        <w:tc>
          <w:tcPr>
            <w:tcW w:w="180" w:type="dxa"/>
            <w:vAlign w:val="bottom"/>
            <w:tcBorders>
              <w:bottom w:val="single" w:sz="8" w:color="CCEEFF"/>
            </w:tcBorders>
            <w:shd w:val="clear" w:color="auto" w:fill="CCEEFF"/>
          </w:tcPr>
          <w:p>
            <w:pPr>
              <w:spacing w:after="0"/>
              <w:rPr>
                <w:sz w:val="23"/>
                <w:szCs w:val="23"/>
                <w:color w:val="auto"/>
              </w:rPr>
            </w:pPr>
          </w:p>
        </w:tc>
      </w:tr>
      <w:tr>
        <w:trPr>
          <w:trHeight w:val="264"/>
        </w:trPr>
        <w:tc>
          <w:tcPr>
            <w:tcW w:w="50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784,937</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713,601</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784,937</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713,601</w:t>
            </w:r>
          </w:p>
        </w:tc>
        <w:tc>
          <w:tcPr>
            <w:tcW w:w="180" w:type="dxa"/>
            <w:vAlign w:val="bottom"/>
            <w:tcBorders>
              <w:top w:val="single" w:sz="8" w:color="auto"/>
              <w:bottom w:val="single" w:sz="8" w:color="auto"/>
            </w:tcBorders>
          </w:tcPr>
          <w:p>
            <w:pPr>
              <w:spacing w:after="0"/>
              <w:rPr>
                <w:sz w:val="22"/>
                <w:szCs w:val="22"/>
                <w:color w:val="auto"/>
              </w:rPr>
            </w:pPr>
          </w:p>
        </w:tc>
      </w:tr>
      <w:tr>
        <w:trPr>
          <w:trHeight w:val="21"/>
        </w:trPr>
        <w:tc>
          <w:tcPr>
            <w:tcW w:w="5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00"/>
          </w:cols>
          <w:pgMar w:left="400" w:top="891" w:right="399" w:bottom="1440" w:gutter="0" w:footer="0" w:header="0"/>
          <w:type w:val="continuous"/>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 and improve,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162560</wp:posOffset>
            </wp:positionV>
            <wp:extent cx="53746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74640" cy="8255"/>
                    </a:xfrm>
                    <a:prstGeom prst="rect">
                      <a:avLst/>
                    </a:prstGeom>
                    <a:noFill/>
                  </pic:spPr>
                </pic:pic>
              </a:graphicData>
            </a:graphic>
          </wp:anchor>
        </w:drawing>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8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May 2, 2020</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3"/>
          </w:tcPr>
          <w:p>
            <w:pPr>
              <w:ind w:left="900"/>
              <w:spacing w:after="0"/>
              <w:rPr>
                <w:sz w:val="20"/>
                <w:szCs w:val="20"/>
                <w:color w:val="auto"/>
              </w:rPr>
            </w:pPr>
            <w:r>
              <w:rPr>
                <w:rFonts w:ascii="Arial" w:cs="Arial" w:eastAsia="Arial" w:hAnsi="Arial"/>
                <w:sz w:val="18"/>
                <w:szCs w:val="18"/>
                <w:b w:val="1"/>
                <w:bCs w:val="1"/>
                <w:color w:val="auto"/>
              </w:rPr>
              <w:t>May 4, 2019</w:t>
            </w:r>
          </w:p>
        </w:tc>
      </w:tr>
      <w:tr>
        <w:trPr>
          <w:trHeight w:val="27"/>
        </w:trPr>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Revenue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 of revenue*</w:t>
            </w:r>
          </w:p>
        </w:tc>
        <w:tc>
          <w:tcPr>
            <w:tcW w:w="12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Y/Y %</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600" w:type="dxa"/>
            <w:vAlign w:val="bottom"/>
          </w:tcPr>
          <w:p>
            <w:pPr>
              <w:ind w:left="240"/>
              <w:spacing w:after="0"/>
              <w:rPr>
                <w:sz w:val="20"/>
                <w:szCs w:val="20"/>
                <w:color w:val="auto"/>
              </w:rPr>
            </w:pPr>
            <w:r>
              <w:rPr>
                <w:rFonts w:ascii="Arial" w:cs="Arial" w:eastAsia="Arial" w:hAnsi="Arial"/>
                <w:sz w:val="18"/>
                <w:szCs w:val="18"/>
                <w:b w:val="1"/>
                <w:bCs w:val="1"/>
                <w:color w:val="auto"/>
              </w:rPr>
              <w:t>% of revenue*</w:t>
            </w:r>
          </w:p>
        </w:tc>
      </w:tr>
      <w:tr>
        <w:trPr>
          <w:trHeight w:val="27"/>
        </w:trPr>
        <w:tc>
          <w:tcPr>
            <w:tcW w:w="2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Industrial</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710,760</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54%</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771,359</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51%</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Communications</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276,420</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21%</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363,457</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24%</w:t>
            </w:r>
          </w:p>
        </w:tc>
      </w:tr>
      <w:tr>
        <w:trPr>
          <w:trHeight w:val="27"/>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Automotive</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182,383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1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236,011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Consumer</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147,497</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155,775</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10%</w:t>
            </w:r>
          </w:p>
        </w:tc>
      </w:tr>
      <w:tr>
        <w:trPr>
          <w:trHeight w:val="27"/>
        </w:trPr>
        <w:tc>
          <w:tcPr>
            <w:tcW w:w="27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88"/>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1,317,060</w:t>
            </w:r>
          </w:p>
        </w:tc>
        <w:tc>
          <w:tcPr>
            <w:tcW w:w="100" w:type="dxa"/>
            <w:vAlign w:val="bottom"/>
            <w:tcBorders>
              <w:bottom w:val="single" w:sz="8" w:color="CCEEFF"/>
            </w:tcBorders>
            <w:shd w:val="clear" w:color="auto" w:fill="CCEEFF"/>
          </w:tcPr>
          <w:p>
            <w:pPr>
              <w:spacing w:after="0"/>
              <w:rPr>
                <w:sz w:val="24"/>
                <w:szCs w:val="24"/>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100%</w:t>
            </w:r>
          </w:p>
        </w:tc>
        <w:tc>
          <w:tcPr>
            <w:tcW w:w="17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b w:val="1"/>
                <w:bCs w:val="1"/>
                <w:color w:val="auto"/>
                <w:w w:val="99"/>
              </w:rPr>
              <w:t>(14)%</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1,526,602</w:t>
            </w:r>
          </w:p>
        </w:tc>
        <w:tc>
          <w:tcPr>
            <w:tcW w:w="10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27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237"/>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Six Months Ended</w:t>
            </w: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
        </w:trPr>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r>
      <w:tr>
        <w:trPr>
          <w:trHeight w:val="237"/>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3"/>
              </w:rPr>
              <w:t>May 2, 2020</w:t>
            </w: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40" w:type="dxa"/>
            <w:vAlign w:val="bottom"/>
            <w:gridSpan w:val="3"/>
          </w:tcPr>
          <w:p>
            <w:pPr>
              <w:ind w:left="900"/>
              <w:spacing w:after="0"/>
              <w:rPr>
                <w:sz w:val="20"/>
                <w:szCs w:val="20"/>
                <w:color w:val="auto"/>
              </w:rPr>
            </w:pPr>
            <w:r>
              <w:rPr>
                <w:rFonts w:ascii="Arial" w:cs="Arial" w:eastAsia="Arial" w:hAnsi="Arial"/>
                <w:sz w:val="18"/>
                <w:szCs w:val="18"/>
                <w:b w:val="1"/>
                <w:bCs w:val="1"/>
                <w:color w:val="auto"/>
              </w:rPr>
              <w:t>May 4, 2019</w:t>
            </w:r>
          </w:p>
        </w:tc>
      </w:tr>
      <w:tr>
        <w:trPr>
          <w:trHeight w:val="27"/>
        </w:trPr>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6"/>
        </w:trPr>
        <w:tc>
          <w:tcPr>
            <w:tcW w:w="2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2"/>
          </w:tcPr>
          <w:p>
            <w:pPr>
              <w:ind w:left="200"/>
              <w:spacing w:after="0"/>
              <w:rPr>
                <w:sz w:val="20"/>
                <w:szCs w:val="20"/>
                <w:color w:val="auto"/>
              </w:rPr>
            </w:pPr>
            <w:r>
              <w:rPr>
                <w:rFonts w:ascii="Arial" w:cs="Arial" w:eastAsia="Arial" w:hAnsi="Arial"/>
                <w:sz w:val="18"/>
                <w:szCs w:val="18"/>
                <w:b w:val="1"/>
                <w:bCs w:val="1"/>
                <w:color w:val="auto"/>
              </w:rPr>
              <w:t>Revenue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4"/>
              </w:rPr>
              <w:t>% of revenue*</w:t>
            </w:r>
          </w:p>
        </w:tc>
        <w:tc>
          <w:tcPr>
            <w:tcW w:w="120" w:type="dxa"/>
            <w:vAlign w:val="bottom"/>
          </w:tcPr>
          <w:p>
            <w:pPr>
              <w:spacing w:after="0"/>
              <w:rPr>
                <w:sz w:val="20"/>
                <w:szCs w:val="20"/>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Y/Y %</w:t>
            </w:r>
          </w:p>
        </w:tc>
        <w:tc>
          <w:tcPr>
            <w:tcW w:w="2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Revenue</w:t>
            </w:r>
          </w:p>
        </w:tc>
        <w:tc>
          <w:tcPr>
            <w:tcW w:w="1600" w:type="dxa"/>
            <w:vAlign w:val="bottom"/>
          </w:tcPr>
          <w:p>
            <w:pPr>
              <w:ind w:left="240"/>
              <w:spacing w:after="0"/>
              <w:rPr>
                <w:sz w:val="20"/>
                <w:szCs w:val="20"/>
                <w:color w:val="auto"/>
              </w:rPr>
            </w:pPr>
            <w:r>
              <w:rPr>
                <w:rFonts w:ascii="Arial" w:cs="Arial" w:eastAsia="Arial" w:hAnsi="Arial"/>
                <w:sz w:val="18"/>
                <w:szCs w:val="18"/>
                <w:b w:val="1"/>
                <w:bCs w:val="1"/>
                <w:color w:val="auto"/>
              </w:rPr>
              <w:t>% of revenue*</w:t>
            </w:r>
          </w:p>
        </w:tc>
      </w:tr>
      <w:tr>
        <w:trPr>
          <w:trHeight w:val="27"/>
        </w:trPr>
        <w:tc>
          <w:tcPr>
            <w:tcW w:w="2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2720" w:type="dxa"/>
            <w:vAlign w:val="bottom"/>
          </w:tcPr>
          <w:p>
            <w:pPr>
              <w:spacing w:after="0"/>
              <w:rPr>
                <w:sz w:val="20"/>
                <w:szCs w:val="20"/>
                <w:color w:val="auto"/>
              </w:rPr>
            </w:pPr>
            <w:r>
              <w:rPr>
                <w:rFonts w:ascii="Arial" w:cs="Arial" w:eastAsia="Arial" w:hAnsi="Arial"/>
                <w:sz w:val="18"/>
                <w:szCs w:val="18"/>
                <w:color w:val="auto"/>
              </w:rPr>
              <w:t>Industrial</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1,395,113</w:t>
            </w:r>
          </w:p>
        </w:tc>
        <w:tc>
          <w:tcPr>
            <w:tcW w:w="10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53%</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1,503,331</w:t>
            </w:r>
          </w:p>
        </w:tc>
        <w:tc>
          <w:tcPr>
            <w:tcW w:w="10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49%</w:t>
            </w:r>
          </w:p>
        </w:tc>
      </w:tr>
      <w:tr>
        <w:trPr>
          <w:trHeight w:val="27"/>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Communications</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517,253</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20%</w:t>
            </w:r>
          </w:p>
        </w:tc>
        <w:tc>
          <w:tcPr>
            <w:tcW w:w="1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712,014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23%</w:t>
            </w:r>
          </w:p>
        </w:tc>
      </w:tr>
      <w:tr>
        <w:trPr>
          <w:trHeight w:val="243"/>
        </w:trPr>
        <w:tc>
          <w:tcPr>
            <w:tcW w:w="2720" w:type="dxa"/>
            <w:vAlign w:val="bottom"/>
          </w:tcPr>
          <w:p>
            <w:pPr>
              <w:spacing w:after="0"/>
              <w:rPr>
                <w:sz w:val="20"/>
                <w:szCs w:val="20"/>
                <w:color w:val="auto"/>
              </w:rPr>
            </w:pPr>
            <w:r>
              <w:rPr>
                <w:rFonts w:ascii="Arial" w:cs="Arial" w:eastAsia="Arial" w:hAnsi="Arial"/>
                <w:sz w:val="18"/>
                <w:szCs w:val="18"/>
                <w:color w:val="auto"/>
              </w:rPr>
              <w:t>Automotive</w:t>
            </w: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388,630</w:t>
            </w:r>
          </w:p>
        </w:tc>
        <w:tc>
          <w:tcPr>
            <w:tcW w:w="10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720" w:type="dxa"/>
            <w:vAlign w:val="bottom"/>
            <w:gridSpan w:val="2"/>
          </w:tcPr>
          <w:p>
            <w:pPr>
              <w:jc w:val="center"/>
              <w:ind w:left="10"/>
              <w:spacing w:after="0"/>
              <w:rPr>
                <w:sz w:val="20"/>
                <w:szCs w:val="20"/>
                <w:color w:val="auto"/>
              </w:rPr>
            </w:pPr>
            <w:r>
              <w:rPr>
                <w:rFonts w:ascii="Arial" w:cs="Arial" w:eastAsia="Arial" w:hAnsi="Arial"/>
                <w:sz w:val="18"/>
                <w:szCs w:val="18"/>
                <w:color w:val="auto"/>
                <w:w w:val="95"/>
              </w:rPr>
              <w:t>(19)%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480,268</w:t>
            </w:r>
          </w:p>
        </w:tc>
        <w:tc>
          <w:tcPr>
            <w:tcW w:w="10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16%</w:t>
            </w:r>
          </w:p>
        </w:tc>
      </w:tr>
      <w:tr>
        <w:trPr>
          <w:trHeight w:val="27"/>
        </w:trPr>
        <w:tc>
          <w:tcPr>
            <w:tcW w:w="2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2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w:t>
            </w: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319,629</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12%</w:t>
            </w:r>
          </w:p>
        </w:tc>
        <w:tc>
          <w:tcPr>
            <w:tcW w:w="17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5"/>
              </w:rPr>
              <w:t>(14)%</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372,090</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12%</w:t>
            </w:r>
          </w:p>
        </w:tc>
      </w:tr>
      <w:tr>
        <w:trPr>
          <w:trHeight w:val="263"/>
        </w:trPr>
        <w:tc>
          <w:tcPr>
            <w:tcW w:w="27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2,620,625</w:t>
            </w:r>
          </w:p>
        </w:tc>
        <w:tc>
          <w:tcPr>
            <w:tcW w:w="100" w:type="dxa"/>
            <w:vAlign w:val="bottom"/>
          </w:tcPr>
          <w:p>
            <w:pPr>
              <w:spacing w:after="0"/>
              <w:rPr>
                <w:sz w:val="22"/>
                <w:szCs w:val="22"/>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100%</w:t>
            </w:r>
          </w:p>
        </w:tc>
        <w:tc>
          <w:tcPr>
            <w:tcW w:w="17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9"/>
              </w:rPr>
              <w:t>(15)%</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3,067,703</w:t>
            </w:r>
          </w:p>
        </w:tc>
        <w:tc>
          <w:tcPr>
            <w:tcW w:w="100" w:type="dxa"/>
            <w:vAlign w:val="bottom"/>
          </w:tcPr>
          <w:p>
            <w:pPr>
              <w:spacing w:after="0"/>
              <w:rPr>
                <w:sz w:val="22"/>
                <w:szCs w:val="22"/>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100%</w:t>
            </w:r>
          </w:p>
        </w:tc>
      </w:tr>
      <w:tr>
        <w:trPr>
          <w:trHeight w:val="20"/>
        </w:trPr>
        <w:tc>
          <w:tcPr>
            <w:tcW w:w="2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sum of the individual percentages may not equal the total due to rounding.</w:t>
      </w:r>
    </w:p>
    <w:p>
      <w:pPr>
        <w:sectPr>
          <w:pgSz w:w="11900" w:h="16838" w:orient="portrait"/>
          <w:cols w:equalWidth="0" w:num="1">
            <w:col w:w="11240"/>
          </w:cols>
          <w:pgMar w:left="320" w:top="89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GAAP TO NON-GAAP RESULTS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177165</wp:posOffset>
            </wp:positionV>
            <wp:extent cx="42430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p>
      <w:pPr>
        <w:spacing w:after="0" w:line="306" w:lineRule="exact"/>
        <w:rPr>
          <w:sz w:val="20"/>
          <w:szCs w:val="20"/>
          <w:color w:val="auto"/>
        </w:rPr>
      </w:pPr>
    </w:p>
    <w:p>
      <w:pPr>
        <w:jc w:val="center"/>
        <w:ind w:left="480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2893695</wp:posOffset>
            </wp:positionH>
            <wp:positionV relativeFrom="paragraph">
              <wp:posOffset>37465</wp:posOffset>
            </wp:positionV>
            <wp:extent cx="2082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82800" cy="8890"/>
                    </a:xfrm>
                    <a:prstGeom prst="rect">
                      <a:avLst/>
                    </a:prstGeom>
                    <a:noFill/>
                  </pic:spPr>
                </pic:pic>
              </a:graphicData>
            </a:graphic>
          </wp:anchor>
        </w:drawing>
      </w:r>
    </w:p>
    <w:p>
      <w:pPr>
        <w:spacing w:after="0" w:line="66" w:lineRule="exact"/>
        <w:rPr>
          <w:sz w:val="20"/>
          <w:szCs w:val="20"/>
          <w:color w:val="auto"/>
        </w:rPr>
      </w:pPr>
    </w:p>
    <w:p>
      <w:pPr>
        <w:ind w:left="4920"/>
        <w:spacing w:after="0"/>
        <w:tabs>
          <w:tab w:leader="none" w:pos="6600" w:val="left"/>
        </w:tabs>
        <w:rPr>
          <w:sz w:val="20"/>
          <w:szCs w:val="20"/>
          <w:color w:val="auto"/>
        </w:rPr>
      </w:pPr>
      <w:r>
        <w:rPr>
          <w:rFonts w:ascii="Arial" w:cs="Arial" w:eastAsia="Arial" w:hAnsi="Arial"/>
          <w:sz w:val="16"/>
          <w:szCs w:val="16"/>
          <w:b w:val="1"/>
          <w:bCs w:val="1"/>
          <w:color w:val="auto"/>
        </w:rPr>
        <w:t>May 2, 2020</w:t>
      </w:r>
      <w:r>
        <w:rPr>
          <w:sz w:val="20"/>
          <w:szCs w:val="20"/>
          <w:color w:val="auto"/>
        </w:rPr>
        <w:tab/>
      </w:r>
      <w:r>
        <w:rPr>
          <w:rFonts w:ascii="Arial" w:cs="Arial" w:eastAsia="Arial" w:hAnsi="Arial"/>
          <w:sz w:val="15"/>
          <w:szCs w:val="15"/>
          <w:b w:val="1"/>
          <w:bCs w:val="1"/>
          <w:color w:val="auto"/>
        </w:rPr>
        <w:t>May 4, 2019</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37465</wp:posOffset>
            </wp:positionV>
            <wp:extent cx="20916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66" w:lineRule="exact"/>
        <w:rPr>
          <w:sz w:val="20"/>
          <w:szCs w:val="20"/>
          <w:color w:val="auto"/>
        </w:rPr>
      </w:pPr>
    </w:p>
    <w:p>
      <w:pPr>
        <w:spacing w:after="0"/>
        <w:tabs>
          <w:tab w:leader="none" w:pos="1680" w:val="left"/>
        </w:tabs>
        <w:rPr>
          <w:sz w:val="20"/>
          <w:szCs w:val="20"/>
          <w:color w:val="auto"/>
        </w:rPr>
      </w:pPr>
      <w:r>
        <w:rPr>
          <w:rFonts w:ascii="Arial" w:cs="Arial" w:eastAsia="Arial" w:hAnsi="Arial"/>
          <w:sz w:val="16"/>
          <w:szCs w:val="16"/>
          <w:b w:val="1"/>
          <w:bCs w:val="1"/>
          <w:color w:val="auto"/>
        </w:rPr>
        <w:t>May 2, 2020</w:t>
      </w:r>
      <w:r>
        <w:rPr>
          <w:sz w:val="20"/>
          <w:szCs w:val="20"/>
          <w:color w:val="auto"/>
        </w:rPr>
        <w:tab/>
      </w:r>
      <w:r>
        <w:rPr>
          <w:rFonts w:ascii="Arial" w:cs="Arial" w:eastAsia="Arial" w:hAnsi="Arial"/>
          <w:sz w:val="15"/>
          <w:szCs w:val="15"/>
          <w:b w:val="1"/>
          <w:bCs w:val="1"/>
          <w:color w:val="auto"/>
        </w:rPr>
        <w:t>May 4, 2019</w:t>
      </w:r>
    </w:p>
    <w:p>
      <w:pPr>
        <w:spacing w:after="0" w:line="39" w:lineRule="exact"/>
        <w:rPr>
          <w:sz w:val="20"/>
          <w:szCs w:val="20"/>
          <w:color w:val="auto"/>
        </w:rPr>
      </w:pPr>
    </w:p>
    <w:p>
      <w:pPr>
        <w:sectPr>
          <w:pgSz w:w="11900" w:h="16838" w:orient="portrait"/>
          <w:cols w:equalWidth="0" w:num="2">
            <w:col w:w="7600" w:space="720"/>
            <w:col w:w="2920"/>
          </w:cols>
          <w:pgMar w:left="320" w:top="688" w:right="339" w:bottom="1440" w:gutter="0" w:footer="0" w:header="0"/>
          <w:type w:val="continuous"/>
        </w:sectPr>
      </w:pPr>
    </w:p>
    <w:tbl>
      <w:tblPr>
        <w:tblLayout w:type="fixed"/>
        <w:tblInd w:w="0" w:type="dxa"/>
        <w:tblCellMar>
          <w:top w:w="0" w:type="dxa"/>
          <w:left w:w="0" w:type="dxa"/>
          <w:bottom w:w="0" w:type="dxa"/>
          <w:right w:w="0" w:type="dxa"/>
        </w:tblCellMar>
      </w:tblPr>
      <w:tr>
        <w:trPr>
          <w:trHeight w:val="54"/>
        </w:trPr>
        <w:tc>
          <w:tcPr>
            <w:tcW w:w="4560" w:type="dxa"/>
            <w:vAlign w:val="bottom"/>
          </w:tcPr>
          <w:p>
            <w:pPr>
              <w:spacing w:after="0"/>
              <w:rPr>
                <w:sz w:val="4"/>
                <w:szCs w:val="4"/>
                <w:color w:val="auto"/>
              </w:rPr>
            </w:pPr>
          </w:p>
        </w:tc>
        <w:tc>
          <w:tcPr>
            <w:tcW w:w="440" w:type="dxa"/>
            <w:vAlign w:val="bottom"/>
            <w:tcBorders>
              <w:top w:val="single" w:sz="8" w:color="auto"/>
            </w:tcBorders>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top w:val="single" w:sz="8" w:color="auto"/>
            </w:tcBorders>
          </w:tcPr>
          <w:p>
            <w:pPr>
              <w:spacing w:after="0"/>
              <w:rPr>
                <w:sz w:val="4"/>
                <w:szCs w:val="4"/>
                <w:color w:val="auto"/>
              </w:rPr>
            </w:pPr>
          </w:p>
        </w:tc>
        <w:tc>
          <w:tcPr>
            <w:tcW w:w="10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846,674</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1,034,092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1,694,816</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2,073,748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560" w:type="dxa"/>
            <w:vAlign w:val="bottom"/>
          </w:tcPr>
          <w:p>
            <w:pPr>
              <w:ind w:left="100"/>
              <w:spacing w:after="0"/>
              <w:rPr>
                <w:sz w:val="20"/>
                <w:szCs w:val="20"/>
                <w:color w:val="auto"/>
              </w:rPr>
            </w:pPr>
            <w:r>
              <w:rPr>
                <w:rFonts w:ascii="Arial" w:cs="Arial" w:eastAsia="Arial" w:hAnsi="Arial"/>
                <w:sz w:val="16"/>
                <w:szCs w:val="16"/>
                <w:color w:val="auto"/>
              </w:rPr>
              <w:t>Gross margin percentage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64.3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44,395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43,255</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89,411</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88,750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16"/>
                <w:szCs w:val="16"/>
                <w:color w:val="auto"/>
              </w:rPr>
              <w:t>Adjusted gross margin</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891,069</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1,077,347</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1,784,227</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2,162,498</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3"/>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gross margin percentage</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54"/>
        </w:trPr>
        <w:tc>
          <w:tcPr>
            <w:tcW w:w="4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gridSpan w:val="3"/>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502,654</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564,397</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1,077,368</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1,148,227</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560" w:type="dxa"/>
            <w:vAlign w:val="bottom"/>
          </w:tcPr>
          <w:p>
            <w:pPr>
              <w:ind w:left="100"/>
              <w:spacing w:after="0"/>
              <w:rPr>
                <w:sz w:val="20"/>
                <w:szCs w:val="20"/>
                <w:color w:val="auto"/>
              </w:rPr>
            </w:pPr>
            <w:r>
              <w:rPr>
                <w:rFonts w:ascii="Arial" w:cs="Arial" w:eastAsia="Arial" w:hAnsi="Arial"/>
                <w:sz w:val="16"/>
                <w:szCs w:val="16"/>
                <w:color w:val="auto"/>
              </w:rPr>
              <w:t>Percent of revenue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38.2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41.1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37.4</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(111,057)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(112,824)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(222,838)</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(222,656)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56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16"/>
                <w:szCs w:val="16"/>
                <w:color w:val="auto"/>
              </w:rPr>
              <w:t>Adjusted operating expenses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390,277</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443,411</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802,074</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895,627</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3"/>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operating expenses percentage</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54"/>
        </w:trPr>
        <w:tc>
          <w:tcPr>
            <w:tcW w:w="4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gridSpan w:val="3"/>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37"/>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344,020</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469,695</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617,448</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925,521</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560" w:type="dxa"/>
            <w:vAlign w:val="bottom"/>
          </w:tcPr>
          <w:p>
            <w:pPr>
              <w:ind w:left="100"/>
              <w:spacing w:after="0"/>
              <w:rPr>
                <w:sz w:val="20"/>
                <w:szCs w:val="20"/>
                <w:color w:val="auto"/>
              </w:rPr>
            </w:pPr>
            <w:r>
              <w:rPr>
                <w:rFonts w:ascii="Arial" w:cs="Arial" w:eastAsia="Arial" w:hAnsi="Arial"/>
                <w:sz w:val="16"/>
                <w:szCs w:val="16"/>
                <w:color w:val="auto"/>
              </w:rPr>
              <w:t>Operating margin</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26.1</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30.8</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23.6</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30.2</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155,452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156,079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312,249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311,406</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4"/>
        </w:trPr>
        <w:tc>
          <w:tcPr>
            <w:tcW w:w="456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1,320</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8,162</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12,456</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29,944</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16"/>
                <w:szCs w:val="16"/>
                <w:color w:val="auto"/>
              </w:rPr>
              <w:t>Adjusted operating income</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500,792</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633,936</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982,153</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1,266,871</w:t>
            </w:r>
          </w:p>
        </w:tc>
        <w:tc>
          <w:tcPr>
            <w:tcW w:w="160" w:type="dxa"/>
            <w:vAlign w:val="bottom"/>
            <w:tcBorders>
              <w:top w:val="single" w:sz="8" w:color="auto"/>
              <w:bottom w:val="single" w:sz="8" w:color="auto"/>
            </w:tcBorders>
          </w:tcPr>
          <w:p>
            <w:pPr>
              <w:spacing w:after="0"/>
              <w:rPr>
                <w:sz w:val="21"/>
                <w:szCs w:val="2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34"/>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Adjusted operating margin</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54"/>
        </w:trPr>
        <w:tc>
          <w:tcPr>
            <w:tcW w:w="45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680" w:type="dxa"/>
            <w:vAlign w:val="bottom"/>
            <w:gridSpan w:val="3"/>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236"/>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27,365</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40,460</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49,708</w:t>
            </w:r>
          </w:p>
        </w:tc>
        <w:tc>
          <w:tcPr>
            <w:tcW w:w="680" w:type="dxa"/>
            <w:vAlign w:val="bottom"/>
            <w:tcBorders>
              <w:bottom w:val="single" w:sz="8" w:color="CCEEFF"/>
            </w:tcBorders>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85,400</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6"/>
                <w:szCs w:val="16"/>
                <w:color w:val="auto"/>
              </w:rPr>
              <w:t>Income tax effect of adjustments above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21,867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22,740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50,147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47,640</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from certain discrete tax items</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12,560</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16"/>
                <w:szCs w:val="16"/>
                <w:color w:val="auto"/>
              </w:rPr>
              <w:t>Adjusted provision for income taxes</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49,232</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63,200</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99,855</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145,600</w:t>
            </w:r>
          </w:p>
        </w:tc>
        <w:tc>
          <w:tcPr>
            <w:tcW w:w="160" w:type="dxa"/>
            <w:vAlign w:val="bottom"/>
            <w:tcBorders>
              <w:top w:val="single" w:sz="8" w:color="auto"/>
              <w:bottom w:val="single" w:sz="8" w:color="auto"/>
            </w:tcBorders>
          </w:tcPr>
          <w:p>
            <w:pPr>
              <w:spacing w:after="0"/>
              <w:rPr>
                <w:sz w:val="21"/>
                <w:szCs w:val="21"/>
                <w:color w:val="auto"/>
              </w:rPr>
            </w:pPr>
          </w:p>
        </w:tc>
      </w:tr>
      <w:tr>
        <w:trPr>
          <w:trHeight w:val="49"/>
        </w:trPr>
        <w:tc>
          <w:tcPr>
            <w:tcW w:w="456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23"/>
        </w:trPr>
        <w:tc>
          <w:tcPr>
            <w:tcW w:w="4560" w:type="dxa"/>
            <w:vAlign w:val="bottom"/>
            <w:tcBorders>
              <w:top w:val="single" w:sz="8" w:color="CCEEFF"/>
            </w:tcBorders>
          </w:tcPr>
          <w:p>
            <w:pPr>
              <w:ind w:left="20"/>
              <w:spacing w:after="0"/>
              <w:rPr>
                <w:sz w:val="20"/>
                <w:szCs w:val="20"/>
                <w:color w:val="auto"/>
              </w:rPr>
            </w:pPr>
            <w:r>
              <w:rPr>
                <w:rFonts w:ascii="Arial" w:cs="Arial" w:eastAsia="Arial" w:hAnsi="Arial"/>
                <w:sz w:val="16"/>
                <w:szCs w:val="16"/>
                <w:color w:val="auto"/>
              </w:rPr>
              <w:t>Income before income taxes</w:t>
            </w:r>
          </w:p>
        </w:tc>
        <w:tc>
          <w:tcPr>
            <w:tcW w:w="440" w:type="dxa"/>
            <w:vAlign w:val="bottom"/>
            <w:tcBorders>
              <w:top w:val="single" w:sz="8" w:color="CCEEFF"/>
            </w:tcBorders>
          </w:tcPr>
          <w:p>
            <w:pPr>
              <w:spacing w:after="0"/>
              <w:rPr>
                <w:sz w:val="19"/>
                <w:szCs w:val="19"/>
                <w:color w:val="auto"/>
              </w:rPr>
            </w:pPr>
          </w:p>
        </w:tc>
        <w:tc>
          <w:tcPr>
            <w:tcW w:w="98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295,061</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408,397</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521,278</w:t>
            </w:r>
          </w:p>
        </w:tc>
        <w:tc>
          <w:tcPr>
            <w:tcW w:w="1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20" w:type="dxa"/>
            <w:vAlign w:val="bottom"/>
            <w:tcBorders>
              <w:top w:val="single" w:sz="8" w:color="CCEEFF"/>
            </w:tcBorders>
          </w:tcPr>
          <w:p>
            <w:pPr>
              <w:spacing w:after="0"/>
              <w:rPr>
                <w:sz w:val="19"/>
                <w:szCs w:val="19"/>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808,343</w:t>
            </w:r>
          </w:p>
        </w:tc>
        <w:tc>
          <w:tcPr>
            <w:tcW w:w="160" w:type="dxa"/>
            <w:vAlign w:val="bottom"/>
            <w:tcBorders>
              <w:top w:val="single" w:sz="8" w:color="CCEEFF"/>
            </w:tcBorders>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Effective tax rate</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223"/>
        </w:trPr>
        <w:tc>
          <w:tcPr>
            <w:tcW w:w="4560" w:type="dxa"/>
            <w:vAlign w:val="bottom"/>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155,452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156,079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312,249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311,406</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1,320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8,162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12,456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29,944</w:t>
            </w:r>
          </w:p>
        </w:tc>
        <w:tc>
          <w:tcPr>
            <w:tcW w:w="160" w:type="dxa"/>
            <w:vAlign w:val="bottom"/>
          </w:tcPr>
          <w:p>
            <w:pPr>
              <w:spacing w:after="0"/>
              <w:rPr>
                <w:sz w:val="19"/>
                <w:szCs w:val="19"/>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67"/>
        </w:trPr>
        <w:tc>
          <w:tcPr>
            <w:tcW w:w="4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income before income taxes</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451,833</w:t>
            </w:r>
          </w:p>
        </w:tc>
        <w:tc>
          <w:tcPr>
            <w:tcW w:w="68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572,638</w:t>
            </w:r>
          </w:p>
        </w:tc>
        <w:tc>
          <w:tcPr>
            <w:tcW w:w="68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885,983</w:t>
            </w:r>
          </w:p>
        </w:tc>
        <w:tc>
          <w:tcPr>
            <w:tcW w:w="680" w:type="dxa"/>
            <w:vAlign w:val="bottom"/>
            <w:gridSpan w:val="3"/>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1,149,693</w:t>
            </w:r>
          </w:p>
        </w:tc>
        <w:tc>
          <w:tcPr>
            <w:tcW w:w="160" w:type="dxa"/>
            <w:vAlign w:val="bottom"/>
            <w:shd w:val="clear" w:color="auto" w:fill="CCEEFF"/>
          </w:tcPr>
          <w:p>
            <w:pPr>
              <w:spacing w:after="0"/>
              <w:rPr>
                <w:sz w:val="23"/>
                <w:szCs w:val="23"/>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200"/>
        </w:trPr>
        <w:tc>
          <w:tcPr>
            <w:tcW w:w="4560" w:type="dxa"/>
            <w:vAlign w:val="bottom"/>
          </w:tcPr>
          <w:p>
            <w:pPr>
              <w:ind w:left="100"/>
              <w:spacing w:after="0"/>
              <w:rPr>
                <w:sz w:val="20"/>
                <w:szCs w:val="20"/>
                <w:color w:val="auto"/>
              </w:rPr>
            </w:pPr>
            <w:r>
              <w:rPr>
                <w:rFonts w:ascii="Arial" w:cs="Arial" w:eastAsia="Arial" w:hAnsi="Arial"/>
                <w:sz w:val="16"/>
                <w:szCs w:val="16"/>
                <w:color w:val="auto"/>
              </w:rPr>
              <w:t>Adjusted tax rate</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10.9</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11.0</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w:t>
            </w:r>
          </w:p>
        </w:tc>
        <w:tc>
          <w:tcPr>
            <w:tcW w:w="160" w:type="dxa"/>
            <w:vAlign w:val="bottom"/>
          </w:tcPr>
          <w:p>
            <w:pPr>
              <w:jc w:val="right"/>
              <w:spacing w:after="0"/>
              <w:rPr>
                <w:sz w:val="20"/>
                <w:szCs w:val="20"/>
                <w:color w:val="auto"/>
              </w:rPr>
            </w:pPr>
            <w:r>
              <w:rPr>
                <w:rFonts w:ascii="Arial" w:cs="Arial" w:eastAsia="Arial" w:hAnsi="Arial"/>
                <w:sz w:val="16"/>
                <w:szCs w:val="16"/>
                <w:color w:val="auto"/>
                <w:w w:val="84"/>
              </w:rPr>
              <w:t>%</w:t>
            </w:r>
          </w:p>
        </w:tc>
      </w:tr>
      <w:tr>
        <w:trPr>
          <w:trHeight w:val="67"/>
        </w:trPr>
        <w:tc>
          <w:tcPr>
            <w:tcW w:w="4560" w:type="dxa"/>
            <w:vAlign w:val="bottom"/>
            <w:tcBorders>
              <w:bottom w:val="single" w:sz="8" w:color="CCEEFF"/>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680" w:type="dxa"/>
            <w:vAlign w:val="bottom"/>
            <w:tcBorders>
              <w:bottom w:val="single" w:sz="8" w:color="CCEEFF"/>
            </w:tcBorders>
            <w:gridSpan w:val="3"/>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CCEEFF"/>
            </w:tcBorders>
          </w:tcPr>
          <w:p>
            <w:pPr>
              <w:spacing w:after="0"/>
              <w:rPr>
                <w:sz w:val="5"/>
                <w:szCs w:val="5"/>
                <w:color w:val="auto"/>
              </w:rPr>
            </w:pPr>
          </w:p>
        </w:tc>
        <w:tc>
          <w:tcPr>
            <w:tcW w:w="102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r>
      <w:tr>
        <w:trPr>
          <w:trHeight w:val="223"/>
        </w:trPr>
        <w:tc>
          <w:tcPr>
            <w:tcW w:w="456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0.72</w:t>
            </w:r>
          </w:p>
        </w:tc>
        <w:tc>
          <w:tcPr>
            <w:tcW w:w="6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0.98</w:t>
            </w:r>
          </w:p>
        </w:tc>
        <w:tc>
          <w:tcPr>
            <w:tcW w:w="6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1.27</w:t>
            </w:r>
          </w:p>
        </w:tc>
        <w:tc>
          <w:tcPr>
            <w:tcW w:w="680" w:type="dxa"/>
            <w:vAlign w:val="bottom"/>
            <w:gridSpan w:val="3"/>
          </w:tcPr>
          <w:p>
            <w:pPr>
              <w:jc w:val="right"/>
              <w:ind w:right="23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1.93</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Acquisition related expenses</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0.84</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6"/>
                <w:szCs w:val="16"/>
                <w:color w:val="auto"/>
              </w:rPr>
              <w:t>Charitable foundation contribution</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36"/>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Restructuring related expense</w:t>
            </w:r>
          </w:p>
        </w:tc>
        <w:tc>
          <w:tcPr>
            <w:tcW w:w="4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60" w:type="dxa"/>
            <w:vAlign w:val="bottom"/>
            <w:tcBorders>
              <w:bottom w:val="single" w:sz="8" w:color="CCEEFF"/>
            </w:tcBorders>
            <w:shd w:val="clear" w:color="auto" w:fill="CCEEFF"/>
          </w:tcPr>
          <w:p>
            <w:pPr>
              <w:spacing w:after="0"/>
              <w:rPr>
                <w:sz w:val="20"/>
                <w:szCs w:val="20"/>
                <w:color w:val="auto"/>
              </w:rPr>
            </w:pPr>
          </w:p>
        </w:tc>
      </w:tr>
      <w:tr>
        <w:trPr>
          <w:trHeight w:val="223"/>
        </w:trPr>
        <w:tc>
          <w:tcPr>
            <w:tcW w:w="4560" w:type="dxa"/>
            <w:vAlign w:val="bottom"/>
          </w:tcPr>
          <w:p>
            <w:pPr>
              <w:ind w:left="260"/>
              <w:spacing w:after="0"/>
              <w:rPr>
                <w:sz w:val="20"/>
                <w:szCs w:val="20"/>
                <w:color w:val="auto"/>
              </w:rPr>
            </w:pPr>
            <w:r>
              <w:rPr>
                <w:rFonts w:ascii="Arial" w:cs="Arial" w:eastAsia="Arial" w:hAnsi="Arial"/>
                <w:sz w:val="16"/>
                <w:szCs w:val="16"/>
                <w:color w:val="auto"/>
              </w:rPr>
              <w:t>Income tax effect of adjustments above</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(0.13)</w:t>
            </w:r>
          </w:p>
        </w:tc>
        <w:tc>
          <w:tcPr>
            <w:tcW w:w="160" w:type="dxa"/>
            <w:vAlign w:val="bottom"/>
          </w:tcPr>
          <w:p>
            <w:pPr>
              <w:spacing w:after="0"/>
              <w:rPr>
                <w:sz w:val="19"/>
                <w:szCs w:val="19"/>
                <w:color w:val="auto"/>
              </w:rPr>
            </w:pPr>
          </w:p>
        </w:tc>
      </w:tr>
      <w:tr>
        <w:trPr>
          <w:trHeight w:val="33"/>
        </w:trPr>
        <w:tc>
          <w:tcPr>
            <w:tcW w:w="4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6"/>
        </w:trPr>
        <w:tc>
          <w:tcPr>
            <w:tcW w:w="4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Income tax from certain discrete tax items</w:t>
            </w:r>
          </w:p>
        </w:tc>
        <w:tc>
          <w:tcPr>
            <w:tcW w:w="4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160" w:type="dxa"/>
            <w:vAlign w:val="bottom"/>
            <w:tcBorders>
              <w:bottom w:val="single" w:sz="8" w:color="CCEEFF"/>
            </w:tcBorders>
            <w:shd w:val="clear" w:color="auto" w:fill="CCEEFF"/>
          </w:tcPr>
          <w:p>
            <w:pPr>
              <w:spacing w:after="0"/>
              <w:rPr>
                <w:sz w:val="22"/>
                <w:szCs w:val="22"/>
                <w:color w:val="auto"/>
              </w:rPr>
            </w:pPr>
          </w:p>
        </w:tc>
      </w:tr>
      <w:tr>
        <w:trPr>
          <w:trHeight w:val="247"/>
        </w:trPr>
        <w:tc>
          <w:tcPr>
            <w:tcW w:w="4560" w:type="dxa"/>
            <w:vAlign w:val="bottom"/>
          </w:tcPr>
          <w:p>
            <w:pPr>
              <w:ind w:left="20"/>
              <w:spacing w:after="0"/>
              <w:rPr>
                <w:sz w:val="20"/>
                <w:szCs w:val="20"/>
                <w:color w:val="auto"/>
              </w:rPr>
            </w:pPr>
            <w:r>
              <w:rPr>
                <w:rFonts w:ascii="Arial" w:cs="Arial" w:eastAsia="Arial" w:hAnsi="Arial"/>
                <w:sz w:val="16"/>
                <w:szCs w:val="16"/>
                <w:color w:val="auto"/>
              </w:rPr>
              <w:t>Adjusted diluted EPS (1)</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Borders>
              <w:top w:val="single" w:sz="8" w:color="auto"/>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2.69</w:t>
            </w:r>
          </w:p>
        </w:tc>
        <w:tc>
          <w:tcPr>
            <w:tcW w:w="160" w:type="dxa"/>
            <w:vAlign w:val="bottom"/>
            <w:tcBorders>
              <w:top w:val="single" w:sz="8" w:color="auto"/>
              <w:bottom w:val="single" w:sz="8" w:color="auto"/>
            </w:tcBorders>
          </w:tcPr>
          <w:p>
            <w:pPr>
              <w:spacing w:after="0"/>
              <w:rPr>
                <w:sz w:val="21"/>
                <w:szCs w:val="21"/>
                <w:color w:val="auto"/>
              </w:rPr>
            </w:pPr>
          </w:p>
        </w:tc>
      </w:tr>
      <w:tr>
        <w:trPr>
          <w:trHeight w:val="24"/>
        </w:trPr>
        <w:tc>
          <w:tcPr>
            <w:tcW w:w="45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The sum of the individual per share amounts may not equal the total due to rounding.</w:t>
      </w:r>
    </w:p>
    <w:p>
      <w:pPr>
        <w:sectPr>
          <w:pgSz w:w="11900" w:h="16838" w:orient="portrait"/>
          <w:cols w:equalWidth="0" w:num="1">
            <w:col w:w="11240"/>
          </w:cols>
          <w:pgMar w:left="320" w:top="688" w:right="339" w:bottom="1440" w:gutter="0" w:footer="0" w:header="0"/>
          <w:type w:val="continuous"/>
        </w:sectPr>
      </w:pPr>
    </w:p>
    <w:bookmarkStart w:id="14" w:name="page15"/>
    <w:bookmarkEnd w:id="14"/>
    <w:p>
      <w:pPr>
        <w:jc w:val="center"/>
        <w:ind w:right="20"/>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2353945</wp:posOffset>
            </wp:positionH>
            <wp:positionV relativeFrom="paragraph">
              <wp:posOffset>177165</wp:posOffset>
            </wp:positionV>
            <wp:extent cx="47491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15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Trailing Twelve</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Months</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5"/>
          </w:tcPr>
          <w:p>
            <w:pPr>
              <w:ind w:left="480"/>
              <w:spacing w:after="0"/>
              <w:rPr>
                <w:sz w:val="20"/>
                <w:szCs w:val="20"/>
                <w:color w:val="auto"/>
              </w:rPr>
            </w:pPr>
            <w:r>
              <w:rPr>
                <w:rFonts w:ascii="Arial" w:cs="Arial" w:eastAsia="Arial" w:hAnsi="Arial"/>
                <w:sz w:val="18"/>
                <w:szCs w:val="18"/>
                <w:b w:val="1"/>
                <w:bCs w:val="1"/>
                <w:color w:val="auto"/>
              </w:rPr>
              <w:t>Three Months Ended</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3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May 2, 2020</w:t>
            </w:r>
          </w:p>
        </w:tc>
        <w:tc>
          <w:tcPr>
            <w:tcW w:w="160" w:type="dxa"/>
            <w:vAlign w:val="bottom"/>
          </w:tcPr>
          <w:p>
            <w:pPr>
              <w:spacing w:after="0"/>
              <w:rPr>
                <w:sz w:val="20"/>
                <w:szCs w:val="20"/>
                <w:color w:val="auto"/>
              </w:rPr>
            </w:pPr>
          </w:p>
        </w:tc>
        <w:tc>
          <w:tcPr>
            <w:tcW w:w="1360" w:type="dxa"/>
            <w:vAlign w:val="bottom"/>
            <w:gridSpan w:val="2"/>
          </w:tcPr>
          <w:p>
            <w:pPr>
              <w:ind w:left="60"/>
              <w:spacing w:after="0"/>
              <w:rPr>
                <w:sz w:val="20"/>
                <w:szCs w:val="20"/>
                <w:color w:val="auto"/>
              </w:rPr>
            </w:pPr>
            <w:r>
              <w:rPr>
                <w:rFonts w:ascii="Arial" w:cs="Arial" w:eastAsia="Arial" w:hAnsi="Arial"/>
                <w:sz w:val="18"/>
                <w:szCs w:val="18"/>
                <w:b w:val="1"/>
                <w:bCs w:val="1"/>
                <w:color w:val="auto"/>
              </w:rPr>
              <w:t>May 2, 2020</w:t>
            </w:r>
          </w:p>
        </w:tc>
        <w:tc>
          <w:tcPr>
            <w:tcW w:w="16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Feb. 1, 2020</w:t>
            </w:r>
          </w:p>
        </w:tc>
        <w:tc>
          <w:tcPr>
            <w:tcW w:w="1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b w:val="1"/>
                <w:bCs w:val="1"/>
                <w:color w:val="auto"/>
              </w:rPr>
              <w:t>Nov. 2, 2019</w:t>
            </w:r>
          </w:p>
        </w:tc>
        <w:tc>
          <w:tcPr>
            <w:tcW w:w="180" w:type="dxa"/>
            <w:vAlign w:val="bottom"/>
          </w:tcPr>
          <w:p>
            <w:pPr>
              <w:spacing w:after="0"/>
              <w:rPr>
                <w:sz w:val="20"/>
                <w:szCs w:val="20"/>
                <w:color w:val="auto"/>
              </w:rPr>
            </w:pPr>
          </w:p>
        </w:tc>
        <w:tc>
          <w:tcPr>
            <w:tcW w:w="124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Aug. 3, 2019</w:t>
            </w:r>
          </w:p>
        </w:tc>
      </w:tr>
      <w:tr>
        <w:trPr>
          <w:trHeight w:val="27"/>
        </w:trPr>
        <w:tc>
          <w:tcPr>
            <w:tcW w:w="3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5,543,987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1,317,060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1,303,565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1,443,219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1,480,143</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1,989,140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429,041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50"/>
              <w:spacing w:after="0"/>
              <w:rPr>
                <w:sz w:val="20"/>
                <w:szCs w:val="20"/>
                <w:color w:val="auto"/>
              </w:rPr>
            </w:pPr>
            <w:r>
              <w:rPr>
                <w:rFonts w:ascii="Arial" w:cs="Arial" w:eastAsia="Arial" w:hAnsi="Arial"/>
                <w:sz w:val="18"/>
                <w:szCs w:val="18"/>
                <w:color w:val="auto"/>
              </w:rPr>
              <w:t>349,648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657,905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0"/>
              <w:spacing w:after="0"/>
              <w:rPr>
                <w:sz w:val="20"/>
                <w:szCs w:val="20"/>
                <w:color w:val="auto"/>
              </w:rPr>
            </w:pPr>
            <w:r>
              <w:rPr>
                <w:rFonts w:ascii="Arial" w:cs="Arial" w:eastAsia="Arial" w:hAnsi="Arial"/>
                <w:sz w:val="18"/>
                <w:szCs w:val="18"/>
                <w:color w:val="auto"/>
              </w:rPr>
              <w:t>552,546</w:t>
            </w: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of Revenue</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37 %</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(224,170)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(60,161)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(54,839)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(51,076)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(58,094)</w:t>
            </w:r>
          </w:p>
        </w:tc>
      </w:tr>
      <w:tr>
        <w:trPr>
          <w:trHeight w:val="27"/>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1,764,970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368,880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294,809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606,829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494,452</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33 %</w:t>
            </w:r>
          </w:p>
        </w:tc>
      </w:tr>
    </w:tbl>
    <w:p>
      <w:pPr>
        <w:sectPr>
          <w:pgSz w:w="11900" w:h="16838" w:orient="portrait"/>
          <w:cols w:equalWidth="0" w:num="1">
            <w:col w:w="11180"/>
          </w:cols>
          <w:pgMar w:left="360" w:top="891"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2919730</wp:posOffset>
            </wp:positionH>
            <wp:positionV relativeFrom="paragraph">
              <wp:posOffset>177165</wp:posOffset>
            </wp:positionV>
            <wp:extent cx="42087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6620" w:type="dxa"/>
            <w:vAlign w:val="bottom"/>
            <w:gridSpan w:val="3"/>
          </w:tcPr>
          <w:p>
            <w:pPr>
              <w:ind w:left="1880"/>
              <w:spacing w:after="0"/>
              <w:rPr>
                <w:sz w:val="20"/>
                <w:szCs w:val="20"/>
                <w:color w:val="auto"/>
              </w:rPr>
            </w:pPr>
            <w:r>
              <w:rPr>
                <w:rFonts w:ascii="Arial" w:cs="Arial" w:eastAsia="Arial" w:hAnsi="Arial"/>
                <w:sz w:val="18"/>
                <w:szCs w:val="18"/>
                <w:b w:val="1"/>
                <w:bCs w:val="1"/>
                <w:color w:val="auto"/>
              </w:rPr>
              <w:t>Three Months Ending August 1, 2020</w:t>
            </w:r>
          </w:p>
        </w:tc>
      </w:tr>
      <w:tr>
        <w:trPr>
          <w:trHeight w:val="27"/>
        </w:trPr>
        <w:tc>
          <w:tcPr>
            <w:tcW w:w="4580" w:type="dxa"/>
            <w:vAlign w:val="bottom"/>
          </w:tcPr>
          <w:p>
            <w:pPr>
              <w:spacing w:after="0"/>
              <w:rPr>
                <w:sz w:val="2"/>
                <w:szCs w:val="2"/>
                <w:color w:val="auto"/>
              </w:rPr>
            </w:pPr>
          </w:p>
        </w:tc>
        <w:tc>
          <w:tcPr>
            <w:tcW w:w="3360" w:type="dxa"/>
            <w:vAlign w:val="bottom"/>
            <w:tcBorders>
              <w:bottom w:val="single" w:sz="8" w:color="auto"/>
            </w:tcBorders>
            <w:gridSpan w:val="2"/>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Reported</w:t>
            </w:r>
          </w:p>
        </w:tc>
        <w:tc>
          <w:tcPr>
            <w:tcW w:w="3260" w:type="dxa"/>
            <w:vAlign w:val="bottom"/>
          </w:tcPr>
          <w:p>
            <w:pPr>
              <w:jc w:val="center"/>
              <w:spacing w:after="0"/>
              <w:rPr>
                <w:sz w:val="20"/>
                <w:szCs w:val="20"/>
                <w:color w:val="auto"/>
              </w:rPr>
            </w:pPr>
            <w:r>
              <w:rPr>
                <w:rFonts w:ascii="Arial" w:cs="Arial" w:eastAsia="Arial" w:hAnsi="Arial"/>
                <w:sz w:val="18"/>
                <w:szCs w:val="18"/>
                <w:b w:val="1"/>
                <w:bCs w:val="1"/>
                <w:color w:val="auto"/>
                <w:w w:val="90"/>
              </w:rPr>
              <w:t>Adjusted</w:t>
            </w:r>
          </w:p>
        </w:tc>
      </w:tr>
      <w:tr>
        <w:trPr>
          <w:trHeight w:val="27"/>
        </w:trPr>
        <w:tc>
          <w:tcPr>
            <w:tcW w:w="458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43"/>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3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$1.32 Billion</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$1.32 Billion</w:t>
            </w:r>
          </w:p>
        </w:tc>
      </w:tr>
      <w:tr>
        <w:trPr>
          <w:trHeight w:val="243"/>
        </w:trPr>
        <w:tc>
          <w:tcPr>
            <w:tcW w:w="4580" w:type="dxa"/>
            <w:vAlign w:val="bottom"/>
          </w:tcPr>
          <w:p>
            <w:pPr>
              <w:spacing w:after="0"/>
              <w:rPr>
                <w:sz w:val="21"/>
                <w:szCs w:val="21"/>
                <w:color w:val="auto"/>
              </w:rPr>
            </w:pP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$70 Million)</w:t>
            </w:r>
          </w:p>
        </w:tc>
        <w:tc>
          <w:tcPr>
            <w:tcW w:w="3260" w:type="dxa"/>
            <w:vAlign w:val="bottom"/>
          </w:tcPr>
          <w:p>
            <w:pPr>
              <w:jc w:val="center"/>
              <w:spacing w:after="0"/>
              <w:rPr>
                <w:sz w:val="20"/>
                <w:szCs w:val="20"/>
                <w:color w:val="auto"/>
              </w:rPr>
            </w:pPr>
            <w:r>
              <w:rPr>
                <w:rFonts w:ascii="Arial" w:cs="Arial" w:eastAsia="Arial" w:hAnsi="Arial"/>
                <w:sz w:val="18"/>
                <w:szCs w:val="18"/>
                <w:color w:val="auto"/>
                <w:w w:val="97"/>
              </w:rPr>
              <w:t>(+/- $70 Million)</w:t>
            </w:r>
          </w:p>
        </w:tc>
      </w:tr>
      <w:tr>
        <w:trPr>
          <w:trHeight w:val="27"/>
        </w:trPr>
        <w:tc>
          <w:tcPr>
            <w:tcW w:w="4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margin</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26.4%</w:t>
            </w:r>
          </w:p>
        </w:tc>
        <w:tc>
          <w:tcPr>
            <w:tcW w:w="10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38.3% (1)</w:t>
            </w:r>
          </w:p>
        </w:tc>
      </w:tr>
      <w:tr>
        <w:trPr>
          <w:trHeight w:val="243"/>
        </w:trPr>
        <w:tc>
          <w:tcPr>
            <w:tcW w:w="4580" w:type="dxa"/>
            <w:vAlign w:val="bottom"/>
          </w:tcPr>
          <w:p>
            <w:pPr>
              <w:spacing w:after="0"/>
              <w:rPr>
                <w:sz w:val="21"/>
                <w:szCs w:val="21"/>
                <w:color w:val="auto"/>
              </w:rPr>
            </w:pPr>
          </w:p>
        </w:tc>
        <w:tc>
          <w:tcPr>
            <w:tcW w:w="33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(+/-200 bps)</w:t>
            </w:r>
          </w:p>
        </w:tc>
        <w:tc>
          <w:tcPr>
            <w:tcW w:w="3260" w:type="dxa"/>
            <w:vAlign w:val="bottom"/>
          </w:tcPr>
          <w:p>
            <w:pPr>
              <w:jc w:val="center"/>
              <w:spacing w:after="0"/>
              <w:rPr>
                <w:sz w:val="20"/>
                <w:szCs w:val="20"/>
                <w:color w:val="auto"/>
              </w:rPr>
            </w:pPr>
            <w:r>
              <w:rPr>
                <w:rFonts w:ascii="Arial" w:cs="Arial" w:eastAsia="Arial" w:hAnsi="Arial"/>
                <w:sz w:val="18"/>
                <w:szCs w:val="18"/>
                <w:color w:val="auto"/>
                <w:w w:val="92"/>
              </w:rPr>
              <w:t>(+/-150 bps)</w:t>
            </w:r>
          </w:p>
        </w:tc>
      </w:tr>
      <w:tr>
        <w:trPr>
          <w:trHeight w:val="27"/>
        </w:trPr>
        <w:tc>
          <w:tcPr>
            <w:tcW w:w="4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Nonoperating expense</w:t>
            </w:r>
          </w:p>
        </w:tc>
        <w:tc>
          <w:tcPr>
            <w:tcW w:w="33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 $47 Million</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8"/>
              </w:rPr>
              <w:t>~ $47 Million</w:t>
            </w: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Tax rate</w:t>
            </w:r>
          </w:p>
        </w:tc>
        <w:tc>
          <w:tcPr>
            <w:tcW w:w="33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11% to 12%</w:t>
            </w:r>
          </w:p>
        </w:tc>
        <w:tc>
          <w:tcPr>
            <w:tcW w:w="3260" w:type="dxa"/>
            <w:vAlign w:val="bottom"/>
          </w:tcPr>
          <w:p>
            <w:pPr>
              <w:jc w:val="center"/>
              <w:spacing w:after="0"/>
              <w:rPr>
                <w:sz w:val="20"/>
                <w:szCs w:val="20"/>
                <w:color w:val="auto"/>
              </w:rPr>
            </w:pPr>
            <w:r>
              <w:rPr>
                <w:rFonts w:ascii="Arial" w:cs="Arial" w:eastAsia="Arial" w:hAnsi="Arial"/>
                <w:sz w:val="18"/>
                <w:szCs w:val="18"/>
                <w:color w:val="auto"/>
                <w:w w:val="91"/>
              </w:rPr>
              <w:t>12% to 13% (2)</w:t>
            </w:r>
          </w:p>
        </w:tc>
      </w:tr>
      <w:tr>
        <w:trPr>
          <w:trHeight w:val="27"/>
        </w:trPr>
        <w:tc>
          <w:tcPr>
            <w:tcW w:w="4580" w:type="dxa"/>
            <w:vAlign w:val="bottom"/>
          </w:tcPr>
          <w:p>
            <w:pPr>
              <w:spacing w:after="0"/>
              <w:rPr>
                <w:sz w:val="2"/>
                <w:szCs w:val="2"/>
                <w:color w:val="auto"/>
              </w:rPr>
            </w:pPr>
          </w:p>
        </w:tc>
        <w:tc>
          <w:tcPr>
            <w:tcW w:w="3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$0.72</w:t>
            </w:r>
          </w:p>
        </w:tc>
        <w:tc>
          <w:tcPr>
            <w:tcW w:w="100" w:type="dxa"/>
            <w:vAlign w:val="bottom"/>
            <w:tcBorders>
              <w:bottom w:val="single" w:sz="8" w:color="CCEEFF"/>
            </w:tcBorders>
            <w:shd w:val="clear" w:color="auto" w:fill="CCEEFF"/>
          </w:tcPr>
          <w:p>
            <w:pPr>
              <w:spacing w:after="0"/>
              <w:rPr>
                <w:sz w:val="21"/>
                <w:szCs w:val="21"/>
                <w:color w:val="auto"/>
              </w:rPr>
            </w:pPr>
          </w:p>
        </w:tc>
        <w:tc>
          <w:tcPr>
            <w:tcW w:w="3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$1.08 (3)</w:t>
            </w:r>
          </w:p>
        </w:tc>
      </w:tr>
      <w:tr>
        <w:trPr>
          <w:trHeight w:val="243"/>
        </w:trPr>
        <w:tc>
          <w:tcPr>
            <w:tcW w:w="458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 $0.11)</w:t>
            </w:r>
          </w:p>
        </w:tc>
        <w:tc>
          <w:tcPr>
            <w:tcW w:w="10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93"/>
              </w:rPr>
              <w:t>(+/- $0.11)</w:t>
            </w:r>
          </w:p>
        </w:tc>
      </w:tr>
    </w:tbl>
    <w:p>
      <w:pPr>
        <w:spacing w:after="0" w:line="364" w:lineRule="exact"/>
        <w:rPr>
          <w:sz w:val="20"/>
          <w:szCs w:val="20"/>
          <w:color w:val="auto"/>
        </w:rPr>
      </w:pPr>
    </w:p>
    <w:p>
      <w:pPr>
        <w:ind w:right="180" w:firstLine="8"/>
        <w:spacing w:after="0" w:line="258"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$157 million of adjustments related to acquisition related expenses as previously defined in the Non-GAAP Financial Information section of this press release.</w:t>
      </w:r>
    </w:p>
    <w:p>
      <w:pPr>
        <w:spacing w:after="0" w:line="1"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$22 million of tax effects associated with the adjustment for acquisition related expenses above.</w:t>
      </w:r>
    </w:p>
    <w:p>
      <w:pPr>
        <w:spacing w:after="0" w:line="9" w:lineRule="exact"/>
        <w:rPr>
          <w:rFonts w:ascii="Arial" w:cs="Arial" w:eastAsia="Arial" w:hAnsi="Arial"/>
          <w:sz w:val="18"/>
          <w:szCs w:val="18"/>
          <w:color w:val="auto"/>
        </w:rPr>
      </w:pPr>
    </w:p>
    <w:p>
      <w:pPr>
        <w:ind w:right="360" w:firstLine="8"/>
        <w:spacing w:after="0" w:line="260"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$0.36 of adjustments related to the net impact of $0.42 of acquisition related expenses and $0.06 of tax effects on those acquisition related expenses.</w:t>
      </w: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(ADI-WEB)</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more information, please contact:</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Investor Contact: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Sr. Director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781-461-3282</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investor.relations@analog.com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Media Contacts: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Ms. Andrea Calise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917-826-3804</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andrea.calise@teneo.com</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Teneo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Ms. Megan Fenton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917-860-0356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megan.fenton@teneo.com</w:t>
      </w:r>
    </w:p>
    <w:sectPr>
      <w:pgSz w:w="11900" w:h="16838" w:orient="portrait"/>
      <w:cols w:equalWidth="0" w:num="1">
        <w:col w:w="11220"/>
      </w:cols>
      <w:pgMar w:left="320" w:top="8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04"/>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2020-05-20T06:34:50Z</dcterms:created>
  <dcterms:modified xsi:type="dcterms:W3CDTF">2020-05-20T06:34:50Z</dcterms:modified>
</cp:coreProperties>
</file>