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30, 2011</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3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8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522" w:right="319" w:bottom="1440" w:gutter="0" w:footer="0" w:header="0"/>
        </w:sectPr>
      </w:pPr>
    </w:p>
    <w:p>
      <w:pPr>
        <w:spacing w:after="0" w:line="91"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480" w:space="720"/>
            <w:col w:w="1420" w:space="720"/>
            <w:col w:w="3340" w:space="460"/>
            <w:col w:w="2200"/>
          </w:cols>
          <w:pgMar w:left="240" w:top="522" w:right="319" w:bottom="1440" w:gutter="0" w:footer="0" w:header="0"/>
          <w:type w:val="continuous"/>
        </w:sect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173" w:lineRule="exact"/>
        <w:rPr>
          <w:sz w:val="24"/>
          <w:szCs w:val="24"/>
          <w:color w:val="auto"/>
        </w:rPr>
      </w:pPr>
    </w:p>
    <w:p>
      <w:pPr>
        <w:ind w:left="220"/>
        <w:spacing w:after="0"/>
        <w:rPr>
          <w:sz w:val="20"/>
          <w:szCs w:val="20"/>
          <w:color w:val="auto"/>
        </w:rPr>
      </w:pPr>
      <w:r>
        <w:rPr>
          <w:rFonts w:ascii="Arial" w:cs="Arial" w:eastAsia="Arial" w:hAnsi="Arial"/>
          <w:sz w:val="16"/>
          <w:szCs w:val="16"/>
          <w:color w:val="auto"/>
        </w:rPr>
        <w:t>As of July 30, 2011 there were 299,437,920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PART I — FINANCIAL INFORMATION</w:t>
        </w:r>
      </w:hyperlink>
    </w:p>
    <w:p>
      <w:pPr>
        <w:ind w:left="900"/>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1. Financial Statements</w:t>
        </w:r>
      </w:hyperlink>
    </w:p>
    <w:p>
      <w:pPr>
        <w:ind w:left="900" w:right="198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ITEM 3. Quantitative and Qualitative Disclosures About Market Risk ITEM 4. Controls and Procedures</w:t>
      </w:r>
    </w:p>
    <w:p>
      <w:pPr>
        <w:ind w:left="580"/>
        <w:spacing w:after="0" w:line="232" w:lineRule="auto"/>
        <w:rPr>
          <w:sz w:val="20"/>
          <w:szCs w:val="20"/>
          <w:color w:val="auto"/>
        </w:rPr>
      </w:pPr>
      <w:r>
        <w:rPr>
          <w:rFonts w:ascii="Arial" w:cs="Arial" w:eastAsia="Arial" w:hAnsi="Arial"/>
          <w:sz w:val="22"/>
          <w:szCs w:val="22"/>
          <w:u w:val="single" w:color="auto"/>
          <w:color w:val="0000EE"/>
        </w:rPr>
        <w:t>PART II — OTHER INFORMATION</w:t>
      </w:r>
    </w:p>
    <w:p>
      <w:pPr>
        <w:ind w:left="900"/>
        <w:spacing w:after="0" w:line="231" w:lineRule="auto"/>
        <w:rPr>
          <w:sz w:val="20"/>
          <w:szCs w:val="20"/>
          <w:color w:val="auto"/>
        </w:rPr>
      </w:pPr>
      <w:r>
        <w:rPr>
          <w:rFonts w:ascii="Arial" w:cs="Arial" w:eastAsia="Arial" w:hAnsi="Arial"/>
          <w:sz w:val="22"/>
          <w:szCs w:val="22"/>
          <w:u w:val="single" w:color="auto"/>
          <w:color w:val="0000EE"/>
        </w:rPr>
        <w:t>ITEM 1A. Risk Factors</w:t>
      </w:r>
    </w:p>
    <w:p>
      <w:pPr>
        <w:ind w:left="900" w:right="4560"/>
        <w:spacing w:after="0" w:line="230" w:lineRule="auto"/>
        <w:rPr>
          <w:sz w:val="20"/>
          <w:szCs w:val="20"/>
          <w:color w:val="auto"/>
        </w:rPr>
      </w:pPr>
      <w:r>
        <w:rPr>
          <w:rFonts w:ascii="Arial" w:cs="Arial" w:eastAsia="Arial" w:hAnsi="Arial"/>
          <w:sz w:val="22"/>
          <w:szCs w:val="22"/>
          <w:u w:val="single" w:color="auto"/>
          <w:color w:val="0000EE"/>
        </w:rPr>
        <w:t>ITEM 2 Unregistered Sales of Equity Securities and Use of Proceeds ITEM 6 Exhibits</w:t>
      </w:r>
    </w:p>
    <w:p>
      <w:pPr>
        <w:ind w:left="580"/>
        <w:spacing w:after="0" w:line="231" w:lineRule="auto"/>
        <w:rPr>
          <w:sz w:val="20"/>
          <w:szCs w:val="20"/>
          <w:color w:val="auto"/>
        </w:rPr>
      </w:pPr>
      <w:r>
        <w:rPr>
          <w:rFonts w:ascii="Arial" w:cs="Arial" w:eastAsia="Arial" w:hAnsi="Arial"/>
          <w:sz w:val="22"/>
          <w:szCs w:val="22"/>
          <w:u w:val="single" w:color="auto"/>
          <w:color w:val="0000EE"/>
        </w:rPr>
        <w:t>SIGNATURES</w:t>
      </w:r>
    </w:p>
    <w:p>
      <w:pPr>
        <w:ind w:left="580"/>
        <w:spacing w:after="0" w:line="231" w:lineRule="auto"/>
        <w:rPr>
          <w:sz w:val="20"/>
          <w:szCs w:val="20"/>
          <w:color w:val="auto"/>
        </w:rPr>
      </w:pPr>
      <w:r>
        <w:rPr>
          <w:rFonts w:ascii="Arial" w:cs="Arial" w:eastAsia="Arial" w:hAnsi="Arial"/>
          <w:sz w:val="22"/>
          <w:szCs w:val="22"/>
          <w:u w:val="single" w:color="auto"/>
          <w:color w:val="0000EE"/>
        </w:rPr>
        <w:t>Exhibit Index</w:t>
      </w:r>
    </w:p>
    <w:p>
      <w:pPr>
        <w:ind w:left="580"/>
        <w:spacing w:after="0" w:line="231" w:lineRule="auto"/>
        <w:rPr>
          <w:sz w:val="20"/>
          <w:szCs w:val="20"/>
          <w:color w:val="auto"/>
        </w:rPr>
      </w:pPr>
      <w:r>
        <w:rPr>
          <w:rFonts w:ascii="Arial" w:cs="Arial" w:eastAsia="Arial" w:hAnsi="Arial"/>
          <w:sz w:val="22"/>
          <w:szCs w:val="22"/>
          <w:u w:val="single" w:color="auto"/>
          <w:color w:val="0000EE"/>
        </w:rPr>
        <w:t>EX-10.1</w:t>
      </w:r>
    </w:p>
    <w:p>
      <w:pPr>
        <w:ind w:left="580"/>
        <w:spacing w:after="0" w:line="230" w:lineRule="auto"/>
        <w:rPr>
          <w:sz w:val="20"/>
          <w:szCs w:val="20"/>
          <w:color w:val="auto"/>
        </w:rPr>
      </w:pPr>
      <w:r>
        <w:rPr>
          <w:rFonts w:ascii="Arial" w:cs="Arial" w:eastAsia="Arial" w:hAnsi="Arial"/>
          <w:sz w:val="22"/>
          <w:szCs w:val="22"/>
          <w:u w:val="single" w:color="auto"/>
          <w:color w:val="0000EE"/>
        </w:rPr>
        <w:t>EX-10.2</w:t>
      </w:r>
    </w:p>
    <w:p>
      <w:pPr>
        <w:ind w:left="580"/>
        <w:spacing w:after="0" w:line="231" w:lineRule="auto"/>
        <w:rPr>
          <w:sz w:val="20"/>
          <w:szCs w:val="20"/>
          <w:color w:val="auto"/>
        </w:rPr>
      </w:pPr>
      <w:r>
        <w:rPr>
          <w:rFonts w:ascii="Arial" w:cs="Arial" w:eastAsia="Arial" w:hAnsi="Arial"/>
          <w:sz w:val="22"/>
          <w:szCs w:val="22"/>
          <w:u w:val="single" w:color="auto"/>
          <w:color w:val="0000EE"/>
        </w:rPr>
        <w:t>EX-31.1</w:t>
      </w:r>
    </w:p>
    <w:p>
      <w:pPr>
        <w:ind w:left="580"/>
        <w:spacing w:after="0" w:line="231" w:lineRule="auto"/>
        <w:rPr>
          <w:sz w:val="20"/>
          <w:szCs w:val="20"/>
          <w:color w:val="auto"/>
        </w:rPr>
      </w:pPr>
      <w:r>
        <w:rPr>
          <w:rFonts w:ascii="Arial" w:cs="Arial" w:eastAsia="Arial" w:hAnsi="Arial"/>
          <w:sz w:val="22"/>
          <w:szCs w:val="22"/>
          <w:u w:val="single" w:color="auto"/>
          <w:color w:val="0000EE"/>
        </w:rPr>
        <w:t>EX-31.2</w:t>
      </w:r>
    </w:p>
    <w:p>
      <w:pPr>
        <w:ind w:left="580"/>
        <w:spacing w:after="0" w:line="230" w:lineRule="auto"/>
        <w:rPr>
          <w:sz w:val="20"/>
          <w:szCs w:val="20"/>
          <w:color w:val="auto"/>
        </w:rPr>
      </w:pPr>
      <w:r>
        <w:rPr>
          <w:rFonts w:ascii="Arial" w:cs="Arial" w:eastAsia="Arial" w:hAnsi="Arial"/>
          <w:sz w:val="22"/>
          <w:szCs w:val="22"/>
          <w:u w:val="single" w:color="auto"/>
          <w:color w:val="0000EE"/>
        </w:rPr>
        <w:t>EX-32.1</w:t>
      </w:r>
    </w:p>
    <w:p>
      <w:pPr>
        <w:ind w:left="580"/>
        <w:spacing w:after="0" w:line="231" w:lineRule="auto"/>
        <w:rPr>
          <w:sz w:val="20"/>
          <w:szCs w:val="20"/>
          <w:color w:val="auto"/>
        </w:rPr>
      </w:pPr>
      <w:r>
        <w:rPr>
          <w:rFonts w:ascii="Arial" w:cs="Arial" w:eastAsia="Arial" w:hAnsi="Arial"/>
          <w:sz w:val="22"/>
          <w:szCs w:val="22"/>
          <w:u w:val="single" w:color="auto"/>
          <w:color w:val="0000EE"/>
        </w:rPr>
        <w:t>EX-32.2</w:t>
      </w:r>
    </w:p>
    <w:p>
      <w:pPr>
        <w:ind w:left="580"/>
        <w:spacing w:after="0" w:line="230" w:lineRule="auto"/>
        <w:rPr>
          <w:sz w:val="20"/>
          <w:szCs w:val="20"/>
          <w:color w:val="auto"/>
        </w:rPr>
      </w:pPr>
      <w:r>
        <w:rPr>
          <w:rFonts w:ascii="Arial" w:cs="Arial" w:eastAsia="Arial" w:hAnsi="Arial"/>
          <w:sz w:val="22"/>
          <w:szCs w:val="22"/>
          <w:u w:val="single" w:color="auto"/>
          <w:color w:val="0000EE"/>
        </w:rPr>
        <w:t>EX-101 INSTANCE DOCUMENT</w:t>
      </w:r>
    </w:p>
    <w:p>
      <w:pPr>
        <w:ind w:left="580"/>
        <w:spacing w:after="0" w:line="231" w:lineRule="auto"/>
        <w:rPr>
          <w:sz w:val="20"/>
          <w:szCs w:val="20"/>
          <w:color w:val="auto"/>
        </w:rPr>
      </w:pPr>
      <w:r>
        <w:rPr>
          <w:rFonts w:ascii="Arial" w:cs="Arial" w:eastAsia="Arial" w:hAnsi="Arial"/>
          <w:sz w:val="22"/>
          <w:szCs w:val="22"/>
          <w:u w:val="single" w:color="auto"/>
          <w:color w:val="0000EE"/>
        </w:rPr>
        <w:t>EX-101 SCHEMA DOCUMENT</w:t>
      </w:r>
    </w:p>
    <w:p>
      <w:pPr>
        <w:ind w:left="580"/>
        <w:spacing w:after="0" w:line="231" w:lineRule="auto"/>
        <w:rPr>
          <w:sz w:val="20"/>
          <w:szCs w:val="20"/>
          <w:color w:val="auto"/>
        </w:rPr>
      </w:pPr>
      <w:r>
        <w:rPr>
          <w:rFonts w:ascii="Arial" w:cs="Arial" w:eastAsia="Arial" w:hAnsi="Arial"/>
          <w:sz w:val="22"/>
          <w:szCs w:val="22"/>
          <w:u w:val="single" w:color="auto"/>
          <w:color w:val="0000EE"/>
        </w:rPr>
        <w:t>EX-101 CALCULATION LINKBASE DOCUMENT</w:t>
      </w:r>
    </w:p>
    <w:p>
      <w:pPr>
        <w:ind w:left="580"/>
        <w:spacing w:after="0" w:line="230" w:lineRule="auto"/>
        <w:rPr>
          <w:sz w:val="20"/>
          <w:szCs w:val="20"/>
          <w:color w:val="auto"/>
        </w:rPr>
      </w:pPr>
      <w:r>
        <w:rPr>
          <w:rFonts w:ascii="Arial" w:cs="Arial" w:eastAsia="Arial" w:hAnsi="Arial"/>
          <w:sz w:val="22"/>
          <w:szCs w:val="22"/>
          <w:u w:val="single" w:color="auto"/>
          <w:color w:val="0000EE"/>
        </w:rPr>
        <w:t>EX-101 LABELS LINKBASE DOCUMENT</w:t>
      </w:r>
    </w:p>
    <w:p>
      <w:pPr>
        <w:ind w:left="580"/>
        <w:spacing w:after="0" w:line="231" w:lineRule="auto"/>
        <w:rPr>
          <w:sz w:val="20"/>
          <w:szCs w:val="20"/>
          <w:color w:val="auto"/>
        </w:rPr>
      </w:pPr>
      <w:r>
        <w:rPr>
          <w:rFonts w:ascii="Arial" w:cs="Arial" w:eastAsia="Arial" w:hAnsi="Arial"/>
          <w:sz w:val="22"/>
          <w:szCs w:val="22"/>
          <w:u w:val="single" w:color="auto"/>
          <w:color w:val="0000EE"/>
        </w:rPr>
        <w:t>EX-101 PRESENTATION LINKBASE DOCUMENT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30, 2011</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757,902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720,290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sales (1)</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248,262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240,088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509,640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480,202</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128,476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102,323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230,799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229,057</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278,841</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6,159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274,871</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251,321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219,935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199,491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299,616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298,027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308,744</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306,168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(1) Includes stock-based compensation expense as follows:</w:t>
            </w:r>
          </w:p>
        </w:tc>
        <w:tc>
          <w:tcPr>
            <w:tcW w:w="2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6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sales</w:t>
            </w:r>
          </w:p>
        </w:tc>
        <w:tc>
          <w:tcPr>
            <w:tcW w:w="2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1,811</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16"/>
        </w:trPr>
        <w:tc>
          <w:tcPr>
            <w:tcW w:w="6780" w:type="dxa"/>
            <w:vAlign w:val="bottom"/>
          </w:tcPr>
          <w:p>
            <w:pPr>
              <w:ind w:left="620"/>
              <w:spacing w:after="0"/>
              <w:rPr>
                <w:sz w:val="20"/>
                <w:szCs w:val="20"/>
                <w:color w:val="auto"/>
              </w:rPr>
            </w:pPr>
            <w:r>
              <w:rPr>
                <w:rFonts w:ascii="Arial" w:cs="Arial" w:eastAsia="Arial" w:hAnsi="Arial"/>
                <w:sz w:val="18"/>
                <w:szCs w:val="18"/>
                <w:color w:val="auto"/>
              </w:rPr>
              <w:t>Research and development</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5,877</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5,996</w:t>
            </w:r>
          </w:p>
        </w:tc>
      </w:tr>
      <w:tr>
        <w:trPr>
          <w:trHeight w:val="216"/>
        </w:trPr>
        <w:tc>
          <w:tcPr>
            <w:tcW w:w="6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Selling, marketing, general and administrative</w:t>
            </w:r>
          </w:p>
        </w:tc>
        <w:tc>
          <w:tcPr>
            <w:tcW w:w="2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5,622</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July 30, 2011</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2,277,186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1,991,513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sales (1)</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751,159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1,526,027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1,283,193</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381,681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307,613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Special charge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689,294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836,733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830,447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613,608</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153,080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127,377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677,367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683,867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basic</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299,586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Dividends declared and paid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0.69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Includes stock-based compensation expense as follows: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Cost of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15,534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color w:val="auto"/>
                <w:w w:val="96"/>
              </w:rPr>
              <w:t>July 30, 2011</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30, 2010</w:t>
            </w: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$ 1,357,821</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1,070,000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2,156,717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1,617,768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375,011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387,169</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29,641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22,008</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173,665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171,390</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96,026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84,080</w:t>
            </w: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299,332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277,478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83,670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74,710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41,601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51,874</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4,339,131</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3,478,999</w:t>
            </w:r>
          </w:p>
        </w:tc>
        <w:tc>
          <w:tcPr>
            <w:tcW w:w="100" w:type="dxa"/>
            <w:vAlign w:val="bottom"/>
            <w:shd w:val="clear" w:color="auto" w:fill="CCEEFF"/>
          </w:tcPr>
          <w:p>
            <w:pPr>
              <w:spacing w:after="0"/>
              <w:rPr>
                <w:sz w:val="18"/>
                <w:szCs w:val="18"/>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418,819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401,277</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1,605,154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1,578,493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56,449</w:t>
            </w: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48,855</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65,326</w:t>
            </w:r>
          </w:p>
        </w:tc>
      </w:tr>
      <w:tr>
        <w:trPr>
          <w:trHeight w:val="216"/>
        </w:trPr>
        <w:tc>
          <w:tcPr>
            <w:tcW w:w="88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2,125,802</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2,101,545</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1,644,206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1,628,880</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481,596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472,665</w:t>
            </w:r>
          </w:p>
        </w:tc>
      </w:tr>
      <w:tr>
        <w:trPr>
          <w:trHeight w:val="20"/>
        </w:trPr>
        <w:tc>
          <w:tcPr>
            <w:tcW w:w="8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26,930</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280,868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255,580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46,942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52,765</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60,120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57,472</w:t>
            </w:r>
          </w:p>
        </w:tc>
      </w:tr>
      <w:tr>
        <w:trPr>
          <w:trHeight w:val="230"/>
        </w:trPr>
        <w:tc>
          <w:tcPr>
            <w:tcW w:w="882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430,654</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377,167</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$ 5,251,381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4,328,831</w:t>
            </w:r>
          </w:p>
        </w:tc>
      </w:tr>
      <w:tr>
        <w:trPr>
          <w:trHeight w:val="20"/>
        </w:trPr>
        <w:tc>
          <w:tcPr>
            <w:tcW w:w="8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520" w:firstLine="8"/>
        <w:spacing w:after="0" w:line="402"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$2,474 and $2,534 related to stock-based compensation at July 30, 2011 and October 30, 2010,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color w:val="auto"/>
                <w:w w:val="96"/>
              </w:rPr>
              <w:t>July 30, 2011</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106,009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277,528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17,236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141,014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556,287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643,467</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875,766</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26,948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979,377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299,437,920 shares issued and outstanding</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(298,652,994 on October 30, 2010)</w:t>
            </w:r>
          </w:p>
        </w:tc>
        <w:tc>
          <w:tcPr>
            <w:tcW w:w="12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49,907</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321,839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3,373,631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2,896,566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3,715,717</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3,199,717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5,251,381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auto"/>
            </w:tcBorders>
            <w:gridSpan w:val="3"/>
          </w:tcPr>
          <w:p>
            <w:pPr>
              <w:jc w:val="right"/>
              <w:ind w:right="720"/>
              <w:spacing w:after="0" w:line="142" w:lineRule="exact"/>
              <w:rPr>
                <w:sz w:val="20"/>
                <w:szCs w:val="20"/>
                <w:color w:val="auto"/>
              </w:rPr>
            </w:pPr>
            <w:r>
              <w:rPr>
                <w:rFonts w:ascii="Arial" w:cs="Arial" w:eastAsia="Arial" w:hAnsi="Arial"/>
                <w:sz w:val="14"/>
                <w:szCs w:val="14"/>
                <w:color w:val="auto"/>
                <w:w w:val="96"/>
              </w:rPr>
              <w:t>July 30, 2011</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683,867</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88,092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38,806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(37,296)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Non-cash portion of special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(91,875)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115,916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670,369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(3,132,633)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(2,439,506)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2,334,311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2,015,706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Sales of short-term available-for-sale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259,385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related to sale of businesses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Payments for acquisitions,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(13,988)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(96,665)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(6,683)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(646,273)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(345,949)</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Term loan repayments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(206,802)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(247,440)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Increase in other 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37,296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cash provided by (used for)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263,398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287,821</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639,729</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1,357,821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JULY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30, 2010 and related notes. The results of operations for the interim periods shown in this report are not necessarily indicative of the results that may be expected for the fiscal year ending October 29, 2011 or any future period.</w:t>
      </w:r>
    </w:p>
    <w:p>
      <w:pPr>
        <w:spacing w:after="0" w:line="63"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amounts reported in previous years have been reclassified to conform to the fiscal 2011 presentation. Such reclassified amounts were immaterial.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2011 and fiscal 2010 are 52-week fiscal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85"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goods shipped, the margin (sales less cost of sales) is recorded as “deferred income on shipments to distributors, net” and an account receivable is recorded.</w:t>
      </w:r>
    </w:p>
    <w:p>
      <w:pPr>
        <w:spacing w:after="0" w:line="140" w:lineRule="exact"/>
        <w:rPr>
          <w:sz w:val="20"/>
          <w:szCs w:val="20"/>
          <w:color w:val="auto"/>
        </w:rPr>
      </w:pPr>
    </w:p>
    <w:p>
      <w:pPr>
        <w:jc w:val="both"/>
        <w:ind w:right="40" w:firstLine="22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July 30, 2011 and October 30, 2010, the Company had gross deferred revenue of $367.5 million and $327.2 million, respectively, and gross deferred cost of sales of $90.0 million and $84.4 million, respectively. Deferred income on shipments to distributors increased by approximately $34.7 million in the first nine months of fiscal 2011 primarily as a result of the Company’s shipments to its distributors in the first nine months of fiscal 2011 exceeding the distributors’ sales to their customers during this same time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generally offers a 12-month warranty for its products. The Company’s warranty policy provides for replacement of the defective product.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Specific accruals are recorded for known product warranty issues. Product warranty expenses during either of the three- and nine-month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July 30, 2011 and July 31, 2010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option pricing model to calculate the grant-date fair value of stock option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fair value of restricted stock units represents the fair value of the Company’s common stock on the date of grant, reduced by the present value of dividends expected to be paid on the Company’s common stock prior to vesting. Information pertaining to the Company’s stock option awards and the related estimated weighted-average assumptions used to calculate the fair value of stock options granted during the three- and nine-month periods ended July 30, 2011 and July 31, 2010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97"/>
              </w:rPr>
              <w:t>Nine Months Ended</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continue"/>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10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10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1,980</w:t>
            </w: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38.50</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29.19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37.61</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7.91</w:t>
            </w: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8.62</w:t>
            </w:r>
          </w:p>
        </w:tc>
        <w:tc>
          <w:tcPr>
            <w:tcW w:w="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Assumptions: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28.2%</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29.2%</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24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Weighted-average expected dividend yield</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6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risk-free interest 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firstLine="225"/>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80" w:firstLine="22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July 30, 2011.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 summary of the activity under the Company’s stock option plans as of July 30, 2011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2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Weighted-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vMerge w:val="restart"/>
          </w:tcPr>
          <w:p>
            <w:pPr>
              <w:jc w:val="center"/>
              <w:ind w:left="1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July 30, 2011</w:t>
            </w: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Average Exercise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20" w:type="dxa"/>
            <w:vAlign w:val="bottom"/>
            <w:gridSpan w:val="2"/>
          </w:tcPr>
          <w:p>
            <w:pPr>
              <w:jc w:val="center"/>
              <w:ind w:left="1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6000" w:type="dxa"/>
            <w:vAlign w:val="bottom"/>
            <w:gridSpan w:val="2"/>
            <w:vMerge w:val="continue"/>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Price Per Share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420" w:type="dxa"/>
            <w:vAlign w:val="bottom"/>
          </w:tcPr>
          <w:p>
            <w:pPr>
              <w:spacing w:after="0"/>
              <w:rPr>
                <w:sz w:val="15"/>
                <w:szCs w:val="15"/>
                <w:color w:val="auto"/>
              </w:rPr>
            </w:pPr>
          </w:p>
        </w:tc>
        <w:tc>
          <w:tcPr>
            <w:tcW w:w="7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April 30, 2011</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37,023</w:t>
            </w: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30.13</w:t>
            </w:r>
          </w:p>
        </w:tc>
        <w:tc>
          <w:tcPr>
            <w:tcW w:w="1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38.50</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(1,467)</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28.06</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(114)</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28.05</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41.98</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30,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30.17</w:t>
            </w:r>
          </w:p>
        </w:tc>
        <w:tc>
          <w:tcPr>
            <w:tcW w:w="1460" w:type="dxa"/>
            <w:vAlign w:val="bottom"/>
          </w:tcPr>
          <w:p>
            <w:pPr>
              <w:jc w:val="right"/>
              <w:ind w:right="221"/>
              <w:spacing w:after="0"/>
              <w:rPr>
                <w:sz w:val="20"/>
                <w:szCs w:val="20"/>
                <w:color w:val="auto"/>
              </w:rPr>
            </w:pPr>
            <w:r>
              <w:rPr>
                <w:rFonts w:ascii="Arial" w:cs="Arial" w:eastAsia="Arial" w:hAnsi="Arial"/>
                <w:sz w:val="18"/>
                <w:szCs w:val="18"/>
                <w:color w:val="auto"/>
              </w:rPr>
              <w:t>4.7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199,989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July 30, 2011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31.88</w:t>
            </w:r>
          </w:p>
        </w:tc>
        <w:tc>
          <w:tcPr>
            <w:tcW w:w="14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92,054</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July 30, 2011 (1)</w:t>
            </w: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auto"/>
              </w:rPr>
              <w:t>30.20</w:t>
            </w:r>
          </w:p>
        </w:tc>
        <w:tc>
          <w:tcPr>
            <w:tcW w:w="1460" w:type="dxa"/>
            <w:vAlign w:val="bottom"/>
            <w:vMerge w:val="restart"/>
          </w:tcPr>
          <w:p>
            <w:pPr>
              <w:jc w:val="right"/>
              <w:ind w:right="221"/>
              <w:spacing w:after="0"/>
              <w:rPr>
                <w:sz w:val="20"/>
                <w:szCs w:val="20"/>
                <w:color w:val="auto"/>
              </w:rPr>
            </w:pPr>
            <w:r>
              <w:rPr>
                <w:rFonts w:ascii="Arial" w:cs="Arial" w:eastAsia="Arial" w:hAnsi="Arial"/>
                <w:sz w:val="18"/>
                <w:szCs w:val="18"/>
                <w:color w:val="auto"/>
              </w:rPr>
              <w:t>4.6</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w w:val="89"/>
              </w:rPr>
              <w:t>195,298</w:t>
            </w: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42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July 30, 2011</w:t>
            </w:r>
          </w:p>
        </w:tc>
        <w:tc>
          <w:tcPr>
            <w:tcW w:w="274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w w:val="97"/>
              </w:rPr>
              <w:t>Average Exercise</w:t>
            </w:r>
          </w:p>
        </w:tc>
        <w:tc>
          <w:tcPr>
            <w:tcW w:w="0" w:type="dxa"/>
            <w:vAlign w:val="bottom"/>
          </w:tcPr>
          <w:p>
            <w:pPr>
              <w:spacing w:after="0"/>
              <w:rPr>
                <w:sz w:val="1"/>
                <w:szCs w:val="1"/>
                <w:color w:val="auto"/>
              </w:rPr>
            </w:pPr>
          </w:p>
        </w:tc>
      </w:tr>
      <w:tr>
        <w:trPr>
          <w:trHeight w:val="178"/>
        </w:trPr>
        <w:tc>
          <w:tcPr>
            <w:tcW w:w="6020" w:type="dxa"/>
            <w:vAlign w:val="bottom"/>
            <w:gridSpan w:val="2"/>
            <w:vMerge w:val="continue"/>
          </w:tcPr>
          <w:p>
            <w:pPr>
              <w:spacing w:after="0"/>
              <w:rPr>
                <w:sz w:val="15"/>
                <w:szCs w:val="15"/>
                <w:color w:val="auto"/>
              </w:rPr>
            </w:pPr>
          </w:p>
        </w:tc>
        <w:tc>
          <w:tcPr>
            <w:tcW w:w="3960" w:type="dxa"/>
            <w:vAlign w:val="bottom"/>
            <w:gridSpan w:val="4"/>
          </w:tcPr>
          <w:p>
            <w:pPr>
              <w:jc w:val="center"/>
              <w:ind w:left="2313"/>
              <w:spacing w:after="0"/>
              <w:rPr>
                <w:sz w:val="20"/>
                <w:szCs w:val="20"/>
                <w:color w:val="auto"/>
              </w:rPr>
            </w:pPr>
            <w:r>
              <w:rPr>
                <w:rFonts w:ascii="Arial" w:cs="Arial" w:eastAsia="Arial" w:hAnsi="Arial"/>
                <w:sz w:val="14"/>
                <w:szCs w:val="14"/>
                <w:b w:val="1"/>
                <w:bCs w:val="1"/>
                <w:color w:val="auto"/>
                <w:w w:val="91"/>
              </w:rPr>
              <w:t>(in thousands)</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30, 2010</w:t>
            </w:r>
          </w:p>
        </w:tc>
        <w:tc>
          <w:tcPr>
            <w:tcW w:w="36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43,079</w:t>
            </w: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620" w:type="dxa"/>
            <w:vAlign w:val="bottom"/>
            <w:gridSpan w:val="3"/>
          </w:tcPr>
          <w:p>
            <w:pPr>
              <w:jc w:val="right"/>
              <w:ind w:right="20"/>
              <w:spacing w:after="0"/>
              <w:rPr>
                <w:sz w:val="20"/>
                <w:szCs w:val="20"/>
                <w:color w:val="auto"/>
              </w:rPr>
            </w:pPr>
            <w:r>
              <w:rPr>
                <w:rFonts w:ascii="Arial" w:cs="Arial" w:eastAsia="Arial" w:hAnsi="Arial"/>
                <w:sz w:val="18"/>
                <w:szCs w:val="18"/>
                <w:color w:val="auto"/>
              </w:rPr>
              <w:t>1,980</w:t>
            </w:r>
          </w:p>
        </w:tc>
        <w:tc>
          <w:tcPr>
            <w:tcW w:w="34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3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(7,210)</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3960" w:type="dxa"/>
            <w:vAlign w:val="bottom"/>
            <w:gridSpan w:val="4"/>
          </w:tcPr>
          <w:p>
            <w:pPr>
              <w:jc w:val="right"/>
              <w:ind w:right="300"/>
              <w:spacing w:after="0"/>
              <w:rPr>
                <w:sz w:val="20"/>
                <w:szCs w:val="20"/>
                <w:color w:val="auto"/>
              </w:rPr>
            </w:pPr>
            <w:r>
              <w:rPr>
                <w:rFonts w:ascii="Arial" w:cs="Arial" w:eastAsia="Arial" w:hAnsi="Arial"/>
                <w:sz w:val="18"/>
                <w:szCs w:val="18"/>
                <w:color w:val="auto"/>
              </w:rPr>
              <w:t>(376)</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3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(2,190)</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30, 2011</w:t>
            </w:r>
          </w:p>
        </w:tc>
        <w:tc>
          <w:tcPr>
            <w:tcW w:w="2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three and nine months ended July 30, 2011, the total intrinsic value of options exercised (i.e. the difference between the market price at exercise and the price paid by the employee to exercise the options) was $18.9 million and $88.6 million, respectively, and the total amount of proceeds received by the Company from exercise of these options was $41.2 million and $189.4 million, respectively. Proceeds from stock option exercises pursuant to employee stock plans in the Company’s statement of cash flows during the nine months ended July 30, 2011 of $189.2 million are net of the value of shares surrendered by employees in certain limited circumstances to satisfy the exercise price of options, and to satisfy employee tax obligations upon vesting of restricted stock units and in connection with the exercise of stock options granted to the Company’s employees under the Company’s equity compensation plans. The withholding amount is based on the Company’s minimum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statutory withholding requirement. The total grant-date fair value of stock options that vested during the three and nine months ended July 30, 2011, was approximately $0.3 million and $26.7 million, respectively.</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During the three and nine months ended July 31, 2010, the total intrinsic value of options exercised (i.e. the difference between the market price at exercise and the price paid by the employee to exercise the options) was $2.2 million and $17.9 million, respectively, and the total amount of proceeds received from exercise of these options was $4.9 million and $198.2 million, respectively. Proceeds from stock option exercises pursuant to employee stock plans in the Company’s statement of cash flows during the nine months ended July 31, 2010 of $174.0 million are net of the value of shares surrendered by employees in certain limited circumstances to satisfy the exercise price of options, and to satisfy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nine months ended July 31, 2010 was approximately $0.3 million and $32.3 million, respectively.</w:t>
      </w:r>
    </w:p>
    <w:p>
      <w:pPr>
        <w:spacing w:after="0" w:line="71"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 summary of the Company’s restricted stock unit award activity as of July 30, 2011 and changes during the three- and nine-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Restricted</w:t>
            </w:r>
          </w:p>
        </w:tc>
        <w:tc>
          <w:tcPr>
            <w:tcW w:w="420" w:type="dxa"/>
            <w:vAlign w:val="bottom"/>
          </w:tcPr>
          <w:p>
            <w:pPr>
              <w:spacing w:after="0"/>
              <w:rPr>
                <w:sz w:val="14"/>
                <w:szCs w:val="14"/>
                <w:color w:val="auto"/>
              </w:rPr>
            </w:pPr>
          </w:p>
        </w:tc>
        <w:tc>
          <w:tcPr>
            <w:tcW w:w="96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38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July 30, 2011</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8"/>
        </w:trPr>
        <w:tc>
          <w:tcPr>
            <w:tcW w:w="8820" w:type="dxa"/>
            <w:vAlign w:val="bottom"/>
            <w:gridSpan w:val="2"/>
            <w:vMerge w:val="continue"/>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April 30, 2011</w:t>
            </w:r>
          </w:p>
        </w:tc>
        <w:tc>
          <w:tcPr>
            <w:tcW w:w="12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2,091</w:t>
            </w:r>
          </w:p>
        </w:tc>
        <w:tc>
          <w:tcPr>
            <w:tcW w:w="4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July 30, 2011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Restricted</w:t>
            </w:r>
          </w:p>
        </w:tc>
        <w:tc>
          <w:tcPr>
            <w:tcW w:w="420" w:type="dxa"/>
            <w:vAlign w:val="bottom"/>
          </w:tcPr>
          <w:p>
            <w:pPr>
              <w:spacing w:after="0"/>
              <w:rPr>
                <w:sz w:val="24"/>
                <w:szCs w:val="24"/>
                <w:color w:val="auto"/>
              </w:rPr>
            </w:pPr>
          </w:p>
        </w:tc>
        <w:tc>
          <w:tcPr>
            <w:tcW w:w="96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38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July 30, 2011</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8"/>
        </w:trPr>
        <w:tc>
          <w:tcPr>
            <w:tcW w:w="8820" w:type="dxa"/>
            <w:vAlign w:val="bottom"/>
            <w:gridSpan w:val="2"/>
            <w:vMerge w:val="continue"/>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October 30, 2010</w:t>
            </w:r>
          </w:p>
        </w:tc>
        <w:tc>
          <w:tcPr>
            <w:tcW w:w="12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1,265</w:t>
            </w:r>
          </w:p>
        </w:tc>
        <w:tc>
          <w:tcPr>
            <w:tcW w:w="4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890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July 30, 2011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15"/>
        <w:spacing w:after="0" w:line="342" w:lineRule="auto"/>
        <w:rPr>
          <w:sz w:val="20"/>
          <w:szCs w:val="20"/>
          <w:color w:val="auto"/>
        </w:rPr>
      </w:pPr>
      <w:r>
        <w:rPr>
          <w:rFonts w:ascii="Arial" w:cs="Arial" w:eastAsia="Arial" w:hAnsi="Arial"/>
          <w:sz w:val="16"/>
          <w:szCs w:val="16"/>
          <w:color w:val="auto"/>
        </w:rPr>
        <w:t>As of July 30, 2011, there was $102.2 million (before tax consideration) of total unrecognized compensation cost related to unvested share-based awards, including stock options, restricted stock and restricted stock units. That cost is expected to be recognized over a weighted-average period of 1.4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219,935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losses (net of taxes of $17 and $10, respectively) on securities classified as short-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gains (net of taxes of $62 and $53, respectively) on securities classified as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Change in unrealized (losses) gains (net of taxes of $783 and $312, respectively) on derivative instruments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(5,155)</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(obligation) asset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Net actuarial gain (loss)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216,984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677,367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(losses) (net of taxes of $1 and $26, respectively) on securities classified as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200"/>
              <w:spacing w:after="0" w:line="201" w:lineRule="exact"/>
              <w:rPr>
                <w:sz w:val="20"/>
                <w:szCs w:val="20"/>
                <w:color w:val="auto"/>
              </w:rPr>
            </w:pPr>
            <w:r>
              <w:rPr>
                <w:rFonts w:ascii="Arial" w:cs="Arial" w:eastAsia="Arial" w:hAnsi="Arial"/>
                <w:sz w:val="18"/>
                <w:szCs w:val="18"/>
                <w:color w:val="auto"/>
                <w:w w:val="96"/>
              </w:rPr>
              <w:t>Change in unrealized holding gains (net of taxes of $1 and $107, respectively) on securities classified as other</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losses (net of taxes of $334 and $1,053, respectively) on derivative instruments designated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cash flow hedges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(2,512)</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Other comprehensive gain (loss)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681,302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478,552</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687,802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479,411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at July 30, 2011 and October 30, 2010 consisted of the following:</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July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 2010</w:t>
            </w:r>
          </w:p>
        </w:tc>
      </w:tr>
      <w:tr>
        <w:trPr>
          <w:trHeight w:val="20"/>
        </w:trPr>
        <w:tc>
          <w:tcPr>
            <w:tcW w:w="8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Unrealized gains on derivative instruments</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3,621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6,133</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Transition obligation</w:t>
            </w:r>
          </w:p>
        </w:tc>
        <w:tc>
          <w:tcPr>
            <w:tcW w:w="16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actuarial loss</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(40,014)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(38,839)</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(29,660</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40" w:firstLine="222"/>
        <w:spacing w:after="0" w:line="264" w:lineRule="auto"/>
        <w:rPr>
          <w:sz w:val="20"/>
          <w:szCs w:val="20"/>
          <w:color w:val="auto"/>
        </w:rPr>
      </w:pPr>
      <w:r>
        <w:rPr>
          <w:rFonts w:ascii="Arial" w:cs="Arial" w:eastAsia="Arial" w:hAnsi="Arial"/>
          <w:sz w:val="18"/>
          <w:szCs w:val="18"/>
          <w:color w:val="auto"/>
        </w:rPr>
        <w:t>The aggregate fair value of investments with unrealized losses as of July 30, 2011 and October 30, 2010 was $1,004.6 million and $731.0 million, respectively. These unrealized losses are primarily related to commercial paper that earns lower interest rates than current market rates. None of these investments have been in a loss position for more than twelve months.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July 30, 2011 and October 30, 2010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780" w:type="dxa"/>
            <w:vAlign w:val="bottom"/>
            <w:gridSpan w:val="4"/>
          </w:tcPr>
          <w:p>
            <w:pPr>
              <w:ind w:left="1340"/>
              <w:spacing w:after="0"/>
              <w:rPr>
                <w:sz w:val="20"/>
                <w:szCs w:val="20"/>
                <w:color w:val="auto"/>
              </w:rPr>
            </w:pPr>
            <w:r>
              <w:rPr>
                <w:rFonts w:ascii="Arial" w:cs="Arial" w:eastAsia="Arial" w:hAnsi="Arial"/>
                <w:sz w:val="14"/>
                <w:szCs w:val="14"/>
                <w:b w:val="1"/>
                <w:bCs w:val="1"/>
                <w:color w:val="auto"/>
              </w:rPr>
              <w:t>July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available-for-sale securities classified as short-term investments</w:t>
            </w: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Unrealized losses on available-for-sale securities classified as short-term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securities classified as short-term investments</w:t>
            </w: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219,935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199,491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299,616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298,027</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20"/>
              <w:spacing w:after="0"/>
              <w:rPr>
                <w:sz w:val="20"/>
                <w:szCs w:val="20"/>
                <w:color w:val="auto"/>
              </w:rPr>
            </w:pPr>
            <w:r>
              <w:rPr>
                <w:rFonts w:ascii="Arial" w:cs="Arial" w:eastAsia="Arial" w:hAnsi="Arial"/>
                <w:sz w:val="18"/>
                <w:szCs w:val="18"/>
                <w:color w:val="auto"/>
              </w:rPr>
              <w:t>Earnings per share:</w:t>
            </w: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219,935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199,491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299,616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298,027</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Assumed exercise of common stock equivalents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9,128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8,141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common and common equivalent shares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308,744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306,168</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20"/>
              <w:spacing w:after="0"/>
              <w:rPr>
                <w:sz w:val="20"/>
                <w:szCs w:val="20"/>
                <w:color w:val="auto"/>
              </w:rPr>
            </w:pPr>
            <w:r>
              <w:rPr>
                <w:rFonts w:ascii="Arial" w:cs="Arial" w:eastAsia="Arial" w:hAnsi="Arial"/>
                <w:sz w:val="18"/>
                <w:szCs w:val="18"/>
                <w:color w:val="auto"/>
              </w:rPr>
              <w:t>Earnings per share:</w:t>
            </w: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19,464</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480" w:type="dxa"/>
            <w:vAlign w:val="bottom"/>
          </w:tcPr>
          <w:p>
            <w:pPr>
              <w:jc w:val="right"/>
              <w:ind w:right="31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677,367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683,867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487,090</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Basic shares: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299,586</w:t>
            </w: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297,107</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share-basic:</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Diluted shares: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299,586</w:t>
            </w: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9,484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309,070</w:t>
            </w: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305,578</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share-diluted:</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5,942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Note 6 — Special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7"/>
          </w:tcPr>
          <w:p>
            <w:pPr>
              <w:spacing w:after="0"/>
              <w:rPr>
                <w:sz w:val="20"/>
                <w:szCs w:val="20"/>
                <w:color w:val="auto"/>
              </w:rPr>
            </w:pPr>
            <w:r>
              <w:rPr>
                <w:rFonts w:ascii="Arial" w:cs="Arial" w:eastAsia="Arial" w:hAnsi="Arial"/>
                <w:sz w:val="18"/>
                <w:szCs w:val="18"/>
                <w:color w:val="auto"/>
                <w:w w:val="96"/>
              </w:rPr>
              <w:t>A summary of the Company’s special charges and accruals related to ongoing actions is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Closure of</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Reduction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Wafer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32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w:t>
            </w: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in Sunnyvale</w:t>
            </w:r>
          </w:p>
        </w:tc>
        <w:tc>
          <w:tcPr>
            <w:tcW w:w="16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Costs</w:t>
            </w:r>
          </w:p>
        </w:tc>
        <w:tc>
          <w:tcPr>
            <w:tcW w:w="148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Cambridge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1,627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2008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2009 Charges: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7,446</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14,629</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2009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30,333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22,132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52,465</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2010 Charges: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2010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11,419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4,689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91"/>
              </w:rPr>
              <w:t>Reduction of</w:t>
            </w:r>
          </w:p>
        </w:tc>
        <w:tc>
          <w:tcPr>
            <w:tcW w:w="15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Closure of Wafer</w:t>
            </w:r>
          </w:p>
        </w:tc>
        <w:tc>
          <w:tcPr>
            <w:tcW w:w="11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Fabrication Facility</w:t>
            </w: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9"/>
              </w:rPr>
              <w:t>Operating Costs</w:t>
            </w:r>
          </w:p>
        </w:tc>
        <w:tc>
          <w:tcPr>
            <w:tcW w:w="12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in Cambridge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30, 2011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on accrual</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Balance at July 30, 2011</w:t>
            </w: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200" w:firstLine="222"/>
        <w:spacing w:after="0" w:line="286" w:lineRule="auto"/>
        <w:rPr>
          <w:sz w:val="20"/>
          <w:szCs w:val="20"/>
          <w:color w:val="auto"/>
        </w:rPr>
      </w:pPr>
      <w:r>
        <w:rPr>
          <w:rFonts w:ascii="Arial" w:cs="Arial" w:eastAsia="Arial" w:hAnsi="Arial"/>
          <w:sz w:val="17"/>
          <w:szCs w:val="17"/>
          <w:color w:val="auto"/>
        </w:rPr>
        <w:t>The Company ceased production at its California wafer fabrication facility in November 2006. The Company paid the related lease obligation costs on a monthly basis over the remaining lease term, which expired in March 2010. The Company recorded a one-time settlement charge of $0.4 million in the first quarter of fiscal 2010 related to the termination of the lease. This action was completed during fiscal 2010.</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in accordance with its ongoing benefit plan or statutory requirements at foreign locations for 19 engineering, and selling, marketing, general and administrative (SMG&amp;A) employees.</w:t>
      </w:r>
    </w:p>
    <w:p>
      <w:pPr>
        <w:spacing w:after="0" w:line="7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were expensed as incurred. The remaining $26.6 million related to the severance and fringe benefit costs recorded in accordance with the Company’s ongoing benefit plan or statutory requirements at foreign locations for 245 manufacturing employees and 302 engineering and SMG&amp;A employees.</w:t>
      </w:r>
    </w:p>
    <w:p>
      <w:pPr>
        <w:spacing w:after="0" w:line="85"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Approximately $0.5 million of the charge relates to the Company’s decision to abandon efforts to develop a particular expertise in power management, resulting in the impairment of related intellectual property.</w:t>
      </w:r>
    </w:p>
    <w:p>
      <w:pPr>
        <w:spacing w:after="0" w:line="46" w:lineRule="exact"/>
        <w:rPr>
          <w:sz w:val="20"/>
          <w:szCs w:val="20"/>
          <w:color w:val="auto"/>
        </w:rPr>
      </w:pPr>
    </w:p>
    <w:p>
      <w:pPr>
        <w:ind w:left="240" w:right="560" w:hanging="2"/>
        <w:spacing w:after="0" w:line="375" w:lineRule="auto"/>
        <w:rPr>
          <w:sz w:val="20"/>
          <w:szCs w:val="20"/>
          <w:color w:val="auto"/>
        </w:rPr>
      </w:pPr>
      <w:r>
        <w:rPr>
          <w:rFonts w:ascii="Arial" w:cs="Arial" w:eastAsia="Arial" w:hAnsi="Arial"/>
          <w:sz w:val="18"/>
          <w:szCs w:val="18"/>
          <w:color w:val="auto"/>
        </w:rPr>
        <w:t xml:space="preserve">The Company terminated the employment of all employees associated with this action and is paying amounts owed to them as income continuance. </w:t>
      </w:r>
      <w:r>
        <w:rPr>
          <w:rFonts w:ascii="Arial" w:cs="Arial" w:eastAsia="Arial" w:hAnsi="Arial"/>
          <w:sz w:val="18"/>
          <w:szCs w:val="18"/>
          <w:i w:val="1"/>
          <w:iCs w:val="1"/>
          <w:color w:val="auto"/>
        </w:rPr>
        <w:t>Closure of a Wafer Fabrication Facility in Cambridge</w:t>
      </w:r>
    </w:p>
    <w:p>
      <w:pPr>
        <w:spacing w:after="0" w:line="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5" w:name="page16"/>
    <w:bookmarkEnd w:id="15"/>
    <w:p>
      <w:pPr>
        <w:ind w:right="20" w:firstLine="222"/>
        <w:spacing w:after="0" w:line="293" w:lineRule="auto"/>
        <w:rPr>
          <w:sz w:val="20"/>
          <w:szCs w:val="20"/>
          <w:color w:val="auto"/>
        </w:rPr>
      </w:pPr>
      <w:r>
        <w:rPr>
          <w:rFonts w:ascii="Arial" w:cs="Arial" w:eastAsia="Arial" w:hAnsi="Arial"/>
          <w:sz w:val="16"/>
          <w:szCs w:val="16"/>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were no longer needed at those facilities and therefore had no future use. The Company also recorded a special charge of $0.1 million for clean-up costs as the Company began its clean-up of the Cambridge wafer fabrication facility at the end of the fourth quarter of fiscal 2009.</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 million of the charge related to lease obligation costs for the Cambridge wafer fabrication facility, which the Company ceased using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2010. The remaining $1.3 million of the charge related to clean-up and closure costs that were expensed as incurred. This action was completed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fiscal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2"/>
              </w:rPr>
              <w:t>July 30, 2011</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2"/>
              </w:rPr>
              <w:t>July 31, 2010</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 of Revenue*</w:t>
            </w: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Y/Y%</w:t>
            </w:r>
          </w:p>
        </w:tc>
        <w:tc>
          <w:tcPr>
            <w:tcW w:w="7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Revenue</w:t>
            </w:r>
          </w:p>
        </w:tc>
        <w:tc>
          <w:tcPr>
            <w:tcW w:w="174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$ 365,158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$ 339,629</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Automotive</w:t>
            </w:r>
          </w:p>
        </w:tc>
        <w:tc>
          <w:tcPr>
            <w:tcW w:w="700" w:type="dxa"/>
            <w:vAlign w:val="bottom"/>
          </w:tcPr>
          <w:p>
            <w:pPr>
              <w:jc w:val="right"/>
              <w:spacing w:after="0"/>
              <w:rPr>
                <w:sz w:val="20"/>
                <w:szCs w:val="20"/>
                <w:color w:val="auto"/>
              </w:rPr>
            </w:pPr>
            <w:r>
              <w:rPr>
                <w:rFonts w:ascii="Arial" w:cs="Arial" w:eastAsia="Arial" w:hAnsi="Arial"/>
                <w:sz w:val="18"/>
                <w:szCs w:val="18"/>
                <w:color w:val="auto"/>
              </w:rPr>
              <w:t>101,190</w:t>
            </w:r>
          </w:p>
        </w:tc>
        <w:tc>
          <w:tcPr>
            <w:tcW w:w="220" w:type="dxa"/>
            <w:vAlign w:val="bottom"/>
          </w:tcPr>
          <w:p>
            <w:pPr>
              <w:spacing w:after="0"/>
              <w:rPr>
                <w:sz w:val="18"/>
                <w:szCs w:val="18"/>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700" w:type="dxa"/>
            <w:vAlign w:val="bottom"/>
          </w:tcPr>
          <w:p>
            <w:pPr>
              <w:jc w:val="right"/>
              <w:spacing w:after="0"/>
              <w:rPr>
                <w:sz w:val="20"/>
                <w:szCs w:val="20"/>
                <w:color w:val="auto"/>
              </w:rPr>
            </w:pPr>
            <w:r>
              <w:rPr>
                <w:rFonts w:ascii="Arial" w:cs="Arial" w:eastAsia="Arial" w:hAnsi="Arial"/>
                <w:sz w:val="18"/>
                <w:szCs w:val="18"/>
                <w:color w:val="auto"/>
              </w:rPr>
              <w:t>83,462</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115,983</w:t>
            </w: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134,379</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Communications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164,560</w:t>
            </w:r>
          </w:p>
        </w:tc>
        <w:tc>
          <w:tcPr>
            <w:tcW w:w="220" w:type="dxa"/>
            <w:vAlign w:val="bottom"/>
          </w:tcPr>
          <w:p>
            <w:pPr>
              <w:spacing w:after="0"/>
              <w:rPr>
                <w:sz w:val="18"/>
                <w:szCs w:val="18"/>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149,690</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11,011</w:t>
            </w: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$ 757,902</w:t>
            </w:r>
          </w:p>
        </w:tc>
        <w:tc>
          <w:tcPr>
            <w:tcW w:w="2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138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$ 720,290</w:t>
            </w:r>
          </w:p>
        </w:tc>
        <w:tc>
          <w:tcPr>
            <w:tcW w:w="6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July 30, 2011</w:t>
            </w: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July 31, 2010</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8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1"/>
              </w:rPr>
              <w:t>% of Revenue</w:t>
            </w:r>
          </w:p>
        </w:tc>
        <w:tc>
          <w:tcPr>
            <w:tcW w:w="136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Y/Y%</w:t>
            </w:r>
          </w:p>
        </w:tc>
        <w:tc>
          <w:tcPr>
            <w:tcW w:w="100" w:type="dxa"/>
            <w:vAlign w:val="bottom"/>
          </w:tcPr>
          <w:p>
            <w:pPr>
              <w:spacing w:after="0"/>
              <w:rPr>
                <w:sz w:val="12"/>
                <w:szCs w:val="12"/>
                <w:color w:val="auto"/>
              </w:rPr>
            </w:pP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134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$ 1,085,078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917,941</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Automotive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302,056</w:t>
            </w:r>
          </w:p>
        </w:tc>
        <w:tc>
          <w:tcPr>
            <w:tcW w:w="2060" w:type="dxa"/>
            <w:vAlign w:val="bottom"/>
            <w:gridSpan w:val="3"/>
          </w:tcPr>
          <w:p>
            <w:pPr>
              <w:jc w:val="right"/>
              <w:ind w:right="54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239,206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346,314</w:t>
            </w:r>
          </w:p>
        </w:tc>
        <w:tc>
          <w:tcPr>
            <w:tcW w:w="2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378,048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Communications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507,655</w:t>
            </w:r>
          </w:p>
        </w:tc>
        <w:tc>
          <w:tcPr>
            <w:tcW w:w="2060" w:type="dxa"/>
            <w:vAlign w:val="bottom"/>
            <w:gridSpan w:val="3"/>
          </w:tcPr>
          <w:p>
            <w:pPr>
              <w:jc w:val="right"/>
              <w:ind w:right="54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415,371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36,083</w:t>
            </w:r>
          </w:p>
        </w:tc>
        <w:tc>
          <w:tcPr>
            <w:tcW w:w="2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40,947</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$ 2,277,186</w:t>
            </w: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1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155"/>
              <w:spacing w:after="0"/>
              <w:rPr>
                <w:sz w:val="20"/>
                <w:szCs w:val="20"/>
                <w:color w:val="auto"/>
              </w:rPr>
            </w:pPr>
            <w:r>
              <w:rPr>
                <w:rFonts w:ascii="Arial" w:cs="Arial" w:eastAsia="Arial" w:hAnsi="Arial"/>
                <w:sz w:val="18"/>
                <w:szCs w:val="18"/>
                <w:color w:val="auto"/>
              </w:rPr>
              <w:t>14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2"/>
              </w:rPr>
              <w:t>July 30, 2011</w:t>
            </w: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2"/>
              </w:rPr>
              <w:t>July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5"/>
              </w:rPr>
              <w:t>Revenue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6"/>
              </w:rPr>
              <w:t>% of Revenue*</w:t>
            </w:r>
          </w:p>
        </w:tc>
        <w:tc>
          <w:tcPr>
            <w:tcW w:w="136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Y/Y%</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Revenue</w:t>
            </w:r>
          </w:p>
        </w:tc>
        <w:tc>
          <w:tcPr>
            <w:tcW w:w="174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$ 337,266</w:t>
            </w:r>
          </w:p>
        </w:tc>
        <w:tc>
          <w:tcPr>
            <w:tcW w:w="2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$ 337,168</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197,494</w:t>
            </w:r>
          </w:p>
        </w:tc>
        <w:tc>
          <w:tcPr>
            <w:tcW w:w="2240" w:type="dxa"/>
            <w:vAlign w:val="bottom"/>
            <w:gridSpan w:val="3"/>
          </w:tcPr>
          <w:p>
            <w:pPr>
              <w:jc w:val="right"/>
              <w:ind w:right="56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700" w:type="dxa"/>
            <w:vAlign w:val="bottom"/>
          </w:tcPr>
          <w:p>
            <w:pPr>
              <w:jc w:val="right"/>
              <w:spacing w:after="0"/>
              <w:rPr>
                <w:sz w:val="20"/>
                <w:szCs w:val="20"/>
                <w:color w:val="auto"/>
              </w:rPr>
            </w:pPr>
            <w:r>
              <w:rPr>
                <w:rFonts w:ascii="Arial" w:cs="Arial" w:eastAsia="Arial" w:hAnsi="Arial"/>
                <w:sz w:val="18"/>
                <w:szCs w:val="18"/>
                <w:color w:val="auto"/>
              </w:rPr>
              <w:t>183,932</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85,237</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w:t>
            </w: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641,450</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3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606,337</w:t>
            </w:r>
          </w:p>
        </w:tc>
        <w:tc>
          <w:tcPr>
            <w:tcW w:w="62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53,412</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6%</w:t>
            </w: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$ 696,374</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92%</w:t>
            </w:r>
          </w:p>
        </w:tc>
        <w:tc>
          <w:tcPr>
            <w:tcW w:w="13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$ 659,749</w:t>
            </w:r>
          </w:p>
        </w:tc>
        <w:tc>
          <w:tcPr>
            <w:tcW w:w="6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60,541</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$ 757,902</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3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$ 720,290</w:t>
            </w:r>
          </w:p>
        </w:tc>
        <w:tc>
          <w:tcPr>
            <w:tcW w:w="6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w w:val="90"/>
              </w:rPr>
              <w:t>July 30, 2011</w:t>
            </w: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July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Revenue</w:t>
            </w:r>
          </w:p>
        </w:tc>
        <w:tc>
          <w:tcPr>
            <w:tcW w:w="620" w:type="dxa"/>
            <w:vAlign w:val="bottom"/>
          </w:tcPr>
          <w:p>
            <w:pPr>
              <w:spacing w:after="0"/>
              <w:rPr>
                <w:sz w:val="12"/>
                <w:szCs w:val="12"/>
                <w:color w:val="auto"/>
              </w:rPr>
            </w:pPr>
          </w:p>
        </w:tc>
        <w:tc>
          <w:tcPr>
            <w:tcW w:w="16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4"/>
              </w:rPr>
              <w:t>% of Revenue*</w:t>
            </w:r>
          </w:p>
        </w:tc>
        <w:tc>
          <w:tcPr>
            <w:tcW w:w="13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Y/Y%</w:t>
            </w:r>
          </w:p>
        </w:tc>
        <w:tc>
          <w:tcPr>
            <w:tcW w:w="100" w:type="dxa"/>
            <w:vAlign w:val="bottom"/>
          </w:tcPr>
          <w:p>
            <w:pPr>
              <w:spacing w:after="0"/>
              <w:rPr>
                <w:sz w:val="12"/>
                <w:szCs w:val="12"/>
                <w:color w:val="auto"/>
              </w:rPr>
            </w:pP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134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$ 1,020,219</w:t>
            </w:r>
          </w:p>
        </w:tc>
        <w:tc>
          <w:tcPr>
            <w:tcW w:w="2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937,918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605,694</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501,505</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309,124</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241,836</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1,935,037</w:t>
            </w:r>
          </w:p>
        </w:tc>
        <w:tc>
          <w:tcPr>
            <w:tcW w:w="620" w:type="dxa"/>
            <w:vAlign w:val="bottom"/>
            <w:vMerge w:val="continue"/>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85%</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1,681,259</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164,368</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139,032</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1"/>
              </w:rPr>
              <w:t>$ 2,099,405</w:t>
            </w:r>
          </w:p>
        </w:tc>
        <w:tc>
          <w:tcPr>
            <w:tcW w:w="62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w:t>
            </w:r>
          </w:p>
        </w:tc>
        <w:tc>
          <w:tcPr>
            <w:tcW w:w="1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1,820,291</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177,781</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171,222</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1"/>
              </w:rPr>
              <w:t>$ 2,277,186</w:t>
            </w:r>
          </w:p>
        </w:tc>
        <w:tc>
          <w:tcPr>
            <w:tcW w:w="62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1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July 30, 2011 and July 31, 2010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Region</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July 30, 2011</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132,124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129,933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408,720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39,794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40,189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125,526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215,751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186,035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638,371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Japan</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97,196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109,530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294,143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157,877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132,119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 of Asia</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115,160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122,484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349,857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757,902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720,290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7"/>
              </w:rPr>
              <w:t>2,277,186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1,991,513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80" w:type="dxa"/>
            <w:vAlign w:val="bottom"/>
            <w:vMerge w:val="restart"/>
          </w:tcPr>
          <w:p>
            <w:pPr>
              <w:jc w:val="right"/>
              <w:ind w:right="21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both"/>
        <w:ind w:firstLine="225"/>
        <w:spacing w:after="0" w:line="264" w:lineRule="auto"/>
        <w:rPr>
          <w:sz w:val="20"/>
          <w:szCs w:val="20"/>
          <w:color w:val="auto"/>
        </w:rPr>
      </w:pPr>
      <w:r>
        <w:rPr>
          <w:rFonts w:ascii="Arial" w:cs="Arial" w:eastAsia="Arial" w:hAnsi="Arial"/>
          <w:sz w:val="18"/>
          <w:szCs w:val="18"/>
          <w:color w:val="auto"/>
        </w:rPr>
        <w:t>In the three- and nine-month periods ended July 30, 2011 and July 31, 2010,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16"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October 30, 2010 the Company held no assets or liabilities valued using level 3 inputs.</w:t>
      </w:r>
    </w:p>
    <w:p>
      <w:pPr>
        <w:spacing w:after="0" w:line="62" w:lineRule="exact"/>
        <w:rPr>
          <w:sz w:val="20"/>
          <w:szCs w:val="20"/>
          <w:color w:val="auto"/>
        </w:rPr>
      </w:pPr>
    </w:p>
    <w:p>
      <w:pPr>
        <w:jc w:val="both"/>
        <w:ind w:right="220" w:firstLine="222"/>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on a recurring basis as of July 30, 2011 and October 30, 2010. The table excludes cash on hand and assets and liabilities that are measured at historical cost or any basis other than fair value.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July 30, 2011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October 30, 2010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6"/>
          </w:tcPr>
          <w:p>
            <w:pPr>
              <w:jc w:val="right"/>
              <w:ind w:right="700"/>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Reporting Date using: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Reporting Date using:</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Quoted</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Quoted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Prices 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Prices in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w:t>
            </w:r>
          </w:p>
        </w:tc>
        <w:tc>
          <w:tcPr>
            <w:tcW w:w="420" w:type="dxa"/>
            <w:vAlign w:val="bottom"/>
          </w:tcPr>
          <w:p>
            <w:pPr>
              <w:spacing w:after="0"/>
              <w:rPr>
                <w:sz w:val="12"/>
                <w:szCs w:val="12"/>
                <w:color w:val="auto"/>
              </w:rPr>
            </w:pPr>
          </w:p>
        </w:tc>
        <w:tc>
          <w:tcPr>
            <w:tcW w:w="12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320" w:type="dxa"/>
            <w:vAlign w:val="bottom"/>
          </w:tcPr>
          <w:p>
            <w:pPr>
              <w:spacing w:after="0"/>
              <w:rPr>
                <w:sz w:val="12"/>
                <w:szCs w:val="12"/>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w:t>
            </w:r>
          </w:p>
        </w:tc>
        <w:tc>
          <w:tcPr>
            <w:tcW w:w="4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for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Identical</w:t>
            </w:r>
          </w:p>
        </w:tc>
        <w:tc>
          <w:tcPr>
            <w:tcW w:w="42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Identical</w:t>
            </w:r>
          </w:p>
        </w:tc>
        <w:tc>
          <w:tcPr>
            <w:tcW w:w="320" w:type="dxa"/>
            <w:vAlign w:val="bottom"/>
          </w:tcPr>
          <w:p>
            <w:pPr>
              <w:spacing w:after="0"/>
              <w:rPr>
                <w:sz w:val="12"/>
                <w:szCs w:val="12"/>
                <w:color w:val="auto"/>
              </w:rPr>
            </w:pP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Assets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600"/>
              <w:spacing w:after="0" w:line="201" w:lineRule="exact"/>
              <w:rPr>
                <w:sz w:val="20"/>
                <w:szCs w:val="20"/>
                <w:color w:val="auto"/>
              </w:rPr>
            </w:pPr>
            <w:r>
              <w:rPr>
                <w:rFonts w:ascii="Arial" w:cs="Arial" w:eastAsia="Arial" w:hAnsi="Arial"/>
                <w:sz w:val="18"/>
                <w:szCs w:val="18"/>
                <w:color w:val="auto"/>
              </w:rPr>
              <w:t>Institutional money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800"/>
              <w:spacing w:after="0"/>
              <w:rPr>
                <w:sz w:val="20"/>
                <w:szCs w:val="20"/>
                <w:color w:val="auto"/>
              </w:rPr>
            </w:pPr>
            <w:r>
              <w:rPr>
                <w:rFonts w:ascii="Arial" w:cs="Arial" w:eastAsia="Arial" w:hAnsi="Arial"/>
                <w:sz w:val="18"/>
                <w:szCs w:val="18"/>
                <w:color w:val="auto"/>
              </w:rPr>
              <w:t>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1,285,049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1,285,049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921,034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obligations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39,983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99,959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Short — term 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400"/>
              <w:spacing w:after="0" w:line="201" w:lineRule="exact"/>
              <w:rPr>
                <w:sz w:val="20"/>
                <w:szCs w:val="20"/>
                <w:color w:val="auto"/>
              </w:rPr>
            </w:pPr>
            <w:r>
              <w:rPr>
                <w:rFonts w:ascii="Arial" w:cs="Arial" w:eastAsia="Arial" w:hAnsi="Arial"/>
                <w:sz w:val="18"/>
                <w:szCs w:val="18"/>
                <w:color w:val="auto"/>
              </w:rPr>
              <w:t>Securities with one year or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less to maturity:</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Corporate obligations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2,123,434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2,123,434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1,520,220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1,520,220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600"/>
              <w:spacing w:after="0" w:line="201" w:lineRule="exact"/>
              <w:rPr>
                <w:sz w:val="20"/>
                <w:szCs w:val="20"/>
                <w:color w:val="auto"/>
              </w:rPr>
            </w:pPr>
            <w:r>
              <w:rPr>
                <w:rFonts w:ascii="Arial" w:cs="Arial" w:eastAsia="Arial" w:hAnsi="Arial"/>
                <w:sz w:val="18"/>
                <w:szCs w:val="18"/>
                <w:color w:val="auto"/>
              </w:rPr>
              <w:t>Floating rate notes,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800"/>
              <w:spacing w:after="0"/>
              <w:rPr>
                <w:sz w:val="20"/>
                <w:szCs w:val="20"/>
                <w:color w:val="auto"/>
              </w:rPr>
            </w:pPr>
            <w:r>
              <w:rPr>
                <w:rFonts w:ascii="Arial" w:cs="Arial" w:eastAsia="Arial" w:hAnsi="Arial"/>
                <w:sz w:val="18"/>
                <w:szCs w:val="18"/>
                <w:color w:val="auto"/>
              </w:rPr>
              <w:t>issued at par</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Securities with greater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than one year to</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maturity:</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Floating rate notes (1)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17,664</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17,548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400"/>
              <w:spacing w:after="0" w:line="201" w:lineRule="exact"/>
              <w:rPr>
                <w:sz w:val="20"/>
                <w:szCs w:val="20"/>
                <w:color w:val="auto"/>
              </w:rPr>
            </w:pPr>
            <w:r>
              <w:rPr>
                <w:rFonts w:ascii="Arial" w:cs="Arial" w:eastAsia="Arial" w:hAnsi="Arial"/>
                <w:sz w:val="18"/>
                <w:szCs w:val="18"/>
                <w:color w:val="auto"/>
              </w:rPr>
              <w:t>Forward foreign currency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exchange contracts (2)</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26,930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8,690</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22,619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26,801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Pr>
          <w:p>
            <w:pPr>
              <w:ind w:left="200"/>
              <w:spacing w:after="0" w:line="205" w:lineRule="exact"/>
              <w:rPr>
                <w:sz w:val="20"/>
                <w:szCs w:val="20"/>
                <w:color w:val="auto"/>
              </w:rPr>
            </w:pPr>
            <w:r>
              <w:rPr>
                <w:rFonts w:ascii="Arial" w:cs="Arial" w:eastAsia="Arial" w:hAnsi="Arial"/>
                <w:sz w:val="18"/>
                <w:szCs w:val="18"/>
                <w:b w:val="1"/>
                <w:bCs w:val="1"/>
                <w:color w:val="auto"/>
              </w:rPr>
              <w:t>Total assets measured at</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ind w:left="4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1,313,295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2,208,657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3,521,952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931,041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1,721,784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2,652,825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$375 million aggregate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principle 5.0% debt (3)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396,690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400"/>
              <w:spacing w:after="0" w:line="201" w:lineRule="exact"/>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ind w:lef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measured at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410,480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July 30, 2011 and October 30, 2010 was $2,142.7 million and $1,639.1 million, respectively.</w:t>
      </w:r>
    </w:p>
    <w:p>
      <w:pPr>
        <w:spacing w:after="0" w:line="21" w:lineRule="exact"/>
        <w:rPr>
          <w:rFonts w:ascii="Arial" w:cs="Arial" w:eastAsia="Arial" w:hAnsi="Arial"/>
          <w:sz w:val="18"/>
          <w:szCs w:val="18"/>
          <w:color w:val="auto"/>
        </w:rPr>
      </w:pPr>
    </w:p>
    <w:p>
      <w:pPr>
        <w:jc w:val="both"/>
        <w:ind w:left="460" w:right="62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July 30, 2011 and October 30, 2010, contracts in a liability position of $0.6 million and $0.8 million, respectively, were netted against contracts in an asset position in the condensed consolidated balance sheets.</w:t>
      </w:r>
    </w:p>
    <w:p>
      <w:pPr>
        <w:spacing w:after="0" w:line="32" w:lineRule="exact"/>
        <w:rPr>
          <w:rFonts w:ascii="Arial" w:cs="Arial" w:eastAsia="Arial" w:hAnsi="Arial"/>
          <w:sz w:val="18"/>
          <w:szCs w:val="18"/>
          <w:color w:val="auto"/>
        </w:rPr>
      </w:pPr>
    </w:p>
    <w:p>
      <w:pPr>
        <w:ind w:left="460" w:right="420" w:hanging="452"/>
        <w:spacing w:after="0" w:line="30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Equal to the accreted notional value of the debt plus the mark-to-market of the interest rate component of the long-term debt to fair value. The fair value of the long-term debt as of July 30, 2011 and October 30, 2010 was $413.5 million and $416.3 million, respectively.</w:t>
      </w:r>
    </w:p>
    <w:p>
      <w:pPr>
        <w:spacing w:after="0" w:line="1" w:lineRule="exact"/>
        <w:rPr>
          <w:rFonts w:ascii="Arial" w:cs="Arial" w:eastAsia="Arial" w:hAnsi="Arial"/>
          <w:sz w:val="17"/>
          <w:szCs w:val="17"/>
          <w:color w:val="auto"/>
        </w:rPr>
      </w:pPr>
    </w:p>
    <w:p>
      <w:pPr>
        <w:ind w:left="460" w:right="24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July 30, 2011 there was no significant change to the fair value of the contingent consideration related to the Lyric acquisition since the date the acquisition was completed.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third-party banks.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869" w:gutter="0" w:footer="0" w:header="0"/>
        </w:sectPr>
      </w:pPr>
    </w:p>
    <w:bookmarkStart w:id="19" w:name="page20"/>
    <w:bookmarkEnd w:id="19"/>
    <w:p>
      <w:pPr>
        <w:ind w:right="200" w:firstLine="225"/>
        <w:spacing w:after="0" w:line="264"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79"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b w:val="1"/>
          <w:bCs w:val="1"/>
          <w:i w:val="1"/>
          <w:iCs w:val="1"/>
          <w:color w:val="auto"/>
        </w:rPr>
        <w:t xml:space="preserve">Contingent consideration </w:t>
      </w:r>
      <w:r>
        <w:rPr>
          <w:rFonts w:ascii="Arial" w:cs="Arial" w:eastAsia="Arial" w:hAnsi="Arial"/>
          <w:sz w:val="16"/>
          <w:szCs w:val="16"/>
          <w:color w:val="auto"/>
        </w:rPr>
        <w:t>— The fair value of contingent consideration was estimated utilizing the income approach and is based upon significant inputs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observable in the market. Changes in the fair value of the contingent consideration subsequent to the acquisition date that are primarily driven by assumptions pertaining to the achievement of the defined milestones will be recognized in earnings in the period of the estimated fair value 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accounts for its equity investments in privately held companies under the cost method. These investments are subject to periodic impairment review and measured and recorded at fair value when they are deemed to be other-than-temporarily impaired. The aggregate carrying value of the Company’s investments in privately held companies was approximately $2.0 million and was classified in other investments on the Company’s condensed consolidated balance sheets as of July 30, 2011. The Company did not have any investments in privately held companies as of October 30, 2010.</w:t>
      </w:r>
    </w:p>
    <w:p>
      <w:pPr>
        <w:spacing w:after="0" w:line="4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April 4, 2011, the Company issued $375 million aggregate principal amount of 3.0% senior unsecured notes due April 15, 2016 (the 3.0% Notes) with semi-annual fixed interest payments due on April 15 and October 15 of each year, commencing October 15, 2011. The fair value of the 3.0% Notes as of July 30, 2011 was $390.8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July 30, 2011 and October 30, 2010, the total notional amount of these undesignated hedges was $46.9 million and $42.1 million, respectively. The fair value of these hedging instruments in the Company’s condensed consolidated balance sheets as of July 30, 2011 and October 30, 2010, was immaterial.</w:t>
      </w:r>
    </w:p>
    <w:p>
      <w:pPr>
        <w:spacing w:after="0" w:line="70"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On June 30, 2009, the Company entered into interest rate swap transactions related to its outstanding 5.0%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 month LIBOR plus 2.05% (2.30% as of July 30, 2011)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t>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nine-month periods ended July 30, 2011 and July 31, 2010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Income Statement</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July 30, 2011</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31, 2010</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Classification</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Loss on Swaps</w:t>
            </w:r>
          </w:p>
        </w:tc>
        <w:tc>
          <w:tcPr>
            <w:tcW w:w="136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Gain on Note</w:t>
            </w:r>
          </w:p>
        </w:tc>
        <w:tc>
          <w:tcPr>
            <w:tcW w:w="13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91"/>
              </w:rPr>
              <w:t>Net Income Effect</w:t>
            </w:r>
          </w:p>
        </w:tc>
        <w:tc>
          <w:tcPr>
            <w:tcW w:w="52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Gain on Swaps</w:t>
            </w:r>
          </w:p>
        </w:tc>
        <w:tc>
          <w:tcPr>
            <w:tcW w:w="15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Loss on Note</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Net Income Effect</w:t>
            </w:r>
          </w:p>
        </w:tc>
        <w:tc>
          <w:tcPr>
            <w:tcW w:w="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  (15,893)</w:t>
            </w: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bl>
    <w:p>
      <w:pPr>
        <w:spacing w:after="0" w:line="7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7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total notional amount of derivative instruments designated as hedging instruments as of July 30, 2011 and October 30, 2010 was as follows: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$375 million of interest rate swap agreements accounted for as fair value hedges, and $149.5 million and $140.0 million, respectively, of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denominated in Euros, British Pounds and Philippine Pesos. The fair value of these hedging instruments in the Company’s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 as of July 30, 2011 and October 30, 2010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4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71"/>
        </w:trPr>
        <w:tc>
          <w:tcPr>
            <w:tcW w:w="5520" w:type="dxa"/>
            <w:vAlign w:val="bottom"/>
            <w:vMerge w:val="restart"/>
          </w:tcPr>
          <w:p>
            <w:pPr>
              <w:spacing w:after="0"/>
              <w:rPr>
                <w:sz w:val="20"/>
                <w:szCs w:val="20"/>
                <w:color w:val="auto"/>
              </w:rPr>
            </w:pPr>
            <w:r>
              <w:rPr>
                <w:rFonts w:ascii="Arial" w:cs="Arial" w:eastAsia="Arial" w:hAnsi="Arial"/>
                <w:sz w:val="18"/>
                <w:szCs w:val="18"/>
                <w:color w:val="auto"/>
              </w:rPr>
              <w:t>Interest rate swap agreements</w:t>
            </w:r>
          </w:p>
        </w:tc>
        <w:tc>
          <w:tcPr>
            <w:tcW w:w="3460" w:type="dxa"/>
            <w:vAlign w:val="bottom"/>
            <w:gridSpan w:val="2"/>
            <w:vMerge w:val="continue"/>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July 30, 2011</w:t>
            </w:r>
          </w:p>
        </w:tc>
        <w:tc>
          <w:tcPr>
            <w:tcW w:w="26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October 30, 2010</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22,619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26,801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34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4,952</w:t>
            </w:r>
          </w:p>
        </w:tc>
        <w:tc>
          <w:tcPr>
            <w:tcW w:w="2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effect of derivative instruments designated as cash flow hedges on the condensed consolidated statements of income for the three- and nine-month periods ended July 30, 2011 and July 31, 2010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2"/>
        </w:trPr>
        <w:tc>
          <w:tcPr>
            <w:tcW w:w="9040" w:type="dxa"/>
            <w:vAlign w:val="bottom"/>
            <w:vMerge w:val="restart"/>
          </w:tcPr>
          <w:p>
            <w:pPr>
              <w:spacing w:after="0"/>
              <w:rPr>
                <w:sz w:val="20"/>
                <w:szCs w:val="20"/>
                <w:color w:val="auto"/>
              </w:rPr>
            </w:pPr>
            <w:r>
              <w:rPr>
                <w:rFonts w:ascii="Arial" w:cs="Arial" w:eastAsia="Arial" w:hAnsi="Arial"/>
                <w:sz w:val="18"/>
                <w:szCs w:val="18"/>
                <w:color w:val="auto"/>
              </w:rPr>
              <w:t>Loss recognized in OCI on derivatives (net of tax of $351 in 2011 and $356 in 2010)</w:t>
            </w:r>
          </w:p>
        </w:tc>
        <w:tc>
          <w:tcPr>
            <w:tcW w:w="20" w:type="dxa"/>
            <w:vAlign w:val="bottom"/>
          </w:tcPr>
          <w:p>
            <w:pPr>
              <w:spacing w:after="0"/>
              <w:rPr>
                <w:sz w:val="12"/>
                <w:szCs w:val="12"/>
                <w:color w:val="auto"/>
              </w:rPr>
            </w:pPr>
          </w:p>
        </w:tc>
        <w:tc>
          <w:tcPr>
            <w:tcW w:w="11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2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(2,311)</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(1,816)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(Gain) loss reclassified from OCI into income (net of tax of $432 in 2011 and $668 in 2010)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(2,844)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365"/>
        </w:trPr>
        <w:tc>
          <w:tcPr>
            <w:tcW w:w="9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left="236"/>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40" w:type="dxa"/>
            <w:vAlign w:val="bottom"/>
            <w:vMerge w:val="restart"/>
          </w:tcPr>
          <w:p>
            <w:pPr>
              <w:spacing w:after="0"/>
              <w:rPr>
                <w:sz w:val="20"/>
                <w:szCs w:val="20"/>
                <w:color w:val="auto"/>
              </w:rPr>
            </w:pPr>
            <w:r>
              <w:rPr>
                <w:rFonts w:ascii="Arial" w:cs="Arial" w:eastAsia="Arial" w:hAnsi="Arial"/>
                <w:sz w:val="18"/>
                <w:szCs w:val="18"/>
                <w:color w:val="auto"/>
              </w:rPr>
              <w:t>Gain (loss) recognized in OCI on derivatives (net of tax of $693 in 2011 and $1,513 in 2010)</w:t>
            </w:r>
          </w:p>
        </w:tc>
        <w:tc>
          <w:tcPr>
            <w:tcW w:w="20" w:type="dxa"/>
            <w:vAlign w:val="bottom"/>
          </w:tcPr>
          <w:p>
            <w:pPr>
              <w:spacing w:after="0"/>
              <w:rPr>
                <w:sz w:val="12"/>
                <w:szCs w:val="12"/>
                <w:color w:val="auto"/>
              </w:rPr>
            </w:pPr>
          </w:p>
        </w:tc>
        <w:tc>
          <w:tcPr>
            <w:tcW w:w="11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2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4,344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(9,058)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(Gain) loss reclassified from OCI into income (net of tax of $1,027 in 2011 and $460 in 2010)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(6,856)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$1,880</w:t>
            </w:r>
          </w:p>
        </w:tc>
        <w:tc>
          <w:tcPr>
            <w:tcW w:w="0" w:type="dxa"/>
            <w:vAlign w:val="bottom"/>
          </w:tcPr>
          <w:p>
            <w:pPr>
              <w:spacing w:after="0"/>
              <w:rPr>
                <w:sz w:val="1"/>
                <w:szCs w:val="1"/>
                <w:color w:val="auto"/>
              </w:rPr>
            </w:pPr>
          </w:p>
        </w:tc>
      </w:tr>
      <w:tr>
        <w:trPr>
          <w:trHeight w:val="405"/>
        </w:trPr>
        <w:tc>
          <w:tcPr>
            <w:tcW w:w="9040" w:type="dxa"/>
            <w:vAlign w:val="bottom"/>
          </w:tcPr>
          <w:p>
            <w:pPr>
              <w:ind w:left="56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0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6"/>
          <w:szCs w:val="16"/>
          <w:color w:val="auto"/>
        </w:rPr>
        <w:t>The amounts reclassified into earnings before tax are recognized in cost of sales and operating expenses for the three-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30, 2011 and July 31, 2010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134"/>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r>
      <w:tr>
        <w:trPr>
          <w:trHeight w:val="20"/>
        </w:trPr>
        <w:tc>
          <w:tcPr>
            <w:tcW w:w="6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1,535</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1,497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1,343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30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1,232</w:t>
            </w:r>
          </w:p>
        </w:tc>
      </w:tr>
      <w:tr>
        <w:trPr>
          <w:trHeight w:val="365"/>
        </w:trPr>
        <w:tc>
          <w:tcPr>
            <w:tcW w:w="6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left="134"/>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r>
      <w:tr>
        <w:trPr>
          <w:trHeight w:val="20"/>
        </w:trPr>
        <w:tc>
          <w:tcPr>
            <w:tcW w:w="6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3,784</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2,029</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30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1,006</w:t>
            </w:r>
          </w:p>
        </w:tc>
      </w:tr>
    </w:tbl>
    <w:p>
      <w:pPr>
        <w:spacing w:after="0" w:line="94"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 and nine-month periods ended July 30, 2011 or July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our latest annual impairment assessment which occurred on August 1, 2010,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Company’s next annual impairment assessment will be performed as of the first day of the fourth quarter of fiscal 2011. The following table presents the changes in goodwill during the first nine months of fiscal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0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July 30, 2011</w:t>
            </w:r>
          </w:p>
        </w:tc>
        <w:tc>
          <w:tcPr>
            <w:tcW w:w="100" w:type="dxa"/>
            <w:vAlign w:val="bottom"/>
            <w:gridSpan w:val="2"/>
          </w:tcPr>
          <w:p>
            <w:pPr>
              <w:spacing w:after="0"/>
              <w:rPr>
                <w:sz w:val="14"/>
                <w:szCs w:val="14"/>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255,580</w:t>
            </w:r>
          </w:p>
        </w:tc>
        <w:tc>
          <w:tcPr>
            <w:tcW w:w="80" w:type="dxa"/>
            <w:vAlign w:val="bottom"/>
            <w:shd w:val="clear" w:color="auto" w:fill="CCEEFF"/>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Acquisition of Lyric Semiconductor ( Note 16 )</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18,865</w:t>
            </w:r>
          </w:p>
        </w:tc>
        <w:tc>
          <w:tcPr>
            <w:tcW w:w="8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6,423</w:t>
            </w:r>
          </w:p>
        </w:tc>
        <w:tc>
          <w:tcPr>
            <w:tcW w:w="80" w:type="dxa"/>
            <w:vAlign w:val="bottom"/>
            <w:shd w:val="clear" w:color="auto" w:fill="CCEEFF"/>
          </w:tcPr>
          <w:p>
            <w:pPr>
              <w:spacing w:after="0"/>
              <w:rPr>
                <w:sz w:val="18"/>
                <w:szCs w:val="18"/>
                <w:color w:val="auto"/>
              </w:rPr>
            </w:pPr>
          </w:p>
        </w:tc>
      </w:tr>
      <w:tr>
        <w:trPr>
          <w:trHeight w:val="223"/>
        </w:trPr>
        <w:tc>
          <w:tcPr>
            <w:tcW w:w="100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Indefinite-lived intangible assets are tested for impairment on an annual basis on the first day of the fourth quarter (on or about August 1) or more frequently if indicators of impairment exist. The impairment test involves the comparison of the fair value of the intangible asset with its carrying amount. No impairment of intangible assets resulted in any of the fiscal periods presented.</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July 30, 2011</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6"/>
              </w:rPr>
              <w:t>October 30,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70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780"/>
              <w:spacing w:after="0"/>
              <w:rPr>
                <w:sz w:val="20"/>
                <w:szCs w:val="20"/>
                <w:color w:val="auto"/>
              </w:rPr>
            </w:pPr>
            <w:r>
              <w:rPr>
                <w:rFonts w:ascii="Arial" w:cs="Arial" w:eastAsia="Arial" w:hAnsi="Arial"/>
                <w:sz w:val="14"/>
                <w:szCs w:val="14"/>
                <w:color w:val="auto"/>
                <w:w w:val="99"/>
              </w:rPr>
              <w:t>Amount</w:t>
            </w: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7,166</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2,858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of the associated R&amp;D efforts. Upon completion or abandonment of the projects, the IPR&amp;D assets will be amortized over their estimated useful life. The remaining amortization expense, related to finite-lived intangible assets, will be recognized over a weighted-average period of approximately 0.3 years.</w:t>
      </w:r>
    </w:p>
    <w:p>
      <w:pPr>
        <w:spacing w:after="0" w:line="80"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Amortization expense was $0.3 million and $0.6 million for the three-month periods ended July 30, 2011 and July 31, 2010, respectively, and $1.1 million and $4.2 million for the nine-month periods ended July 30, 2011 and July 31, 2010,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amortization expense, related to finite-lived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20"/>
                <w:szCs w:val="20"/>
                <w:color w:val="auto"/>
              </w:rPr>
            </w:pPr>
            <w:r>
              <w:rPr>
                <w:rFonts w:ascii="Arial" w:cs="Arial" w:eastAsia="Arial" w:hAnsi="Arial"/>
                <w:sz w:val="14"/>
                <w:szCs w:val="14"/>
                <w:color w:val="auto"/>
              </w:rPr>
              <w:t>Fiscal</w:t>
            </w:r>
          </w:p>
        </w:tc>
        <w:tc>
          <w:tcPr>
            <w:tcW w:w="1360" w:type="dxa"/>
            <w:vAlign w:val="bottom"/>
            <w:gridSpan w:val="4"/>
          </w:tcPr>
          <w:p>
            <w:pPr>
              <w:ind w:left="580"/>
              <w:spacing w:after="0"/>
              <w:rPr>
                <w:sz w:val="20"/>
                <w:szCs w:val="20"/>
                <w:color w:val="auto"/>
              </w:rPr>
            </w:pPr>
            <w:r>
              <w:rPr>
                <w:rFonts w:ascii="Arial" w:cs="Arial" w:eastAsia="Arial" w:hAnsi="Arial"/>
                <w:sz w:val="14"/>
                <w:szCs w:val="14"/>
                <w:color w:val="auto"/>
                <w:w w:val="97"/>
              </w:rPr>
              <w:t>Amortization</w:t>
            </w:r>
          </w:p>
        </w:tc>
      </w:tr>
      <w:tr>
        <w:trPr>
          <w:trHeight w:val="167"/>
        </w:trPr>
        <w:tc>
          <w:tcPr>
            <w:tcW w:w="9980" w:type="dxa"/>
            <w:vAlign w:val="bottom"/>
          </w:tcPr>
          <w:p>
            <w:pPr>
              <w:spacing w:after="0"/>
              <w:rPr>
                <w:sz w:val="20"/>
                <w:szCs w:val="20"/>
                <w:color w:val="auto"/>
              </w:rPr>
            </w:pPr>
            <w:r>
              <w:rPr>
                <w:rFonts w:ascii="Arial" w:cs="Arial" w:eastAsia="Arial" w:hAnsi="Arial"/>
                <w:sz w:val="14"/>
                <w:szCs w:val="14"/>
                <w:color w:val="auto"/>
              </w:rPr>
              <w:t>Year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Expense</w:t>
            </w:r>
          </w:p>
        </w:tc>
      </w:tr>
      <w:tr>
        <w:trPr>
          <w:trHeight w:val="224"/>
        </w:trPr>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Remainder of 2011</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firstLine="222"/>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40" w:type="dxa"/>
            <w:vAlign w:val="bottom"/>
            <w:gridSpan w:val="2"/>
            <w:shd w:val="clear" w:color="auto" w:fill="CCEEFF"/>
          </w:tcPr>
          <w:p>
            <w:pPr>
              <w:ind w:left="46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2,340</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cost</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2,916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Amortization of initial net obligation (asset)</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4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40" w:type="dxa"/>
            <w:vAlign w:val="bottom"/>
            <w:vMerge w:val="restart"/>
          </w:tcPr>
          <w:p>
            <w:pPr>
              <w:jc w:val="right"/>
              <w:ind w:right="317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6,872</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7,117</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(8,202)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(8,219)</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Amortization of initial net obligation (asset)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Net periodic pension cost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Pension contributions of $2.6 million and $7.8 million were made by the Company during the three and nine months ended July 30, 2011, respectively. The Company presently anticipates contributing an additional $2.5 million to fund its defined benefit pension plans in fiscal year 2011 for a total of $10.3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of July 30, 2011, the Company had $3,514.5 million of cash and cash equivalents and short-term investments, of which $1,167.5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the facility impose restrictions on the Company’s ability to undertake certain transactions, to create certain liens on assets and to incur certain subsidiary indebtedness. The terms of this facility also include financial covenants that require the Company to maintain a minimum interest coverage ratio and not exceed a maximum leverage ratio. As of July 30, 2011, the Company was compliant with these covenants.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June 30, 2009, the Company issued $375 million aggregate principal amount of 5.0% senior unsecured notes due July 1, 2014 (the 5.0% Notes) with semi-annual fixed interest payments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July 30, 2011, the Company was compliant with these covenants.</w:t>
      </w:r>
    </w:p>
    <w:p>
      <w:pPr>
        <w:spacing w:after="0" w:line="7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 month LIBOR plus 2.05% (2.30% as of July 30, 2011) interest payment, payable in four installments on the 1st business day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4" w:name="page25"/>
    <w:bookmarkEnd w:id="24"/>
    <w:p>
      <w:pPr>
        <w:ind w:firstLine="225"/>
        <w:spacing w:after="0" w:line="270" w:lineRule="auto"/>
        <w:rPr>
          <w:sz w:val="20"/>
          <w:szCs w:val="20"/>
          <w:color w:val="auto"/>
        </w:rPr>
      </w:pPr>
      <w:r>
        <w:rPr>
          <w:rFonts w:ascii="Arial" w:cs="Arial" w:eastAsia="Arial" w:hAnsi="Arial"/>
          <w:sz w:val="17"/>
          <w:szCs w:val="17"/>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 million, which matures on December 22, 2013. The terms of the agreement provide for a three year principle amortization schedule with $3.6 million payable quarterly every March, June, September and December with the balance payable upon the maturity date. During the three-months ended July 30, 2011 the Company made an additional principal payment of $17.5 million. The loan will bear interest at a fluctuating rate for each period equal to the annual rate applicable to that interest period plus 1.25% (1.50% as of July 30, 2011).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July 30, 2011, the Company was compliant with these covenants. As of July 30, 2011, $14.5 million of this debt was classified as short-term.</w:t>
      </w:r>
    </w:p>
    <w:p>
      <w:pPr>
        <w:spacing w:after="0" w:line="74"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April 4, 2011, the Company issued $375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July 30, 2011, the Company was compliant with these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July 30, 2011, the Company had repurchased a total of approximately 122.4 million shares of its common stock for approximately $4,195.7 million under this program. An additional $804.3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In connection with the purchase and sale agreement, $7.5 million was placed into escrow and was excluded from the gain calculations.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and $0.6 million net of tax was recorded as additional gain from the sale of discontinued operations. The Company does not expect any additional proceeds from this sale.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firstLine="225"/>
        <w:spacing w:after="0" w:line="289" w:lineRule="auto"/>
        <w:rPr>
          <w:sz w:val="20"/>
          <w:szCs w:val="20"/>
          <w:color w:val="auto"/>
        </w:rPr>
      </w:pPr>
      <w:r>
        <w:rPr>
          <w:rFonts w:ascii="Arial" w:cs="Arial" w:eastAsia="Arial" w:hAnsi="Arial"/>
          <w:sz w:val="16"/>
          <w:szCs w:val="16"/>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The cash proceeds received were net of a refundable withholding tax of $62 million. In connection with the purchase and sale agreement, $10 million was placed into escrow and was excluded from the gain calculations.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In the first quarter of fiscal 2011, additional proceeds of $10 million were released from escrow and $6.5 million net of tax was recorded as additional gain from the sale of discontinued operations. The Company does not expect any additional proceeds from this sale.</w:t>
      </w:r>
    </w:p>
    <w:p>
      <w:pPr>
        <w:spacing w:after="0" w:line="5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7"/>
              </w:rPr>
              <w:t>Nine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before income taxes</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121"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On June 9, 2011, the Company acquired 100% of the outstanding stock of privately-held Lyric Semiconductor, Inc. (Lyric) of Cambridge, Massachusetts. The acquisition of Lyric allows the Company to implement probability processing in silicon for use in processing analog signals. The acquisition-date fair value of the consideration transferred totaled $27.8 million, which consisted of $14.0 million in initial cash payments at closing and contingent consideration of $13.8 million. The contingent consideration arrangement requires additional cash payments of up to an aggregate of $15 million upon the achievement of certain technological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earnings in the period of the estimated fair value change. As of July 30, 2011 no contingent payments have been made.</w:t>
      </w:r>
    </w:p>
    <w:p>
      <w:pPr>
        <w:spacing w:after="0" w:line="7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 allocated the purchase price to the tangible and intangible assets acquired and liabilities assumed based on their estimated fair values at the date of acquisition resulting in the recognition of $12.2 million of IPR&amp;D, $18.9 million of goodwill and $3.3 million of deferred taxes.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w:t>
      </w:r>
    </w:p>
    <w:p>
      <w:pPr>
        <w:spacing w:after="0" w:line="80" w:lineRule="exact"/>
        <w:rPr>
          <w:sz w:val="20"/>
          <w:szCs w:val="20"/>
          <w:color w:val="auto"/>
        </w:rPr>
      </w:pPr>
    </w:p>
    <w:p>
      <w:pPr>
        <w:ind w:right="500" w:firstLine="225"/>
        <w:spacing w:after="0" w:line="286" w:lineRule="auto"/>
        <w:rPr>
          <w:sz w:val="20"/>
          <w:szCs w:val="20"/>
          <w:color w:val="auto"/>
        </w:rPr>
      </w:pPr>
      <w:r>
        <w:rPr>
          <w:rFonts w:ascii="Arial" w:cs="Arial" w:eastAsia="Arial" w:hAnsi="Arial"/>
          <w:sz w:val="17"/>
          <w:szCs w:val="17"/>
          <w:color w:val="auto"/>
        </w:rPr>
        <w:t>In addition, the Company will be obligated to pay royalties on revenue recognized from the sale of Lyric products and licenses through the earlier of 20 years or a maximum of $25 million. Royalty payments require post-acquisition services to be rendered and, as such, the Company will record these amounts as compensation expense in the related periods. As of July 30, 2011, no royalty payments have been made.</w:t>
      </w:r>
    </w:p>
    <w:p>
      <w:pPr>
        <w:spacing w:after="0" w:line="5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recognized $0.2 million of acquisition related costs that were expensed in the current period. These costs are included in operating expenses in the consolidated income statement.</w:t>
      </w:r>
    </w:p>
    <w:p>
      <w:pPr>
        <w:spacing w:after="0" w:line="62"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has not provided pro forma results of operations for Lyric herein as the acquisition not material to the Company. The Company included the results of operations of this acquisition in its consolidated statement of income from the date of such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2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i w:val="1"/>
          <w:iCs w:val="1"/>
          <w:color w:val="auto"/>
        </w:rPr>
        <w:t>Fiscal Years 2004 and 2005 IRS Examination</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During the fourth quarter of fiscal 2007, the Internal Revenue Service (IRS) completed its field examination of the Company’s fiscal years 2004 and 2005. On January 2, 2008, the IRS issued its report for fiscal 2004 and 2005, which included four proposed adjustments related to these two fiscal years that the Company protested to the IRS Appeals Office. Two of the unresolved matters were one-time issues that pertain to Section 965 of the Internal Revenue Code related to the beneficial tax treatment of dividends paid from foreign owned companies under The American Jobs Creation Act. The other matters pertained to the computation of the research and development (R&amp;D) tax credit and certain profits earned from manufacturing activities carried on outside the United States. The Company recorded a tax liability for a portion of the proposed R&amp;D tax credit adjustment. These four items had an additional potential tax liability of $46 million. The Company concluded, based on discussions with its tax advisors, that these items were not likely to result in any additional tax liability. Therefore, the Company did not record a tax liability for these items.</w:t>
      </w:r>
    </w:p>
    <w:p>
      <w:pPr>
        <w:spacing w:after="0" w:line="7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During the second quarter of fiscal 2011, the Company reached settlement with the IRS Appeals Office on three of the four items under protest. The remaining unresolved matter is a one-time issue pertaining to Section 965 of the Internal Revenue Code related to the beneficial tax treatment of dividends from foreign owned companies under The American Jobs Creation Act. The Company will file a petition with the Tax Court with respect to this open matter.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2006 and 2007 IRS Examination</w:t>
      </w:r>
    </w:p>
    <w:p>
      <w:pPr>
        <w:spacing w:after="0" w:line="117"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agreed on the treatment of a number of issues that have been included in an Issue Resolutions Agreement related to the 2006 and 2007 tax returns. However, no agreement was reached on the tax treatment of a number of issues for the fiscal 2006 and fiscal 2007 years, including the same R&amp;D credit and foreign manufacturing issues mentioned above related to fiscal 2004 and 2005, the pricing of intercompany sales (transfer pricing) and the deductibility of certain stock option compensation expenses. The Company recorded taxes related to a portion of the proposed R&amp;D tax credit adjustment. These four items had an additional potential total tax liability of $195 million. The Company concluded, based on discussions with its tax advisors that these items were not likely to result in any additional tax liability. Therefore, the Company did not record any additional tax liability for these items and appealed these proposed adjustments through the normal processes for the resolution of differences between the IRS and taxpayers.</w:t>
      </w:r>
    </w:p>
    <w:p>
      <w:pPr>
        <w:spacing w:after="0" w:line="58"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During the second quarter of fiscal 2011, the Company reached an agreement with the IRS Appeals Office on three of the four protested items, two of which were the same issues settled relating to the 2004 and 2005 fiscal years. Transfer pricing remained as the only item under protest with the IRS Appeals Office related to the fiscal 2006 and fiscal 2007 years. The potential U.S. tax liability for this matter would have been $157.5 million. The Company concluded, based on discussions with its tax advisors, that this item was not likely to result in any additional tax liability. Therefore, the Company did not record a tax liability for this issue.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400" w:firstLine="225"/>
        <w:spacing w:after="0" w:line="342" w:lineRule="auto"/>
        <w:rPr>
          <w:sz w:val="20"/>
          <w:szCs w:val="20"/>
          <w:color w:val="auto"/>
        </w:rPr>
      </w:pPr>
      <w:r>
        <w:rPr>
          <w:rFonts w:ascii="Arial" w:cs="Arial" w:eastAsia="Arial" w:hAnsi="Arial"/>
          <w:sz w:val="16"/>
          <w:szCs w:val="16"/>
          <w:color w:val="auto"/>
        </w:rPr>
        <w:t>During the third quarter of fiscal 2011, the Company reached an agreement with the IRS Appeals Office on transfer pricing, the remaining item under protest related to the fiscal 2006 and fiscal 2007 years. Under this agreement, there is no tax owed on the transfer pricing issue for those years.</w:t>
      </w:r>
    </w:p>
    <w:p>
      <w:pPr>
        <w:spacing w:after="0" w:line="16" w:lineRule="exact"/>
        <w:rPr>
          <w:sz w:val="20"/>
          <w:szCs w:val="20"/>
          <w:color w:val="auto"/>
        </w:rPr>
      </w:pPr>
    </w:p>
    <w:p>
      <w:pPr>
        <w:jc w:val="both"/>
        <w:ind w:right="100" w:firstLine="215"/>
        <w:spacing w:after="0" w:line="312" w:lineRule="auto"/>
        <w:rPr>
          <w:sz w:val="20"/>
          <w:szCs w:val="20"/>
          <w:color w:val="auto"/>
        </w:rPr>
      </w:pPr>
      <w:r>
        <w:rPr>
          <w:rFonts w:ascii="Arial" w:cs="Arial" w:eastAsia="Arial" w:hAnsi="Arial"/>
          <w:sz w:val="16"/>
          <w:szCs w:val="16"/>
          <w:color w:val="auto"/>
        </w:rPr>
        <w:t>As a result of settling all but the one-time issue pertaining to Section 965 of the Internal Revenue Code related to the beneficial tax treatment of dividends from foreign owned companies under The American Jobs Creation Act for the fiscal 2004 through fiscal 2007 years at the IRS Appeals Office, the Company recorded a net $10.8 million tax benefit in the second quarter of fiscal 2011. The Company will file a petition with the Tax Court for the open matter.</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2008 and 2009 IRS Examination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the Company’s fiscal year 2008 or fiscal year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w w:val="94"/>
              </w:rPr>
              <w:t>The following table summarizes the changes in the total amounts of uncertain tax positions for the nine months ended July 30, 2011.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30, 2010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Additions based on tax positions related to the prior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related to prior years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30, 2011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No. 2009-13 — </w:t>
      </w:r>
      <w:r>
        <w:rPr>
          <w:rFonts w:ascii="Arial" w:cs="Arial" w:eastAsia="Arial" w:hAnsi="Arial"/>
          <w:sz w:val="16"/>
          <w:szCs w:val="16"/>
          <w:i w:val="1"/>
          <w:iCs w:val="1"/>
          <w:color w:val="auto"/>
        </w:rPr>
        <w:t>Revenue Recognition (Topic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605): Multiple-Deliverable Revenue Arrangements </w:t>
      </w:r>
      <w:r>
        <w:rPr>
          <w:rFonts w:ascii="Arial" w:cs="Arial" w:eastAsia="Arial" w:hAnsi="Arial"/>
          <w:sz w:val="17"/>
          <w:szCs w:val="17"/>
          <w:color w:val="auto"/>
        </w:rPr>
        <w:t>(formerly EITF Issue No. 08-1) (ASU No. 2009-13). This standard modifies the 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guidance for arrangements that involve the delivery of multiple elements, such as product, software, services or support, to a customer at different times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a single revenue generating transaction. This standard provides principles and application guidance to determine whether multiple deliverables exist,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 the individual deliverables should be separated and how to allocate the revenue in the arrangement among those separate deliverables. The standard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expands the disclosure requirements for multiple-deliverable revenue arrangements. ASU No. 2009-13 is effective for fiscal years that begin on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15, 2010, which is the Company’s fiscal year 2011. The adoption of ASU 2009-13 in the first quarter of fiscal 2011 did not have a material impact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 (ASC Topic 805) — 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Business Combinations </w:t>
      </w:r>
      <w:r>
        <w:rPr>
          <w:rFonts w:ascii="Arial" w:cs="Arial" w:eastAsia="Arial" w:hAnsi="Arial"/>
          <w:sz w:val="16"/>
          <w:szCs w:val="16"/>
          <w:color w:val="auto"/>
        </w:rPr>
        <w:t>(ASU No. 2010-29). ASU No. 2010-29 requires a public entity to disclose revenue and earnings of the combined entity as 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the Company’s first quarter of fiscal year 2012. The adoption of ASU No. 2010-29 will require additional disclosure in the event of a business combination but will not have a material impact on the Company’s financial condition and results of operations.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 — Goodwill and Other</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December 2010, the FASB issued ASU No. 2010-28, </w:t>
      </w:r>
      <w:r>
        <w:rPr>
          <w:rFonts w:ascii="Arial" w:cs="Arial" w:eastAsia="Arial" w:hAnsi="Arial"/>
          <w:sz w:val="17"/>
          <w:szCs w:val="17"/>
          <w:i w:val="1"/>
          <w:iCs w:val="1"/>
          <w:color w:val="auto"/>
        </w:rPr>
        <w:t>Intangibles- Goodwill and Other (ASC Topic 350)</w:t>
      </w:r>
      <w:r>
        <w:rPr>
          <w:rFonts w:ascii="Arial" w:cs="Arial" w:eastAsia="Arial" w:hAnsi="Arial"/>
          <w:sz w:val="17"/>
          <w:szCs w:val="17"/>
          <w:color w:val="auto"/>
        </w:rPr>
        <w:t xml:space="preserve"> (ASU No. 2010-28). ASU 210-28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the Company’s fiscal year 2012. The Company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currently evaluating the impact, if any, that ASU No. 2010-28 may have on the Company’s financial condition and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May 2011, the FASB issued ASU No. 2011-04, </w:t>
      </w:r>
      <w:r>
        <w:rPr>
          <w:rFonts w:ascii="Arial" w:cs="Arial" w:eastAsia="Arial" w:hAnsi="Arial"/>
          <w:sz w:val="17"/>
          <w:szCs w:val="17"/>
          <w:i w:val="1"/>
          <w:iCs w:val="1"/>
          <w:color w:val="auto"/>
        </w:rPr>
        <w:t>Amendments to Achieve Common Fair Value Measurements and Disclosure Requirements in U.S. GAAP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IFRSs </w:t>
      </w:r>
      <w:r>
        <w:rPr>
          <w:rFonts w:ascii="Arial" w:cs="Arial" w:eastAsia="Arial" w:hAnsi="Arial"/>
          <w:sz w:val="17"/>
          <w:szCs w:val="17"/>
          <w:color w:val="auto"/>
        </w:rPr>
        <w:t>(ASU No. 2011-04)</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2011-04 amended ASC 820,</w:t>
      </w:r>
      <w:r>
        <w:rPr>
          <w:rFonts w:ascii="Arial" w:cs="Arial" w:eastAsia="Arial" w:hAnsi="Arial"/>
          <w:sz w:val="17"/>
          <w:szCs w:val="17"/>
          <w:i w:val="1"/>
          <w:iCs w:val="1"/>
          <w:color w:val="auto"/>
        </w:rPr>
        <w:t xml:space="preserve"> Fair Value Measurements and Disclosures</w:t>
      </w:r>
      <w:r>
        <w:rPr>
          <w:rFonts w:ascii="Arial" w:cs="Arial" w:eastAsia="Arial" w:hAnsi="Arial"/>
          <w:sz w:val="17"/>
          <w:szCs w:val="17"/>
          <w:color w:val="auto"/>
        </w:rPr>
        <w:t>, to converge the fair value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U.S. GAAP and International Financial Reporting Standards (IFRSs). Some of the amendments clarify the application of existing fair value measurement requirements, while other amendments change a particular principle in ASC 820. In addition, ASU No. 2011-04 requires additional fair value disclosures. The amendments are to be applied prospectively and are effective for interim and annual periods beginning after December 15, 2011, which is the Company’s second quarter of fiscal year 2012. The Company is currently evaluating the impact, if any, that ASU No. 2011-04 may have on the Company’s financial condition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No. 2011-05). ASU No. 2011-05 amended ASC 320,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 converge the presentation of comprehensive income between U.S GAAP and IFRS. ASU No. 2011-05 requires that all non-owner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2011-05 is effective for fiscal years, and interim periods within those years, beginning after December 15, 2011 which is the Company’s fiscal year 2013. The adoption of ASU No. 2011-05 will affect the presentation of comprehensive income but will not impact the Company’s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On August 15, 2011, the Company’s Board of Directors declared a cash dividend of $0.25 per outstanding share of common stock. The dividend will be paid on September 14, 2011 to all shareholders of record at the close of business on August 26, 2011.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30, 2010.</w:t>
      </w:r>
    </w:p>
    <w:p>
      <w:pPr>
        <w:spacing w:after="0" w:line="57"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sovereign debt issues globally, the uncertainty in global credit and financial markets; the impact of the recent earthquake and tsunami in Japan; declines in customer demand for our products;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the expected outcomes of intellectual property and litigation matters; potential acquisitions or divestitures; the expected activities of our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85"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Unless otherwise noted, this Management’s Discussion and Analysis relates only to financial results from continuing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30, 2011</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6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757,902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720,290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2,277,186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1,991,513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margin %</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219,935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199,491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677,367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486,231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Income from continuing operations, net of tax, as a % of revenue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Diluted EPS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0.65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r>
      <w:tr>
        <w:trPr>
          <w:trHeight w:val="391"/>
        </w:trPr>
        <w:tc>
          <w:tcPr>
            <w:tcW w:w="516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ind w:right="220" w:firstLine="22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62"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During the three and nine months ended July 30, 2011, our revenue increased 5% and 14%, respectively, as compared to the same periods of fiscal 2010. Our diluted earnings per share from continuing operations increased to $0.71 from $0.65 in the third quarter of fiscal 2011 as compared to the third quarter of fiscal 2010, and increased to $2.19 from $1.59 in the first nine months of fiscal 2011 as compared to the first nine months of fiscal 2010. Cash flow from operations in the first nine months of fiscal 2011 was $670.4 million, or 29% of revenue. We received proceeds of $515.5 million during the first nine months of fiscal 2011 relating to the issuance of $375 million aggregate principal amount of 3.0% senior unsecured notes and a $145 million term loan facility we entered into through a wholly owned subsidiary. In addition, we received $189.2 million in net proceeds related to employee stock option exercises. In the first nine months of fiscal 2011, we repurchased a total of approximately 6.5 million shares of our common stock for an aggregate of $247.4 million, distributed $206.8 million to our shareholders in dividend payments and paid $96.7 million for capital expenditures. These factors contributed to the net increase in cash and cash equivalents of $287.8 million in the first nine months of fiscal 2011.</w:t>
      </w:r>
    </w:p>
    <w:p>
      <w:pPr>
        <w:spacing w:after="0" w:line="74"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year-to-year increase in revenue and profitability for the three and nine months ended July 30, 2011 was primarily the result of the continued resurgence of economic activity and improving global macro-economic conditions following the general economic downturn resulting from the global credit and financial crisis. The strong growth we experienced in the first six months of fiscal 2011, including a 9% sequential revenue increase in our second fiscal quarter, was followed by a 4% sequential revenue decline in the third fiscal quarter. The 9% sequential revenue increase in the second fiscal quarter included increased inventory stocking by our customers as a result of the Japanese earthquake and tsunami. The 4% sequential revenue decline in our third fiscal quarter was partially the result of inventory corrections following the inventory buildup in the prior quarter and, in addition, revenue for some of our products was curtailed because shortages of other components at some of our customers, delayed their orders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July 30, 2011</w:t>
            </w:r>
          </w:p>
        </w:tc>
        <w:tc>
          <w:tcPr>
            <w:tcW w:w="6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July 31, 2010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8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$ 365,158</w:t>
            </w:r>
          </w:p>
        </w:tc>
        <w:tc>
          <w:tcPr>
            <w:tcW w:w="2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$ 339,629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Automotive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101,190</w:t>
            </w:r>
          </w:p>
        </w:tc>
        <w:tc>
          <w:tcPr>
            <w:tcW w:w="206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83,462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115,983</w:t>
            </w:r>
          </w:p>
        </w:tc>
        <w:tc>
          <w:tcPr>
            <w:tcW w:w="2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134,379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164,560</w:t>
            </w:r>
          </w:p>
        </w:tc>
        <w:tc>
          <w:tcPr>
            <w:tcW w:w="206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149,690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$ 757,902</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$ 720,290</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Nine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30, 2011</w:t>
            </w:r>
          </w:p>
        </w:tc>
        <w:tc>
          <w:tcPr>
            <w:tcW w:w="6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Revenue</w:t>
            </w:r>
          </w:p>
        </w:tc>
        <w:tc>
          <w:tcPr>
            <w:tcW w:w="240" w:type="dxa"/>
            <w:vAlign w:val="bottom"/>
            <w:gridSpan w:val="2"/>
            <w:vMerge w:val="restart"/>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$ 1,085,078</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917,941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Automotive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302,056</w:t>
            </w:r>
          </w:p>
        </w:tc>
        <w:tc>
          <w:tcPr>
            <w:tcW w:w="220" w:type="dxa"/>
            <w:vAlign w:val="bottom"/>
          </w:tcPr>
          <w:p>
            <w:pPr>
              <w:spacing w:after="0"/>
              <w:rPr>
                <w:sz w:val="18"/>
                <w:szCs w:val="18"/>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239,206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346,314</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378,048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Communications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507,655</w:t>
            </w:r>
          </w:p>
        </w:tc>
        <w:tc>
          <w:tcPr>
            <w:tcW w:w="220" w:type="dxa"/>
            <w:vAlign w:val="bottom"/>
          </w:tcPr>
          <w:p>
            <w:pPr>
              <w:spacing w:after="0"/>
              <w:rPr>
                <w:sz w:val="18"/>
                <w:szCs w:val="18"/>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415,371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40,947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14%</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$ 2,277,186</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1,991,513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0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firstLine="225"/>
        <w:spacing w:after="0" w:line="257"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revenue in the three- and nine-month periods ended July 30, 2011 in industrial end market revenue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 broad-based increase in demand in this end market. The year-to-year increase in the three-month period ended July 30, 2011 was most significant for products sold into the industrial automation sector and to a lesser extent, products sold into the energy sector. The year-to-year increase in revenue in the nine-month period ended July 30, 2011 was most significant for products sold into the instrumentation and industrial automation sectors and, to a lesser extent, products sold into the energy and health care sectors.</w:t>
      </w:r>
    </w:p>
    <w:p>
      <w:pPr>
        <w:spacing w:after="0" w:line="80"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The year-to-year increase in revenue in the three- and nine-month periods ended July 30, 2011 in automotive end market revenue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general increase in the electronic content found in vehicles and, to a lesser extent, a general increase in demand by our customers.</w:t>
      </w:r>
    </w:p>
    <w:p>
      <w:pPr>
        <w:spacing w:after="0" w:line="16"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revenue in the three- and nine- month periods ended July 30, 2011 in consumer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decrease in demand for products in the digital camera and home entertainment sector primarily as a result of the impact of the earthquake and tsunami that occurred in Japan in March 2011, partially offset by an increase in demand for products used in other consumer applications in this end market.</w:t>
      </w:r>
    </w:p>
    <w:p>
      <w:pPr>
        <w:spacing w:after="0" w:line="79"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i w:val="1"/>
          <w:iCs w:val="1"/>
          <w:color w:val="auto"/>
        </w:rPr>
        <w:t xml:space="preserve">Communications — </w:t>
      </w:r>
      <w:r>
        <w:rPr>
          <w:rFonts w:ascii="Arial" w:cs="Arial" w:eastAsia="Arial" w:hAnsi="Arial"/>
          <w:sz w:val="16"/>
          <w:szCs w:val="16"/>
          <w:color w:val="auto"/>
        </w:rPr>
        <w:t>The year-to-year increase in revenue in the three- and nine-month periods ended July 30, 2011 in communications end market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the result of a broad-based increase in demand in this end market, which was most significant for the base station end market sector.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July 30, 2011</w:t>
            </w:r>
          </w:p>
        </w:tc>
        <w:tc>
          <w:tcPr>
            <w:tcW w:w="6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July 31, 2010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$ 337,266</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$ 337,168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197,494</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183,932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85,237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641,450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606,337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54,924</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$ 696,374</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$ 659,749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60,541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$ 757,902</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$ 720,290</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260" w:hanging="5612"/>
        <w:spacing w:after="0" w:line="571" w:lineRule="auto"/>
        <w:tabs>
          <w:tab w:leader="none" w:pos="4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individual percentages does not equal the total due to rounding.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30, 2011</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$ 1,020,219</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937,918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840" w:type="dxa"/>
            <w:vAlign w:val="bottom"/>
          </w:tcPr>
          <w:p>
            <w:pPr>
              <w:jc w:val="right"/>
              <w:spacing w:after="0"/>
              <w:rPr>
                <w:sz w:val="20"/>
                <w:szCs w:val="20"/>
                <w:color w:val="auto"/>
              </w:rPr>
            </w:pPr>
            <w:r>
              <w:rPr>
                <w:rFonts w:ascii="Arial" w:cs="Arial" w:eastAsia="Arial" w:hAnsi="Arial"/>
                <w:sz w:val="18"/>
                <w:szCs w:val="18"/>
                <w:color w:val="auto"/>
              </w:rPr>
              <w:t>605,694</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501,505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309,124</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241,836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8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1,935,037</w:t>
            </w: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1,681,259</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164,368</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139,032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15%</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$ 2,099,405</w:t>
            </w:r>
          </w:p>
        </w:tc>
        <w:tc>
          <w:tcPr>
            <w:tcW w:w="62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92%</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1,820,291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177,781</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171,222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14%</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$ 2,277,186</w:t>
            </w:r>
          </w:p>
        </w:tc>
        <w:tc>
          <w:tcPr>
            <w:tcW w:w="62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1,991,513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year-to-year increase in total revenue in the three- and nine-month periods ended July 30, 2011 was primarily the result of a broad-based increase in sales across all product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July 30, 2011 and July 31, 2010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July 30, 2011</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132,124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129,933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408,720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39,794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40,189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125,526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215,751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186,035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638,371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Japan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97,196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109,530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294,143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157,877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132,119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 of Asia</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115,160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122,484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349,857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757,902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720,290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7"/>
              </w:rPr>
              <w:t>2,277,186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1,991,513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In the three- and nine-month periods ended July 30, 2011 and July 31, 2010,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Sales increased in the United States, Europe and China while sales decreased in all other regions in the third quarter of fiscal 2011 as compared to third quarter of fiscal 2010. Sales increased in all geographic regions except Japan in the first nine months of fiscal 2011 as compared to the first nine months of fiscal 2010. Sales in Europe and China experienced the largest increases in both the three- and nine-month periods ended July 30, 2011 as compared to the same periods in fiscal year 2010, primarily as a result of increases in sales activity in the industrial and communications end market sector. The most significant year-to-year decrease in sales by region in both the three- and nine-month periods ended July 30, 2011 occurred in Japan. This decrease was primarily the result of lower sales activity in the consumer end market sector in this region primarily as a result of the earthquake and tsunami that occurred in Japan in March 2011, partially offset by an increase in industrial end market sales in this region.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7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48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2"/>
              </w:rPr>
              <w:t>July 30, 2011</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2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$ 509,640</w:t>
            </w:r>
          </w:p>
        </w:tc>
        <w:tc>
          <w:tcPr>
            <w:tcW w:w="70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480,202</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$ 1,526,027</w:t>
            </w:r>
          </w:p>
        </w:tc>
        <w:tc>
          <w:tcPr>
            <w:tcW w:w="68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$ 1,283,193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Gross margin %</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67.2%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67.0%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Gross margin percentage was higher by 50 and 260 basis points, respectively, in the three- and nine-month periods ended July 30, 2011 as compared to the same periods of fiscal 2010 primarily as a result of an increase in sales of $37.6 million and $285.7 million, respectively, increased operating levels in our manufacturing facilities and the impact of efforts to reduce overall manufacturing costs, including the savings realized as a result of wafer fabrication consolidation 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00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$ 128,476</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126,987</w:t>
            </w:r>
          </w:p>
        </w:tc>
        <w:tc>
          <w:tcPr>
            <w:tcW w:w="7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$ 381,681</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364,165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17.0%</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17.6%</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Research and development, or R&amp;D, expenses increased $1.5 million, or 1%, in the third quarter of fiscal 2011 as compared to the third quarter of fiscal 2010. The slight increase was primarily the result of higher employee salary and benefit expense due to salary increases that were effective at the beginning of the second quarter of fiscal 2011, and a general increase in spending. These increases were partially offset by lower variable compensation expense, which is a variable expense linked to our overall profitability and revenue growth.</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R&amp;D expenses increased $17.5 million, or 5%, in the nine months ended July 30, 2011 as compared to the nine months ended July 31, 2010. The increase was primarily the result of higher employee salary and benefit expense due to salary increases that were effective at the beginning of the second quarter of fiscal 2011, increased headcount and a general increase in spending.</w:t>
      </w:r>
    </w:p>
    <w:p>
      <w:pPr>
        <w:spacing w:after="0" w:line="7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are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00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$ 102,323</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102,070</w:t>
            </w:r>
          </w:p>
        </w:tc>
        <w:tc>
          <w:tcPr>
            <w:tcW w:w="7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$ 307,613</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288,211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13.5%</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14.2%</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Selling, marketing, general and administrative, or SMG&amp;A, expenses remained flat in the third quarter of fiscal 2011 as compared to the third quarter of fiscal 2010. Decreases in variable compensation expense, which is a variable expense linked to our overall profitability and revenue growth, were offset by higher employee salary and benefit expense due to salary increases that were effective at the beginning of the second quarter of fiscal 2011 and a general increase in spending.</w:t>
      </w:r>
    </w:p>
    <w:p>
      <w:pPr>
        <w:spacing w:after="0" w:line="7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SMG&amp;A increased $19.4 million, or 7%, in the nine months ended July 30, 2011 as compared to the nine months ended July 31, 2010. The increase was primarily the result of higher employee salary and benefit expense due to salary increases that were effective at the beginning of the second quarter of fiscal 2011, increased headcount and a general increase in spending.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color w:val="auto"/>
        </w:rPr>
        <w:t>These increases were partially offset by lower variable compensation expense, which is a variable expense linked to our overall profitability and revenue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paid the related lease obligation costs on a monthly basis over the remaining lease term, which expired in March 2010. We recorded a one-time settlement charge of $0.4 million in the first quarter of fiscal 2010 related to the termination of the lease. This action was completed during fiscal 2010.</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40" w:firstLine="315"/>
        <w:spacing w:after="0" w:line="264"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in accordance with our ongoing benefit plan or the statutory requirements at foreign locations for 19 engineering, selling, marketing, general and administrative employees.</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 expensed as incurred. The remaining $26.6 million related to the severance and fringe benefit costs recorded in accordance with our ongoing benefit plan or statutory requirements at foreign locations for 245 manufacturing employees and 302 engineering and SMG&amp;A employees. This cost reduction action, which was substantially completed during the second quarter of fiscal 2009, resulted in annual savings of approximately $36.4 million. These annual savings are being realized as follows: approximately $31.6 million in SMG&amp;A expenses and approximately $4.8 million in cost of sales.</w:t>
      </w:r>
    </w:p>
    <w:p>
      <w:pPr>
        <w:spacing w:after="0" w:line="84"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Approximately $0.5 million of the charge related to our decision to abandon efforts to develop a particular expertise in power management, resulting in the impairment of related intellectual property. These cost reductions actions, which were fully implemented in the first quarter of fiscal 2011, resulted in annual savings of approximately $16 million.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terminated the employment of all employees associated with this action and are paying amounts owed to them as income continuance.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64" w:lineRule="exact"/>
        <w:rPr>
          <w:sz w:val="20"/>
          <w:szCs w:val="20"/>
          <w:color w:val="auto"/>
        </w:rPr>
      </w:pPr>
    </w:p>
    <w:p>
      <w:pPr>
        <w:ind w:right="40" w:firstLine="222"/>
        <w:spacing w:after="0" w:line="284" w:lineRule="auto"/>
        <w:rPr>
          <w:sz w:val="20"/>
          <w:szCs w:val="20"/>
          <w:color w:val="auto"/>
        </w:rPr>
      </w:pPr>
      <w:r>
        <w:rPr>
          <w:rFonts w:ascii="Arial" w:cs="Arial" w:eastAsia="Arial" w:hAnsi="Arial"/>
          <w:sz w:val="16"/>
          <w:szCs w:val="16"/>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Analog or found alternative employment within Analog. In addition, we recorded a special charge of approximately $1.7 million for the impairment of manufacturing assets that were originally going to be moved to our other wafer fabrication facilities but were no longer needed at those facilities and therefore had no future use. We also recorded a special charge of $0.1 million for clean-up costs as we began our clean-up of the Cambridge wafer fabrication facility at the end of the fourth quarter of fiscal 2009. We estimate that this action will result in annual cost savings of approximately</w:t>
      </w:r>
    </w:p>
    <w:p>
      <w:pPr>
        <w:spacing w:after="0" w:line="5"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$41 million per year, which we began realizing in the third quarter of fiscal 2010. These annual savings are being realized as follows: approximately $40.2 million in cost of sales, of which approximately $4.0 million relates to non-cash depreciation savings, and approximately $0.8 million relates to SMG&amp;A expenses.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20" w:firstLine="225"/>
        <w:spacing w:after="0" w:line="279" w:lineRule="auto"/>
        <w:rPr>
          <w:sz w:val="20"/>
          <w:szCs w:val="20"/>
          <w:color w:val="auto"/>
        </w:rPr>
      </w:pPr>
      <w:r>
        <w:rPr>
          <w:rFonts w:ascii="Arial" w:cs="Arial" w:eastAsia="Arial" w:hAnsi="Arial"/>
          <w:sz w:val="17"/>
          <w:szCs w:val="17"/>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These cost reductions resulted in annual savings of approximately $2.4 million, which we began realizing in the first quarter of fiscal 2010. This action was completed during the third quarter of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00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$ 278,841</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251,145</w:t>
            </w:r>
          </w:p>
        </w:tc>
        <w:tc>
          <w:tcPr>
            <w:tcW w:w="7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$ 836,733</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614,334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36.8%</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34.9%</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The $27.7 million increase in operating income from continuing operations in the third quarter of fiscal 2011 as compared to the third quarter of fiscal 2010 was primarily the result of an increase in revenue of $37.6 million and a 50 basis point increase in gross margin percentage.</w:t>
      </w:r>
    </w:p>
    <w:p>
      <w:pPr>
        <w:spacing w:after="0" w:line="3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The $222.4 million increase in operating income from continuing operations in the nine months ended July 30, 2011 as compared to the nine months ended July 31, 2010 was primarily the result of an increase in revenue of $285.7 million and a 260 basis point increase in gross margin percentage. This increase in operating income from continuing operations was partially offset by an increase in R&amp;D and SMG&amp;A expenses as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0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July 30, 2011</w:t>
            </w:r>
          </w:p>
        </w:tc>
        <w:tc>
          <w:tcPr>
            <w:tcW w:w="3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2"/>
                <w:szCs w:val="12"/>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2,614</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13,067</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(2,395)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(3,206)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(6,877)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(7,411)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nonoperating (income) expense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Nonoperating (income) expense was higher by $4.1 million in the third quarter of fiscal 2011 as compared to the third quarter of fiscal 2010 and was higher by $5.6 million in the nine-months ended July 30, 2011 as compared to the nine months ended July 31, 2010. The increase in the three and nine months ended July 30, 2011 was primarily due to an increase in interest expense incurred as a result of the issuance of $375 million aggregate principal amount of</w:t>
      </w:r>
    </w:p>
    <w:p>
      <w:pPr>
        <w:spacing w:after="0" w:line="255" w:lineRule="auto"/>
        <w:rPr>
          <w:sz w:val="20"/>
          <w:szCs w:val="20"/>
          <w:color w:val="auto"/>
        </w:rPr>
      </w:pPr>
      <w:r>
        <w:rPr>
          <w:rFonts w:ascii="Arial" w:cs="Arial" w:eastAsia="Arial" w:hAnsi="Arial"/>
          <w:sz w:val="18"/>
          <w:szCs w:val="18"/>
          <w:color w:val="auto"/>
        </w:rPr>
        <w:t>3.0% senior unsecured notes on April 4, 2011 and the $145 million term loan facility we entered into through a wholly owned subsidiary in December 2010. In addition, interest income decreased in the three and nine months ended July 30, 2011 as compared to the same periods of fiscal 2010 primarily as a result of lower interest rates, which contributed to the increase in nonoperating (income)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0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54,936</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   51,830</w:t>
            </w:r>
          </w:p>
        </w:tc>
        <w:tc>
          <w:tcPr>
            <w:tcW w:w="7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$ 153,080</w:t>
            </w:r>
          </w:p>
        </w:tc>
        <w:tc>
          <w:tcPr>
            <w:tcW w:w="6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127,377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20.0%</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20.6%</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both"/>
        <w:ind w:right="400" w:firstLine="315"/>
        <w:spacing w:after="0" w:line="264" w:lineRule="auto"/>
        <w:rPr>
          <w:sz w:val="20"/>
          <w:szCs w:val="20"/>
          <w:color w:val="auto"/>
        </w:rPr>
      </w:pPr>
      <w:r>
        <w:rPr>
          <w:rFonts w:ascii="Arial" w:cs="Arial" w:eastAsia="Arial" w:hAnsi="Arial"/>
          <w:sz w:val="18"/>
          <w:szCs w:val="18"/>
          <w:color w:val="auto"/>
        </w:rPr>
        <w:t>Our effective tax rate for the third quarter of fiscal 2011 was lower by 60 basis points compared to our effective tax rate for the third quarter of fiscal 2010. The slight decrease in our tax rate was a result of the impact of the federal R&amp;D tax credit in the third quarter of fiscal 2011 that was not available during the third quarter of fiscal 2010.</w:t>
      </w:r>
    </w:p>
    <w:p>
      <w:pPr>
        <w:spacing w:after="0" w:line="73" w:lineRule="exact"/>
        <w:rPr>
          <w:sz w:val="20"/>
          <w:szCs w:val="20"/>
          <w:color w:val="auto"/>
        </w:rPr>
      </w:pPr>
    </w:p>
    <w:p>
      <w:pPr>
        <w:ind w:right="20" w:firstLine="315"/>
        <w:spacing w:after="0" w:line="272" w:lineRule="auto"/>
        <w:rPr>
          <w:sz w:val="20"/>
          <w:szCs w:val="20"/>
          <w:color w:val="auto"/>
        </w:rPr>
      </w:pPr>
      <w:r>
        <w:rPr>
          <w:rFonts w:ascii="Arial" w:cs="Arial" w:eastAsia="Arial" w:hAnsi="Arial"/>
          <w:sz w:val="17"/>
          <w:szCs w:val="17"/>
          <w:color w:val="auto"/>
        </w:rPr>
        <w:t>Our effective tax rate for the nine months ended July 30, 2011 was lower by 240 basis points compared to our effective tax rate for the nine months ended July 31, 2010. The tax rate for the nine months ended July 30, 2011 included the following items which caused a decrease in our tax rate: the reinstatement of the federal R&amp;D tax credit in December 2010 retroactive to January 1, 2010 resulting in a $6 million income tax savings, a $7 million reduction in the state tax credits valuation reserve that we believe we can now recover, a $0.5 million tax benefit from the increase in Irish deferred taxes as a result of the increase in the Irish manufacturing tax rate from 10% to 12.5% and a net $10.8 million tax benefit related to the settlement with the Appeals Office of the Internal Revenue Service of certain tax matters for the fiscal 2004 through fiscal 2007 tax years. The nine months ended July 31, 2010 also included special charges, a majority of which provided a tax benefit at the higher U.S. tax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0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700" w:type="dxa"/>
            <w:vAlign w:val="bottom"/>
          </w:tcPr>
          <w:p>
            <w:pPr>
              <w:spacing w:after="0"/>
              <w:rPr>
                <w:sz w:val="12"/>
                <w:szCs w:val="12"/>
                <w:color w:val="auto"/>
              </w:rPr>
            </w:pPr>
          </w:p>
        </w:tc>
        <w:tc>
          <w:tcPr>
            <w:tcW w:w="14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160" w:type="dxa"/>
            <w:vAlign w:val="bottom"/>
          </w:tcPr>
          <w:p>
            <w:pPr>
              <w:spacing w:after="0"/>
              <w:rPr>
                <w:sz w:val="12"/>
                <w:szCs w:val="12"/>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219,935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199,491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677,367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486,231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from continuing operations in the third quarter of fiscal 2011 was higher than in the third quarter of fiscal 2010 by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$20.4 million primarily as a result of the $27.7 million increase in operating income from continuing operations, offset by an increase in nonoperating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expense and a higher provision for income taxes in the third quarter of fiscal 2011 than in the third quarter of fiscal 2010.</w:t>
      </w:r>
    </w:p>
    <w:p>
      <w:pPr>
        <w:spacing w:after="0" w:line="10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Net income from continuing operations in the nine months ended July 30, 2011 was higher than in the nine months ended July 31, 2010 by approximately $191.1 million primarily as a result of the $222.4 million increase in operating income from continuing operations, offset by a higher provision for income taxes in the nine months ended July 30, 2011 than in the nine months ended July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40" w:type="dxa"/>
            <w:vAlign w:val="bottom"/>
            <w:vMerge w:val="restart"/>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30, 2011</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6,500</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Diluted EPS from discontinued operations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are planning for revenue in the fourth quarter of fiscal 2011 to be in the range of $715 million to $755 million. Our plan is for gross margin for the fourth quarter of fiscal 2011 to be approximately 65% to 66% and for operating expenses to be approximately flat to down 3% from the third quarter of fiscal 2011. As a result, we are planning for diluted earnings per share from continuing operations to be in the range of $0.60 to $0.68 in the fourth quarter of fiscal 2011.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9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50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July 30, 2011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94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$ 670,369</w:t>
            </w:r>
          </w:p>
        </w:tc>
        <w:tc>
          <w:tcPr>
            <w:tcW w:w="70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  716,899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July 30, 2011, cash, cash equivalents and short-term investments totaled $3,514.5 million. The primary sources of funds for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2011 were net cash generated from operating activities of $670.4 million, proceeds of $515.5 million relating to the issuance of $375 million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3.0% senior unsecured notes due April 15, 2016 and the $145 million term loan facility we entered into through a wholly owned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In addition, we received $189.2 million in net proceeds from employee stock option exercises. The principal uses of funds for the first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fiscal 2011 were the repurchase of approximately 6.5 million shares of our common stock for an aggregate of $247.4 million, dividend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$206.8 million and capital expenditures of $96.7 million. These factors contributed to the net increase in cash and cash equivalents of $287.8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nine months of fiscal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740" w:type="dxa"/>
            <w:vAlign w:val="bottom"/>
            <w:gridSpan w:val="4"/>
          </w:tcPr>
          <w:p>
            <w:pPr>
              <w:ind w:left="3300"/>
              <w:spacing w:after="0"/>
              <w:rPr>
                <w:sz w:val="20"/>
                <w:szCs w:val="20"/>
                <w:color w:val="auto"/>
              </w:rPr>
            </w:pPr>
            <w:r>
              <w:rPr>
                <w:rFonts w:ascii="Arial" w:cs="Arial" w:eastAsia="Arial" w:hAnsi="Arial"/>
                <w:sz w:val="14"/>
                <w:szCs w:val="14"/>
                <w:b w:val="1"/>
                <w:bCs w:val="1"/>
                <w:color w:val="auto"/>
              </w:rPr>
              <w:t>July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4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375,011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Days sales outstanding</w:t>
            </w: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4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299,332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Accounts receivable at July 30, 2011 decreased $12.2 million, or 3%, from the end of the fourth quarter of fiscal 2010. The decrease in receivables was primarily the result of lower revenue in the third quarter of fiscal 2011 as compared to the fourth quarter of fiscal 2010. Days sales outstanding decreased by one day as a result of lower product shipments in the final month of the third quarter of fiscal 2011 as compared to the final month of the fourth quarter of fiscal 2010.</w:t>
      </w:r>
    </w:p>
    <w:p>
      <w:pPr>
        <w:spacing w:after="0" w:line="7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Inventory at July 30, 2011 increased by $21.9 million, or 8%, from the end of the fourth quarter of fiscal 2010. The increase in inventory relates primarily to an increase in manufacturing production to support the higher revenue levels recorded in the first nine months of fiscal 2011. Days cost of sales in inventory increased ten days primarily due to lower manufacturing costs, which resulted in cost of sales increasing only 2% from the fourth quarter of fiscal 2010 to the third quarter of fiscal 2011 as compared to an 8% increase in inventory during this same time period.</w:t>
      </w:r>
    </w:p>
    <w:p>
      <w:pPr>
        <w:spacing w:after="0" w:line="6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Current liabilities decreased to $556.3 million at July 30, 2011, a decrease of $87.2 million, or 14%, from $643.5 million at the end of fiscal 2010. This decrease was primarily due to a decrease in income tax payable as a result of the settlement with the Appeals Office of the Internal Revenue Service of certain tax matters for the fiscal 2004 through fiscal 2007 tax years. In addition, accrued liabilities declined as a result of a decrease in variable compensation expense. These decreases were partially offset by an increase in the current portion of our long-term debt in relation to the term loan facility entered into in December 2010 through our wholly owned subsidiary and an increase in deferred income on shipments to distributors, net, more fully described below.</w:t>
      </w:r>
    </w:p>
    <w:p>
      <w:pPr>
        <w:spacing w:after="0" w:line="50" w:lineRule="exact"/>
        <w:rPr>
          <w:sz w:val="20"/>
          <w:szCs w:val="20"/>
          <w:color w:val="auto"/>
        </w:rPr>
      </w:pPr>
    </w:p>
    <w:p>
      <w:pPr>
        <w:ind w:right="40" w:firstLine="215"/>
        <w:spacing w:after="0" w:line="288" w:lineRule="auto"/>
        <w:rPr>
          <w:sz w:val="20"/>
          <w:szCs w:val="20"/>
          <w:color w:val="auto"/>
        </w:rPr>
      </w:pPr>
      <w:r>
        <w:rPr>
          <w:rFonts w:ascii="Arial" w:cs="Arial" w:eastAsia="Arial" w:hAnsi="Arial"/>
          <w:sz w:val="16"/>
          <w:szCs w:val="16"/>
          <w:color w:val="auto"/>
        </w:rPr>
        <w:t>As of July 30, 2011 and October 30, 2010, we had gross deferred revenue of $367.5 million and $327.2 million, respectively, and gross deferred cost of sales of $90.0 million and $84.4 million, respectively. Deferred income on shipments to distributors increased by approximately $34.7 million in the first nine months of fiscal 2011 primarily as a result of our shipments to our distributors in the first nine months of fiscal 2011 exceeding the distributors’ sales to their customers during this same time period.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ind w:right="200" w:firstLine="225"/>
        <w:spacing w:after="0" w:line="264" w:lineRule="auto"/>
        <w:rPr>
          <w:sz w:val="20"/>
          <w:szCs w:val="20"/>
          <w:color w:val="auto"/>
        </w:rPr>
      </w:pPr>
      <w:r>
        <w:rPr>
          <w:rFonts w:ascii="Arial" w:cs="Arial" w:eastAsia="Arial" w:hAnsi="Arial"/>
          <w:sz w:val="18"/>
          <w:szCs w:val="18"/>
          <w:color w:val="auto"/>
        </w:rPr>
        <w:t>Net additions to property, plant and equipment were $96.7 million in the first nine months of fiscal 2011 and were funded with a combination of cash on hand and cash generated from operations. We expect capital expenditures of approximately $125 million in fiscal 2011 to be used primarily in our manufacturing facilities.</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On August 15, 2011, our Board of Directors declared a cash dividend of $0.25 per outstanding share of common stock. The dividend will be paid on September 14, 2011 to all shareholders of record at the close of business on August 26, 2011 and is expected to total approximately $74.9 million. We currently expect quarterly dividends to continue at $0.25 per share, although they remain subject to determination and declaration by our Board of Directors. The payment of future dividends, if any, will be based on several factors including our financial performance, outlook and liquidity.</w:t>
      </w:r>
    </w:p>
    <w:p>
      <w:pPr>
        <w:spacing w:after="0" w:line="6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common stock repurchase program has been in place since August 2004. On November 19, 2010, our Board of Directors authorized the repurchase by us of an additional $1 billion of our common stock, increasing the total amount of our common stock we are authorized to repurchase under the program to $5 billion.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July 30, 2011, we had repurchased a total of approximately 122.4 million shares of our common stock for approximately $4,195.7 million under this program. As of July 30, 2011, an additional $804.3 million worth of shares remains available for repurchase under the current authorized program. The repurchased shares are held as authorized but unissued shares of common stock. Any future common stock repurchases will be dependent upon several factors, including the amount of cash available to us in the United States, and our financial performance, outlook and liquidity.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w:t>
      </w:r>
    </w:p>
    <w:p>
      <w:pPr>
        <w:spacing w:after="0" w:line="75"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5.0%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5.0% Notes. We swapped the fixed interest portion of these Notes for a variable interest rate based on the three-month LIBOR plus 2.05% (2.30% as of July 30, 2011). The variable interest payments based on the variable annual rate are payable quarterly. The LIBOR based rate is set quarterly three months prior to the date of the interest payment. The indenture governing the 5.0%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w:t>
      </w:r>
    </w:p>
    <w:p>
      <w:pPr>
        <w:spacing w:after="0" w:line="58"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w:t>
      </w:r>
    </w:p>
    <w:p>
      <w:pPr>
        <w:ind w:right="100"/>
        <w:spacing w:after="0" w:line="290" w:lineRule="auto"/>
        <w:rPr>
          <w:sz w:val="20"/>
          <w:szCs w:val="20"/>
          <w:color w:val="auto"/>
        </w:rPr>
      </w:pPr>
      <w:r>
        <w:rPr>
          <w:rFonts w:ascii="Arial" w:cs="Arial" w:eastAsia="Arial" w:hAnsi="Arial"/>
          <w:sz w:val="16"/>
          <w:szCs w:val="16"/>
          <w:color w:val="auto"/>
        </w:rPr>
        <w:t>$145 million, which matures on December 22, 2013. The terms of the agreement provide for a three-year principal amortization schedule with $3.6 million payable quarterly every March, June, September and December with the balance payable upon the maturity date. During the three-months ended July 30, 2011 we made an additional principal payment of $17.5 million. The loan will bear interest at a fluctuating rate for each period equal to the annual LIBOR rate applicable to that interest period plus 1.25% (1.50% as of July 30,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The proceeds of this loan are being used to restructure our captive finance subsidiaries.</w:t>
      </w:r>
    </w:p>
    <w:p>
      <w:pPr>
        <w:spacing w:after="0" w:line="56"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On April 4, 2011, we issued $375 million aggregate principal amount of 3.0% senior unsecured notes due April 15, 2016 (the 3.0% Notes) with semi-annual fixed interest payments due on April 15 and October 15 of each year, commencing October 15, 2011. The indenture governing the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59" w:lineRule="exact"/>
        <w:rPr>
          <w:sz w:val="20"/>
          <w:szCs w:val="20"/>
          <w:color w:val="auto"/>
        </w:rPr>
      </w:pPr>
    </w:p>
    <w:p>
      <w:pPr>
        <w:ind w:right="540" w:firstLine="215"/>
        <w:spacing w:after="0" w:line="277" w:lineRule="auto"/>
        <w:rPr>
          <w:sz w:val="20"/>
          <w:szCs w:val="20"/>
          <w:color w:val="auto"/>
        </w:rPr>
      </w:pPr>
      <w:r>
        <w:rPr>
          <w:rFonts w:ascii="Arial" w:cs="Arial" w:eastAsia="Arial" w:hAnsi="Arial"/>
          <w:sz w:val="18"/>
          <w:szCs w:val="18"/>
          <w:color w:val="auto"/>
        </w:rPr>
        <w:t>At July 30, 2011, our principal source of liquidity was $3,514.5 million of and cash equivalents and short-term investments of which approximately $1,167.5 million was held in the United States. The balance of our cash and cash equivalents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right="40"/>
        <w:spacing w:after="0" w:line="264" w:lineRule="auto"/>
        <w:rPr>
          <w:sz w:val="20"/>
          <w:szCs w:val="20"/>
          <w:color w:val="auto"/>
        </w:rPr>
      </w:pPr>
      <w:r>
        <w:rPr>
          <w:rFonts w:ascii="Arial" w:cs="Arial" w:eastAsia="Arial" w:hAnsi="Arial"/>
          <w:sz w:val="18"/>
          <w:szCs w:val="18"/>
          <w:color w:val="auto"/>
        </w:rPr>
        <w:t>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73"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w:t>
      </w:r>
    </w:p>
    <w:p>
      <w:pPr>
        <w:ind w:right="120"/>
        <w:spacing w:after="0" w:line="252" w:lineRule="auto"/>
        <w:rPr>
          <w:sz w:val="20"/>
          <w:szCs w:val="20"/>
          <w:color w:val="auto"/>
        </w:rPr>
      </w:pPr>
      <w:r>
        <w:rPr>
          <w:rFonts w:ascii="Arial" w:cs="Arial" w:eastAsia="Arial" w:hAnsi="Arial"/>
          <w:sz w:val="18"/>
          <w:szCs w:val="18"/>
          <w:color w:val="auto"/>
        </w:rPr>
        <w:t>$145 million, which matures on December 22, 2013. The terms of the agreement provide for a three-year principal amortization schedule with $3.6 million payable quarterly every March, June, September and December with the balance payable upon the maturity date. During the three-months ended July 30, 2011 we made an additional principal payment of $17.5 million. The loan will bear interest at a fluctuating rate for each period equal to the annual LIBOR rate applicable to that interest period plus 1.25% (1.50% as of July 30,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As of July 30, 2011, we were compliant with these covenants. As of July 30, 2011, $14.5 million of this debt was classified as short-term.</w:t>
      </w:r>
    </w:p>
    <w:p>
      <w:pPr>
        <w:spacing w:after="0" w:line="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April 4, 2011, we issued $375 million aggregate principal amount of 3.0% senior unsecured notes due April 15, 2016 with semi-annual fixed interest payments due on April 15 and October 15 of each year, commencing October 15, 2011. The indenture governing the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July 30, 2011, we were compliant with these covenants.</w:t>
      </w:r>
    </w:p>
    <w:p>
      <w:pPr>
        <w:spacing w:after="0" w:line="80"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Assuming the current three-month LIBOR remains the same for the duration of the credit agreement and assuming the debt obligations are held to maturity, the following amounts will be due under the credit agreement and were not previously reflected in the contractual obligations table contained in the section entitled “Management’s Discussion and Analysis of Financial Condition and Results of Operations” of our Annual Report on Form 10-K for the fiscal year ended October 30,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1"/>
              </w:rPr>
              <w:t>Less than</w:t>
            </w:r>
          </w:p>
        </w:tc>
        <w:tc>
          <w:tcPr>
            <w:tcW w:w="208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Payment due by period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9"/>
              </w:rPr>
              <w:t>1-3 Years</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3-5 Years</w:t>
            </w: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1 Year</w:t>
            </w:r>
          </w:p>
        </w:tc>
        <w:tc>
          <w:tcPr>
            <w:tcW w:w="13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$ 495,233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14,500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$ 105,733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$ 375,000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Interest payments associated with long-term debt obligations</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60,527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13,345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35,932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11,250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$ 555,760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27,845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$ 141,665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$ 386,250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There have been no other material changes during the first nine months of fiscal 2011 to the amounts presented in the table summarizing our contractual obligations included in our Annual Report on Form 10-K for the fiscal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 xml:space="preserve">In October 2009, the Financial Accounting Standards Board (FASB) issued Accounting Standards Update No. 2009-13 — </w:t>
      </w:r>
      <w:r>
        <w:rPr>
          <w:rFonts w:ascii="Arial" w:cs="Arial" w:eastAsia="Arial" w:hAnsi="Arial"/>
          <w:sz w:val="18"/>
          <w:szCs w:val="18"/>
          <w:i w:val="1"/>
          <w:iCs w:val="1"/>
          <w:color w:val="auto"/>
        </w:rPr>
        <w:t>Revenue Recognition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605): Multiple-Deliverable Revenue Arrangements </w:t>
      </w:r>
      <w:r>
        <w:rPr>
          <w:rFonts w:ascii="Arial" w:cs="Arial" w:eastAsia="Arial" w:hAnsi="Arial"/>
          <w:sz w:val="18"/>
          <w:szCs w:val="18"/>
          <w:color w:val="auto"/>
        </w:rPr>
        <w:t>(formerly EITF Issue No. 08-1) (ASU No. 2009-13). This standard modifies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for arrangements that involve the delivery of multiple elements, such as product, software, services or support, to a customer at different times as part of a single revenue generating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140"/>
        <w:spacing w:after="0" w:line="257" w:lineRule="auto"/>
        <w:rPr>
          <w:sz w:val="20"/>
          <w:szCs w:val="20"/>
          <w:color w:val="auto"/>
        </w:rPr>
      </w:pPr>
      <w:r>
        <w:rPr>
          <w:rFonts w:ascii="Arial" w:cs="Arial" w:eastAsia="Arial" w:hAnsi="Arial"/>
          <w:sz w:val="18"/>
          <w:szCs w:val="18"/>
          <w:color w:val="auto"/>
        </w:rPr>
        <w:t>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our fiscal year 2011. The adoption of ASU 2009-13 in the first quarter of fiscal 2011 did not have a material impact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 (ASC Topic 805) — 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Business Combinations </w:t>
      </w:r>
      <w:r>
        <w:rPr>
          <w:rFonts w:ascii="Arial" w:cs="Arial" w:eastAsia="Arial" w:hAnsi="Arial"/>
          <w:sz w:val="16"/>
          <w:szCs w:val="16"/>
          <w:color w:val="auto"/>
        </w:rPr>
        <w:t>(ASU No. 2010-29). ASU No. 2010-29 requires a public entity to disclose revenue and earnings of the combined entity as 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our first quarter of fiscal year 2012. The adoption of ASU No. 2010-29 will require additional disclosure in the event of a business combination but will not have a material impact on our financial condition and results of operations.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 — Goodwill and Other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2010, the FASB issued ASU No. 2010-28, </w:t>
      </w:r>
      <w:r>
        <w:rPr>
          <w:rFonts w:ascii="Arial" w:cs="Arial" w:eastAsia="Arial" w:hAnsi="Arial"/>
          <w:sz w:val="18"/>
          <w:szCs w:val="18"/>
          <w:i w:val="1"/>
          <w:iCs w:val="1"/>
          <w:color w:val="auto"/>
        </w:rPr>
        <w:t>Intangibles- Goodwill and Other (ASC Topic 350)</w:t>
      </w:r>
      <w:r>
        <w:rPr>
          <w:rFonts w:ascii="Arial" w:cs="Arial" w:eastAsia="Arial" w:hAnsi="Arial"/>
          <w:sz w:val="18"/>
          <w:szCs w:val="18"/>
          <w:color w:val="auto"/>
        </w:rPr>
        <w:t xml:space="preserve"> (ASU No. 2010-28). ASU No. 2010-28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our fiscal year 2012. We are currently evaluating the impact, if any, that ASU No. 2010-28 may have on our financial condition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May 2011, the FASB issued ASU No. 2011-04, </w:t>
      </w:r>
      <w:r>
        <w:rPr>
          <w:rFonts w:ascii="Arial" w:cs="Arial" w:eastAsia="Arial" w:hAnsi="Arial"/>
          <w:sz w:val="18"/>
          <w:szCs w:val="18"/>
          <w:i w:val="1"/>
          <w:iCs w:val="1"/>
          <w:color w:val="auto"/>
        </w:rPr>
        <w:t>Amendments to Achieve Common Fair Value Measurements and Disclosure Requirements in U.S. 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IFRSs </w:t>
      </w:r>
      <w:r>
        <w:rPr>
          <w:rFonts w:ascii="Arial" w:cs="Arial" w:eastAsia="Arial" w:hAnsi="Arial"/>
          <w:sz w:val="18"/>
          <w:szCs w:val="18"/>
          <w:color w:val="auto"/>
        </w:rPr>
        <w:t>(ASU No. 2011-04)</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2011-04 amended ASC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to converge the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in U.S. GAAP and International Financial Reporting Standards (IFRSs). Some of the amendments clarify the application of existing fair value measurement requirements, while other amendments change a particular principle in ASC 820. In addition, ASU No. 2011-04 requires additional fair value disclosures. The amendments are to be applied prospectively and are effective for interim and annual periods beginning after December 15, 2011, which is our second quarter of fiscal year 2012. We are currently evaluating the impact, if any, that ASU No. 2011-04 may have on our financial condition and results of operations.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In June 2011, the FASB issued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No. 2011-05). ASU No. 2011-05 amended ASC 320,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to converge the presentation of comprehensive income between U.S GAAP and IFRS. ASU No. 2011-05 requires that all nonowner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2011-05 is effective for fiscal years, and interim periods within those years, beginning after December 15, 2011 which is our fiscal year 2013. The adoption of ASU No. 2011-05 will affect the presentation of comprehensive income but will not impact our financial condition or results of operations.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There were no material changes in the first nine months of fiscal 2011 to the information provided under the heading “Critical Accounting Policies and Estimates” included in our Annual Report on Form 10-K for the fiscal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On December 22, 2010, Analog Devices Holdings B.V., a wholly owned subsidiary of ours, entered into a credit agreement with Bank of America, N.A., London Branch as administrative agent for purposes other than trading purposes. The borrower’s obligations are guaranteed by us. The credit agreement provides for a term loan facility of $145 million, which matures on December 22, 2013. The loan will bear interest at a fluctuating rate for each period equal to the annual LIBOR rate applicable to that interest period plus 1.25% (1.50% as of July 30, 2011). On April 4, 2011, we issued for purposes other than trading purposes $375 million aggregate principal amount of 3.0% senior unsecured notes due April 15, 2016 with semi-annual fixed interest payments due on April 15 and October 15 of each year, commencing October 15, 2011.</w:t>
      </w:r>
    </w:p>
    <w:p>
      <w:pPr>
        <w:spacing w:after="0" w:line="7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LIBOR changes by 100 basis points, our annual interest expense would change by approximately an additional $1.0 million from the amount set forth in the information provided under Item 7A. “Quantitative and Qualitative Disclosures about Market Risk” set forth in our Annual Report on Form 10-K for the year ended October 30, 2010.</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There have been no other material changes in the first nine months of fiscal 2011 in the information provided under Item 7A. “Quantitative and Qualitative Disclosures about Market Risk” set forth in our Annual Report on Form 10-K for the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July 30, 2011.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30, 2011,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July 30, 2011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30, 2010 and Part II, Item 1A “Risk Factors” of our Quarterly Report on Form 10-Q for the quarter ended April 30, 2011.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1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There is significant uncertainty about the stability of global credit and financial markets. These economic uncertainties affect businesses such as ours in a number of ways, making it difficult to accurately forecast and plan our future business activities. High unemployment rates, weakness in commercial and residential real estate markets and the tightening of credit by financial institutions may lead consumers and businesses to postpone spending, which may cause our customers to cancel, decrease or delay their existing and future orders with us. In addition, financial difficulties experienced by our suppliers or distributors could result in product delays, increased accounts receivable defaults and inventory challenges. Financial turmoil may cause financial institutions to consolidate or go out of business, which increases the risk that the actual amounts realized in the future on our financial instruments could differ significantly from the fair value assigned to them. During the past few years, many governments adopted stimulus or spending programs designed to ease the economic impact of the crisis. Some of our businesses benefited from these stimulus programs and as these programs conclude, those businesses could be negatively impacted. The continuing debt crisis in certain European countries could cause the value of the Euro to deteriorate, thus reducing the purchasing power of our European customers. In addition, the recent downgrade of the U.S. credit rating and the ongoing European debt crisis have contributed to the instability in global credit markets. We are unable to predict the impact of these events, and if economic conditions deteriorate, we may record additional charges relating to restructuring costs or the impairment of assets and our business and results of operations could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ability of our third party suppliers, subcontractors and manufacturers to supply us with sufficient quantities of products or components;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left="660" w:right="40" w:hanging="314"/>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face intense technological and pricing competition in the semiconductor industry, and we expect this competition to increase in the future, including from companies located outside the United States. Many other companies offer products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spacing w:after="0" w:line="289" w:lineRule="auto"/>
        <w:rPr>
          <w:sz w:val="20"/>
          <w:szCs w:val="20"/>
          <w:color w:val="auto"/>
        </w:rPr>
      </w:pPr>
      <w:r>
        <w:rPr>
          <w:rFonts w:ascii="Arial" w:cs="Arial" w:eastAsia="Arial" w:hAnsi="Arial"/>
          <w:sz w:val="16"/>
          <w:szCs w:val="16"/>
          <w:color w:val="auto"/>
        </w:rPr>
        <w:t>compete with our products. Some have (or as a result of consolidation within the industry may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6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 significant portion of our revenue for the first nine months of fiscal 2011 was from products fabricated at third-party wafer-fabrication facilities, primarily TSMC.</w:t>
      </w:r>
    </w:p>
    <w:p>
      <w:pPr>
        <w:spacing w:after="0" w:line="1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right="200" w:firstLine="22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subject to network disruptions or security breaches that could damage our reputation and harm our business and operating results.</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We may be subject to network disruptions or security breaches caused by computer viruses, illegal break-ins or hacking, sabotage, acts of vandalism by third parties or terrorism. Our security measures or those of our third party service providers may not detect or prevent such security breaches. Any such compromise of our information security could result in the unauthorized publication of our confidential business or proprietary information, cause an interruption in our operations, result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right="640"/>
        <w:spacing w:after="0" w:line="277" w:lineRule="auto"/>
        <w:rPr>
          <w:sz w:val="20"/>
          <w:szCs w:val="20"/>
          <w:color w:val="auto"/>
        </w:rPr>
      </w:pPr>
      <w:r>
        <w:rPr>
          <w:rFonts w:ascii="Arial" w:cs="Arial" w:eastAsia="Arial" w:hAnsi="Arial"/>
          <w:sz w:val="18"/>
          <w:szCs w:val="18"/>
          <w:color w:val="auto"/>
        </w:rPr>
        <w:t>in the unauthorized release of customer or employee data, result in a violation of privacy or other laws, expose us to a risk of litigation or damage our reputation, which could harm our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has resulted in widespread destruction and economic uncertainty in that region. Japan represented approximately 13% of our revenue in the first nine months of fiscal 2011. We are continuing to monitor the impact of the crisis on our customers and supply chain and there can be no assurance that, once the full impact of the disaster has been absorbed, our results of operations will not be materially affected by the events in Japan.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During the first nine months of fiscal 2011, we derived approximately 82% of our revenue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July 30, 2011, our principal source of liquidity was $3,514.5 million of cash and cash equivalents and short-term investments. As of July 30, 2011, approximately $1,167.5 million of our cash and cash equivalents and short-term investments was held in the United States and the balance was held outside the United States. in various foreign subsidiaries. As we intend to reinvest certain of our foreign earnings indefinitely, this cash held outside the United States is not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our business strategies and operating results could be adversely affected.</w:t>
      </w:r>
    </w:p>
    <w:p>
      <w:pPr>
        <w:spacing w:after="0" w:line="65"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anti-corruption,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4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ind w:right="20" w:firstLine="225"/>
        <w:spacing w:after="0" w:line="270" w:lineRule="auto"/>
        <w:rPr>
          <w:sz w:val="20"/>
          <w:szCs w:val="20"/>
          <w:color w:val="auto"/>
        </w:rPr>
      </w:pPr>
      <w:r>
        <w:rPr>
          <w:rFonts w:ascii="Arial" w:cs="Arial" w:eastAsia="Arial" w:hAnsi="Arial"/>
          <w:sz w:val="17"/>
          <w:szCs w:val="17"/>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series of $375 million senior unsecured notes or our $145 million term loan facility.</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fiscal 2009, we issued in a public offering $375 million aggregate principal amount of 5.0% senior unsecured notes due July 1, 2014. In April 2011, we issued in a public offering $375 million aggregate principal amount of 3.0% senior unsecured notes due April 15, 2016. In December 2010, Analog Devices Holdings B.V., a wholly owned subsidiary of ours,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70"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17"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Such measures might not be sufficient to enable us to service our debt, including the notes or our term loan facility, which could negatively impact our financial results. In addition, any such financing, refinancing or sale of assets might not be available on economically favorable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Our current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crises in global credit, debt and financial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left="660" w:right="680" w:hanging="314"/>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Approximate Dollar</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Total Number of</w:t>
            </w:r>
          </w:p>
        </w:tc>
        <w:tc>
          <w:tcPr>
            <w:tcW w:w="2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Value of Shares that</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Shares Purchased as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4"/>
          </w:tcPr>
          <w:p>
            <w:pPr>
              <w:jc w:val="center"/>
              <w:ind w:right="540"/>
              <w:spacing w:after="0" w:line="149" w:lineRule="exact"/>
              <w:rPr>
                <w:sz w:val="20"/>
                <w:szCs w:val="20"/>
                <w:color w:val="auto"/>
              </w:rPr>
            </w:pPr>
            <w:r>
              <w:rPr>
                <w:rFonts w:ascii="Arial" w:cs="Arial" w:eastAsia="Arial" w:hAnsi="Arial"/>
                <w:sz w:val="14"/>
                <w:szCs w:val="14"/>
                <w:color w:val="auto"/>
                <w:w w:val="95"/>
              </w:rPr>
              <w:t>Total Number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Part of Publicly</w:t>
            </w:r>
          </w:p>
        </w:tc>
        <w:tc>
          <w:tcPr>
            <w:tcW w:w="1580" w:type="dxa"/>
            <w:vAlign w:val="bottom"/>
            <w:gridSpan w:val="4"/>
          </w:tcPr>
          <w:p>
            <w:pPr>
              <w:ind w:left="280"/>
              <w:spacing w:after="0" w:line="149" w:lineRule="exact"/>
              <w:rPr>
                <w:sz w:val="20"/>
                <w:szCs w:val="20"/>
                <w:color w:val="auto"/>
              </w:rPr>
            </w:pPr>
            <w:r>
              <w:rPr>
                <w:rFonts w:ascii="Arial" w:cs="Arial" w:eastAsia="Arial" w:hAnsi="Arial"/>
                <w:sz w:val="14"/>
                <w:szCs w:val="14"/>
                <w:color w:val="auto"/>
                <w:w w:val="96"/>
              </w:rPr>
              <w:t>Purchased Under the</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4"/>
          </w:tcPr>
          <w:p>
            <w:pPr>
              <w:jc w:val="center"/>
              <w:ind w:right="540"/>
              <w:spacing w:after="0" w:line="149" w:lineRule="exact"/>
              <w:rPr>
                <w:sz w:val="20"/>
                <w:szCs w:val="20"/>
                <w:color w:val="auto"/>
              </w:rPr>
            </w:pPr>
            <w:r>
              <w:rPr>
                <w:rFonts w:ascii="Arial" w:cs="Arial" w:eastAsia="Arial" w:hAnsi="Arial"/>
                <w:sz w:val="14"/>
                <w:szCs w:val="14"/>
                <w:color w:val="auto"/>
                <w:w w:val="86"/>
              </w:rPr>
              <w:t>Shares Purchased</w:t>
            </w:r>
          </w:p>
        </w:tc>
        <w:tc>
          <w:tcPr>
            <w:tcW w:w="164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w:t>
            </w: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Announced Plans or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Plans or</w:t>
            </w:r>
          </w:p>
        </w:tc>
      </w:tr>
      <w:tr>
        <w:trPr>
          <w:trHeight w:val="167"/>
        </w:trPr>
        <w:tc>
          <w:tcPr>
            <w:tcW w:w="20" w:type="dxa"/>
            <w:vAlign w:val="bottom"/>
          </w:tcPr>
          <w:p>
            <w:pPr>
              <w:spacing w:after="0"/>
              <w:rPr>
                <w:sz w:val="14"/>
                <w:szCs w:val="14"/>
                <w:color w:val="auto"/>
              </w:rPr>
            </w:pPr>
          </w:p>
        </w:tc>
        <w:tc>
          <w:tcPr>
            <w:tcW w:w="460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color w:val="auto"/>
                <w:w w:val="93"/>
              </w:rPr>
              <w:t>(a)</w:t>
            </w:r>
          </w:p>
        </w:tc>
        <w:tc>
          <w:tcPr>
            <w:tcW w:w="5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 Share (b)</w:t>
            </w:r>
          </w:p>
        </w:tc>
        <w:tc>
          <w:tcPr>
            <w:tcW w:w="54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Programs (c)</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92"/>
              </w:rPr>
              <w:t>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May 1, 2011 through May 28, 2011</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917,963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40.74</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917,856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833,214,619</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May 29, 2011 through June 25, 2011</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306,204</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38.74</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306,204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821,352,396</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June 26, 2011 through July 30, 2011</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450,648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450,486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804,326,821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1,674,815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39.58</w:t>
            </w:r>
          </w:p>
        </w:tc>
        <w:tc>
          <w:tcPr>
            <w:tcW w:w="4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1,674,546</w:t>
            </w:r>
          </w:p>
        </w:tc>
        <w:tc>
          <w:tcPr>
            <w:tcW w:w="28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804,326,821</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269 shares paid to us by employees to satisfy employee tax obligations upon vesting of restricted stock units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40" w:hanging="452"/>
        <w:spacing w:after="0" w:line="297"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On November 19, 2010, our Board of Directors authorized the repurchase by us of an additional $1 billion of our common stock, increasing the total amount of our common stock we are authorized to repurchase under the program to $5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16,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August 16,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Finance</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49</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1" w:name="page52"/>
    <w:bookmarkEnd w:id="5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8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First Amendment to the Analog Devices, Inc. Amended and Restated Deferred Compensation Plan.</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Form of Global Non-Qualified Stock Option Agreement for Employees for use under the Company’s 2006 Stock Incentive Plan.</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w w:val="93"/>
              </w:rPr>
              <w:t>Certification Pursuant to Rule 13a-14(a) and 15d-14(a) of the Securities Exchange Act, as Adopted Pursuant to Section 302 of the Sarbanes-</w:t>
            </w:r>
          </w:p>
        </w:tc>
      </w:tr>
      <w:tr>
        <w:trPr>
          <w:trHeight w:val="230"/>
        </w:trPr>
        <w:tc>
          <w:tcPr>
            <w:tcW w:w="800" w:type="dxa"/>
            <w:vAlign w:val="bottom"/>
          </w:tcPr>
          <w:p>
            <w:pPr>
              <w:spacing w:after="0"/>
              <w:rPr>
                <w:sz w:val="20"/>
                <w:szCs w:val="20"/>
                <w:color w:val="auto"/>
              </w:rPr>
            </w:pP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w w:val="93"/>
              </w:rPr>
              <w:t>Certification Pursuant to Rule 13a-14(a) and 15d-14(a) of the Securities Exchange Act, as Adopted Pursuant to Section 302 of the Sarbanes-</w:t>
            </w:r>
          </w:p>
        </w:tc>
      </w:tr>
      <w:tr>
        <w:trPr>
          <w:trHeight w:val="230"/>
        </w:trPr>
        <w:tc>
          <w:tcPr>
            <w:tcW w:w="800" w:type="dxa"/>
            <w:vAlign w:val="bottom"/>
          </w:tcPr>
          <w:p>
            <w:pPr>
              <w:spacing w:after="0"/>
              <w:rPr>
                <w:sz w:val="20"/>
                <w:szCs w:val="20"/>
                <w:color w:val="auto"/>
              </w:rPr>
            </w:pP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Schema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4"/>
          </w:tcPr>
          <w:p>
            <w:pPr>
              <w:ind w:left="120"/>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Statements of Income for the three months ended July 30, 2011 and July 31, 2010 and for the nine months ended July 30, 2011 and July 31, 2010, (ii) Condensed Consolidated Balance Sheets at July 30, 2011 and October 30, 2010, (iii) Condensed Consolidated Statements of Cash Flows for the nine months ended July 30, 2011 and July 31, 2010 and (iv) 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4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 AMENDED AND RESTATED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2009)</w:t>
      </w:r>
    </w:p>
    <w:p>
      <w:pPr>
        <w:spacing w:after="0" w:line="99"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Analog Devices, Inc. (“Analog”) maintains the Analog Devices, Inc. Amended and Restated Deferred Compensation Plan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2009) (the “Plan”);</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9.1 of the Plan, Analog reserves the right by action to amend the Plan upon the terms and conditions therein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and</w:t>
      </w:r>
    </w:p>
    <w:p>
      <w:pPr>
        <w:spacing w:after="0" w:line="54" w:lineRule="exact"/>
        <w:rPr>
          <w:sz w:val="20"/>
          <w:szCs w:val="20"/>
          <w:color w:val="auto"/>
        </w:rPr>
      </w:pPr>
    </w:p>
    <w:p>
      <w:pPr>
        <w:ind w:right="6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Compensation Committee of the Board of Directors of the Company (the “Committee”) has been charged with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the Plan;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Committee has determined that it is in the best interest of Analog and Plan participants to amend the Plan.</w:t>
      </w:r>
    </w:p>
    <w:p>
      <w:pPr>
        <w:spacing w:after="0" w:line="117"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Plan is amended by this First Amendment, effective as of June 7, 2011, as follows (unless otherwise defined,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herein are as set forth in the respective instrument):</w:t>
      </w:r>
    </w:p>
    <w:p>
      <w:pPr>
        <w:spacing w:after="0" w:line="58" w:lineRule="exact"/>
        <w:rPr>
          <w:sz w:val="20"/>
          <w:szCs w:val="20"/>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is amended by deleting Section 2.19 in its entirety and replacing it with the following:</w:t>
      </w:r>
    </w:p>
    <w:p>
      <w:pPr>
        <w:spacing w:after="0" w:line="130" w:lineRule="exact"/>
        <w:rPr>
          <w:rFonts w:ascii="Arial" w:cs="Arial" w:eastAsia="Arial" w:hAnsi="Arial"/>
          <w:sz w:val="18"/>
          <w:szCs w:val="18"/>
          <w:color w:val="auto"/>
        </w:rPr>
      </w:pPr>
    </w:p>
    <w:p>
      <w:pPr>
        <w:ind w:left="660" w:right="120"/>
        <w:spacing w:after="0" w:line="264" w:lineRule="auto"/>
        <w:rPr>
          <w:rFonts w:ascii="Arial" w:cs="Arial" w:eastAsia="Arial" w:hAnsi="Arial"/>
          <w:sz w:val="18"/>
          <w:szCs w:val="18"/>
          <w:color w:val="auto"/>
        </w:rPr>
      </w:pPr>
      <w:r>
        <w:rPr>
          <w:rFonts w:ascii="Arial" w:cs="Arial" w:eastAsia="Arial" w:hAnsi="Arial"/>
          <w:sz w:val="18"/>
          <w:szCs w:val="18"/>
          <w:color w:val="auto"/>
        </w:rPr>
        <w:t>“Eligible Employee” means (i) a highly compensated or management employee of the Company or a Selected Affiliate who is designated by the Committee in accordance with Section 3.1 as eligible to participate in the Plan, or (ii) any non-employee member of the Board serving from time to time.”</w:t>
      </w:r>
    </w:p>
    <w:p>
      <w:pPr>
        <w:spacing w:after="0" w:line="86"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adding a new Paragraph 4 to the end of Schedule A (Definitions), as follows:</w:t>
      </w:r>
    </w:p>
    <w:p>
      <w:pPr>
        <w:spacing w:after="0" w:line="130" w:lineRule="exact"/>
        <w:rPr>
          <w:rFonts w:ascii="Arial" w:cs="Arial" w:eastAsia="Arial" w:hAnsi="Arial"/>
          <w:sz w:val="18"/>
          <w:szCs w:val="18"/>
          <w:color w:val="auto"/>
        </w:rPr>
      </w:pPr>
    </w:p>
    <w:p>
      <w:pPr>
        <w:ind w:left="660" w:right="460"/>
        <w:spacing w:after="0" w:line="286"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or “</w:t>
      </w:r>
      <w:r>
        <w:rPr>
          <w:rFonts w:ascii="Arial" w:cs="Arial" w:eastAsia="Arial" w:hAnsi="Arial"/>
          <w:sz w:val="17"/>
          <w:szCs w:val="17"/>
          <w:b w:val="1"/>
          <w:bCs w:val="1"/>
          <w:i w:val="1"/>
          <w:iCs w:val="1"/>
          <w:color w:val="auto"/>
        </w:rPr>
        <w:t>Separates from Service</w:t>
      </w:r>
      <w:r>
        <w:rPr>
          <w:rFonts w:ascii="Arial" w:cs="Arial" w:eastAsia="Arial" w:hAnsi="Arial"/>
          <w:sz w:val="17"/>
          <w:szCs w:val="17"/>
          <w:color w:val="auto"/>
        </w:rPr>
        <w:t>” means the termination of services provided to an Employer, whether voluntarily or involuntarily, as determined by the Committee in accordance with Treasury Regulation Section 1.409A-1(h). To avoid doubt, the transfer of an Eligible Employee from his Employer to another Employer shall not constitute a “Separation from Service.”</w:t>
      </w:r>
    </w:p>
    <w:p>
      <w:pPr>
        <w:spacing w:after="0" w:line="7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capitalizing the term “Separation from Service” or “Separates from Service” in each instance in which each appears in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expressly amended herein, the Plan is ratified and confirmed and shall continue in full force and effect.</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Committee by an appropriate vote in accordance with the Plan’s Administrative Procedures has authorized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be executed by Analog this 7</w:t>
      </w:r>
      <w:r>
        <w:rPr>
          <w:rFonts w:ascii="Arial" w:cs="Arial" w:eastAsia="Arial" w:hAnsi="Arial"/>
          <w:sz w:val="15"/>
          <w:szCs w:val="15"/>
          <w:color w:val="auto"/>
        </w:rPr>
        <w:t>th</w:t>
      </w:r>
      <w:r>
        <w:rPr>
          <w:rFonts w:ascii="Arial" w:cs="Arial" w:eastAsia="Arial" w:hAnsi="Arial"/>
          <w:sz w:val="18"/>
          <w:szCs w:val="18"/>
          <w:color w:val="auto"/>
        </w:rPr>
        <w:t xml:space="preserve"> day of June, 2011.</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William Matson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25126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9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0"/>
          </w:cols>
          <w:pgMar w:left="240" w:top="932" w:right="10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74750"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{EMPNUM}</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2006 Stock Incentive Plan (the “Plan”), and this Global Non-Qualified Stock Option Agreement, including Appendix A, which includes any applicable country-specific provisions (this agreement, together with Appendix A, the “Agreement”). The grant of this Option reflects the Company’s confidence in the Optionee’s commitment and contributions to the success and continued growth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Date of Grant:</w:t>
            </w:r>
          </w:p>
        </w:tc>
        <w:tc>
          <w:tcPr>
            <w:tcW w:w="5420" w:type="dxa"/>
            <w:vAlign w:val="bottom"/>
          </w:tcPr>
          <w:p>
            <w:pPr>
              <w:jc w:val="right"/>
              <w:spacing w:after="0"/>
              <w:rPr>
                <w:sz w:val="20"/>
                <w:szCs w:val="20"/>
                <w:color w:val="auto"/>
              </w:rPr>
            </w:pPr>
            <w:r>
              <w:rPr>
                <w:rFonts w:ascii="Arial" w:cs="Arial" w:eastAsia="Arial" w:hAnsi="Arial"/>
                <w:sz w:val="18"/>
                <w:szCs w:val="18"/>
                <w:color w:val="auto"/>
              </w:rPr>
              <w:t>{GRANTDATE}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420" w:type="dxa"/>
            <w:vAlign w:val="bottom"/>
          </w:tcPr>
          <w:p>
            <w:pPr>
              <w:jc w:val="right"/>
              <w:spacing w:after="0"/>
              <w:rPr>
                <w:sz w:val="20"/>
                <w:szCs w:val="20"/>
                <w:color w:val="auto"/>
              </w:rPr>
            </w:pPr>
            <w:r>
              <w:rPr>
                <w:rFonts w:ascii="Arial" w:cs="Arial" w:eastAsia="Arial" w:hAnsi="Arial"/>
                <w:sz w:val="18"/>
                <w:szCs w:val="18"/>
                <w:color w:val="auto"/>
              </w:rPr>
              <w:t>{SOSHARESGRANTED}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420" w:type="dxa"/>
            <w:vAlign w:val="bottom"/>
          </w:tcPr>
          <w:p>
            <w:pPr>
              <w:jc w:val="right"/>
              <w:spacing w:after="0"/>
              <w:rPr>
                <w:sz w:val="20"/>
                <w:szCs w:val="20"/>
                <w:color w:val="auto"/>
              </w:rPr>
            </w:pPr>
            <w:r>
              <w:rPr>
                <w:rFonts w:ascii="Arial" w:cs="Arial" w:eastAsia="Arial" w:hAnsi="Arial"/>
                <w:sz w:val="18"/>
                <w:szCs w:val="18"/>
                <w:color w:val="auto"/>
              </w:rPr>
              <w:t>{EXERCISEPRICE}</w:t>
            </w:r>
          </w:p>
        </w:tc>
      </w:tr>
    </w:tbl>
    <w:p>
      <w:pPr>
        <w:spacing w:after="0" w:line="94" w:lineRule="exact"/>
        <w:rPr>
          <w:sz w:val="20"/>
          <w:szCs w:val="20"/>
          <w:color w:val="auto"/>
        </w:rPr>
      </w:pPr>
    </w:p>
    <w:p>
      <w:pPr>
        <w:ind w:left="340" w:right="2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w:t>
      </w:r>
      <w:r>
        <w:rPr>
          <w:rFonts w:ascii="Arial" w:cs="Arial" w:eastAsia="Arial" w:hAnsi="Arial"/>
          <w:sz w:val="18"/>
          <w:szCs w:val="18"/>
          <w:color w:val="auto"/>
        </w:rPr>
        <w:t>. Subject to the Optionee’s continued employment with the Company or the Employer (as defined in 3(h) below) and other limitations set forth in this Agreement and the Plan, the Option will vest as to a set number of shares on each of the vesting dates set out in the following schedule: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Pr>
          <w:p>
            <w:pPr>
              <w:spacing w:after="0"/>
              <w:rPr>
                <w:sz w:val="20"/>
                <w:szCs w:val="20"/>
                <w:color w:val="auto"/>
              </w:rPr>
            </w:pPr>
            <w:r>
              <w:rPr>
                <w:rFonts w:ascii="Arial" w:cs="Arial" w:eastAsia="Arial" w:hAnsi="Arial"/>
                <w:sz w:val="14"/>
                <w:szCs w:val="14"/>
                <w:color w:val="auto"/>
              </w:rPr>
              <w:t>VEST DATE</w:t>
            </w:r>
          </w:p>
        </w:tc>
        <w:tc>
          <w:tcPr>
            <w:tcW w:w="460" w:type="dxa"/>
            <w:vAlign w:val="bottom"/>
          </w:tcPr>
          <w:p>
            <w:pPr>
              <w:spacing w:after="0"/>
              <w:rPr>
                <w:sz w:val="14"/>
                <w:szCs w:val="14"/>
                <w:color w:val="auto"/>
              </w:rPr>
            </w:pPr>
          </w:p>
        </w:tc>
        <w:tc>
          <w:tcPr>
            <w:tcW w:w="5480" w:type="dxa"/>
            <w:vAlign w:val="bottom"/>
            <w:gridSpan w:val="2"/>
          </w:tcPr>
          <w:p>
            <w:pPr>
              <w:ind w:left="2020"/>
              <w:spacing w:after="0"/>
              <w:rPr>
                <w:sz w:val="20"/>
                <w:szCs w:val="20"/>
                <w:color w:val="auto"/>
              </w:rPr>
            </w:pPr>
            <w:r>
              <w:rPr>
                <w:rFonts w:ascii="Arial" w:cs="Arial" w:eastAsia="Arial" w:hAnsi="Arial"/>
                <w:sz w:val="14"/>
                <w:szCs w:val="14"/>
                <w:color w:val="auto"/>
              </w:rPr>
              <w:t>NUMBER OF SHARES</w:t>
            </w:r>
          </w:p>
        </w:tc>
      </w:tr>
      <w:tr>
        <w:trPr>
          <w:trHeight w:val="195"/>
        </w:trPr>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{VESTDATE1}</w:t>
            </w:r>
          </w:p>
        </w:tc>
        <w:tc>
          <w:tcPr>
            <w:tcW w:w="460" w:type="dxa"/>
            <w:vAlign w:val="bottom"/>
          </w:tcPr>
          <w:p>
            <w:pPr>
              <w:spacing w:after="0"/>
              <w:rPr>
                <w:sz w:val="16"/>
                <w:szCs w:val="16"/>
                <w:color w:val="auto"/>
              </w:rPr>
            </w:pPr>
          </w:p>
        </w:tc>
        <w:tc>
          <w:tcPr>
            <w:tcW w:w="5460" w:type="dxa"/>
            <w:vAlign w:val="bottom"/>
            <w:tcBorders>
              <w:top w:val="single" w:sz="8" w:color="auto"/>
            </w:tcBorders>
          </w:tcPr>
          <w:p>
            <w:pPr>
              <w:ind w:left="4500"/>
              <w:spacing w:after="0" w:line="195" w:lineRule="exact"/>
              <w:rPr>
                <w:sz w:val="20"/>
                <w:szCs w:val="20"/>
                <w:color w:val="auto"/>
              </w:rPr>
            </w:pPr>
            <w:r>
              <w:rPr>
                <w:rFonts w:ascii="Arial" w:cs="Arial" w:eastAsia="Arial" w:hAnsi="Arial"/>
                <w:sz w:val="18"/>
                <w:szCs w:val="18"/>
                <w:color w:val="auto"/>
                <w:w w:val="97"/>
              </w:rPr>
              <w:t>{SHARES1}</w:t>
            </w:r>
          </w:p>
        </w:tc>
        <w:tc>
          <w:tcPr>
            <w:tcW w:w="20" w:type="dxa"/>
            <w:vAlign w:val="bottom"/>
          </w:tcPr>
          <w:p>
            <w:pPr>
              <w:spacing w:after="0"/>
              <w:rPr>
                <w:sz w:val="16"/>
                <w:szCs w:val="16"/>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{VESTDATE2}</w:t>
            </w:r>
          </w:p>
        </w:tc>
        <w:tc>
          <w:tcPr>
            <w:tcW w:w="460" w:type="dxa"/>
            <w:vAlign w:val="bottom"/>
          </w:tcPr>
          <w:p>
            <w:pPr>
              <w:spacing w:after="0"/>
              <w:rPr>
                <w:sz w:val="18"/>
                <w:szCs w:val="18"/>
                <w:color w:val="auto"/>
              </w:rPr>
            </w:pPr>
          </w:p>
        </w:tc>
        <w:tc>
          <w:tcPr>
            <w:tcW w:w="5480" w:type="dxa"/>
            <w:vAlign w:val="bottom"/>
            <w:gridSpan w:val="2"/>
          </w:tcPr>
          <w:p>
            <w:pPr>
              <w:ind w:left="4500"/>
              <w:spacing w:after="0"/>
              <w:rPr>
                <w:sz w:val="20"/>
                <w:szCs w:val="20"/>
                <w:color w:val="auto"/>
              </w:rPr>
            </w:pPr>
            <w:r>
              <w:rPr>
                <w:rFonts w:ascii="Arial" w:cs="Arial" w:eastAsia="Arial" w:hAnsi="Arial"/>
                <w:sz w:val="18"/>
                <w:szCs w:val="18"/>
                <w:color w:val="auto"/>
                <w:w w:val="99"/>
              </w:rPr>
              <w:t>{SHARES2}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{VESTDATE3}</w:t>
            </w:r>
          </w:p>
        </w:tc>
        <w:tc>
          <w:tcPr>
            <w:tcW w:w="460" w:type="dxa"/>
            <w:vAlign w:val="bottom"/>
          </w:tcPr>
          <w:p>
            <w:pPr>
              <w:spacing w:after="0"/>
              <w:rPr>
                <w:sz w:val="18"/>
                <w:szCs w:val="18"/>
                <w:color w:val="auto"/>
              </w:rPr>
            </w:pPr>
          </w:p>
        </w:tc>
        <w:tc>
          <w:tcPr>
            <w:tcW w:w="5480" w:type="dxa"/>
            <w:vAlign w:val="bottom"/>
            <w:gridSpan w:val="2"/>
          </w:tcPr>
          <w:p>
            <w:pPr>
              <w:ind w:left="4500"/>
              <w:spacing w:after="0"/>
              <w:rPr>
                <w:sz w:val="20"/>
                <w:szCs w:val="20"/>
                <w:color w:val="auto"/>
              </w:rPr>
            </w:pPr>
            <w:r>
              <w:rPr>
                <w:rFonts w:ascii="Arial" w:cs="Arial" w:eastAsia="Arial" w:hAnsi="Arial"/>
                <w:sz w:val="18"/>
                <w:szCs w:val="18"/>
                <w:color w:val="auto"/>
                <w:w w:val="99"/>
              </w:rPr>
              <w:t>{SHARES3}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{VESTDATE4}</w:t>
            </w:r>
          </w:p>
        </w:tc>
        <w:tc>
          <w:tcPr>
            <w:tcW w:w="460" w:type="dxa"/>
            <w:vAlign w:val="bottom"/>
          </w:tcPr>
          <w:p>
            <w:pPr>
              <w:spacing w:after="0"/>
              <w:rPr>
                <w:sz w:val="18"/>
                <w:szCs w:val="18"/>
                <w:color w:val="auto"/>
              </w:rPr>
            </w:pPr>
          </w:p>
        </w:tc>
        <w:tc>
          <w:tcPr>
            <w:tcW w:w="5480" w:type="dxa"/>
            <w:vAlign w:val="bottom"/>
            <w:gridSpan w:val="2"/>
          </w:tcPr>
          <w:p>
            <w:pPr>
              <w:ind w:left="4500"/>
              <w:spacing w:after="0"/>
              <w:rPr>
                <w:sz w:val="20"/>
                <w:szCs w:val="20"/>
                <w:color w:val="auto"/>
              </w:rPr>
            </w:pPr>
            <w:r>
              <w:rPr>
                <w:rFonts w:ascii="Arial" w:cs="Arial" w:eastAsia="Arial" w:hAnsi="Arial"/>
                <w:sz w:val="18"/>
                <w:szCs w:val="18"/>
                <w:color w:val="auto"/>
                <w:w w:val="99"/>
              </w:rPr>
              <w:t>{SHARES4}</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{VESTDATE5}</w:t>
            </w:r>
          </w:p>
        </w:tc>
        <w:tc>
          <w:tcPr>
            <w:tcW w:w="460" w:type="dxa"/>
            <w:vAlign w:val="bottom"/>
          </w:tcPr>
          <w:p>
            <w:pPr>
              <w:spacing w:after="0"/>
              <w:rPr>
                <w:sz w:val="20"/>
                <w:szCs w:val="20"/>
                <w:color w:val="auto"/>
              </w:rPr>
            </w:pPr>
          </w:p>
        </w:tc>
        <w:tc>
          <w:tcPr>
            <w:tcW w:w="5480" w:type="dxa"/>
            <w:vAlign w:val="bottom"/>
            <w:gridSpan w:val="2"/>
          </w:tcPr>
          <w:p>
            <w:pPr>
              <w:ind w:left="4500"/>
              <w:spacing w:after="0"/>
              <w:rPr>
                <w:sz w:val="20"/>
                <w:szCs w:val="20"/>
                <w:color w:val="auto"/>
              </w:rPr>
            </w:pPr>
            <w:r>
              <w:rPr>
                <w:rFonts w:ascii="Arial" w:cs="Arial" w:eastAsia="Arial" w:hAnsi="Arial"/>
                <w:sz w:val="18"/>
                <w:szCs w:val="18"/>
                <w:color w:val="auto"/>
                <w:w w:val="99"/>
              </w:rPr>
              <w:t>{SHARES5}</w:t>
            </w: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right of exercise is cumulative, so that an Option, once vested, may be exercised, in whole or in part, at any time up to {EXPDATE}, the expiration date, or such earlier date as provided in Section 3 below or in the country-specific provisions in Appendix A.</w:t>
      </w:r>
    </w:p>
    <w:p>
      <w:pPr>
        <w:spacing w:after="0" w:line="6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 of Option; 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Except as otherwise provided herein, the Option shall be exercisable by the Optionee (or his/her successor in interest) following the termination of the Optionee’s employment only to the extent that the Option was vested on or prior to the date of such termination.</w:t>
      </w:r>
    </w:p>
    <w:p>
      <w:pPr>
        <w:spacing w:after="0" w:line="75" w:lineRule="exact"/>
        <w:rPr>
          <w:rFonts w:ascii="Arial" w:cs="Arial" w:eastAsia="Arial" w:hAnsi="Arial"/>
          <w:sz w:val="18"/>
          <w:szCs w:val="18"/>
          <w:color w:val="auto"/>
        </w:rPr>
      </w:pPr>
    </w:p>
    <w:p>
      <w:pPr>
        <w:ind w:left="660" w:right="80" w:hanging="314"/>
        <w:spacing w:after="0" w:line="279"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The vesting of the Option shall terminate on the date the Optionee </w:t>
      </w:r>
      <w:r>
        <w:rPr>
          <w:rFonts w:ascii="Arial" w:cs="Arial" w:eastAsia="Arial" w:hAnsi="Arial"/>
          <w:sz w:val="17"/>
          <w:szCs w:val="17"/>
          <w:u w:val="single" w:color="auto"/>
          <w:color w:val="auto"/>
        </w:rPr>
        <w:t>voluntarily terminates</w:t>
      </w:r>
      <w:r>
        <w:rPr>
          <w:rFonts w:ascii="Arial" w:cs="Arial" w:eastAsia="Arial" w:hAnsi="Arial"/>
          <w:sz w:val="17"/>
          <w:szCs w:val="17"/>
          <w:color w:val="auto"/>
        </w:rPr>
        <w:t xml:space="preserve"> employment with the Company or the Employer (as defined in Section 3(h))(except by reason of retirement after attaining age 60 as provided below) or on the date his/her employment is terminated by the Company or the Employer without “Cause” (as defined in paragraph d), but any Option Shares that are vested on the date of such termination shall continue to be exercisable for a period of three (3) months following such termination date.</w:t>
      </w:r>
    </w:p>
    <w:p>
      <w:pPr>
        <w:spacing w:after="0" w:line="76" w:lineRule="exact"/>
        <w:rPr>
          <w:rFonts w:ascii="Arial" w:cs="Arial" w:eastAsia="Arial" w:hAnsi="Arial"/>
          <w:sz w:val="17"/>
          <w:szCs w:val="17"/>
          <w:color w:val="auto"/>
        </w:rPr>
      </w:pPr>
    </w:p>
    <w:p>
      <w:pPr>
        <w:ind w:left="660" w:right="240" w:hanging="314"/>
        <w:spacing w:after="0" w:line="312"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the Employer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174750" cy="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line="201" w:lineRule="exact"/>
        <w:rPr>
          <w:sz w:val="20"/>
          <w:szCs w:val="20"/>
          <w:color w:val="auto"/>
        </w:rPr>
      </w:pPr>
    </w:p>
    <w:p>
      <w:pPr>
        <w:jc w:val="both"/>
        <w:ind w:left="652" w:right="40" w:hanging="314"/>
        <w:spacing w:after="0" w:line="342" w:lineRule="auto"/>
        <w:tabs>
          <w:tab w:leader="none" w:pos="652" w:val="left"/>
        </w:tabs>
        <w:numPr>
          <w:ilvl w:val="2"/>
          <w:numId w:val="27"/>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52" w:right="180" w:hanging="314"/>
        <w:spacing w:after="0" w:line="257" w:lineRule="auto"/>
        <w:tabs>
          <w:tab w:leader="none" w:pos="652"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the Optionee’s employment with the Company or the Employer terminates by reason of the retirement of the Optionee after attaining age 60, the vesting of the Option shall terminate on the date of such retirement, but any Option Shares that are vested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the Employer (as determined in the sole discretion of the Company).</w:t>
      </w:r>
    </w:p>
    <w:p>
      <w:pPr>
        <w:spacing w:after="0" w:line="93" w:lineRule="exact"/>
        <w:rPr>
          <w:rFonts w:ascii="Arial" w:cs="Arial" w:eastAsia="Arial" w:hAnsi="Arial"/>
          <w:sz w:val="18"/>
          <w:szCs w:val="18"/>
          <w:color w:val="auto"/>
        </w:rPr>
      </w:pPr>
    </w:p>
    <w:p>
      <w:pPr>
        <w:ind w:left="652" w:right="160" w:hanging="314"/>
        <w:spacing w:after="0" w:line="272" w:lineRule="auto"/>
        <w:tabs>
          <w:tab w:leader="none" w:pos="652" w:val="left"/>
        </w:tabs>
        <w:numPr>
          <w:ilvl w:val="2"/>
          <w:numId w:val="27"/>
        </w:numPr>
        <w:rPr>
          <w:rFonts w:ascii="Arial" w:cs="Arial" w:eastAsia="Arial" w:hAnsi="Arial"/>
          <w:sz w:val="17"/>
          <w:szCs w:val="17"/>
          <w:color w:val="auto"/>
        </w:rPr>
      </w:pPr>
      <w:r>
        <w:rPr>
          <w:rFonts w:ascii="Arial" w:cs="Arial" w:eastAsia="Arial" w:hAnsi="Arial"/>
          <w:sz w:val="17"/>
          <w:szCs w:val="17"/>
          <w:color w:val="auto"/>
        </w:rPr>
        <w:t xml:space="preserve">If the Optionee becomes Disabled (as defined below), </w:t>
      </w:r>
      <w:r>
        <w:rPr>
          <w:rFonts w:ascii="Arial" w:cs="Arial" w:eastAsia="Arial" w:hAnsi="Arial"/>
          <w:sz w:val="17"/>
          <w:szCs w:val="17"/>
          <w:u w:val="single" w:color="auto"/>
          <w:color w:val="auto"/>
        </w:rPr>
        <w:t>regardless of whether Optionee terminates employment with the Company or the Employer</w:t>
      </w:r>
      <w:r>
        <w:rPr>
          <w:rFonts w:ascii="Arial" w:cs="Arial" w:eastAsia="Arial" w:hAnsi="Arial"/>
          <w:sz w:val="17"/>
          <w:szCs w:val="17"/>
          <w:color w:val="auto"/>
        </w:rPr>
        <w:t>, the Option Shares that are not vested as of the date of disability shall vest on the date or dates (over the remaining term of the Option) that they otherwise would have vested if the Optionee had not become Disabled. Any Option Shares that are vested upon disability prior to giving effect to this provision shall continue to be vested over the remaining term of the Option. For the purpose of this Agreement, “</w:t>
      </w:r>
      <w:r>
        <w:rPr>
          <w:rFonts w:ascii="Arial" w:cs="Arial" w:eastAsia="Arial" w:hAnsi="Arial"/>
          <w:sz w:val="17"/>
          <w:szCs w:val="17"/>
          <w:u w:val="single" w:color="auto"/>
          <w:color w:val="auto"/>
        </w:rPr>
        <w:t>Disabled</w:t>
      </w:r>
      <w:r>
        <w:rPr>
          <w:rFonts w:ascii="Arial" w:cs="Arial" w:eastAsia="Arial" w:hAnsi="Arial"/>
          <w:sz w:val="17"/>
          <w:szCs w:val="17"/>
          <w:color w:val="auto"/>
        </w:rPr>
        <w:t>” is defined pursuant to Internal Revenue Code Section 22(e)(3) and means the Optionee’s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83" w:lineRule="exact"/>
        <w:rPr>
          <w:rFonts w:ascii="Arial" w:cs="Arial" w:eastAsia="Arial" w:hAnsi="Arial"/>
          <w:sz w:val="17"/>
          <w:szCs w:val="17"/>
          <w:color w:val="auto"/>
        </w:rPr>
      </w:pPr>
    </w:p>
    <w:p>
      <w:pPr>
        <w:ind w:left="652" w:hanging="314"/>
        <w:spacing w:after="0" w:line="297" w:lineRule="auto"/>
        <w:tabs>
          <w:tab w:leader="none" w:pos="652" w:val="left"/>
        </w:tabs>
        <w:numPr>
          <w:ilvl w:val="2"/>
          <w:numId w:val="27"/>
        </w:numPr>
        <w:rPr>
          <w:rFonts w:ascii="Arial" w:cs="Arial" w:eastAsia="Arial" w:hAnsi="Arial"/>
          <w:sz w:val="16"/>
          <w:szCs w:val="16"/>
          <w:color w:val="auto"/>
        </w:rPr>
      </w:pPr>
      <w:r>
        <w:rPr>
          <w:rFonts w:ascii="Arial" w:cs="Arial" w:eastAsia="Arial" w:hAnsi="Arial"/>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63" w:lineRule="exact"/>
        <w:rPr>
          <w:rFonts w:ascii="Arial" w:cs="Arial" w:eastAsia="Arial" w:hAnsi="Arial"/>
          <w:sz w:val="16"/>
          <w:szCs w:val="16"/>
          <w:color w:val="auto"/>
        </w:rPr>
      </w:pPr>
    </w:p>
    <w:p>
      <w:pPr>
        <w:ind w:left="652" w:right="20" w:hanging="314"/>
        <w:spacing w:after="0" w:line="264" w:lineRule="auto"/>
        <w:tabs>
          <w:tab w:leader="none" w:pos="652" w:val="left"/>
        </w:tabs>
        <w:numPr>
          <w:ilvl w:val="2"/>
          <w:numId w:val="27"/>
        </w:numPr>
        <w:rPr>
          <w:rFonts w:ascii="Arial" w:cs="Arial" w:eastAsia="Arial" w:hAnsi="Arial"/>
          <w:sz w:val="18"/>
          <w:szCs w:val="18"/>
          <w:u w:val="single" w:color="auto"/>
          <w:color w:val="auto"/>
        </w:rPr>
      </w:pPr>
      <w:r>
        <w:rPr>
          <w:rFonts w:ascii="Arial" w:cs="Arial" w:eastAsia="Arial" w:hAnsi="Arial"/>
          <w:sz w:val="18"/>
          <w:szCs w:val="18"/>
          <w:color w:val="auto"/>
        </w:rPr>
        <w:t>Notwithstanding the provisions in this Section 3, if the Company or the Employer develops a good faith belief that the provisions of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73" w:lineRule="exact"/>
        <w:rPr>
          <w:rFonts w:ascii="Arial" w:cs="Arial" w:eastAsia="Arial" w:hAnsi="Arial"/>
          <w:sz w:val="18"/>
          <w:szCs w:val="18"/>
          <w:u w:val="single" w:color="auto"/>
          <w:color w:val="auto"/>
        </w:rPr>
      </w:pPr>
    </w:p>
    <w:p>
      <w:pPr>
        <w:ind w:left="332" w:hanging="332"/>
        <w:spacing w:after="0"/>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payment methods may be used to purchase Option Shares:</w:t>
      </w:r>
    </w:p>
    <w:p>
      <w:pPr>
        <w:spacing w:after="0" w:line="117" w:lineRule="exact"/>
        <w:rPr>
          <w:rFonts w:ascii="Arial" w:cs="Arial" w:eastAsia="Arial" w:hAnsi="Arial"/>
          <w:sz w:val="18"/>
          <w:szCs w:val="18"/>
          <w:color w:val="auto"/>
        </w:rPr>
      </w:pPr>
    </w:p>
    <w:p>
      <w:pPr>
        <w:ind w:left="652" w:hanging="314"/>
        <w:spacing w:after="0"/>
        <w:tabs>
          <w:tab w:leader="none" w:pos="6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130" w:lineRule="exact"/>
        <w:rPr>
          <w:rFonts w:ascii="Arial" w:cs="Arial" w:eastAsia="Arial" w:hAnsi="Arial"/>
          <w:sz w:val="18"/>
          <w:szCs w:val="18"/>
          <w:color w:val="auto"/>
        </w:rPr>
      </w:pPr>
    </w:p>
    <w:p>
      <w:pPr>
        <w:ind w:left="652" w:hanging="314"/>
        <w:spacing w:after="0"/>
        <w:tabs>
          <w:tab w:leader="none" w:pos="6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52" w:right="560" w:hanging="314"/>
        <w:spacing w:after="0" w:line="277" w:lineRule="auto"/>
        <w:tabs>
          <w:tab w:leader="none" w:pos="6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owned by the Optionee and subject to such other terms and conditions contained in the Plan.</w:t>
      </w:r>
    </w:p>
    <w:p>
      <w:pPr>
        <w:spacing w:after="0" w:line="75" w:lineRule="exact"/>
        <w:rPr>
          <w:rFonts w:ascii="Arial" w:cs="Arial" w:eastAsia="Arial" w:hAnsi="Arial"/>
          <w:sz w:val="18"/>
          <w:szCs w:val="18"/>
          <w:color w:val="auto"/>
        </w:rPr>
      </w:pPr>
    </w:p>
    <w:p>
      <w:pPr>
        <w:ind w:left="652" w:hanging="314"/>
        <w:spacing w:after="0"/>
        <w:tabs>
          <w:tab w:leader="none" w:pos="6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rFonts w:ascii="Arial" w:cs="Arial" w:eastAsia="Arial" w:hAnsi="Arial"/>
          <w:sz w:val="18"/>
          <w:szCs w:val="18"/>
          <w:color w:val="auto"/>
        </w:rPr>
      </w:pPr>
    </w:p>
    <w:p>
      <w:pPr>
        <w:ind w:left="332" w:right="180" w:hanging="332"/>
        <w:spacing w:after="0" w:line="286" w:lineRule="auto"/>
        <w:tabs>
          <w:tab w:leader="none" w:pos="33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Except in the event of death (whether by beneficiary designation or by will or the laws of descent and distribution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0" w:lineRule="exact"/>
        <w:rPr>
          <w:rFonts w:ascii="Arial" w:cs="Arial" w:eastAsia="Arial" w:hAnsi="Arial"/>
          <w:sz w:val="17"/>
          <w:szCs w:val="17"/>
          <w:color w:val="auto"/>
        </w:rPr>
      </w:pPr>
    </w:p>
    <w:p>
      <w:pPr>
        <w:ind w:left="332" w:right="620" w:hanging="332"/>
        <w:spacing w:after="0" w:line="342" w:lineRule="auto"/>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29" w:lineRule="exact"/>
        <w:rPr>
          <w:rFonts w:ascii="Arial" w:cs="Arial" w:eastAsia="Arial" w:hAnsi="Arial"/>
          <w:sz w:val="16"/>
          <w:szCs w:val="16"/>
          <w:color w:val="auto"/>
        </w:rPr>
      </w:pPr>
    </w:p>
    <w:p>
      <w:pPr>
        <w:ind w:left="332" w:right="60" w:hanging="332"/>
        <w:spacing w:after="0" w:line="286" w:lineRule="auto"/>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Regardless of any action the Company or the Employer, if different, takes with respect to any or all income tax, social insurance, payroll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w:t>
      </w:r>
    </w:p>
    <w:p>
      <w:pPr>
        <w:spacing w:after="0" w:line="1" w:lineRule="exact"/>
        <w:rPr>
          <w:rFonts w:ascii="Arial" w:cs="Arial" w:eastAsia="Arial" w:hAnsi="Arial"/>
          <w:sz w:val="16"/>
          <w:szCs w:val="16"/>
          <w:color w:val="auto"/>
        </w:rPr>
      </w:pPr>
    </w:p>
    <w:p>
      <w:pPr>
        <w:ind w:left="332" w:right="80" w:hanging="8"/>
        <w:spacing w:after="0" w:line="253" w:lineRule="auto"/>
        <w:tabs>
          <w:tab w:leader="none" w:pos="5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 in more than one jurisdiction</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174750" cy="368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line="201" w:lineRule="exact"/>
        <w:rPr>
          <w:sz w:val="20"/>
          <w:szCs w:val="20"/>
          <w:color w:val="auto"/>
        </w:rPr>
      </w:pPr>
    </w:p>
    <w:p>
      <w:pPr>
        <w:jc w:val="both"/>
        <w:ind w:left="332" w:right="340"/>
        <w:spacing w:after="0" w:line="342" w:lineRule="auto"/>
        <w:rPr>
          <w:sz w:val="20"/>
          <w:szCs w:val="20"/>
          <w:color w:val="auto"/>
        </w:rPr>
      </w:pPr>
      <w:r>
        <w:rPr>
          <w:rFonts w:ascii="Arial" w:cs="Arial" w:eastAsia="Arial" w:hAnsi="Arial"/>
          <w:sz w:val="16"/>
          <w:szCs w:val="16"/>
          <w:color w:val="auto"/>
        </w:rPr>
        <w:t>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29" w:lineRule="exact"/>
        <w:rPr>
          <w:sz w:val="20"/>
          <w:szCs w:val="20"/>
          <w:color w:val="auto"/>
        </w:rPr>
      </w:pPr>
    </w:p>
    <w:p>
      <w:pPr>
        <w:ind w:left="332"/>
        <w:spacing w:after="0" w:line="289" w:lineRule="auto"/>
        <w:rPr>
          <w:sz w:val="20"/>
          <w:szCs w:val="20"/>
          <w:color w:val="auto"/>
        </w:rPr>
      </w:pPr>
      <w:r>
        <w:rPr>
          <w:rFonts w:ascii="Arial" w:cs="Arial" w:eastAsia="Arial" w:hAnsi="Arial"/>
          <w:sz w:val="16"/>
          <w:szCs w:val="16"/>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or (iii) withholding a sufficient number of whole Option Shares otherwise issuable upon the exercise of the Option that have an aggregate Fair Market Value (as defined under the Plan) sufficient to pay the minimum Tax-Related Items required to be withheld with respect to the exercised Option. The cash equivalent of the Option Shares withheld will be used to settle the obligation to withhold the Tax-Related Items (determined by reference to the closing price of the Common Stock on the New York Stock Exchange on the applicable exercise date).</w:t>
      </w:r>
    </w:p>
    <w:p>
      <w:pPr>
        <w:spacing w:after="0" w:line="72" w:lineRule="exact"/>
        <w:rPr>
          <w:sz w:val="20"/>
          <w:szCs w:val="20"/>
          <w:color w:val="auto"/>
        </w:rPr>
      </w:pPr>
    </w:p>
    <w:p>
      <w:pPr>
        <w:ind w:left="332"/>
        <w:spacing w:after="0" w:line="255" w:lineRule="auto"/>
        <w:rPr>
          <w:sz w:val="20"/>
          <w:szCs w:val="20"/>
          <w:color w:val="auto"/>
        </w:rPr>
      </w:pPr>
      <w:r>
        <w:rPr>
          <w:rFonts w:ascii="Arial" w:cs="Arial" w:eastAsia="Arial" w:hAnsi="Arial"/>
          <w:sz w:val="18"/>
          <w:szCs w:val="18"/>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whole Option Shares, for tax purposes, the Optionee is deemed to have been issued the full number of Option Shares subject to the exercised Options, notwithstanding that a number of the Option Shares are held back solely for the purpose of paying the Tax-Related Items due as a result of any aspect of the Optionee’s participation in the Plan. No fractional Option Shares will be withheld or issued pursuant to the grant of the Option and the issuance of Option Shares hereunder.</w:t>
      </w:r>
    </w:p>
    <w:p>
      <w:pPr>
        <w:spacing w:after="0" w:line="99" w:lineRule="exact"/>
        <w:rPr>
          <w:sz w:val="20"/>
          <w:szCs w:val="20"/>
          <w:color w:val="auto"/>
        </w:rPr>
      </w:pPr>
    </w:p>
    <w:p>
      <w:pPr>
        <w:ind w:left="332" w:right="80"/>
        <w:spacing w:after="0" w:line="259" w:lineRule="auto"/>
        <w:rPr>
          <w:sz w:val="20"/>
          <w:szCs w:val="20"/>
          <w:color w:val="auto"/>
        </w:rPr>
      </w:pPr>
      <w:r>
        <w:rPr>
          <w:rFonts w:ascii="Arial" w:cs="Arial" w:eastAsia="Arial" w:hAnsi="Arial"/>
          <w:sz w:val="18"/>
          <w:szCs w:val="18"/>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79" w:lineRule="exact"/>
        <w:rPr>
          <w:sz w:val="20"/>
          <w:szCs w:val="20"/>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the Optionee acknowledges, understands and agrees that:</w:t>
      </w:r>
    </w:p>
    <w:p>
      <w:pPr>
        <w:spacing w:after="0" w:line="117" w:lineRule="exact"/>
        <w:rPr>
          <w:rFonts w:ascii="Arial" w:cs="Arial" w:eastAsia="Arial" w:hAnsi="Arial"/>
          <w:sz w:val="18"/>
          <w:szCs w:val="18"/>
          <w:color w:val="auto"/>
        </w:rPr>
      </w:pPr>
    </w:p>
    <w:p>
      <w:pPr>
        <w:ind w:left="652" w:right="200" w:hanging="314"/>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w:t>
      </w:r>
    </w:p>
    <w:p>
      <w:pPr>
        <w:spacing w:after="0" w:line="75" w:lineRule="exact"/>
        <w:rPr>
          <w:rFonts w:ascii="Arial" w:cs="Arial" w:eastAsia="Arial" w:hAnsi="Arial"/>
          <w:sz w:val="18"/>
          <w:szCs w:val="18"/>
          <w:color w:val="auto"/>
        </w:rPr>
      </w:pPr>
    </w:p>
    <w:p>
      <w:pPr>
        <w:ind w:left="652" w:hanging="314"/>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75" w:lineRule="exact"/>
        <w:rPr>
          <w:rFonts w:ascii="Arial" w:cs="Arial" w:eastAsia="Arial" w:hAnsi="Arial"/>
          <w:sz w:val="18"/>
          <w:szCs w:val="18"/>
          <w:color w:val="auto"/>
        </w:rPr>
      </w:pPr>
    </w:p>
    <w:p>
      <w:pPr>
        <w:ind w:left="652" w:hanging="314"/>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130" w:lineRule="exact"/>
        <w:rPr>
          <w:rFonts w:ascii="Arial" w:cs="Arial" w:eastAsia="Arial" w:hAnsi="Arial"/>
          <w:sz w:val="18"/>
          <w:szCs w:val="18"/>
          <w:color w:val="auto"/>
        </w:rPr>
      </w:pPr>
    </w:p>
    <w:p>
      <w:pPr>
        <w:ind w:left="652" w:right="20" w:hanging="314"/>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75" w:lineRule="exact"/>
        <w:rPr>
          <w:rFonts w:ascii="Arial" w:cs="Arial" w:eastAsia="Arial" w:hAnsi="Arial"/>
          <w:sz w:val="18"/>
          <w:szCs w:val="18"/>
          <w:color w:val="auto"/>
        </w:rPr>
      </w:pPr>
    </w:p>
    <w:p>
      <w:pPr>
        <w:ind w:left="652" w:hanging="314"/>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130" w:lineRule="exact"/>
        <w:rPr>
          <w:rFonts w:ascii="Arial" w:cs="Arial" w:eastAsia="Arial" w:hAnsi="Arial"/>
          <w:sz w:val="18"/>
          <w:szCs w:val="18"/>
          <w:color w:val="auto"/>
        </w:rPr>
      </w:pPr>
    </w:p>
    <w:p>
      <w:pPr>
        <w:ind w:left="652" w:right="20" w:hanging="314"/>
        <w:spacing w:after="0" w:line="259"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92" w:lineRule="exact"/>
        <w:rPr>
          <w:rFonts w:ascii="Arial" w:cs="Arial" w:eastAsia="Arial" w:hAnsi="Arial"/>
          <w:sz w:val="18"/>
          <w:szCs w:val="18"/>
          <w:color w:val="auto"/>
        </w:rPr>
      </w:pPr>
    </w:p>
    <w:p>
      <w:pPr>
        <w:ind w:left="652" w:right="200" w:hanging="314"/>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Option grant and the Optionee’s participation in the Plan will not be interpreted to form an employment or service contract or relationship with the Company or the Employer;</w:t>
      </w:r>
    </w:p>
    <w:p>
      <w:pPr>
        <w:spacing w:after="0" w:line="75" w:lineRule="exact"/>
        <w:rPr>
          <w:rFonts w:ascii="Arial" w:cs="Arial" w:eastAsia="Arial" w:hAnsi="Arial"/>
          <w:sz w:val="18"/>
          <w:szCs w:val="18"/>
          <w:color w:val="auto"/>
        </w:rPr>
      </w:pPr>
    </w:p>
    <w:p>
      <w:pPr>
        <w:ind w:left="652" w:hanging="314"/>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future value of the Option Shares underlying the Option is unknown and cannot be predicted with certainty;</w:t>
      </w:r>
    </w:p>
    <w:p>
      <w:pPr>
        <w:spacing w:after="0" w:line="130" w:lineRule="exact"/>
        <w:rPr>
          <w:rFonts w:ascii="Arial" w:cs="Arial" w:eastAsia="Arial" w:hAnsi="Arial"/>
          <w:sz w:val="18"/>
          <w:szCs w:val="18"/>
          <w:color w:val="auto"/>
        </w:rPr>
      </w:pPr>
    </w:p>
    <w:p>
      <w:pPr>
        <w:ind w:left="652" w:hanging="314"/>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underlying Option Shares do not increase in value, the Option will have no value;</w:t>
      </w:r>
    </w:p>
    <w:p>
      <w:pPr>
        <w:spacing w:after="0" w:line="130" w:lineRule="exact"/>
        <w:rPr>
          <w:rFonts w:ascii="Arial" w:cs="Arial" w:eastAsia="Arial" w:hAnsi="Arial"/>
          <w:sz w:val="18"/>
          <w:szCs w:val="18"/>
          <w:color w:val="auto"/>
        </w:rPr>
      </w:pPr>
    </w:p>
    <w:p>
      <w:pPr>
        <w:ind w:left="652" w:right="100" w:hanging="314"/>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Optionee exercises the Option and acquires Option Shares, the value of such Option Shares may increase or decrease in value, even below the Exercise Price;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440" w:right="2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174750" cy="368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line="201" w:lineRule="exact"/>
        <w:rPr>
          <w:sz w:val="20"/>
          <w:szCs w:val="20"/>
          <w:color w:val="auto"/>
        </w:rPr>
      </w:pPr>
    </w:p>
    <w:p>
      <w:pPr>
        <w:ind w:left="652" w:hanging="314"/>
        <w:spacing w:after="0"/>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Optionees who reside outside the U.S., the following additional provisions shall apply:</w:t>
      </w:r>
    </w:p>
    <w:p>
      <w:pPr>
        <w:spacing w:after="0" w:line="117" w:lineRule="exact"/>
        <w:rPr>
          <w:rFonts w:ascii="Arial" w:cs="Arial" w:eastAsia="Arial" w:hAnsi="Arial"/>
          <w:sz w:val="18"/>
          <w:szCs w:val="18"/>
          <w:color w:val="auto"/>
        </w:rPr>
      </w:pPr>
    </w:p>
    <w:p>
      <w:pPr>
        <w:ind w:left="1052" w:hanging="377"/>
        <w:spacing w:after="0"/>
        <w:tabs>
          <w:tab w:leader="none" w:pos="10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not intended to replace any pension rights or compensation;</w:t>
      </w:r>
    </w:p>
    <w:p>
      <w:pPr>
        <w:spacing w:after="0" w:line="130" w:lineRule="exact"/>
        <w:rPr>
          <w:rFonts w:ascii="Arial" w:cs="Arial" w:eastAsia="Arial" w:hAnsi="Arial"/>
          <w:sz w:val="18"/>
          <w:szCs w:val="18"/>
          <w:color w:val="auto"/>
        </w:rPr>
      </w:pPr>
    </w:p>
    <w:p>
      <w:pPr>
        <w:ind w:left="1052" w:hanging="377"/>
        <w:spacing w:after="0" w:line="264" w:lineRule="auto"/>
        <w:tabs>
          <w:tab w:leader="none" w:pos="10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 and</w:t>
      </w:r>
    </w:p>
    <w:p>
      <w:pPr>
        <w:spacing w:after="0" w:line="86" w:lineRule="exact"/>
        <w:rPr>
          <w:rFonts w:ascii="Arial" w:cs="Arial" w:eastAsia="Arial" w:hAnsi="Arial"/>
          <w:sz w:val="18"/>
          <w:szCs w:val="18"/>
          <w:color w:val="auto"/>
        </w:rPr>
      </w:pPr>
    </w:p>
    <w:p>
      <w:pPr>
        <w:ind w:left="1052" w:right="140" w:hanging="377"/>
        <w:spacing w:after="0" w:line="272" w:lineRule="auto"/>
        <w:tabs>
          <w:tab w:leader="none" w:pos="1052" w:val="left"/>
        </w:tabs>
        <w:numPr>
          <w:ilvl w:val="2"/>
          <w:numId w:val="30"/>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Option resulting from termination of the Optionee’s employment by the Company or the Employer (for any reason whatsoever and whether or not in breach of local labor laws) and in consideration of the grant of the Option to which the Optionee is otherwise not entitled, the Optionee irrevocably agrees never to institute any claim against the Company or the Employer, waive his or her ability, if any, to bring any such claim, and release the Company and the Employer from any such claim; if, notwithstanding the foregoing, any such claim is allowed by a court of competent jurisdiction, then, by participating in the Plan, the Optionee shall be deemed irrevocably to have agreed not to pursue such claim and agree to execute any and all documents necessary to request dismissal or withdrawal of such claims.</w:t>
      </w:r>
    </w:p>
    <w:p>
      <w:pPr>
        <w:spacing w:after="0" w:line="69" w:lineRule="exact"/>
        <w:rPr>
          <w:rFonts w:ascii="Arial" w:cs="Arial" w:eastAsia="Arial" w:hAnsi="Arial"/>
          <w:sz w:val="17"/>
          <w:szCs w:val="17"/>
          <w:color w:val="auto"/>
        </w:rPr>
      </w:pPr>
    </w:p>
    <w:p>
      <w:pPr>
        <w:ind w:left="332" w:right="100" w:hanging="332"/>
        <w:spacing w:after="0" w:line="259"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his or her own personal tax, legal and financial advisors regarding his or her participation in the Plan before taking any action related to the Plan.</w:t>
      </w:r>
    </w:p>
    <w:p>
      <w:pPr>
        <w:spacing w:after="0" w:line="92" w:lineRule="exact"/>
        <w:rPr>
          <w:rFonts w:ascii="Arial" w:cs="Arial" w:eastAsia="Arial" w:hAnsi="Arial"/>
          <w:sz w:val="18"/>
          <w:szCs w:val="18"/>
          <w:color w:val="auto"/>
        </w:rPr>
      </w:pPr>
    </w:p>
    <w:p>
      <w:pPr>
        <w:ind w:left="332" w:right="260" w:hanging="332"/>
        <w:spacing w:after="0" w:line="259"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10 applies if the Optionee resides outside the U.S.: The Optionee hereby explicitly and unambiguously consents to the collection, use and transfer, in electronic or other form, of the Optionee’s personal data as described in this Agreement and any other Option grant materials by and among, as applicable, the Employer, the Company and its subsidiaries for the exclusive purpose of implementing, administering and managing the Optionee’s participation in the Plan.</w:t>
      </w:r>
    </w:p>
    <w:p>
      <w:pPr>
        <w:spacing w:after="0" w:line="92" w:lineRule="exact"/>
        <w:rPr>
          <w:rFonts w:ascii="Arial" w:cs="Arial" w:eastAsia="Arial" w:hAnsi="Arial"/>
          <w:sz w:val="18"/>
          <w:szCs w:val="18"/>
          <w:color w:val="auto"/>
        </w:rPr>
      </w:pPr>
    </w:p>
    <w:p>
      <w:pPr>
        <w:ind w:left="332" w:right="1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The Optionee understands that the Company and the Employer may hold certain personal information about the Optionee, including, but not limited to, the Optionee’s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 (“Data”).</w:t>
      </w:r>
    </w:p>
    <w:p>
      <w:pPr>
        <w:spacing w:after="0" w:line="93" w:lineRule="exact"/>
        <w:rPr>
          <w:rFonts w:ascii="Arial" w:cs="Arial" w:eastAsia="Arial" w:hAnsi="Arial"/>
          <w:sz w:val="18"/>
          <w:szCs w:val="18"/>
          <w:color w:val="auto"/>
        </w:rPr>
      </w:pPr>
    </w:p>
    <w:p>
      <w:pPr>
        <w:ind w:left="332"/>
        <w:spacing w:after="0" w:line="286" w:lineRule="auto"/>
        <w:rPr>
          <w:rFonts w:ascii="Arial" w:cs="Arial" w:eastAsia="Arial" w:hAnsi="Arial"/>
          <w:sz w:val="18"/>
          <w:szCs w:val="18"/>
          <w:color w:val="auto"/>
        </w:rPr>
      </w:pPr>
      <w:r>
        <w:rPr>
          <w:rFonts w:ascii="Arial" w:cs="Arial" w:eastAsia="Arial" w:hAnsi="Arial"/>
          <w:sz w:val="16"/>
          <w:szCs w:val="16"/>
          <w:i w:val="1"/>
          <w:iCs w:val="1"/>
          <w:color w:val="auto"/>
        </w:rPr>
        <w:t>The Optionee understands that Data will be transferred to such other stock plan service provider as may be selected by the Company that assists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the Optionee’s local human resources representative. The Optionee authorizes the Company, the stock plan service provider,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80" w:lineRule="exact"/>
        <w:rPr>
          <w:rFonts w:ascii="Arial" w:cs="Arial" w:eastAsia="Arial" w:hAnsi="Arial"/>
          <w:sz w:val="18"/>
          <w:szCs w:val="18"/>
          <w:color w:val="auto"/>
        </w:rPr>
      </w:pPr>
    </w:p>
    <w:p>
      <w:pPr>
        <w:ind w:left="332" w:right="980" w:hanging="332"/>
        <w:spacing w:after="0" w:line="277"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75" w:lineRule="exact"/>
        <w:rPr>
          <w:rFonts w:ascii="Arial" w:cs="Arial" w:eastAsia="Arial" w:hAnsi="Arial"/>
          <w:sz w:val="18"/>
          <w:szCs w:val="18"/>
          <w:color w:val="auto"/>
        </w:rPr>
      </w:pPr>
    </w:p>
    <w:p>
      <w:pPr>
        <w:ind w:left="332" w:right="20" w:hanging="332"/>
        <w:spacing w:after="0" w:line="264"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174750" cy="368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line="201" w:lineRule="exact"/>
        <w:rPr>
          <w:sz w:val="20"/>
          <w:szCs w:val="20"/>
          <w:color w:val="auto"/>
        </w:rPr>
      </w:pPr>
    </w:p>
    <w:p>
      <w:pPr>
        <w:ind w:left="340" w:right="6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51" w:lineRule="exact"/>
        <w:rPr>
          <w:rFonts w:ascii="Arial" w:cs="Arial" w:eastAsia="Arial" w:hAnsi="Arial"/>
          <w:sz w:val="17"/>
          <w:szCs w:val="17"/>
          <w:color w:val="auto"/>
        </w:rPr>
      </w:pPr>
    </w:p>
    <w:p>
      <w:pPr>
        <w:ind w:left="340" w:right="16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75"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The Option shall be subject to any special provisions set forth in the Appendix for the Optionee’s country of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92"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Option and the Option Shares purchased upon exercise of the Option, to the extent the Company determines it is necessary or advisable in order to comply with local laws or facilitate the administration of the Plan, and to require the Optionee to sign any additional agreements or undertakings that may be necessary to accomplish the foregoing.</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copy of the Plan prospectus is available on the Company’s Intranet at http://signals.corpnt.analog.com/default.aspx. (From Signals home page, click Knowledge Centers, HR, Employee Stock Programs. The related documents can be found in the right-hand column.) If the Optionee is unable to access this information via the Intranet, ADI’s or the Optionee’s regional stock plan administrator can provide the Optionee with copies.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Ray Stata</w:t>
            </w:r>
          </w:p>
        </w:tc>
        <w:tc>
          <w:tcPr>
            <w:tcW w:w="7760" w:type="dxa"/>
            <w:vAlign w:val="bottom"/>
          </w:tcPr>
          <w:p>
            <w:pPr>
              <w:ind w:left="2300"/>
              <w:spacing w:after="0"/>
              <w:rPr>
                <w:sz w:val="20"/>
                <w:szCs w:val="20"/>
                <w:color w:val="auto"/>
              </w:rPr>
            </w:pPr>
            <w:r>
              <w:rPr>
                <w:rFonts w:ascii="Arial" w:cs="Arial" w:eastAsia="Arial" w:hAnsi="Arial"/>
                <w:sz w:val="18"/>
                <w:szCs w:val="18"/>
                <w:color w:val="auto"/>
              </w:rPr>
              <w:t>Jerald G. Fishman</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Chairman of the Board</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 &amp; Chief Executive Officer</w:t>
            </w:r>
          </w:p>
        </w:tc>
      </w:tr>
      <w:tr>
        <w:trPr>
          <w:trHeight w:val="405"/>
        </w:trPr>
        <w:tc>
          <w:tcPr>
            <w:tcW w:w="3660" w:type="dxa"/>
            <w:vAlign w:val="bottom"/>
          </w:tcPr>
          <w:p>
            <w:pPr>
              <w:spacing w:after="0"/>
              <w:rPr>
                <w:sz w:val="24"/>
                <w:szCs w:val="24"/>
                <w:color w:val="auto"/>
              </w:rPr>
            </w:pPr>
          </w:p>
        </w:tc>
        <w:tc>
          <w:tcPr>
            <w:tcW w:w="7760" w:type="dxa"/>
            <w:vAlign w:val="bottom"/>
          </w:tcPr>
          <w:p>
            <w:pPr>
              <w:jc w:val="right"/>
              <w:ind w:right="5570"/>
              <w:spacing w:after="0"/>
              <w:rPr>
                <w:sz w:val="20"/>
                <w:szCs w:val="20"/>
                <w:color w:val="auto"/>
              </w:rPr>
            </w:pPr>
            <w:r>
              <w:rPr>
                <w:rFonts w:ascii="Arial" w:cs="Arial" w:eastAsia="Arial" w:hAnsi="Arial"/>
                <w:sz w:val="18"/>
                <w:szCs w:val="18"/>
                <w:color w:val="auto"/>
              </w:rPr>
              <w:t>5</w:t>
            </w:r>
          </w:p>
        </w:tc>
      </w:tr>
      <w:tr>
        <w:trPr>
          <w:trHeight w:val="226"/>
        </w:trPr>
        <w:tc>
          <w:tcPr>
            <w:tcW w:w="366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9" w:name="page60"/>
    <w:bookmarkEnd w:id="59"/>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b w:val="1"/>
          <w:bCs w:val="1"/>
          <w:color w:val="auto"/>
        </w:rPr>
        <w:t>APPENDIX A TO</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NON-QUALIFIED STOCK OPTION AGREEMENT</w:t>
      </w:r>
    </w:p>
    <w:p>
      <w:pPr>
        <w:spacing w:after="0" w:line="1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Appendix A includes additional terms and conditions that govern the Options granted to the Optionee if the Optionee resides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December 2010.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his or her situation.</w:t>
      </w:r>
    </w:p>
    <w:p>
      <w:pPr>
        <w:spacing w:after="0" w:line="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Finally, if the Optionee is a citizen or resident of a country other than the one in which the Optionee is currently working, transferred employment after the Options were granted or is considered a resident of another country for local law purposes, the information contained herein may not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Taxation of Option</w:t>
      </w:r>
      <w:r>
        <w:rPr>
          <w:rFonts w:ascii="Arial" w:cs="Arial" w:eastAsia="Arial" w:hAnsi="Arial"/>
          <w:sz w:val="18"/>
          <w:szCs w:val="18"/>
          <w:color w:val="auto"/>
        </w:rPr>
        <w:t>. The Option must be accepted in writing either (i) within 60 days of the offer (for tax at offer), or (ii) after 60 days of the offer (for tax at exercise). The Optionee has received a separate offer letter, acceptance form and undertaking form in addition to the Agreement. The Optionee should refer to the offer letter for a more detailed description of the tax consequences of choosing to accept the Option. The Optionee should consult with his or her personal tax advisor regarding completion of the additional forms.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supplements Section 10 of the Agreement: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u w:val="single" w:color="auto"/>
          <w:color w:val="auto"/>
        </w:rPr>
        <w:t>Payment of Exercise Price and Withholding Taxes</w:t>
      </w:r>
      <w:r>
        <w:rPr>
          <w:rFonts w:ascii="Arial" w:cs="Arial" w:eastAsia="Arial" w:hAnsi="Arial"/>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supplements Section 4 of the Agreement: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0" w:name="page61"/>
    <w:bookmarkEnd w:id="6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8"/>
          <w:szCs w:val="18"/>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4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 notwithstanding Section 3(e) or Section (g) of the Agreement, if the Optionee terminates employment with the Company or the Employer due to death or disability, the vesting of the Option shall terminate on the date of such termination, and the Option Shares that are vested on the date of such termination shall continue to be exercisable for a period of three (3) months following such termination date. If the Optionee or the Optionee’s heirs do not exercise the Option within three (3) months of the Optionee’s termination due to death or disability, the Option will be forfeited and the Optionee or the Optionee’s heirs will not be able to exercise the Option.</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the Optionee acknowledges that he or she received an Employer Statement translated into Danish, which is being provided to comply with the Danish Stock Option Act. To the extent more favorable to the Optionee, the terms set forth in the Employer Statement will apply to the Optionee’s participation in the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Grant</w:t>
      </w:r>
      <w:r>
        <w:rPr>
          <w:rFonts w:ascii="Arial" w:cs="Arial" w:eastAsia="Arial" w:hAnsi="Arial"/>
          <w:sz w:val="18"/>
          <w:szCs w:val="18"/>
          <w:color w:val="auto"/>
        </w:rPr>
        <w:t>. This provision supplements Section 8 in the Agreement: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accepting the Option, the Optionee acknowledges, understands and agrees that this grant relates to future services to be performed and is not a bonus or compensation for past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French Qualified Option</w:t>
      </w:r>
      <w:r>
        <w:rPr>
          <w:rFonts w:ascii="Arial" w:cs="Arial" w:eastAsia="Arial" w:hAnsi="Arial"/>
          <w:sz w:val="17"/>
          <w:szCs w:val="17"/>
          <w:color w:val="auto"/>
        </w:rPr>
        <w:t>. This Option is intended to qualify for favorable tax and social security treatment applicable to stock options granted under</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The Options are subject to the terms and conditions of the Plan and the Rules of the Analog Devices, Inc. 2006 Stock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jc w:val="both"/>
        <w:ind w:right="100"/>
        <w:spacing w:after="0" w:line="264" w:lineRule="auto"/>
        <w:rPr>
          <w:sz w:val="20"/>
          <w:szCs w:val="20"/>
          <w:color w:val="auto"/>
        </w:rPr>
      </w:pPr>
      <w:r>
        <w:rPr>
          <w:rFonts w:ascii="Arial" w:cs="Arial" w:eastAsia="Arial" w:hAnsi="Arial"/>
          <w:sz w:val="18"/>
          <w:szCs w:val="18"/>
          <w:u w:val="single" w:color="auto"/>
          <w:color w:val="auto"/>
        </w:rPr>
        <w:t>Option Exercise Price Per Share</w:t>
      </w:r>
      <w:r>
        <w:rPr>
          <w:rFonts w:ascii="Arial" w:cs="Arial" w:eastAsia="Arial" w:hAnsi="Arial"/>
          <w:sz w:val="18"/>
          <w:szCs w:val="18"/>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 This provision replaces Section 2 of the Agreement: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Subject to the Optionee’s continued employment, the Option will vest and become exercisable with respect to 100% of the Option Shares on the fourth anniversary of the Effective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This provision replaces Section 3(c) of the Agreement: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Section 3(a) of the Agreement, the Option will expire 9</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years after the Effective Grant Date ({FRENCHEXPDATE}), as defined in the French Sub-plan.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provision replaces Section 3(e) of the Agreement: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the Optionee’s employment is terminated because of death, the Optionee’s the unvested portion of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u w:val="single" w:color="auto"/>
          <w:color w:val="auto"/>
        </w:rPr>
        <w:t>Consentement a la Langue</w:t>
      </w:r>
      <w:r>
        <w:rPr>
          <w:rFonts w:ascii="Arial" w:cs="Arial" w:eastAsia="Arial" w:hAnsi="Arial"/>
          <w:sz w:val="18"/>
          <w:szCs w:val="18"/>
          <w:color w:val="auto"/>
        </w:rPr>
        <w:t>. En signant et renvoyant cet Accord, ou par acceptant autrement l’Accord, le Titulaire de l’Option confirme ainsi avoir lu et</w:t>
      </w:r>
      <w:r>
        <w:rPr>
          <w:rFonts w:ascii="Arial" w:cs="Arial" w:eastAsia="Arial" w:hAnsi="Arial"/>
          <w:sz w:val="18"/>
          <w:szCs w:val="18"/>
          <w:i w:val="1"/>
          <w:iCs w:val="1"/>
          <w:color w:val="auto"/>
        </w:rPr>
        <w:t xml:space="preserve"> </w:t>
      </w:r>
      <w:r>
        <w:rPr>
          <w:rFonts w:ascii="Arial" w:cs="Arial" w:eastAsia="Arial" w:hAnsi="Arial"/>
          <w:sz w:val="18"/>
          <w:szCs w:val="18"/>
          <w:color w:val="auto"/>
        </w:rPr>
        <w:t>compris les documents relatifs à l’Option, (c’est-à-dire, Le Plan, Le Plan pour la France et cet Accord) qui ont été fournis en langue anglaise. Le Titulaire de l’Option accepte les termes de ces documents en connaissance de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Warning: The Options and Option Shares acquired upon exercise of the Options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Options are intended only for the personal use of each eligible employee of the Company and may not be distributed to any other person. If the Optionee is in any doubt about any of the contents of the Agreement, including Appendix A or the Plan, the Optionee should obtain independent professional advice.</w:t>
      </w:r>
    </w:p>
    <w:p>
      <w:pPr>
        <w:spacing w:after="0" w:line="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To facilitate compliance with securities laws in Hong Kong, in the event the Optionee’s Options vest and become exercisable within six (6) months of the Date of Grant, the Optionee agrees not to sell the Option Shares issued upon exercise of the Options prior to the six-month anniversary of the Date of Grant.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Nature of Scheme</w:t>
      </w:r>
      <w:r>
        <w:rPr>
          <w:rFonts w:ascii="Arial" w:cs="Arial" w:eastAsia="Arial" w:hAnsi="Arial"/>
          <w:sz w:val="18"/>
          <w:szCs w:val="18"/>
          <w:color w:val="auto"/>
        </w:rPr>
        <w:t>. The Company specifically intends that the Plan will not be an occupational retirement scheme for purposes of the Occupational Retirement Schemes Ordinance (“ORSO”). Notwithstanding the foregoing, if the Plan is deemed to constitute an occupational retirement scheme for the purposes of ORSO, then the Optionee’s grant shall be void.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in the Agreement, due to legal restrictions in India, the Optionee will not be permitted to pay the Exercise Price by</w:t>
      </w:r>
    </w:p>
    <w:p>
      <w:pPr>
        <w:spacing w:after="0" w:line="46" w:lineRule="exact"/>
        <w:rPr>
          <w:sz w:val="20"/>
          <w:szCs w:val="20"/>
          <w:color w:val="auto"/>
        </w:rPr>
      </w:pPr>
    </w:p>
    <w:p>
      <w:pPr>
        <w:ind w:right="220" w:firstLine="8"/>
        <w:spacing w:after="0" w:line="255"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2" w:name="page63"/>
    <w:bookmarkEnd w:id="6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ind w:right="140"/>
        <w:spacing w:after="0" w:line="277" w:lineRule="auto"/>
        <w:rPr>
          <w:sz w:val="20"/>
          <w:szCs w:val="20"/>
          <w:color w:val="auto"/>
        </w:rPr>
      </w:pPr>
      <w:r>
        <w:rPr>
          <w:rFonts w:ascii="Arial" w:cs="Arial" w:eastAsia="Arial" w:hAnsi="Arial"/>
          <w:sz w:val="18"/>
          <w:szCs w:val="18"/>
          <w:color w:val="auto"/>
        </w:rPr>
        <w:t>Exercise Price may be made by any of the other methods of payment set forth in Section 4 of the Agreement. The Company reserves the right to provide the Optionee with this method of payment depending on the development of local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This provision supplements Section 8 of the Agreement: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accepting the Option, the Optionee acknowledges, understands, and agrees that the benefits received under the Plan will not be taken into account for any redundancy or unfair dismissal claim.</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Optionee is a director, shadow director</w:t>
      </w:r>
      <w:r>
        <w:rPr>
          <w:rFonts w:ascii="Arial" w:cs="Arial" w:eastAsia="Arial" w:hAnsi="Arial"/>
          <w:sz w:val="15"/>
          <w:szCs w:val="15"/>
          <w:color w:val="auto"/>
        </w:rPr>
        <w:t>1</w:t>
      </w:r>
      <w:r>
        <w:rPr>
          <w:rFonts w:ascii="Arial" w:cs="Arial" w:eastAsia="Arial" w:hAnsi="Arial"/>
          <w:sz w:val="18"/>
          <w:szCs w:val="18"/>
          <w:color w:val="auto"/>
        </w:rPr>
        <w:t xml:space="preserve"> or secretary of an Irish subsidiary of the Company, the Optionee is subject to certain notification requirements under Section 53 of the Companies Act, 1990. Among these requirements is an obligation to notify the Irish affiliate in writing within five (5) business days when the Optionee receives an interest (e.g., Options, Option Shares) in the Company and the number and class of shares or rights to which the interest relates. In addition, the Optionee must notify the Irish subsidiary within five (5) business days when the Optionee sells Option Shares acquired under the Plan. This notification requirement also applies to any rights or Option Shares acquired by the Optionee’s spouse or children (under the age of 18).</w:t>
      </w:r>
    </w:p>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Restriction on Type of Shares Issued to Directors</w:t>
      </w:r>
      <w:r>
        <w:rPr>
          <w:rFonts w:ascii="Arial" w:cs="Arial" w:eastAsia="Arial" w:hAnsi="Arial"/>
          <w:sz w:val="18"/>
          <w:szCs w:val="18"/>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Optionee understands and agrees that the Options are offered subject to and in accordance with the terms of the Israeli Sub-Plan (the “Sub-Plan”) under the 102 Capital Gains Track (as defined in the Sub-Plan), the Trust Agreement among the trustee appointed by Analog Devices (Israel) Ltd. and Analog Development (Israel) 1996 Ltd., and the Agreement. This includes the option exercise price per share and any other requirements set out in the Sub-plan. In the event of any inconsistencies among the Sub-Plan, the Agreement and/or the Plan, the Sub-Plan will govern the Options granted to the Optionee in Israel.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w:t>
      </w:r>
    </w:p>
    <w:p>
      <w:pPr>
        <w:ind w:right="280" w:firstLine="8"/>
        <w:spacing w:after="0" w:line="290" w:lineRule="auto"/>
        <w:tabs>
          <w:tab w:leader="none" w:pos="3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w:t>
      </w:r>
    </w:p>
    <w:p>
      <w:pPr>
        <w:ind w:right="280" w:firstLine="8"/>
        <w:spacing w:after="0" w:line="290" w:lineRule="auto"/>
        <w:tabs>
          <w:tab w:leader="none" w:pos="3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Section 10 of the Agreement: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The Optionee understands that the Employer, the Company and any subsidiary as a data processor of the Company may hold certain personal information about the Optionee, including, but not limited to, the Optionee’s name, home address and telephone number, date of birth, social insurance or other identification number, salary, nationality, job title, any Option Shares or directorships held in the Company or any subsidiary, details of all Options, or any other entitlement to Option Shares awarded, canceled, exercised, vested, unvested or outstanding in the Optionee’s favor, and that the Company and the Employer will process said data and other data lawfully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303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5" w:lineRule="exact"/>
        <w:rPr>
          <w:sz w:val="20"/>
          <w:szCs w:val="20"/>
          <w:color w:val="auto"/>
        </w:rPr>
      </w:pPr>
    </w:p>
    <w:p>
      <w:pPr>
        <w:ind w:left="460" w:right="600" w:hanging="452"/>
        <w:spacing w:after="0" w:line="27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A shadow director is an individual who is not on the board of directors of the Irish subsidiary but who has sufficient control so that the board of directors of the Irish subsidiary acts in accordance with the “directions or instructions” of the individual.</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3" w:name="page64"/>
    <w:bookmarkEnd w:id="6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ind w:right="60"/>
        <w:spacing w:after="0" w:line="277" w:lineRule="auto"/>
        <w:rPr>
          <w:sz w:val="20"/>
          <w:szCs w:val="20"/>
          <w:color w:val="auto"/>
        </w:rPr>
      </w:pPr>
      <w:r>
        <w:rPr>
          <w:rFonts w:ascii="Arial" w:cs="Arial" w:eastAsia="Arial" w:hAnsi="Arial"/>
          <w:sz w:val="18"/>
          <w:szCs w:val="18"/>
          <w:b w:val="1"/>
          <w:bCs w:val="1"/>
          <w:i w:val="1"/>
          <w:iCs w:val="1"/>
          <w:color w:val="auto"/>
        </w:rPr>
        <w:t>received from third party (“Data”) for the exclusive purpose of implementing, managing and administering the Plan and complying with applicable laws, regulations and community legislation.</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 Optionee also understands that providing the Company with Data is mandatory for compliance with laws and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Analog Devices, Inc., with registered offices at Analog Devices, Inc., One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b w:val="1"/>
          <w:bCs w:val="1"/>
          <w:i w:val="1"/>
          <w:iCs w:val="1"/>
          <w:color w:val="auto"/>
        </w:rPr>
        <w:t>The Optionee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Optionee understands that Data may also be transferred to the independent registered public accounting firm engaged by the Company, and also to the legitimate addresses under applicable laws. The Optionee further understands that the Company and/or any subsidiary will transfer Data among themselves as necessary for the purpose of implementing, administering and managing the Optionee’s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Optionee may elect to deposit any Option Shares acquired at exercise of the Option. Such recipients may receive, possess, use, retain, and transfer Data in electronic or other form, for the purposes of implementing, administering, and managing the Optionee’s participation in the Plan. The Optionee understand that these recipients may be acting as controllers, processors, or persons in charge of processing, as the case may be, according to applicable privacy laws, and that they may be located in or outside the European Economic Area, such as in Japan or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5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b w:val="1"/>
          <w:bCs w:val="1"/>
          <w:i w:val="1"/>
          <w:iCs w:val="1"/>
          <w:color w:val="auto"/>
        </w:rPr>
        <w:t>The Optionee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The processing activity, including communication, the transfer of Data abroad, including outside of the European Economic Area, as herein specified and pursuant to applicable laws and regulations, does not require the Optionee’s consent thereto, as the processing is necessary to performance of law and contractual obligations related to implementation, administration, and management of the Plan. The Optionee understands that, pursuant to Section 7 of the Legislative Decree no. 196/2003, the Optionee has the right at any moment to, including but not limited to, obtain confirmation that Data exist or not, access, verify their content, origin and accuracy, delete, update, integrate, correct, block or terminate, for legitimate reason, the Data processing. To exercise privacy rights the Optionee should address the Employer.</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Furthermore, the Optionee is aware that Data will not be used for direct-marketing purposes. In addition, Data provided can be reviewed and questions or complaints can be addressed by contacting the Optionee’s local human resources representative.</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Optionee further acknowledges that he or she has read and specifically and expressly approves the following provision in the Agreement: Term of Option; Termination of Employment; Withholding Taxes; Nature of Grant; Imposition of Other Requirement; and the Data Privacy provision in this Appendix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4" w:name="page65"/>
    <w:bookmarkEnd w:id="6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This provision supplements Section 8 of the Agreement: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accepting the Option, the Optionee acknowledges that the Option is intended as an incentive for the Optionee to remain employed with the Employer and is not intended as remuneration for labor performed.</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Securities Law Acknowledgment</w:t>
      </w:r>
      <w:r>
        <w:rPr>
          <w:rFonts w:ascii="Arial" w:cs="Arial" w:eastAsia="Arial" w:hAnsi="Arial"/>
          <w:sz w:val="18"/>
          <w:szCs w:val="18"/>
          <w:color w:val="auto"/>
        </w:rPr>
        <w:t>. The Optionee should be aware of the Dutch insider-trading rules, which may impact the sale of Option Shares issued upon exercise of the Option. In particular, the Optionee may be prohibited from effectuating certain transactions if he or she has inside information about the Company.</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If the Optionee is uncertain whether the insider-trading rules apply to him or her, then the Optionee should consult with his or her personal legal advisor.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xml:space="preserve">.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the New York Stock Exchange (the “NYSE”). The Company’s designated broker should be able to assist the Optionee in the sale of Option Shares on the NYSE. </w:t>
      </w:r>
      <w:r>
        <w:rPr>
          <w:rFonts w:ascii="Arial" w:cs="Arial" w:eastAsia="Arial" w:hAnsi="Arial"/>
          <w:sz w:val="16"/>
          <w:szCs w:val="16"/>
          <w:i w:val="1"/>
          <w:iCs w:val="1"/>
          <w:color w:val="auto"/>
        </w:rPr>
        <w:t>If the Optionee has questions with regard to the application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Philippines securities laws to the disposal or sale of Option Shares acquired under the Plan the Optionee should consult with his or her legal advisor.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Optionee’s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(Cap 289, 2006 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No Entitlement for Claims or Compensation</w:t>
      </w:r>
      <w:r>
        <w:rPr>
          <w:rFonts w:ascii="Arial" w:cs="Arial" w:eastAsia="Arial" w:hAnsi="Arial"/>
          <w:sz w:val="17"/>
          <w:szCs w:val="17"/>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5" w:name="page66"/>
    <w:bookmarkEnd w:id="6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74750"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68935"/>
                    </a:xfrm>
                    <a:prstGeom prst="rect">
                      <a:avLst/>
                    </a:prstGeom>
                    <a:noFill/>
                  </pic:spPr>
                </pic:pic>
              </a:graphicData>
            </a:graphic>
          </wp:anchor>
        </w:drawing>
      </w:r>
    </w:p>
    <w:p>
      <w:pPr>
        <w:ind w:right="20"/>
        <w:spacing w:after="0" w:line="290" w:lineRule="auto"/>
        <w:rPr>
          <w:sz w:val="20"/>
          <w:szCs w:val="20"/>
          <w:color w:val="auto"/>
        </w:rPr>
      </w:pPr>
      <w:r>
        <w:rPr>
          <w:rFonts w:ascii="Arial" w:cs="Arial" w:eastAsia="Arial" w:hAnsi="Arial"/>
          <w:sz w:val="16"/>
          <w:szCs w:val="16"/>
          <w:color w:val="auto"/>
        </w:rPr>
        <w:t>Further, the vesting of the Option is expressly conditioned on the Optionee’s continued rendering of service, such that if the Optionee’s employment terminates for any reason whatsoever, the Award may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may automatically lose any rights to Options that were not vested on the date of the Optionee’s termination of employment, as described in the Plan and the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Optionee acknowledges that he or she has read and specifically accepts the conditions referred to in Section 3 of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Automatic Cashless Exercise and Sale</w:t>
      </w:r>
      <w:r>
        <w:rPr>
          <w:rFonts w:ascii="Arial" w:cs="Arial" w:eastAsia="Arial" w:hAnsi="Arial"/>
          <w:sz w:val="16"/>
          <w:szCs w:val="16"/>
          <w:color w:val="auto"/>
        </w:rPr>
        <w:t>. This Option grant is conditioned upon the Optionee’s consent to the automatic cashless exercise, which the Company will provide to the Optionee. If the Company does not receive the Optionee’s signed consent, then the Option will terminate and will become null and void.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A — 7</w:t>
      </w:r>
    </w:p>
    <w:p>
      <w:pPr>
        <w:sectPr>
          <w:pgSz w:w="11900" w:h="16838" w:orient="portrait"/>
          <w:cols w:equalWidth="0" w:num="1">
            <w:col w:w="11380"/>
          </w:cols>
          <w:pgMar w:left="240" w:top="1440" w:right="2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326"/>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326"/>
        <w:spacing w:after="0" w:line="342"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17" w:lineRule="exact"/>
        <w:rPr>
          <w:sz w:val="20"/>
          <w:szCs w:val="20"/>
          <w:color w:val="auto"/>
        </w:rPr>
      </w:pPr>
    </w:p>
    <w:p>
      <w:pPr>
        <w:ind w:left="660" w:hanging="31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326"/>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326"/>
        <w:spacing w:after="0" w:line="342" w:lineRule="auto"/>
        <w:tabs>
          <w:tab w:leader="none" w:pos="13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326"/>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326"/>
        <w:spacing w:after="0" w:line="342" w:lineRule="auto"/>
        <w:tabs>
          <w:tab w:leader="none" w:pos="13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326"/>
        <w:spacing w:after="0" w:line="277"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30, 2011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30, 2011 as filed with the Securities and Exchange Commission on the date hereof (the “Report”), the undersigned, David A. Zinsner, Chief Financial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1."/>
      <w:numFmt w:val="decimal"/>
      <w:start w:val="3"/>
    </w:lvl>
    <w:lvl w:ilvl="1">
      <w:lvlJc w:val="left"/>
      <w:lvlText w:val="(%2)"/>
      <w:numFmt w:val="lowerLetter"/>
      <w:start w:val="1"/>
    </w:lvl>
  </w:abstractNum>
  <w:abstractNum w:abstractNumId="26">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27">
    <w:nsid w:val="614FD4A1"/>
    <w:multiLevelType w:val="hybridMultilevel"/>
    <w:lvl w:ilvl="0">
      <w:lvlJc w:val="left"/>
      <w:lvlText w:val="%1."/>
      <w:numFmt w:val="decimal"/>
      <w:start w:val="4"/>
    </w:lvl>
    <w:lvl w:ilvl="1">
      <w:lvlJc w:val="left"/>
      <w:lvlText w:val="(%2)"/>
      <w:numFmt w:val="lowerLetter"/>
      <w:start w:val="9"/>
    </w:lvl>
    <w:lvl w:ilvl="2">
      <w:lvlJc w:val="left"/>
      <w:lvlText w:val="(%3)"/>
      <w:numFmt w:val="lowerLetter"/>
      <w:start w:val="1"/>
    </w:lvl>
  </w:abstractNum>
  <w:abstractNum w:abstractNumId="28">
    <w:nsid w:val="419AC241"/>
    <w:multiLevelType w:val="hybridMultilevel"/>
    <w:lvl w:ilvl="0">
      <w:lvlJc w:val="left"/>
      <w:lvlText w:val="%1."/>
      <w:numFmt w:val="decimal"/>
      <w:start w:val="8"/>
    </w:lvl>
    <w:lvl w:ilvl="1">
      <w:lvlJc w:val="left"/>
      <w:lvlText w:val="(%2)"/>
      <w:numFmt w:val="lowerLetter"/>
      <w:start w:val="1"/>
    </w:lvl>
  </w:abstractNum>
  <w:abstractNum w:abstractNumId="29">
    <w:nsid w:val="5577F8E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0">
    <w:nsid w:val="440BADF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1">
    <w:nsid w:val="5072367"/>
    <w:multiLevelType w:val="hybridMultilevel"/>
    <w:lvl w:ilvl="0">
      <w:lvlJc w:val="left"/>
      <w:lvlText w:val="%1."/>
      <w:numFmt w:val="decimal"/>
      <w:start w:val="13"/>
    </w:lvl>
  </w:abstractNum>
  <w:abstractNum w:abstractNumId="32">
    <w:nsid w:val="3804823E"/>
    <w:multiLevelType w:val="hybridMultilevel"/>
    <w:lvl w:ilvl="0">
      <w:lvlJc w:val="left"/>
      <w:lvlText w:val="(%1)"/>
      <w:numFmt w:val="lowerRoman"/>
      <w:start w:val="1"/>
    </w:lvl>
  </w:abstractNum>
  <w:abstractNum w:abstractNumId="33">
    <w:nsid w:val="77465F01"/>
    <w:multiLevelType w:val="hybridMultilevel"/>
    <w:lvl w:ilvl="0">
      <w:lvlJc w:val="left"/>
      <w:lvlText w:val="(%1)"/>
      <w:numFmt w:val="lowerRoman"/>
      <w:start w:val="3"/>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2019-12-09T22:17:50Z</dcterms:created>
  <dcterms:modified xsi:type="dcterms:W3CDTF">2019-12-09T22:17:50Z</dcterms:modified>
</cp:coreProperties>
</file>