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141733.xml.htm"/>
      <w:bookmarkStart w:id="1" w:name="kswkform4_17721417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Sondel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CAO (principal acct. officer)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8"/>
        <w:gridCol w:w="899"/>
        <w:gridCol w:w="771"/>
        <w:gridCol w:w="597"/>
        <w:gridCol w:w="337"/>
        <w:gridCol w:w="1039"/>
        <w:gridCol w:w="423"/>
        <w:gridCol w:w="922"/>
        <w:gridCol w:w="1376"/>
        <w:gridCol w:w="958"/>
        <w:gridCol w:w="9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4,198.95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361.025</w:t>
            </w:r>
            <w:r>
              <w:rPr/>
              <w:t xml:space="preserve"> </w:t>
            </w:r>
          </w:p>
        </w:tc>
        <w:tc>
          <w:tcPr>
            <w:tcW w:w="1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14,739.579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25.838 shares acquired under the Analog Devices, Inc. Amended &amp; Restated 2022 Employee Stock Purchase Plan on December 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8266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3211</Characters>
  <CharactersWithSpaces>3741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