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24, 2024</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8"/>
          <w:szCs w:val="18"/>
          <w:b w:val="1"/>
          <w:bCs w:val="1"/>
          <w:color w:val="auto"/>
        </w:rPr>
        <w:t>One Analog Way</w:t>
      </w:r>
    </w:p>
    <w:p>
      <w:pPr>
        <w:spacing w:after="0" w:line="31" w:lineRule="exact"/>
        <w:rPr>
          <w:sz w:val="24"/>
          <w:szCs w:val="24"/>
          <w:color w:val="auto"/>
        </w:rPr>
      </w:pPr>
    </w:p>
    <w:p>
      <w:pPr>
        <w:ind w:left="1160"/>
        <w:spacing w:after="0"/>
        <w:tabs>
          <w:tab w:leader="none" w:pos="2680" w:val="left"/>
        </w:tabs>
        <w:rPr>
          <w:sz w:val="20"/>
          <w:szCs w:val="20"/>
          <w:color w:val="auto"/>
        </w:rPr>
      </w:pPr>
      <w:r>
        <w:rPr>
          <w:rFonts w:ascii="Times New Roman" w:cs="Times New Roman" w:eastAsia="Times New Roman" w:hAnsi="Times New Roman"/>
          <w:sz w:val="18"/>
          <w:szCs w:val="18"/>
          <w:b w:val="1"/>
          <w:bCs w:val="1"/>
          <w:color w:val="auto"/>
        </w:rPr>
        <w:t>Wilmington,</w:t>
      </w:r>
      <w:r>
        <w:rPr>
          <w:sz w:val="20"/>
          <w:szCs w:val="20"/>
          <w:color w:val="auto"/>
        </w:rPr>
        <w:tab/>
      </w:r>
      <w:r>
        <w:rPr>
          <w:rFonts w:ascii="Times New Roman" w:cs="Times New Roman" w:eastAsia="Times New Roman" w:hAnsi="Times New Roman"/>
          <w:sz w:val="18"/>
          <w:szCs w:val="18"/>
          <w:b w:val="1"/>
          <w:bCs w:val="1"/>
          <w:color w:val="auto"/>
        </w:rPr>
        <w:t>MA</w:t>
      </w:r>
    </w:p>
    <w:p>
      <w:pPr>
        <w:spacing w:after="0" w:line="2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7300" w:space="720"/>
            <w:col w:w="322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380" w:hanging="372"/>
        <w:spacing w:after="0" w:line="237"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4400" w:type="dxa"/>
            <w:vAlign w:val="bottom"/>
            <w:gridSpan w:val="2"/>
            <w:vMerge w:val="continue"/>
          </w:tcPr>
          <w:p>
            <w:pPr>
              <w:spacing w:after="0"/>
              <w:rPr>
                <w:sz w:val="20"/>
                <w:szCs w:val="20"/>
                <w:color w:val="auto"/>
              </w:rPr>
            </w:pP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10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10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1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Richard C. Puccio, Jr. as Executive Vice President and Chief Financial Officer</w:t>
      </w:r>
    </w:p>
    <w:p>
      <w:pPr>
        <w:spacing w:after="0" w:line="245"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 xml:space="preserve">On January </w:t>
      </w:r>
      <w:r>
        <w:rPr>
          <w:rFonts w:ascii="Times New Roman" w:cs="Times New Roman" w:eastAsia="Times New Roman" w:hAnsi="Times New Roman"/>
          <w:sz w:val="21"/>
          <w:szCs w:val="21"/>
          <w:color w:val="auto"/>
        </w:rPr>
        <w:t>25</w:t>
      </w:r>
      <w:r>
        <w:rPr>
          <w:rFonts w:ascii="Times New Roman" w:cs="Times New Roman" w:eastAsia="Times New Roman" w:hAnsi="Times New Roman"/>
          <w:sz w:val="18"/>
          <w:szCs w:val="18"/>
          <w:color w:val="auto"/>
        </w:rPr>
        <w:t>, 2024, Analog Devices, Inc. (the “Company”) announced the appointment of Richard C. Puccio, Jr. as Executive Vice President and Chief Financial Officer (principal financial officer), effective as of February 5, 2024. In this role, Mr. Puccio will set the Company’s financial strategy and lead the Company’s global finance operations. James Mollica will continue to serve as the Company’s interim Chief Financial Officer (principal financial officer) until Mr. Puccio’s first date of employment.</w:t>
      </w:r>
    </w:p>
    <w:p>
      <w:pPr>
        <w:spacing w:after="0" w:line="209"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Mr. Puccio, 56, most recently served as the Chief Financial Officer at Amazon Web Services, Inc. (“AWS”), a leading global cloud and technology services provider, from May 2021 to January 2024. Prior to his role at AWS, Mr. Puccio was at PricewaterhouseCoopers, a professional services firm, for nearly 29 years, serving as a Partner for 21 years.</w:t>
      </w:r>
    </w:p>
    <w:p>
      <w:pPr>
        <w:spacing w:after="0" w:line="211" w:lineRule="exact"/>
        <w:rPr>
          <w:sz w:val="20"/>
          <w:szCs w:val="20"/>
          <w:color w:val="auto"/>
        </w:rPr>
      </w:pPr>
    </w:p>
    <w:p>
      <w:pPr>
        <w:jc w:val="both"/>
        <w:ind w:right="500" w:firstLine="648"/>
        <w:spacing w:after="0" w:line="250" w:lineRule="auto"/>
        <w:rPr>
          <w:sz w:val="20"/>
          <w:szCs w:val="20"/>
          <w:color w:val="auto"/>
        </w:rPr>
      </w:pPr>
      <w:r>
        <w:rPr>
          <w:rFonts w:ascii="Times New Roman" w:cs="Times New Roman" w:eastAsia="Times New Roman" w:hAnsi="Times New Roman"/>
          <w:sz w:val="18"/>
          <w:szCs w:val="18"/>
          <w:color w:val="auto"/>
        </w:rPr>
        <w:t>There are no family relationships between Mr. Puccio and any director, executive officer or person nominated or chosen by the Company to become a director or executive officer of the Company. There are no transactions in which Mr. Puccio has an interest requiring disclosure under Item 404(a) of Regulation S-K.</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Arrangements with Mr. Puccio</w:t>
      </w:r>
    </w:p>
    <w:p>
      <w:pPr>
        <w:spacing w:after="0" w:line="241" w:lineRule="exact"/>
        <w:rPr>
          <w:sz w:val="20"/>
          <w:szCs w:val="20"/>
          <w:color w:val="auto"/>
        </w:rPr>
      </w:pPr>
    </w:p>
    <w:p>
      <w:pPr>
        <w:ind w:right="340" w:firstLine="648"/>
        <w:spacing w:after="0" w:line="245" w:lineRule="auto"/>
        <w:rPr>
          <w:sz w:val="20"/>
          <w:szCs w:val="20"/>
          <w:color w:val="auto"/>
        </w:rPr>
      </w:pPr>
      <w:r>
        <w:rPr>
          <w:rFonts w:ascii="Times New Roman" w:cs="Times New Roman" w:eastAsia="Times New Roman" w:hAnsi="Times New Roman"/>
          <w:sz w:val="18"/>
          <w:szCs w:val="18"/>
          <w:color w:val="auto"/>
        </w:rPr>
        <w:t>In connection with his appointment as Executive Vice President and Chief Financial Officer, the Company entered into an offer letter with Mr. Puccio (the “Offer Letter”) setting forth the terms of his employment and compensation. Under the terms of the Offer Letter, Mr. Puccio’s annual base salary will be $670,000, and he will be eligible for an annual cash incentive bonus with a target award percentage of 125% of base salary under the Company’s Executive Performance Incentive Plan. In addition, Mr. Puccio will receive a one-time hiring bonus of $500,000.</w:t>
      </w:r>
    </w:p>
    <w:p>
      <w:pPr>
        <w:spacing w:after="0" w:line="205" w:lineRule="exact"/>
        <w:rPr>
          <w:sz w:val="20"/>
          <w:szCs w:val="20"/>
          <w:color w:val="auto"/>
        </w:rPr>
      </w:pPr>
    </w:p>
    <w:p>
      <w:pPr>
        <w:ind w:right="20" w:firstLine="648"/>
        <w:spacing w:after="0" w:line="228" w:lineRule="auto"/>
        <w:rPr>
          <w:sz w:val="20"/>
          <w:szCs w:val="20"/>
          <w:color w:val="auto"/>
        </w:rPr>
      </w:pPr>
      <w:r>
        <w:rPr>
          <w:rFonts w:ascii="Times New Roman" w:cs="Times New Roman" w:eastAsia="Times New Roman" w:hAnsi="Times New Roman"/>
          <w:sz w:val="18"/>
          <w:szCs w:val="18"/>
          <w:color w:val="auto"/>
        </w:rPr>
        <w:t>Pursuant to the Offer Letter and in accordance with the Company’s equity award guidelines and policies, on the 15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of the month following his start date (or if Nasdaq is closed on that day, the next succeeding business day that Nasdaq is open), Mr. Puccio will be granted a restricted stock unit award with a grant date value of $10 million, which vests in equal annual installments over a three-year period, commencing on the first anniversary of the grant date, subject to Mr. Puccio’s continued employment with the Company through each vesting date. Mr. Puccio will also receive an annual equity award for fiscal year 2024 with a grant date value of $5.5 million, which will be comprised of the same types of equity received by other executives reporting to the Company’s Chief Executive Officer.</w:t>
      </w:r>
    </w:p>
    <w:p>
      <w:pPr>
        <w:spacing w:after="0" w:line="213" w:lineRule="exact"/>
        <w:rPr>
          <w:sz w:val="20"/>
          <w:szCs w:val="20"/>
          <w:color w:val="auto"/>
        </w:rPr>
      </w:pPr>
    </w:p>
    <w:p>
      <w:pPr>
        <w:ind w:right="140"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Mr. Puccio’s appointment, the Company and Mr. Puccio will enter into the Company’s standard (i) Employee Retention Agreement for officers and key employees, the form of which has been previously filed as Exhibit 10.1 to the Company’s Quarterly Report on Form 10-Q filed with the Securities and Exchange Commission (the “SEC”) on May 22, 2012, and (ii) Indemnification Agreement for executive officers, previously filed as Exhibit 10.30 to the Company’s Annual Report on Form 10-K for the fiscal year ended November 1, 2008 filed with the SEC on November 25, 2008.</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A press release, dated January 25, 2024, announcing the appointment of Richard C. Puccio, Jr. as Executive Vice President and Chief Financial Officer of the Company is furnished as Exhibit 99.1 to this Current Report on Form 8-K.</w:t>
      </w:r>
    </w:p>
    <w:p>
      <w:pPr>
        <w:spacing w:after="0" w:line="189" w:lineRule="exact"/>
        <w:rPr>
          <w:sz w:val="20"/>
          <w:szCs w:val="20"/>
          <w:color w:val="auto"/>
        </w:rPr>
      </w:pPr>
    </w:p>
    <w:p>
      <w:pPr>
        <w:ind w:right="120" w:firstLine="648"/>
        <w:spacing w:after="0" w:line="245" w:lineRule="auto"/>
        <w:rPr>
          <w:sz w:val="20"/>
          <w:szCs w:val="20"/>
          <w:color w:val="auto"/>
        </w:rPr>
      </w:pPr>
      <w:r>
        <w:rPr>
          <w:rFonts w:ascii="Times New Roman" w:cs="Times New Roman" w:eastAsia="Times New Roman" w:hAnsi="Times New Roman"/>
          <w:sz w:val="18"/>
          <w:szCs w:val="18"/>
          <w:color w:val="auto"/>
        </w:rPr>
        <w:t>The information under this Item 7.01, including the press release attached hereto as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regardless of any general incorporation language in such filing.</w:t>
      </w:r>
    </w:p>
    <w:p>
      <w:pPr>
        <w:spacing w:after="0" w:line="21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99.1</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Press release </w:t>
            </w:r>
            <w:r>
              <w:rPr>
                <w:rFonts w:ascii="Times New Roman" w:cs="Times New Roman" w:eastAsia="Times New Roman" w:hAnsi="Times New Roman"/>
                <w:sz w:val="18"/>
                <w:szCs w:val="18"/>
                <w:color w:val="000000"/>
              </w:rPr>
              <w:t>dated January 25, 2024.</w:t>
            </w:r>
          </w:p>
        </w:tc>
      </w:tr>
      <w:tr>
        <w:trPr>
          <w:trHeight w:val="20"/>
        </w:trPr>
        <w:tc>
          <w:tcPr>
            <w:tcW w:w="188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50"/>
        </w:trPr>
        <w:tc>
          <w:tcPr>
            <w:tcW w:w="18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104</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222"/>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25, 2024</w:t>
            </w:r>
          </w:p>
        </w:tc>
        <w:tc>
          <w:tcPr>
            <w:tcW w:w="7320" w:type="dxa"/>
            <w:vAlign w:val="bottom"/>
            <w:gridSpan w:val="2"/>
          </w:tcPr>
          <w:p>
            <w:pPr>
              <w:ind w:left="20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234"/>
        </w:trPr>
        <w:tc>
          <w:tcPr>
            <w:tcW w:w="3860" w:type="dxa"/>
            <w:vAlign w:val="bottom"/>
          </w:tcPr>
          <w:p>
            <w:pPr>
              <w:spacing w:after="0"/>
              <w:rPr>
                <w:sz w:val="20"/>
                <w:szCs w:val="20"/>
                <w:color w:val="auto"/>
              </w:rPr>
            </w:pPr>
          </w:p>
        </w:tc>
        <w:tc>
          <w:tcPr>
            <w:tcW w:w="260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Janene I. Asgeirsson</w:t>
            </w:r>
          </w:p>
        </w:tc>
      </w:tr>
      <w:tr>
        <w:trPr>
          <w:trHeight w:val="228"/>
        </w:trPr>
        <w:tc>
          <w:tcPr>
            <w:tcW w:w="386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Janene I. Asgeirsson</w:t>
            </w:r>
          </w:p>
        </w:tc>
      </w:tr>
    </w:tbl>
    <w:p>
      <w:pPr>
        <w:ind w:left="6620"/>
        <w:spacing w:after="0" w:line="231" w:lineRule="auto"/>
        <w:rPr>
          <w:sz w:val="20"/>
          <w:szCs w:val="20"/>
          <w:color w:val="auto"/>
        </w:rPr>
      </w:pPr>
      <w:r>
        <w:rPr>
          <w:rFonts w:ascii="Times New Roman" w:cs="Times New Roman" w:eastAsia="Times New Roman" w:hAnsi="Times New Roman"/>
          <w:sz w:val="18"/>
          <w:szCs w:val="18"/>
          <w:color w:val="auto"/>
        </w:rPr>
        <w:t>Senior Vice President, Chief Legal</w:t>
      </w:r>
    </w:p>
    <w:p>
      <w:pPr>
        <w:ind w:left="6620"/>
        <w:spacing w:after="0"/>
        <w:rPr>
          <w:sz w:val="20"/>
          <w:szCs w:val="20"/>
          <w:color w:val="auto"/>
        </w:rPr>
      </w:pPr>
      <w:r>
        <w:rPr>
          <w:rFonts w:ascii="Times New Roman" w:cs="Times New Roman" w:eastAsia="Times New Roman" w:hAnsi="Times New Roman"/>
          <w:sz w:val="18"/>
          <w:szCs w:val="18"/>
          <w:color w:val="auto"/>
        </w:rPr>
        <w:t>Officer and Corporate Secretary</w:t>
      </w:r>
    </w:p>
    <w:p>
      <w:pPr>
        <w:sectPr>
          <w:pgSz w:w="11900" w:h="16838" w:orient="portrait"/>
          <w:cols w:equalWidth="0" w:num="1">
            <w:col w:w="11200"/>
          </w:cols>
          <w:pgMar w:left="320" w:top="985" w:right="379" w:bottom="1440" w:gutter="0" w:footer="0" w:header="0"/>
        </w:sectPr>
      </w:pPr>
    </w:p>
    <w:bookmarkStart w:id="3" w:name="page4"/>
    <w:bookmarkEnd w:id="3"/>
    <w:p>
      <w:pPr>
        <w:jc w:val="right"/>
        <w:spacing w:after="0"/>
        <w:rPr>
          <w:sz w:val="20"/>
          <w:szCs w:val="20"/>
          <w:color w:val="auto"/>
        </w:rPr>
      </w:pPr>
      <w:r>
        <w:rPr>
          <w:rFonts w:ascii="Calibri" w:cs="Calibri" w:eastAsia="Calibri" w:hAnsi="Calibri"/>
          <w:sz w:val="18"/>
          <w:szCs w:val="18"/>
          <w:b w:val="1"/>
          <w:bCs w:val="1"/>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2542540</wp:posOffset>
            </wp:positionH>
            <wp:positionV relativeFrom="paragraph">
              <wp:posOffset>709295</wp:posOffset>
            </wp:positionV>
            <wp:extent cx="2057400" cy="6686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5740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CONTACT:</w:t>
      </w:r>
    </w:p>
    <w:p>
      <w:pPr>
        <w:spacing w:after="0" w:line="193" w:lineRule="auto"/>
        <w:rPr>
          <w:sz w:val="20"/>
          <w:szCs w:val="20"/>
          <w:color w:val="auto"/>
        </w:rPr>
      </w:pPr>
      <w:r>
        <w:rPr>
          <w:rFonts w:ascii="Calibri" w:cs="Calibri" w:eastAsia="Calibri" w:hAnsi="Calibri"/>
          <w:sz w:val="20"/>
          <w:szCs w:val="20"/>
          <w:color w:val="auto"/>
        </w:rPr>
        <w:t>Michael Lucarelli</w:t>
      </w:r>
    </w:p>
    <w:p>
      <w:pPr>
        <w:spacing w:after="0" w:line="199" w:lineRule="auto"/>
        <w:rPr>
          <w:sz w:val="20"/>
          <w:szCs w:val="20"/>
          <w:color w:val="auto"/>
        </w:rPr>
      </w:pPr>
      <w:r>
        <w:rPr>
          <w:rFonts w:ascii="Calibri" w:cs="Calibri" w:eastAsia="Calibri" w:hAnsi="Calibri"/>
          <w:sz w:val="20"/>
          <w:szCs w:val="20"/>
          <w:color w:val="auto"/>
        </w:rPr>
        <w:t>Vice President, Investor Relatons and FP&amp;A</w:t>
      </w:r>
    </w:p>
    <w:p>
      <w:pPr>
        <w:spacing w:after="0" w:line="191" w:lineRule="auto"/>
        <w:rPr>
          <w:sz w:val="20"/>
          <w:szCs w:val="20"/>
          <w:color w:val="auto"/>
        </w:rPr>
      </w:pPr>
      <w:r>
        <w:rPr>
          <w:rFonts w:ascii="Calibri" w:cs="Calibri" w:eastAsia="Calibri" w:hAnsi="Calibri"/>
          <w:sz w:val="20"/>
          <w:szCs w:val="20"/>
          <w:color w:val="auto"/>
        </w:rPr>
        <w:t>Analog Devices</w:t>
      </w:r>
    </w:p>
    <w:p>
      <w:pPr>
        <w:spacing w:after="0" w:line="194" w:lineRule="auto"/>
        <w:rPr>
          <w:sz w:val="20"/>
          <w:szCs w:val="20"/>
          <w:color w:val="auto"/>
        </w:rPr>
      </w:pPr>
      <w:r>
        <w:rPr>
          <w:rFonts w:ascii="Calibri" w:cs="Calibri" w:eastAsia="Calibri" w:hAnsi="Calibri"/>
          <w:sz w:val="20"/>
          <w:szCs w:val="20"/>
          <w:u w:val="single" w:color="auto"/>
          <w:color w:val="0000FF"/>
        </w:rPr>
        <w:t>Investor.Relatons@analog.com</w:t>
      </w:r>
    </w:p>
    <w:p>
      <w:pPr>
        <w:spacing w:after="0" w:line="201" w:lineRule="exact"/>
        <w:rPr>
          <w:sz w:val="20"/>
          <w:szCs w:val="20"/>
          <w:color w:val="auto"/>
        </w:rPr>
      </w:pPr>
    </w:p>
    <w:p>
      <w:pPr>
        <w:spacing w:after="0"/>
        <w:rPr>
          <w:sz w:val="20"/>
          <w:szCs w:val="20"/>
          <w:color w:val="auto"/>
        </w:rPr>
      </w:pPr>
      <w:r>
        <w:rPr>
          <w:rFonts w:ascii="Calibri" w:cs="Calibri" w:eastAsia="Calibri" w:hAnsi="Calibri"/>
          <w:sz w:val="20"/>
          <w:szCs w:val="20"/>
          <w:color w:val="auto"/>
        </w:rPr>
        <w:t>Ferda Millan</w:t>
      </w:r>
    </w:p>
    <w:p>
      <w:pPr>
        <w:spacing w:after="0" w:line="191" w:lineRule="auto"/>
        <w:rPr>
          <w:sz w:val="20"/>
          <w:szCs w:val="20"/>
          <w:color w:val="auto"/>
        </w:rPr>
      </w:pPr>
      <w:r>
        <w:rPr>
          <w:rFonts w:ascii="Calibri" w:cs="Calibri" w:eastAsia="Calibri" w:hAnsi="Calibri"/>
          <w:sz w:val="20"/>
          <w:szCs w:val="20"/>
          <w:color w:val="auto"/>
        </w:rPr>
        <w:t>Global PR and External Communicatons</w:t>
      </w:r>
    </w:p>
    <w:p>
      <w:pPr>
        <w:spacing w:after="0" w:line="193" w:lineRule="auto"/>
        <w:rPr>
          <w:sz w:val="20"/>
          <w:szCs w:val="20"/>
          <w:color w:val="auto"/>
        </w:rPr>
      </w:pPr>
      <w:r>
        <w:rPr>
          <w:rFonts w:ascii="Calibri" w:cs="Calibri" w:eastAsia="Calibri" w:hAnsi="Calibri"/>
          <w:sz w:val="20"/>
          <w:szCs w:val="20"/>
          <w:color w:val="auto"/>
        </w:rPr>
        <w:t>Analog Devices</w:t>
      </w:r>
    </w:p>
    <w:p>
      <w:pPr>
        <w:spacing w:after="0" w:line="199" w:lineRule="auto"/>
        <w:rPr>
          <w:sz w:val="20"/>
          <w:szCs w:val="20"/>
          <w:color w:val="auto"/>
        </w:rPr>
      </w:pPr>
      <w:r>
        <w:rPr>
          <w:rFonts w:ascii="Calibri" w:cs="Calibri" w:eastAsia="Calibri" w:hAnsi="Calibri"/>
          <w:sz w:val="20"/>
          <w:szCs w:val="20"/>
          <w:u w:val="single" w:color="auto"/>
          <w:color w:val="0000FF"/>
        </w:rPr>
        <w:t>Ferda.Millan@analog.com</w:t>
      </w:r>
    </w:p>
    <w:p>
      <w:pPr>
        <w:spacing w:after="0" w:line="216" w:lineRule="exact"/>
        <w:rPr>
          <w:sz w:val="20"/>
          <w:szCs w:val="20"/>
          <w:color w:val="auto"/>
        </w:rPr>
      </w:pPr>
    </w:p>
    <w:p>
      <w:pPr>
        <w:ind w:left="8760"/>
        <w:spacing w:after="0"/>
        <w:rPr>
          <w:sz w:val="20"/>
          <w:szCs w:val="20"/>
          <w:color w:val="auto"/>
        </w:rPr>
      </w:pPr>
      <w:r>
        <w:rPr>
          <w:rFonts w:ascii="Calibri" w:cs="Calibri" w:eastAsia="Calibri" w:hAnsi="Calibri"/>
          <w:sz w:val="20"/>
          <w:szCs w:val="20"/>
          <w:b w:val="1"/>
          <w:bCs w:val="1"/>
          <w:color w:val="auto"/>
        </w:rPr>
        <w:t>For Release: January 25, 2024</w:t>
      </w:r>
    </w:p>
    <w:p>
      <w:pPr>
        <w:spacing w:after="0" w:line="215"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222222"/>
        </w:rPr>
        <w:t>Analog Devices Appoints Richard C. Puccio, Jr. as Executve Vice President and Chief Financial Ofcer</w:t>
      </w:r>
    </w:p>
    <w:p>
      <w:pPr>
        <w:spacing w:after="0" w:line="225" w:lineRule="exact"/>
        <w:rPr>
          <w:sz w:val="20"/>
          <w:szCs w:val="20"/>
          <w:color w:val="auto"/>
        </w:rPr>
      </w:pPr>
    </w:p>
    <w:p>
      <w:pPr>
        <w:ind w:right="620"/>
        <w:spacing w:after="0" w:line="222" w:lineRule="auto"/>
        <w:rPr>
          <w:sz w:val="20"/>
          <w:szCs w:val="20"/>
          <w:color w:val="auto"/>
        </w:rPr>
      </w:pPr>
      <w:r>
        <w:rPr>
          <w:rFonts w:ascii="Calibri" w:cs="Calibri" w:eastAsia="Calibri" w:hAnsi="Calibri"/>
          <w:sz w:val="20"/>
          <w:szCs w:val="20"/>
          <w:color w:val="auto"/>
        </w:rPr>
        <w:t>January 25, 2024—Wilmington, MA—</w:t>
      </w:r>
      <w:r>
        <w:rPr>
          <w:rFonts w:ascii="Calibri" w:cs="Calibri" w:eastAsia="Calibri" w:hAnsi="Calibri"/>
          <w:sz w:val="20"/>
          <w:szCs w:val="20"/>
          <w:color w:val="1155CC"/>
        </w:rPr>
        <w:t>Analog Devices, Inc.</w:t>
      </w:r>
      <w:r>
        <w:rPr>
          <w:rFonts w:ascii="Calibri" w:cs="Calibri" w:eastAsia="Calibri" w:hAnsi="Calibri"/>
          <w:sz w:val="20"/>
          <w:szCs w:val="20"/>
          <w:color w:val="auto"/>
        </w:rPr>
        <w:t xml:space="preserve"> (Nasdaq: </w:t>
      </w:r>
      <w:r>
        <w:rPr>
          <w:rFonts w:ascii="Calibri" w:cs="Calibri" w:eastAsia="Calibri" w:hAnsi="Calibri"/>
          <w:sz w:val="20"/>
          <w:szCs w:val="20"/>
          <w:color w:val="1155CC"/>
        </w:rPr>
        <w:t>ADI</w:t>
      </w:r>
      <w:r>
        <w:rPr>
          <w:rFonts w:ascii="Calibri" w:cs="Calibri" w:eastAsia="Calibri" w:hAnsi="Calibri"/>
          <w:sz w:val="20"/>
          <w:szCs w:val="20"/>
          <w:color w:val="auto"/>
        </w:rPr>
        <w:t>) today announced that Richard C. Puccio, Jr. will join the company on February 5, 2024 as Executve Vice President and Chief Financial Ofcer. In this role, Mr. Puccio will set ADI’s fnancial strategy and lead the company’s global fnance operatons. Mr. Puccio will report to CEO and Chair Vincent Roche.</w:t>
      </w:r>
    </w:p>
    <w:p>
      <w:pPr>
        <w:spacing w:after="0" w:line="241" w:lineRule="exact"/>
        <w:rPr>
          <w:sz w:val="20"/>
          <w:szCs w:val="20"/>
          <w:color w:val="auto"/>
        </w:rPr>
      </w:pPr>
    </w:p>
    <w:p>
      <w:pPr>
        <w:ind w:right="80"/>
        <w:spacing w:after="0" w:line="218" w:lineRule="auto"/>
        <w:rPr>
          <w:sz w:val="20"/>
          <w:szCs w:val="20"/>
          <w:color w:val="auto"/>
        </w:rPr>
      </w:pPr>
      <w:r>
        <w:rPr>
          <w:rFonts w:ascii="Calibri" w:cs="Calibri" w:eastAsia="Calibri" w:hAnsi="Calibri"/>
          <w:sz w:val="20"/>
          <w:szCs w:val="20"/>
          <w:color w:val="auto"/>
        </w:rPr>
        <w:t>“Rich brings tremendous experience and capability from his more than three decades of leading fnancial advisory and high-growth business operatons actvites in complex technology sectors, and this makes him a great additon to ADI’s leadership team. We welcome Rich’s sharp business acumen to enable ADI to accelerate the efectveness of our operatons in a world of increasing opportunity and complexity,” said Vincent Roche, ADI’s CEO and Chair. “I would also like to thank Jim Mollica for his partnership and contributon as interim CFO, and I look forward to Jim’s contnued leadership in ADI’s fnance organizaton,” contnued Mr. Roche.</w:t>
      </w:r>
    </w:p>
    <w:p>
      <w:pPr>
        <w:spacing w:after="0" w:line="241" w:lineRule="exact"/>
        <w:rPr>
          <w:sz w:val="20"/>
          <w:szCs w:val="20"/>
          <w:color w:val="auto"/>
        </w:rPr>
      </w:pPr>
    </w:p>
    <w:p>
      <w:pPr>
        <w:ind w:right="20"/>
        <w:spacing w:after="0" w:line="219" w:lineRule="auto"/>
        <w:rPr>
          <w:sz w:val="20"/>
          <w:szCs w:val="20"/>
          <w:color w:val="auto"/>
        </w:rPr>
      </w:pPr>
      <w:r>
        <w:rPr>
          <w:rFonts w:ascii="Calibri" w:cs="Calibri" w:eastAsia="Calibri" w:hAnsi="Calibri"/>
          <w:sz w:val="20"/>
          <w:szCs w:val="20"/>
          <w:color w:val="auto"/>
        </w:rPr>
        <w:t>Mr. Puccio joins ADI from Amazon Web Services (AWS), a leading global cloud and technology services provider, where he served as CFO. In his role at AWS, Mr. Puccio partnered closely with the business to manage more than 200 fully featured services, including compute, storage, databases, robotcs, machine learning and artfcial intelligence (AI), Internet of Things (IoT), mobile, and security, among many other technologies. Prior to his role at AWS, Mr. Puccio was at PricewaterhouseCoopers (PwC) for nearly 29 years, where he served as a partner for over two decades. During his tenure at PwC, Mr. Puccio primarily served clients in the global technology, semiconductor, and semiconductor capital equipment industries.</w:t>
      </w:r>
    </w:p>
    <w:p>
      <w:pPr>
        <w:spacing w:after="0" w:line="229" w:lineRule="exact"/>
        <w:rPr>
          <w:sz w:val="20"/>
          <w:szCs w:val="20"/>
          <w:color w:val="auto"/>
        </w:rPr>
      </w:pPr>
    </w:p>
    <w:p>
      <w:pPr>
        <w:ind w:right="220"/>
        <w:spacing w:after="0" w:line="223" w:lineRule="auto"/>
        <w:rPr>
          <w:sz w:val="20"/>
          <w:szCs w:val="20"/>
          <w:color w:val="auto"/>
        </w:rPr>
      </w:pPr>
      <w:r>
        <w:rPr>
          <w:rFonts w:ascii="Calibri" w:cs="Calibri" w:eastAsia="Calibri" w:hAnsi="Calibri"/>
          <w:sz w:val="20"/>
          <w:szCs w:val="20"/>
          <w:color w:val="auto"/>
        </w:rPr>
        <w:t>“With its innovatve spirit, amazing talent, and dedicaton to enriching lives and the world around us, ADI has exceptonally strong growth potental. I’m delighted to be joining ADI as the company’s new CFO and look forward to bringing my digital, sofware, and platorm experience to the company as we play an increasingly important role in creatng the Intelligent Edge and driving new levels of shareholder value,” said Mr. Puccio.</w:t>
      </w:r>
    </w:p>
    <w:p>
      <w:pPr>
        <w:spacing w:after="0" w:line="217" w:lineRule="exact"/>
        <w:rPr>
          <w:sz w:val="20"/>
          <w:szCs w:val="20"/>
          <w:color w:val="auto"/>
        </w:rPr>
      </w:pPr>
    </w:p>
    <w:p>
      <w:pPr>
        <w:spacing w:after="0"/>
        <w:rPr>
          <w:sz w:val="20"/>
          <w:szCs w:val="20"/>
          <w:color w:val="auto"/>
        </w:rPr>
      </w:pPr>
      <w:r>
        <w:rPr>
          <w:rFonts w:ascii="Calibri" w:cs="Calibri" w:eastAsia="Calibri" w:hAnsi="Calibri"/>
          <w:sz w:val="20"/>
          <w:szCs w:val="20"/>
          <w:color w:val="auto"/>
        </w:rPr>
        <w:t>Mr. Puccio earned his AB in Economics from Harvard University and his MBA from Boston University.</w:t>
      </w:r>
    </w:p>
    <w:p>
      <w:pPr>
        <w:sectPr>
          <w:pgSz w:w="11900" w:h="16838" w:orient="portrait"/>
          <w:cols w:equalWidth="0" w:num="1">
            <w:col w:w="11240"/>
          </w:cols>
          <w:pgMar w:left="320" w:top="99" w:right="339" w:bottom="1440" w:gutter="0" w:footer="0" w:header="0"/>
        </w:sectPr>
      </w:pPr>
    </w:p>
    <w:bookmarkStart w:id="4" w:name="page5"/>
    <w:bookmarkEnd w:id="4"/>
    <w:p>
      <w:pPr>
        <w:spacing w:after="0"/>
        <w:rPr>
          <w:sz w:val="20"/>
          <w:szCs w:val="20"/>
          <w:color w:val="auto"/>
        </w:rPr>
      </w:pPr>
      <w:r>
        <w:rPr>
          <w:rFonts w:ascii="Calibri" w:cs="Calibri" w:eastAsia="Calibri" w:hAnsi="Calibri"/>
          <w:sz w:val="20"/>
          <w:szCs w:val="20"/>
          <w:b w:val="1"/>
          <w:bCs w:val="1"/>
          <w:color w:val="auto"/>
        </w:rPr>
        <w:t>About Analog Devices, Inc.</w:t>
      </w:r>
    </w:p>
    <w:p>
      <w:pPr>
        <w:spacing w:after="0" w:line="217" w:lineRule="auto"/>
        <w:rPr>
          <w:sz w:val="20"/>
          <w:szCs w:val="20"/>
          <w:color w:val="auto"/>
        </w:rPr>
      </w:pPr>
      <w:r>
        <w:rPr>
          <w:rFonts w:ascii="Calibri" w:cs="Calibri" w:eastAsia="Calibri" w:hAnsi="Calibri"/>
          <w:sz w:val="20"/>
          <w:szCs w:val="20"/>
          <w:color w:val="auto"/>
        </w:rPr>
        <w:t xml:space="preserve">Analog Devices, Inc. (NASDAQ: </w:t>
      </w:r>
      <w:r>
        <w:rPr>
          <w:rFonts w:ascii="Calibri" w:cs="Calibri" w:eastAsia="Calibri" w:hAnsi="Calibri"/>
          <w:sz w:val="20"/>
          <w:szCs w:val="20"/>
          <w:color w:val="0000FF"/>
        </w:rPr>
        <w:t>ADI</w:t>
      </w:r>
      <w:r>
        <w:rPr>
          <w:rFonts w:ascii="Calibri" w:cs="Calibri" w:eastAsia="Calibri" w:hAnsi="Calibri"/>
          <w:sz w:val="20"/>
          <w:szCs w:val="20"/>
          <w:color w:val="auto"/>
        </w:rPr>
        <w:t xml:space="preserve">) is a global semiconductor leader that bridges the physical and digital worlds to enable breakthroughs at the Intelligent Edge. ADI combines analog, digital, and sofware technologies into solutons that help drive advancements in digitzed factories, mobility, and digital healthcare, combat climate change, and reliably connect humans and the world. With revenue of more than $12 billion in FY23 and approximately 26,000 people globally working alongside 125,000 global customers, ADI ensures today’s innovators stay Ahead of What’s Possible. Learn more at </w:t>
      </w:r>
      <w:r>
        <w:rPr>
          <w:rFonts w:ascii="Calibri" w:cs="Calibri" w:eastAsia="Calibri" w:hAnsi="Calibri"/>
          <w:sz w:val="20"/>
          <w:szCs w:val="20"/>
          <w:color w:val="0000FF"/>
        </w:rPr>
        <w:t>www.analog.com</w:t>
      </w:r>
      <w:r>
        <w:rPr>
          <w:rFonts w:ascii="Calibri" w:cs="Calibri" w:eastAsia="Calibri" w:hAnsi="Calibri"/>
          <w:sz w:val="20"/>
          <w:szCs w:val="20"/>
          <w:color w:val="auto"/>
        </w:rPr>
        <w:t xml:space="preserve"> and on </w:t>
      </w:r>
      <w:r>
        <w:rPr>
          <w:rFonts w:ascii="Calibri" w:cs="Calibri" w:eastAsia="Calibri" w:hAnsi="Calibri"/>
          <w:sz w:val="20"/>
          <w:szCs w:val="20"/>
          <w:color w:val="0000FF"/>
        </w:rPr>
        <w:t>LinkedIn</w:t>
      </w:r>
      <w:r>
        <w:rPr>
          <w:rFonts w:ascii="Calibri" w:cs="Calibri" w:eastAsia="Calibri" w:hAnsi="Calibri"/>
          <w:sz w:val="20"/>
          <w:szCs w:val="20"/>
          <w:color w:val="auto"/>
        </w:rPr>
        <w:t xml:space="preserve"> and </w:t>
      </w:r>
      <w:r>
        <w:rPr>
          <w:rFonts w:ascii="Calibri" w:cs="Calibri" w:eastAsia="Calibri" w:hAnsi="Calibri"/>
          <w:sz w:val="20"/>
          <w:szCs w:val="20"/>
          <w:color w:val="0000FF"/>
        </w:rPr>
        <w:t>Twiter (X)</w:t>
      </w:r>
      <w:r>
        <w:rPr>
          <w:rFonts w:ascii="Calibri" w:cs="Calibri" w:eastAsia="Calibri" w:hAnsi="Calibri"/>
          <w:sz w:val="20"/>
          <w:szCs w:val="20"/>
          <w:color w:val="auto"/>
        </w:rPr>
        <w:t>.</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 Looking Statements</w:t>
      </w:r>
    </w:p>
    <w:p>
      <w:pPr>
        <w:ind w:right="140"/>
        <w:spacing w:after="0" w:line="217" w:lineRule="auto"/>
        <w:rPr>
          <w:sz w:val="20"/>
          <w:szCs w:val="20"/>
          <w:color w:val="auto"/>
        </w:rPr>
      </w:pPr>
      <w:r>
        <w:rPr>
          <w:rFonts w:ascii="Calibri" w:cs="Calibri" w:eastAsia="Calibri" w:hAnsi="Calibri"/>
          <w:sz w:val="20"/>
          <w:szCs w:val="20"/>
          <w:color w:val="auto"/>
        </w:rPr>
        <w:t>This release contains forward-looking statements, which address a variety of subjects including, for example, our statements regarding stakeholder value creaton; innovaton trends; and other future events. Statements that are not historical facts, including statements about our beliefs, plans and expectatons, are forward-looking statements. Such statements are based on our current expectatons and are subject to a number of factors and uncertaintes, which could cause actual results to difer materially from those described in the forward-looking statements. The following important factors and uncertaintes, among others, could cause actual results to difer materially from those described in these forward-looking statements: the efects of business, economic, politcal, legal, and regulatory uncertainty or conficts upon our global operatons; changes in demand for semiconductors and the related changes in demand and supply for our products; products that may be diverted from our authorized distributon channels; manufacturing delays, product availability, and supply chain disruptons; our future liquidity, capital needs, and capital expenditures; our development of technologies and research and development investments; our ability to compete successfully in the markets in which we operate; changes in our estmates of our expected tax rates based on current tax law; adverse results in litgaton maters; the risk that we will be unable to retain and hire key personnel; security breaches or other cyber incidents; unantcipated difcultes or expenditures relatng to integratng Maxim; uncertainty as to the long-term value of our common stock; and the risk that expected benefts, synergies, and growth prospects of acquisitons, including those from our acquisiton of Maxim, may not be fully achieved in a tmely manner, or at all. For additonal informaton about factors that could cause actual results to difer materially from those described in the forward-looking statements, please refer to our flings with the Securites and Exchange Commission, including the risk factors contained in our most recent Annual Report on Form 10-K. Forward-looking statements represent management’s current expectatons and are inherently uncertain. Except as required by law, we do not undertake any obligaton to update forward-looking statements made by us to refect subsequent events or circumstances.</w:t>
      </w:r>
    </w:p>
    <w:sectPr>
      <w:pgSz w:w="11900" w:h="16838" w:orient="portrait"/>
      <w:cols w:equalWidth="0" w:num="1">
        <w:col w:w="11240"/>
      </w:cols>
      <w:pgMar w:left="320" w:top="13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2024-01-25T06:16:58Z</dcterms:created>
  <dcterms:modified xsi:type="dcterms:W3CDTF">2024-01-25T06:16:58Z</dcterms:modified>
</cp:coreProperties>
</file>