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30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04" w:space="720"/>
            <w:col w:w="278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jc w:val="center"/>
        <w:ind w:right="1836"/>
        <w:spacing w:after="0"/>
        <w:rPr>
          <w:sz w:val="20"/>
          <w:szCs w:val="20"/>
          <w:color w:val="auto"/>
        </w:rPr>
      </w:pPr>
      <w:r>
        <w:rPr>
          <w:rFonts w:ascii="Arial" w:cs="Arial" w:eastAsia="Arial" w:hAnsi="Arial"/>
          <w:sz w:val="16"/>
          <w:szCs w:val="16"/>
          <w:b w:val="1"/>
          <w:bCs w:val="1"/>
          <w:color w:val="auto"/>
        </w:rPr>
        <w:t>One Technology Way</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Norwood, MA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41"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April 8, 2020, Analog Devices, Inc. (“Analog Devices”) issued $400 million aggregate principal amount of 2.950% senior unsecured notes due April 1, 2025 (the “Notes”) in a public offering pursuant to a registration statement on Form S-3 (File No. 333-225652) (the “Registration Statement”) and a related prospectus and prospectus supplement, each as filed with the Securities and Exchange Commission (the “SEC”). The Notes were sold in an underwritten public offering pursuant to an underwriting agreement, dated as of April 6, 2020, among Analog Devices and J.P. Morgan Securities LLC and Citigroup Global Markets Inc., as representatives of the several underwriters named therein, previously filed with the SEC.</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Notes bear interest at a rate of 2.950% per annum and will mature on April 1, 2025. Interest on the Notes is payable on April 1 and October 1 of each year, beginning on October 1, 2020.</w:t>
      </w:r>
    </w:p>
    <w:p>
      <w:pPr>
        <w:spacing w:after="0" w:line="17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At any time prior to March 1, 2025, Analog Devices may, at its option, redeem some or all of the Notes at a redemption price equal to the greater of 100% of the principal amount of the Notes being redeemed and the make-whole premium, plus accrued and unpaid interest on the Notes being redeemed, if any, to but excluding the date of redemption. On and after March 1, 2025, Analog Devices may, at its option, redeem some or all of the Notes at a redemption price equal to 100% of the principal amount of the Notes being redeemed, plus accrued and unpaid interest on the Notes being redeemed, if any, to but excluding the date of redemption. The Notes are unsecured and rank equally in right of payment with all of Analog Devices’ other existing and future unsecured senior indebtedness.</w:t>
      </w:r>
    </w:p>
    <w:p>
      <w:pPr>
        <w:spacing w:after="0" w:line="17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Notes were issued pursuant to an indenture, dated as of June 3, 2013 (the “Base Indenture”), as supplemented by a supplemental indenture, dated as of April 8, 2020 (the “Supplemental Indenture”), in each case between Analog Devices and The Bank of New York Mellon Trust Company, N.A., as trustee. The Base Indenture and the Supplemental Indenture contain certain covenants, events of default and other customary provisions.</w:t>
      </w:r>
    </w:p>
    <w:p>
      <w:pPr>
        <w:spacing w:after="0" w:line="14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foregoing descriptions of the Notes, the Base Indenture and the Supplemental Indenture are summaries only and are qualified in their entirety by reference to the full text of such documents. The Base Indenture, which was filed as Exhibit 4.1 to Analog Devices’ Current Report on Form 8-K filed with the SEC on June 3, 2013, and the Supplemental Indenture, which is attached hereto as Exhibit 4.2, are incorporated herein by reference.</w:t>
      </w:r>
    </w:p>
    <w:p>
      <w:pPr>
        <w:sectPr>
          <w:pgSz w:w="11900" w:h="16838" w:orient="portrait"/>
          <w:cols w:equalWidth="0" w:num="1">
            <w:col w:w="11000"/>
          </w:cols>
          <w:pgMar w:left="440"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620" w:type="dxa"/>
            <w:vAlign w:val="bottom"/>
            <w:gridSpan w:val="8"/>
          </w:tcPr>
          <w:p>
            <w:pPr>
              <w:ind w:left="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540"/>
        </w:trPr>
        <w:tc>
          <w:tcPr>
            <w:tcW w:w="1060" w:type="dxa"/>
            <w:vAlign w:val="bottom"/>
            <w:gridSpan w:val="2"/>
          </w:tcPr>
          <w:p>
            <w:pPr>
              <w:ind w:left="180"/>
              <w:spacing w:after="0"/>
              <w:rPr>
                <w:sz w:val="20"/>
                <w:szCs w:val="20"/>
                <w:color w:val="auto"/>
              </w:rPr>
            </w:pPr>
            <w:r>
              <w:rPr>
                <w:rFonts w:ascii="Arial" w:cs="Arial" w:eastAsia="Arial" w:hAnsi="Arial"/>
                <w:sz w:val="18"/>
                <w:szCs w:val="18"/>
                <w:color w:val="auto"/>
                <w:w w:val="95"/>
              </w:rPr>
              <w:t>(d) Exhibits</w:t>
            </w: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vMerge w:val="restart"/>
          </w:tcPr>
          <w:p>
            <w:pPr>
              <w:spacing w:after="0"/>
              <w:rPr>
                <w:sz w:val="24"/>
                <w:szCs w:val="24"/>
                <w:color w:val="auto"/>
              </w:rPr>
            </w:pPr>
          </w:p>
        </w:tc>
        <w:tc>
          <w:tcPr>
            <w:tcW w:w="4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tcBorders>
              <w:bottom w:val="single" w:sz="8" w:color="0000EE"/>
            </w:tcBorders>
            <w:gridSpan w:val="7"/>
          </w:tcPr>
          <w:p>
            <w:pPr>
              <w:spacing w:after="0"/>
              <w:rPr>
                <w:rFonts w:ascii="Arial" w:cs="Arial" w:eastAsia="Arial" w:hAnsi="Arial"/>
                <w:sz w:val="18"/>
                <w:szCs w:val="18"/>
                <w:color w:val="0000EE"/>
                <w:w w:val="90"/>
              </w:rPr>
            </w:pPr>
            <w:hyperlink r:id="rId17">
              <w:r>
                <w:rPr>
                  <w:rFonts w:ascii="Arial" w:cs="Arial" w:eastAsia="Arial" w:hAnsi="Arial"/>
                  <w:sz w:val="18"/>
                  <w:szCs w:val="18"/>
                  <w:color w:val="0000EE"/>
                  <w:w w:val="90"/>
                </w:rPr>
                <w:t>Indenture, dated June 3, 2013, between Analog Devices and The Bank of New York Mellon Trust Company, N.A., as trustee, filed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7">
              <w:r>
                <w:rPr>
                  <w:rFonts w:ascii="Arial" w:cs="Arial" w:eastAsia="Arial" w:hAnsi="Arial"/>
                  <w:sz w:val="18"/>
                  <w:szCs w:val="18"/>
                  <w:color w:val="0000EE"/>
                  <w:w w:val="92"/>
                </w:rPr>
                <w:t>Exhibit 4.1 to Analog Devices’ Current Report on Form 8-K (File No. 1-7819) as filed with the Commission on June 3, 2013 and</w:t>
              </w:r>
            </w:hyperlink>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7">
              <w:r>
                <w:rPr>
                  <w:rFonts w:ascii="Arial" w:cs="Arial" w:eastAsia="Arial" w:hAnsi="Arial"/>
                  <w:sz w:val="18"/>
                  <w:szCs w:val="18"/>
                  <w:color w:val="0000EE"/>
                  <w:w w:val="89"/>
                </w:rPr>
                <w:t>incorporated herein by reference.</w:t>
              </w:r>
            </w:hyperlink>
          </w:p>
        </w:tc>
        <w:tc>
          <w:tcPr>
            <w:tcW w:w="7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Supplemental Indenture, dated April 8, 2020, between Analog Devices and The Bank of New York Mellon Trust Company, N.A., as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trustee (including the form of note contained therein).</w:t>
              </w:r>
            </w:hyperlink>
          </w:p>
        </w:tc>
        <w:tc>
          <w:tcPr>
            <w:tcW w:w="57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7"/>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Opinion of Wilmer Cutler Pickering Hale and Dorr LLP.</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7"/>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Consent of Wilmer Cutler Pickering Hale and Dorr LLP (included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74"/>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80"/>
          </w:cols>
          <w:pgMar w:left="440" w:top="297" w:right="7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520" w:type="dxa"/>
            <w:vAlign w:val="bottom"/>
            <w:gridSpan w:val="2"/>
          </w:tcPr>
          <w:p>
            <w:pPr>
              <w:ind w:left="2100"/>
              <w:spacing w:after="0"/>
              <w:rPr>
                <w:sz w:val="20"/>
                <w:szCs w:val="20"/>
                <w:color w:val="auto"/>
              </w:rPr>
            </w:pPr>
            <w:r>
              <w:rPr>
                <w:rFonts w:ascii="Arial" w:cs="Arial" w:eastAsia="Arial" w:hAnsi="Arial"/>
                <w:sz w:val="18"/>
                <w:szCs w:val="18"/>
                <w:color w:val="auto"/>
              </w:rPr>
              <w:t>ANALOG DEVICES,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April 8, 2020</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Prashanth Mahendra-Rajah</w:t>
            </w:r>
          </w:p>
        </w:tc>
      </w:tr>
      <w:tr>
        <w:trPr>
          <w:trHeight w:val="209"/>
        </w:trPr>
        <w:tc>
          <w:tcPr>
            <w:tcW w:w="350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Prashanth Mahendra-Rajah</w:t>
            </w:r>
          </w:p>
        </w:tc>
      </w:tr>
      <w:tr>
        <w:trPr>
          <w:trHeight w:val="230"/>
        </w:trPr>
        <w:tc>
          <w:tcPr>
            <w:tcW w:w="350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Finance and Chief Financial Officer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$400,000,000 2.950% SENIOR NOTES DUE APRIL 1, 2025</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SUPPLEMENTAL INDENTURE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April 8, 2020</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June 3, 2013</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BANK OF NEW YORK</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MELLON TRUST COMPANY, N.A.</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66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vMerge w:val="restart"/>
          </w:tcPr>
          <w:p>
            <w:pPr>
              <w:jc w:val="center"/>
              <w:ind w:right="130"/>
              <w:spacing w:after="0"/>
              <w:rPr>
                <w:sz w:val="20"/>
                <w:szCs w:val="20"/>
                <w:color w:val="auto"/>
              </w:rPr>
            </w:pPr>
            <w:r>
              <w:rPr>
                <w:rFonts w:ascii="Arial" w:cs="Arial" w:eastAsia="Arial" w:hAnsi="Arial"/>
                <w:sz w:val="18"/>
                <w:szCs w:val="18"/>
                <w:color w:val="auto"/>
                <w:w w:val="95"/>
              </w:rPr>
              <w:t>ARTICLE 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5"/>
              </w:rPr>
              <w:t>DEFINITIONS AND INCORPORATION BY REFERENCE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60" w:type="dxa"/>
            <w:vAlign w:val="bottom"/>
          </w:tcPr>
          <w:p>
            <w:pPr>
              <w:spacing w:after="0"/>
              <w:rPr>
                <w:sz w:val="20"/>
                <w:szCs w:val="20"/>
                <w:color w:val="auto"/>
              </w:rPr>
            </w:pPr>
            <w:r>
              <w:rPr>
                <w:rFonts w:ascii="Arial" w:cs="Arial" w:eastAsia="Arial" w:hAnsi="Arial"/>
                <w:sz w:val="18"/>
                <w:szCs w:val="18"/>
                <w:color w:val="auto"/>
              </w:rPr>
              <w:t>Section 1.1. Relationship with Base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1.2.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1.3. Other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8"/>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5"/>
              </w:rPr>
              <w:t>ARTICLE 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3"/>
              </w:rPr>
              <w:t>THE NOTES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60" w:type="dxa"/>
            <w:vAlign w:val="bottom"/>
          </w:tcPr>
          <w:p>
            <w:pPr>
              <w:spacing w:after="0"/>
              <w:rPr>
                <w:sz w:val="20"/>
                <w:szCs w:val="20"/>
                <w:color w:val="auto"/>
              </w:rPr>
            </w:pPr>
            <w:r>
              <w:rPr>
                <w:rFonts w:ascii="Arial" w:cs="Arial" w:eastAsia="Arial" w:hAnsi="Arial"/>
                <w:sz w:val="18"/>
                <w:szCs w:val="18"/>
                <w:color w:val="auto"/>
              </w:rPr>
              <w:t>Section 2.1. Form and Dating.</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2.2. Transfer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2.3. Issuance of Additional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5"/>
              </w:rPr>
              <w:t>ARTICLE 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5"/>
              </w:rPr>
              <w:t>REDEMPTION AND PREPAYMENT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60" w:type="dxa"/>
            <w:vAlign w:val="bottom"/>
          </w:tcPr>
          <w:p>
            <w:pPr>
              <w:spacing w:after="0"/>
              <w:rPr>
                <w:sz w:val="20"/>
                <w:szCs w:val="20"/>
                <w:color w:val="auto"/>
              </w:rPr>
            </w:pPr>
            <w:r>
              <w:rPr>
                <w:rFonts w:ascii="Arial" w:cs="Arial" w:eastAsia="Arial" w:hAnsi="Arial"/>
                <w:sz w:val="18"/>
                <w:szCs w:val="18"/>
                <w:color w:val="auto"/>
              </w:rPr>
              <w:t>Section 3.1. Optional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3.2. Mandatory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5"/>
              </w:rPr>
              <w:t>ARTICLE 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6"/>
              </w:rPr>
              <w:t>PARTICULAR COVENANTS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60" w:type="dxa"/>
            <w:vAlign w:val="bottom"/>
          </w:tcPr>
          <w:p>
            <w:pPr>
              <w:spacing w:after="0"/>
              <w:rPr>
                <w:sz w:val="20"/>
                <w:szCs w:val="20"/>
                <w:color w:val="auto"/>
              </w:rPr>
            </w:pPr>
            <w:r>
              <w:rPr>
                <w:rFonts w:ascii="Arial" w:cs="Arial" w:eastAsia="Arial" w:hAnsi="Arial"/>
                <w:sz w:val="18"/>
                <w:szCs w:val="18"/>
                <w:color w:val="auto"/>
              </w:rPr>
              <w:t>Section 4.1. Offer to Purchase Upon Change of Control Triggering Event.</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4.2. Liens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4.3. Sale and Lease Back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4.4. Covenants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5"/>
              </w:rPr>
              <w:t>ARTICLE 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6"/>
              </w:rPr>
              <w:t>DEFAULTS AND REMEDIES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60" w:type="dxa"/>
            <w:vAlign w:val="bottom"/>
          </w:tcPr>
          <w:p>
            <w:pPr>
              <w:spacing w:after="0"/>
              <w:rPr>
                <w:sz w:val="20"/>
                <w:szCs w:val="20"/>
                <w:color w:val="auto"/>
              </w:rPr>
            </w:pPr>
            <w:r>
              <w:rPr>
                <w:rFonts w:ascii="Arial" w:cs="Arial" w:eastAsia="Arial" w:hAnsi="Arial"/>
                <w:sz w:val="18"/>
                <w:szCs w:val="18"/>
                <w:color w:val="auto"/>
              </w:rPr>
              <w:t>Section 5.1. Events of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5"/>
              </w:rPr>
              <w:t>ARTICLE 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60" w:type="dxa"/>
            <w:vAlign w:val="bottom"/>
          </w:tcPr>
          <w:p>
            <w:pPr>
              <w:jc w:val="center"/>
              <w:ind w:right="110"/>
              <w:spacing w:after="0"/>
              <w:rPr>
                <w:sz w:val="20"/>
                <w:szCs w:val="20"/>
                <w:color w:val="auto"/>
              </w:rPr>
            </w:pPr>
            <w:r>
              <w:rPr>
                <w:rFonts w:ascii="Arial" w:cs="Arial" w:eastAsia="Arial" w:hAnsi="Arial"/>
                <w:sz w:val="18"/>
                <w:szCs w:val="18"/>
                <w:color w:val="auto"/>
                <w:w w:val="96"/>
              </w:rPr>
              <w:t>SATISFACTION AND DISCHARGE; DEFEASANCE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60" w:type="dxa"/>
            <w:vAlign w:val="bottom"/>
          </w:tcPr>
          <w:p>
            <w:pPr>
              <w:spacing w:after="0"/>
              <w:rPr>
                <w:sz w:val="20"/>
                <w:szCs w:val="20"/>
                <w:color w:val="auto"/>
              </w:rPr>
            </w:pPr>
            <w:r>
              <w:rPr>
                <w:rFonts w:ascii="Arial" w:cs="Arial" w:eastAsia="Arial" w:hAnsi="Arial"/>
                <w:sz w:val="18"/>
                <w:szCs w:val="18"/>
                <w:color w:val="auto"/>
              </w:rPr>
              <w:t>Section 6.1. Satisfaction and Discharge of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6.2. Legal Defeasance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6.3. Covenant Defeasance.</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10660" w:type="dxa"/>
            <w:vAlign w:val="bottom"/>
          </w:tcPr>
          <w:p>
            <w:pPr>
              <w:jc w:val="center"/>
              <w:ind w:right="130"/>
              <w:spacing w:after="0"/>
              <w:rPr>
                <w:sz w:val="20"/>
                <w:szCs w:val="20"/>
                <w:color w:val="auto"/>
              </w:rPr>
            </w:pPr>
            <w:r>
              <w:rPr>
                <w:rFonts w:ascii="Arial" w:cs="Arial" w:eastAsia="Arial" w:hAnsi="Arial"/>
                <w:sz w:val="18"/>
                <w:szCs w:val="18"/>
                <w:color w:val="auto"/>
                <w:w w:val="95"/>
              </w:rPr>
              <w:t>ARTICLE 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60" w:type="dxa"/>
            <w:vAlign w:val="bottom"/>
          </w:tcPr>
          <w:p>
            <w:pPr>
              <w:jc w:val="center"/>
              <w:ind w:right="110"/>
              <w:spacing w:after="0"/>
              <w:rPr>
                <w:sz w:val="20"/>
                <w:szCs w:val="20"/>
                <w:color w:val="auto"/>
              </w:rPr>
            </w:pPr>
            <w:r>
              <w:rPr>
                <w:rFonts w:ascii="Arial" w:cs="Arial" w:eastAsia="Arial" w:hAnsi="Arial"/>
                <w:sz w:val="18"/>
                <w:szCs w:val="18"/>
                <w:color w:val="auto"/>
                <w:w w:val="97"/>
              </w:rPr>
              <w:t>MISCELLANEOUS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60" w:type="dxa"/>
            <w:vAlign w:val="bottom"/>
          </w:tcPr>
          <w:p>
            <w:pPr>
              <w:spacing w:after="0"/>
              <w:rPr>
                <w:sz w:val="20"/>
                <w:szCs w:val="20"/>
                <w:color w:val="auto"/>
              </w:rPr>
            </w:pPr>
            <w:r>
              <w:rPr>
                <w:rFonts w:ascii="Arial" w:cs="Arial" w:eastAsia="Arial" w:hAnsi="Arial"/>
                <w:sz w:val="18"/>
                <w:szCs w:val="18"/>
                <w:color w:val="auto"/>
              </w:rPr>
              <w:t>Section 7.1. Trust Indenture Act Controls.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Section 7.2. Governing Law.</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Section 7.3. Successors.</w:t>
            </w:r>
          </w:p>
        </w:tc>
        <w:tc>
          <w:tcPr>
            <w:tcW w:w="3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Section 7.4. Severability.</w:t>
            </w:r>
          </w:p>
        </w:tc>
        <w:tc>
          <w:tcPr>
            <w:tcW w:w="3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Section 7.5. Counterpart Originals.</w:t>
            </w:r>
          </w:p>
        </w:tc>
        <w:tc>
          <w:tcPr>
            <w:tcW w:w="3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Section 7.6. Table of Contents, Headings, Etc.</w:t>
            </w:r>
          </w:p>
        </w:tc>
        <w:tc>
          <w:tcPr>
            <w:tcW w:w="3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Section 7.7. Jury Trial.</w:t>
            </w:r>
          </w:p>
        </w:tc>
        <w:tc>
          <w:tcPr>
            <w:tcW w:w="3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Section 7.8. Interpretation.</w:t>
            </w:r>
          </w:p>
        </w:tc>
        <w:tc>
          <w:tcPr>
            <w:tcW w:w="3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Section 7.9. Instruction by Electronic Transmissions.</w:t>
            </w:r>
          </w:p>
        </w:tc>
        <w:tc>
          <w:tcPr>
            <w:tcW w:w="3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Section 7.10. Miscellaneous.</w:t>
            </w:r>
          </w:p>
        </w:tc>
        <w:tc>
          <w:tcPr>
            <w:tcW w:w="3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7300" w:type="dxa"/>
            <w:vAlign w:val="bottom"/>
          </w:tcPr>
          <w:p>
            <w:pPr>
              <w:spacing w:after="0"/>
              <w:rPr>
                <w:sz w:val="20"/>
                <w:szCs w:val="20"/>
                <w:color w:val="auto"/>
              </w:rPr>
            </w:pPr>
            <w:r>
              <w:rPr>
                <w:rFonts w:ascii="Arial" w:cs="Arial" w:eastAsia="Arial" w:hAnsi="Arial"/>
                <w:sz w:val="18"/>
                <w:szCs w:val="18"/>
                <w:color w:val="auto"/>
              </w:rPr>
              <w:t>Exhibit A  FORM OF NOTE</w:t>
            </w:r>
          </w:p>
        </w:tc>
        <w:tc>
          <w:tcPr>
            <w:tcW w:w="3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 w:name="page8"/>
    <w:bookmarkEnd w:id="7"/>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SUPPLEMENTAL INDENTURE dated as of April 8, 2020 by and between Analog Devices, Inc., a Massachusetts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Bank of New York Mellon Trust Company, N.A., a national banking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Company has heretofore executed and delivered to the Trustee an indenture, dated as of June 3, 2013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providing for the issuance from time to time of one or more Series of the Company’s securities.</w:t>
      </w:r>
    </w:p>
    <w:p>
      <w:pPr>
        <w:spacing w:after="0" w:line="170"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84"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The Company desires and has requested the Trustee pursuant to Section 9.1 of the Base Indenture to join with it in the execution and delivery of this Supplemental Indenture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in order to supplement the Base Indenture as, and to the extent, set forth herein to provide for the issuance of and establish the forms and terms and conditions of the Notes (as defined below).</w:t>
      </w:r>
    </w:p>
    <w:p>
      <w:pPr>
        <w:spacing w:after="0" w:line="16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execution and delivery of this Supplemental Indenture has been duly authorized by votes of the Board of Directors or a duly authorized committee thereof.</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and the Trustee agree as follows for the benefit of each other and for the equal and ratable benefit of the Holders (as defined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2.950% Senior Notes due April 1,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Relationship with Base Indenture</w:t>
      </w:r>
      <w:r>
        <w:rPr>
          <w:rFonts w:ascii="Arial" w:cs="Arial" w:eastAsia="Arial" w:hAnsi="Arial"/>
          <w:sz w:val="18"/>
          <w:szCs w:val="18"/>
          <w:color w:val="auto"/>
        </w:rPr>
        <w:t>.</w:t>
      </w:r>
    </w:p>
    <w:p>
      <w:pPr>
        <w:spacing w:after="0" w:line="117"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the provisions of this Supplemental Indenture will govern and be controlling.</w:t>
      </w:r>
    </w:p>
    <w:p>
      <w:pPr>
        <w:spacing w:after="0" w:line="18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166"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Further, the Trustee shall not be responsible or liable for any failure or delay in the performance of its obligations under this Supplemental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ectPr>
          <w:pgSz w:w="11900" w:h="16838" w:orient="portrait"/>
          <w:cols w:equalWidth="0" w:num="1">
            <w:col w:w="10980"/>
          </w:cols>
          <w:pgMar w:left="440" w:top="274"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Capitalized terms used herein without definition shall have the respective meanings set forth in the Base Indenture. The following terms have the meanings given to them in this Section 1.2:</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any Notes (other than the Initial Notes) issued under this Supplemental Indenture in accordance with Section 2.3 hereof, as part of the same Series as the Initial Notes.</w:t>
      </w:r>
    </w:p>
    <w:p>
      <w:pPr>
        <w:spacing w:after="0" w:line="170"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70"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Attributable Debt</w:t>
      </w:r>
      <w:r>
        <w:rPr>
          <w:rFonts w:ascii="Arial" w:cs="Arial" w:eastAsia="Arial" w:hAnsi="Arial"/>
          <w:sz w:val="17"/>
          <w:szCs w:val="17"/>
          <w:color w:val="auto"/>
        </w:rPr>
        <w:t>” with regard to a Sale and Lease Back Transaction with respect to any Principal Property means, at the time of determination, the lesser of (i) the fair market value of the Principal Property subject to the Sale and Lease Back Transaction or (ii) the present value (discounted by the weighted average interest rate borne by all securities then outstanding under the Base Indenture at the time of determination compounded semiannually) of the total obligations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Sale and Lease Back Transaction.</w:t>
      </w:r>
    </w:p>
    <w:p>
      <w:pPr>
        <w:spacing w:after="0" w:line="17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has the meaning set forth in the preamble to this Supplemental Indenture, as it may be amended, supplemented or otherwise modified from time to time in accordance with the terms thereof.</w:t>
      </w:r>
    </w:p>
    <w:p>
      <w:pPr>
        <w:spacing w:after="0" w:line="170"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Below Investment Grade Rating Event</w:t>
      </w:r>
      <w:r>
        <w:rPr>
          <w:rFonts w:ascii="Arial" w:cs="Arial" w:eastAsia="Arial" w:hAnsi="Arial"/>
          <w:sz w:val="17"/>
          <w:szCs w:val="17"/>
          <w:color w:val="auto"/>
        </w:rPr>
        <w:t>” means the Notes are downgraded below Investment Grade by both Rating Agencies on any date during the period (the “</w:t>
      </w:r>
      <w:r>
        <w:rPr>
          <w:rFonts w:ascii="Arial" w:cs="Arial" w:eastAsia="Arial" w:hAnsi="Arial"/>
          <w:sz w:val="17"/>
          <w:szCs w:val="17"/>
          <w:b w:val="1"/>
          <w:bCs w:val="1"/>
          <w:i w:val="1"/>
          <w:iCs w:val="1"/>
          <w:color w:val="auto"/>
        </w:rPr>
        <w:t>Trigger Period</w:t>
      </w:r>
      <w:r>
        <w:rPr>
          <w:rFonts w:ascii="Arial" w:cs="Arial" w:eastAsia="Arial" w:hAnsi="Arial"/>
          <w:sz w:val="17"/>
          <w:szCs w:val="17"/>
          <w:color w:val="auto"/>
        </w:rPr>
        <w:t xml:space="preserve">”) commencing 60 days prior to the first public announcement by the Company of any Change of Control (or pending Change of Control) and ending 60 days following the consummation of such Change of Control (which Trigger Period shall be extended if the rating of the Notes is under publicly announced consideration for possible downgrade by any Rating Agency on such 60th day, such extension to last with respect to each Rating Agency until the date on which such Rating Agency considering such possible downgrade either (i) rates the Notes below Investment Grade or (ii) publicly announces that it is no longer considering the Notes for possible downgrade,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extension will occur if on such 60th day the Notes are rated Investment Grade by both Rating Agencies and are not subject to review for possible downgrade by either Rating Agency). In no event shall the Trustee be charged with knowledge of or responsibility for maintaining a “Below Investment Grade Rating Event” or “Trigger Period.”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firstLine="436"/>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more series of related transactions, of all or substantially all of the Company’s assets and the assets of its Subsidiaries, taken as a whole, to any person, other than to the Company or one of its direct or indirect Subsidiaries;</w:t>
      </w:r>
    </w:p>
    <w:p>
      <w:pPr>
        <w:spacing w:after="0" w:line="183" w:lineRule="exact"/>
        <w:rPr>
          <w:rFonts w:ascii="Arial" w:cs="Arial" w:eastAsia="Arial" w:hAnsi="Arial"/>
          <w:sz w:val="18"/>
          <w:szCs w:val="18"/>
          <w:color w:val="auto"/>
        </w:rPr>
      </w:pPr>
    </w:p>
    <w:p>
      <w:pPr>
        <w:jc w:val="both"/>
        <w:ind w:right="340" w:firstLine="436"/>
        <w:spacing w:after="0" w:line="259"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consummation of any transaction (including any merger or consolidation) the result of which is that any person becomes the beneficial owner (as defined in Rules 13d-3 and 13d-5 under the Exchange Act), directly or indirectly, of more than 50% of the Company’s outstanding Voting Stock or other Voting Stock into which the Company’s Voting Stock is reclassified, consolidated, exchanged or changed, measured by voting power rather than number of shares;</w:t>
      </w:r>
    </w:p>
    <w:p>
      <w:pPr>
        <w:spacing w:after="0" w:line="186" w:lineRule="exact"/>
        <w:rPr>
          <w:rFonts w:ascii="Arial" w:cs="Arial" w:eastAsia="Arial" w:hAnsi="Arial"/>
          <w:sz w:val="18"/>
          <w:szCs w:val="18"/>
          <w:color w:val="auto"/>
        </w:rPr>
      </w:pPr>
    </w:p>
    <w:p>
      <w:pPr>
        <w:jc w:val="both"/>
        <w:ind w:right="100" w:firstLine="436"/>
        <w:spacing w:after="0" w:line="263" w:lineRule="auto"/>
        <w:tabs>
          <w:tab w:leader="none" w:pos="7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any person, or any person consolidates with, or merges with or into, the Company, in any such event pursuant to a transaction in which any of the Company’s outstanding Voting Stock or the Voting Stock of such other person is converted into or exchanged for cash,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 w:name="page10"/>
    <w:bookmarkEnd w:id="9"/>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or other property, other than any such transaction where the shares of the Company’s Voting Stock 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 or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(iv) the adoption of a plan providing for the Company’s liquidation or dissolution.</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Notwithstanding the foregoing, a transaction will not be deemed to involve a Change of Control if (i) the Company becomes a direct or indirect wholly owned subsidiary of a holding company (which shall include a parent company) and (ii)(A) the direct or indirect holders of the Voting Stock of such holding company immediately following that transaction are substantially the same as the holders of the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 Triggering Event</w:t>
      </w:r>
      <w:r>
        <w:rPr>
          <w:rFonts w:ascii="Arial" w:cs="Arial" w:eastAsia="Arial" w:hAnsi="Arial"/>
          <w:sz w:val="17"/>
          <w:szCs w:val="17"/>
          <w:color w:val="auto"/>
        </w:rPr>
        <w:t>” means the occurrence of both a Change of Control and a Below Investment Grade Rating Event.</w:t>
      </w:r>
    </w:p>
    <w:p>
      <w:pPr>
        <w:spacing w:after="0" w:line="23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Issue</w:t>
      </w:r>
      <w:r>
        <w:rPr>
          <w:rFonts w:ascii="Arial" w:cs="Arial" w:eastAsia="Arial" w:hAnsi="Arial"/>
          <w:sz w:val="16"/>
          <w:szCs w:val="16"/>
          <w:color w:val="auto"/>
        </w:rPr>
        <w:t>” means, with respect to any Notes being redeemed, the United States Treasury security selected by the Quotation Agent as having an actual or interpolated maturity comparable to the remaining term of the Notes being redeemed (assuming that the Notes mature on the Par Call Date) that would be utilized, at the time of selection and in accordance with customary financial practice, in pricing new issues of corporate debt securities of comparable maturity to the remaining term of such Notes (assuming that the Notes mature on the Par Call Date).</w:t>
      </w:r>
    </w:p>
    <w:p>
      <w:pPr>
        <w:spacing w:after="0" w:line="157"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Price</w:t>
      </w:r>
      <w:r>
        <w:rPr>
          <w:rFonts w:ascii="Arial" w:cs="Arial" w:eastAsia="Arial" w:hAnsi="Arial"/>
          <w:sz w:val="16"/>
          <w:szCs w:val="16"/>
          <w:color w:val="auto"/>
        </w:rPr>
        <w:t>” means, with respect to any redemption date, the arithmetic average of all Reference Treasury Dealer Quotations for such redemption date or, if the Quotation Agent obtains only one Reference Treasury Dealer Quotation, such Reference Treasury Dealer Quotation.</w:t>
      </w:r>
    </w:p>
    <w:p>
      <w:pPr>
        <w:spacing w:after="0" w:line="124"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Net Tangible Assets</w:t>
      </w:r>
      <w:r>
        <w:rPr>
          <w:rFonts w:ascii="Arial" w:cs="Arial" w:eastAsia="Arial" w:hAnsi="Arial"/>
          <w:sz w:val="16"/>
          <w:szCs w:val="16"/>
          <w:color w:val="auto"/>
        </w:rPr>
        <w:t>” means, as of any date on which the Company effects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 (ii) all goodwill, trade names, patents, unamortized debt discount and expense and any other like intangibles, to the extent included in said aggregate amount of assets, all as set forth on the Company’s most recent consolidated balance sheet and computed in accordance with GAAP.</w:t>
      </w:r>
    </w:p>
    <w:p>
      <w:pPr>
        <w:spacing w:after="0" w:line="16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2.2 hereof,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will not bear the Global Note Legend.</w:t>
      </w:r>
    </w:p>
    <w:p>
      <w:pPr>
        <w:spacing w:after="0" w:line="170"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means, with respect to the Notes hereunder issuable or issued in whole or in part in global form, the person specified in Section 2.1 hereof as the Depositary with respect to such Notes, and any and all successors thereto appointed as depositary hereunder.</w:t>
      </w:r>
    </w:p>
    <w:p>
      <w:pPr>
        <w:spacing w:after="0" w:line="14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2.2(e) hereof, which is required to be placed on all Global Notes issued under this Supplemental Indenture.</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Notes</w:t>
      </w:r>
      <w:r>
        <w:rPr>
          <w:rFonts w:ascii="Arial" w:cs="Arial" w:eastAsia="Arial" w:hAnsi="Arial"/>
          <w:sz w:val="18"/>
          <w:szCs w:val="18"/>
          <w:color w:val="auto"/>
        </w:rPr>
        <w:t xml:space="preserve">” means, individually and collectively, each of the Global Notes,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issued in accordance with Section 2.1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Note is registered.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0" w:name="page11"/>
    <w:bookmarkEnd w:id="10"/>
    <w:p>
      <w:pPr>
        <w:ind w:right="6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the Base Indenture, as supplemented by this Supplemental Indenture, governing the Notes, in each case, as amended, supplemented or restated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Notes</w:t>
      </w:r>
      <w:r>
        <w:rPr>
          <w:rFonts w:ascii="Arial" w:cs="Arial" w:eastAsia="Arial" w:hAnsi="Arial"/>
          <w:sz w:val="16"/>
          <w:szCs w:val="16"/>
          <w:color w:val="auto"/>
        </w:rPr>
        <w:t>” means the first $400,000,000 aggregate principal amount of Notes issued under this Supplemental Indenture on the date hereof.</w:t>
      </w:r>
    </w:p>
    <w:p>
      <w:pPr>
        <w:spacing w:after="0" w:line="248"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 Grade</w:t>
      </w:r>
      <w:r>
        <w:rPr>
          <w:rFonts w:ascii="Arial" w:cs="Arial" w:eastAsia="Arial" w:hAnsi="Arial"/>
          <w:sz w:val="16"/>
          <w:szCs w:val="16"/>
          <w:color w:val="auto"/>
        </w:rPr>
        <w:t>” means, with respect to Moody’s, a rating equal to or higher than Baa3 (or the equivalent under any successor rating categories of Moody’s) and, with respect to S&amp;P, a rating equal to or higher than BBB- (or the equivalent under any successor rating categories of S&amp;P).</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Available Proceeds</w:t>
      </w:r>
      <w:r>
        <w:rPr>
          <w:rFonts w:ascii="Arial" w:cs="Arial" w:eastAsia="Arial" w:hAnsi="Arial"/>
          <w:sz w:val="16"/>
          <w:szCs w:val="16"/>
          <w:color w:val="auto"/>
        </w:rPr>
        <w:t>” from any Sale and Lease Back Transaction by the Company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 Back Transaction or received in any other noncash form) therefrom by the Company or any Subsidiary, net of (i) all legal, title and recording tax expenses, commissions and other fees and expenses incurred and all United States federal, state, provincial, foreign and local taxes required to be accrued as a liability as a consequence of such Sale and Lease Back Transaction; (ii) all payments made by the Company or any Subsidiary on any debt which is secured in whole or in part by any such properties and assets in accordance with the terms of any Lien upon or with respect to any such properties and assets or which must, by the terms of such Lien, or in order to obtain a necessary consent to such Sale and Lease Back Transaction or by applicable law, be repaid out of the proceeds from such Sale and Lease Back Transaction; and (iii) all distributions and other payments made to the minority interest holders in any Subsidiary or joint venture as a result of such Sale and Lease Back Transaction.</w:t>
      </w:r>
    </w:p>
    <w:p>
      <w:pPr>
        <w:spacing w:after="0" w:line="168"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xml:space="preserve">” means the 2.950% Senior Notes due April 1, 2025;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Notes and the Additional Notes, if any, will be treated as a single Series for all purposes under this Supplemental Indenture, and unless the context otherwise requires, all references to the Notes will include the Initial Notes and any Additional Notes.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 Call Date</w:t>
      </w:r>
      <w:r>
        <w:rPr>
          <w:rFonts w:ascii="Arial" w:cs="Arial" w:eastAsia="Arial" w:hAnsi="Arial"/>
          <w:sz w:val="18"/>
          <w:szCs w:val="18"/>
          <w:color w:val="auto"/>
        </w:rPr>
        <w:t>” means March 1, 2025.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Property</w:t>
      </w:r>
      <w:r>
        <w:rPr>
          <w:rFonts w:ascii="Arial" w:cs="Arial" w:eastAsia="Arial" w:hAnsi="Arial"/>
          <w:sz w:val="18"/>
          <w:szCs w:val="18"/>
          <w:color w:val="auto"/>
        </w:rPr>
        <w:t>” means any single parcel of real property or any permanent improvement thereon (i) owned by the Company or any of the Subsidiaries located in the United States, including the Company’s principal corporate office, any manufacturing facility or plant or any portion thereof and (ii) having a book value, as of the date of determination, in excess of 3.0% of the Company’s most recently calculated Consolidated Net Tangible Assets. Principal Property does not include any property that the Board of Directors has determined not to be of material importance to the business conducted by the Subsidiaries and the Company, taken as a whole.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Subsidiary</w:t>
      </w:r>
      <w:r>
        <w:rPr>
          <w:rFonts w:ascii="Arial" w:cs="Arial" w:eastAsia="Arial" w:hAnsi="Arial"/>
          <w:sz w:val="18"/>
          <w:szCs w:val="18"/>
          <w:color w:val="auto"/>
        </w:rPr>
        <w:t>” means any Subsidiary which owns any Principal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Quotation Agent</w:t>
      </w:r>
      <w:r>
        <w:rPr>
          <w:rFonts w:ascii="Arial" w:cs="Arial" w:eastAsia="Arial" w:hAnsi="Arial"/>
          <w:sz w:val="18"/>
          <w:szCs w:val="18"/>
          <w:color w:val="auto"/>
        </w:rPr>
        <w:t>” means the Reference Treasury Dealer selected by the Company.</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Agencies</w:t>
      </w:r>
      <w:r>
        <w:rPr>
          <w:rFonts w:ascii="Arial" w:cs="Arial" w:eastAsia="Arial" w:hAnsi="Arial"/>
          <w:sz w:val="18"/>
          <w:szCs w:val="18"/>
          <w:color w:val="auto"/>
        </w:rPr>
        <w:t xml:space="preserve">” means each of Moody’s and S&amp;P; </w:t>
      </w:r>
      <w:r>
        <w:rPr>
          <w:rFonts w:ascii="Arial" w:cs="Arial" w:eastAsia="Arial" w:hAnsi="Arial"/>
          <w:sz w:val="18"/>
          <w:szCs w:val="18"/>
          <w:i w:val="1"/>
          <w:iCs w:val="1"/>
          <w:color w:val="auto"/>
        </w:rPr>
        <w:t>provided</w:t>
      </w:r>
      <w:r>
        <w:rPr>
          <w:rFonts w:ascii="Arial" w:cs="Arial" w:eastAsia="Arial" w:hAnsi="Arial"/>
          <w:sz w:val="18"/>
          <w:szCs w:val="18"/>
          <w:color w:val="auto"/>
        </w:rPr>
        <w:t>, that if either of Moody’s and S&amp;P ceases to provide rating services to issuers or investors, the Company may appoint a replacement for such Rating Agency that is a “nationally recognized statistical rating organization” within the meaning of Section 3(a)(62) of the Exchange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1" w:name="page12"/>
    <w:bookmarkEnd w:id="11"/>
    <w:p>
      <w:pPr>
        <w:ind w:right="2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Reference Treasury Dealer</w:t>
      </w:r>
      <w:r>
        <w:rPr>
          <w:rFonts w:ascii="Arial" w:cs="Arial" w:eastAsia="Arial" w:hAnsi="Arial"/>
          <w:sz w:val="18"/>
          <w:szCs w:val="18"/>
          <w:color w:val="auto"/>
        </w:rPr>
        <w:t>” means each of (i) J.P. Morgan Securities LLC and Citigroup Global Markets Inc.; and (ii) any other primary U.S. Government securities dealer in New York City (a “</w:t>
      </w:r>
      <w:r>
        <w:rPr>
          <w:rFonts w:ascii="Arial" w:cs="Arial" w:eastAsia="Arial" w:hAnsi="Arial"/>
          <w:sz w:val="18"/>
          <w:szCs w:val="18"/>
          <w:b w:val="1"/>
          <w:bCs w:val="1"/>
          <w:i w:val="1"/>
          <w:iCs w:val="1"/>
          <w:color w:val="auto"/>
        </w:rPr>
        <w:t>primary treasury dealer</w:t>
      </w:r>
      <w:r>
        <w:rPr>
          <w:rFonts w:ascii="Arial" w:cs="Arial" w:eastAsia="Arial" w:hAnsi="Arial"/>
          <w:sz w:val="18"/>
          <w:szCs w:val="18"/>
          <w:color w:val="auto"/>
        </w:rPr>
        <w:t xml:space="preserve">”) selected by the Quotation Agent after consultation with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any of the foregoing shall cease to be a primary treasury dealer, another primary treasury dealer shall be substituted therefor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 Quotation</w:t>
      </w:r>
      <w:r>
        <w:rPr>
          <w:rFonts w:ascii="Arial" w:cs="Arial" w:eastAsia="Arial" w:hAnsi="Arial"/>
          <w:sz w:val="18"/>
          <w:szCs w:val="18"/>
          <w:color w:val="auto"/>
        </w:rPr>
        <w:t>” means, with respect to each Reference Treasury Dealer and any redemption date, the arithmetic average, as determined by the Quotation Agent, of the bid and asked prices for the applicable Comparable Treasury Issue (expressed in each case as a percentage of its principal amount) quoted in writing to the Quotation Agent by such Reference Treasury Dealer at 5:00 p.m. Eastern Time on the third Business Day preceding such redemption date.</w:t>
      </w:r>
    </w:p>
    <w:p>
      <w:pPr>
        <w:spacing w:after="0" w:line="18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Remaining Scheduled Payments</w:t>
      </w:r>
      <w:r>
        <w:rPr>
          <w:rFonts w:ascii="Arial" w:cs="Arial" w:eastAsia="Arial" w:hAnsi="Arial"/>
          <w:sz w:val="16"/>
          <w:szCs w:val="16"/>
          <w:color w:val="auto"/>
        </w:rPr>
        <w:t xml:space="preserve">” means, with respect to any Notes being redeemed, the remaining scheduled payments of the principal and interest thereon that would be due after the related redemption date but for such redemption assuming that such Notes mature on the Par Call Date;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such redemption date is not an interest payment date with respect to such Notes, the amount of the next scheduled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thereon shall be reduced (solely for the purpose of calculating the redemption price) by the amount of interest accrued thereon to such redemption date. In determining the present values of the Remaining Scheduled Payments, such payments shall be discounted to the redemption date on a semi-annual basis (assuming a 360-day year consisting of twelve 30-day months) using a discount rate equal to the Treasury Rate plus 40 basis points.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 Back Transaction</w:t>
      </w:r>
      <w:r>
        <w:rPr>
          <w:rFonts w:ascii="Arial" w:cs="Arial" w:eastAsia="Arial" w:hAnsi="Arial"/>
          <w:sz w:val="18"/>
          <w:szCs w:val="18"/>
          <w:color w:val="auto"/>
        </w:rPr>
        <w:t>” means an arrangement with any lender or investor or to which such lender or investor is a party providing for the leasing by the Company or any Subsidiary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to such lender or investor or to any person to whom funds have been or are to be advanced by such lender on the security of such Principal Property.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shall have the meaning assigned to it in the Base Indenture.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the Company or one or more of its other Subsidiaries or a combination thereof.</w:t>
      </w:r>
    </w:p>
    <w:p>
      <w:pPr>
        <w:spacing w:after="0" w:line="18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means this Supplemental Indenture, dated as of the date hereof, by and between the Company and the Trustee,</w:t>
      </w:r>
    </w:p>
    <w:p>
      <w:pPr>
        <w:spacing w:after="0" w:line="3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governing the Notes, as amended, supplemented or otherwise modified from time to time in accordance with the Base Indenture and the terms hereof.</w:t>
      </w:r>
    </w:p>
    <w:p>
      <w:pPr>
        <w:spacing w:after="0" w:line="234"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Rate</w:t>
      </w:r>
      <w:r>
        <w:rPr>
          <w:rFonts w:ascii="Arial" w:cs="Arial" w:eastAsia="Arial" w:hAnsi="Arial"/>
          <w:sz w:val="16"/>
          <w:szCs w:val="16"/>
          <w:color w:val="auto"/>
        </w:rPr>
        <w:t>” means, with respect to any redemption date, the rate per annum equal to the semi-annual equivalent yield to maturity or interpolated yield to maturity of the applicable Comparable Treasury Issue. In determining this rate, the price for such Comparable Treasury Issue (expressed as a percentage of its principal amount) shall be assumed to be equal to the applicable Comparable Treasury Price for such redemption date.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 Certificate</w:t>
      </w:r>
      <w:r>
        <w:rPr>
          <w:rFonts w:ascii="Arial" w:cs="Arial" w:eastAsia="Arial" w:hAnsi="Arial"/>
          <w:sz w:val="18"/>
          <w:szCs w:val="18"/>
          <w:color w:val="auto"/>
        </w:rPr>
        <w:t>” means a certificate signed on behalf of the Trustee by one of its duly authorized officers.</w:t>
      </w:r>
    </w:p>
    <w:p>
      <w:pPr>
        <w:spacing w:after="0" w:line="22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shares, interests, participations, rights or other equivalents (however designated) of such person that is at the time entitled to vote generally in the election of the board of directors of such person.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 </w:t>
      </w:r>
      <w:r>
        <w:rPr>
          <w:rFonts w:ascii="Arial" w:cs="Arial" w:eastAsia="Arial" w:hAnsi="Arial"/>
          <w:sz w:val="18"/>
          <w:szCs w:val="18"/>
          <w:i w:val="1"/>
          <w:iCs w:val="1"/>
          <w:color w:val="auto"/>
        </w:rPr>
        <w:t>Other Definitions</w:t>
      </w:r>
      <w:r>
        <w:rPr>
          <w:rFonts w:ascii="Arial" w:cs="Arial" w:eastAsia="Arial" w:hAnsi="Arial"/>
          <w:sz w:val="18"/>
          <w:szCs w:val="18"/>
          <w:color w:val="auto"/>
        </w:rPr>
        <w:t>.</w:t>
      </w:r>
    </w:p>
    <w:p>
      <w:pPr>
        <w:spacing w:after="0" w:line="23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Term</w:t>
            </w:r>
          </w:p>
        </w:tc>
        <w:tc>
          <w:tcPr>
            <w:tcW w:w="6440" w:type="dxa"/>
            <w:vAlign w:val="bottom"/>
            <w:vMerge w:val="restart"/>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Defined in</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6440" w:type="dxa"/>
            <w:vAlign w:val="bottom"/>
            <w:vMerge w:val="continue"/>
          </w:tcPr>
          <w:p>
            <w:pPr>
              <w:spacing w:after="0"/>
              <w:rPr>
                <w:sz w:val="15"/>
                <w:szCs w:val="15"/>
                <w:color w:val="auto"/>
              </w:rPr>
            </w:pPr>
          </w:p>
        </w:tc>
        <w:tc>
          <w:tcPr>
            <w:tcW w:w="7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“Change of Control Offer”</w:t>
            </w:r>
          </w:p>
        </w:tc>
        <w:tc>
          <w:tcPr>
            <w:tcW w:w="64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9"/>
              </w:rPr>
              <w:t>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Payment Date”</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“Debt”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“DTC”</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“incur”</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“Lien”</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3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 and Dating</w:t>
      </w:r>
      <w:r>
        <w:rPr>
          <w:rFonts w:ascii="Arial" w:cs="Arial" w:eastAsia="Arial" w:hAnsi="Arial"/>
          <w:sz w:val="18"/>
          <w:szCs w:val="18"/>
          <w:color w:val="auto"/>
        </w:rPr>
        <w:t>.</w:t>
      </w:r>
    </w:p>
    <w:p>
      <w:pPr>
        <w:spacing w:after="0" w:line="117" w:lineRule="exact"/>
        <w:rPr>
          <w:sz w:val="20"/>
          <w:szCs w:val="20"/>
          <w:color w:val="auto"/>
        </w:rPr>
      </w:pPr>
    </w:p>
    <w:p>
      <w:pPr>
        <w:ind w:right="240" w:firstLine="987"/>
        <w:spacing w:after="0" w:line="263"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Notes and the Trustee’s certificate of authentication with respect thereto will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Notes may have notations, legends or endorsements required by law, stock exchange rule or usage. Each Note will be dated the date of its authentication. The Notes will be in denominations of $2,000 with integral multiples of $1,000 thereof.</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Notes conflicts with the express provisions of the Indenture, the provisions of the Indenture will govern and be controlling.</w:t>
      </w:r>
    </w:p>
    <w:p>
      <w:pPr>
        <w:spacing w:after="0" w:line="295" w:lineRule="exact"/>
        <w:rPr>
          <w:sz w:val="20"/>
          <w:szCs w:val="20"/>
          <w:color w:val="auto"/>
        </w:rPr>
      </w:pPr>
    </w:p>
    <w:p>
      <w:pPr>
        <w:ind w:left="1240" w:hanging="25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60" w:firstLine="1428"/>
        <w:spacing w:after="0" w:line="342" w:lineRule="auto"/>
        <w:tabs>
          <w:tab w:leader="none" w:pos="1687"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Notes issued in global form will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(including the Global Note Legend thereon). Notes issued in definitive form will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(but without the Global Note Legend thereon).</w:t>
      </w:r>
    </w:p>
    <w:p>
      <w:pPr>
        <w:spacing w:after="0" w:line="123" w:lineRule="exact"/>
        <w:rPr>
          <w:rFonts w:ascii="Arial" w:cs="Arial" w:eastAsia="Arial" w:hAnsi="Arial"/>
          <w:sz w:val="16"/>
          <w:szCs w:val="16"/>
          <w:color w:val="auto"/>
        </w:rPr>
      </w:pPr>
    </w:p>
    <w:p>
      <w:pPr>
        <w:ind w:right="60" w:firstLine="1428"/>
        <w:spacing w:after="0" w:line="254" w:lineRule="auto"/>
        <w:tabs>
          <w:tab w:leader="none" w:pos="1687"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act as Depositary with respect to the Global Notes.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311" w:lineRule="auto"/>
        <w:tabs>
          <w:tab w:leader="none" w:pos="1236"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as a whole except by the Depositary to a nominee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by a nominee of the Depositary to the Depositary or to another nominee of the Depositary, or by the Depositary or any such nominee to a successor Depositary or a nominee of such successor Depositary. All Global Notes hereunder will be exchanged by the Company for Definitive Notes if:</w:t>
      </w:r>
    </w:p>
    <w:p>
      <w:pPr>
        <w:spacing w:after="0" w:line="148" w:lineRule="exact"/>
        <w:rPr>
          <w:rFonts w:ascii="Arial" w:cs="Arial" w:eastAsia="Arial" w:hAnsi="Arial"/>
          <w:sz w:val="16"/>
          <w:szCs w:val="16"/>
          <w:color w:val="auto"/>
        </w:rPr>
      </w:pPr>
    </w:p>
    <w:p>
      <w:pPr>
        <w:ind w:right="140" w:firstLine="1428"/>
        <w:spacing w:after="0" w:line="263" w:lineRule="auto"/>
        <w:tabs>
          <w:tab w:leader="none" w:pos="168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 w:name="page14"/>
    <w:bookmarkEnd w:id="13"/>
    <w:p>
      <w:pPr>
        <w:ind w:firstLine="1428"/>
        <w:spacing w:after="0" w:line="277" w:lineRule="auto"/>
        <w:tabs>
          <w:tab w:leader="none" w:pos="1687"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in its sole discretion and subject to the procedures of the Depositary determines that the Global Notes (in whole but not in part) should be exchanged for Definitive Notes and delivers a written notice to such effect to the Trustee.</w:t>
      </w:r>
    </w:p>
    <w:p>
      <w:pPr>
        <w:spacing w:after="0" w:line="170"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Upon the occurrence of either of the preceding events in (1) or (2) above, Definitive Notes will be issued for the Notes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164" w:lineRule="exact"/>
        <w:rPr>
          <w:sz w:val="20"/>
          <w:szCs w:val="20"/>
          <w:color w:val="auto"/>
        </w:rPr>
      </w:pPr>
    </w:p>
    <w:p>
      <w:pPr>
        <w:ind w:right="60" w:firstLine="987"/>
        <w:spacing w:after="0" w:line="259"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jc w:val="both"/>
        <w:ind w:right="200" w:firstLine="1428"/>
        <w:spacing w:after="0" w:line="263" w:lineRule="auto"/>
        <w:tabs>
          <w:tab w:leader="none" w:pos="1687"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Global Note may be transferred to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who take delivery thereof in the form of a beneficial interest in a Global Note. No written orders or instructions will be required to be delivered to the Registrar to effect the transfers described in this Section 2.2(b)(1).</w:t>
      </w:r>
    </w:p>
    <w:p>
      <w:pPr>
        <w:spacing w:after="0" w:line="183" w:lineRule="exact"/>
        <w:rPr>
          <w:rFonts w:ascii="Arial" w:cs="Arial" w:eastAsia="Arial" w:hAnsi="Arial"/>
          <w:sz w:val="18"/>
          <w:szCs w:val="18"/>
          <w:color w:val="auto"/>
        </w:rPr>
      </w:pPr>
    </w:p>
    <w:p>
      <w:pPr>
        <w:jc w:val="both"/>
        <w:ind w:right="360" w:firstLine="1428"/>
        <w:spacing w:after="0" w:line="263" w:lineRule="auto"/>
        <w:tabs>
          <w:tab w:leader="none" w:pos="1687"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All Other Transfers and Exchanges of Beneficial Interests in Global Notes</w:t>
      </w:r>
      <w:r>
        <w:rPr>
          <w:rFonts w:ascii="Arial" w:cs="Arial" w:eastAsia="Arial" w:hAnsi="Arial"/>
          <w:sz w:val="18"/>
          <w:szCs w:val="18"/>
          <w:color w:val="auto"/>
        </w:rPr>
        <w:t>. In connection with all transfers and exchanges of</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interests with respect to Notes that are not subject to Section 2.2(b)(1) above, the transferor of such beneficial interest must deliver to the Registrar:</w:t>
      </w:r>
    </w:p>
    <w:p>
      <w:pPr>
        <w:spacing w:after="0" w:line="75" w:lineRule="exact"/>
        <w:rPr>
          <w:rFonts w:ascii="Arial" w:cs="Arial" w:eastAsia="Arial" w:hAnsi="Arial"/>
          <w:sz w:val="18"/>
          <w:szCs w:val="18"/>
          <w:color w:val="auto"/>
        </w:rPr>
      </w:pPr>
    </w:p>
    <w:p>
      <w:pPr>
        <w:ind w:left="440" w:right="500" w:firstLine="1371"/>
        <w:spacing w:after="0" w:line="263" w:lineRule="auto"/>
        <w:tabs>
          <w:tab w:leader="none" w:pos="2030" w:val="left"/>
        </w:tabs>
        <w:numPr>
          <w:ilvl w:val="2"/>
          <w:numId w:val="7"/>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5" w:lineRule="exact"/>
        <w:rPr>
          <w:rFonts w:ascii="Arial" w:cs="Arial" w:eastAsia="Arial" w:hAnsi="Arial"/>
          <w:sz w:val="18"/>
          <w:szCs w:val="18"/>
          <w:color w:val="auto"/>
        </w:rPr>
      </w:pPr>
    </w:p>
    <w:p>
      <w:pPr>
        <w:ind w:left="440" w:right="160" w:firstLine="1371"/>
        <w:spacing w:after="0" w:line="277" w:lineRule="auto"/>
        <w:tabs>
          <w:tab w:leader="none" w:pos="2080" w:val="left"/>
        </w:tabs>
        <w:numPr>
          <w:ilvl w:val="2"/>
          <w:numId w:val="7"/>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w:t>
      </w:r>
    </w:p>
    <w:p>
      <w:pPr>
        <w:spacing w:after="0" w:line="170"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Supplemental Indenture and the Notes, as evidenced by an Officers’ Certificate delivered to the Trustee, the Trustee will adjust the principal amount of the relevant Global Note(s) pursuant to Section 2.2(f) hereof.</w:t>
      </w:r>
    </w:p>
    <w:p>
      <w:pPr>
        <w:spacing w:after="0" w:line="292" w:lineRule="exact"/>
        <w:rPr>
          <w:sz w:val="20"/>
          <w:szCs w:val="20"/>
          <w:color w:val="auto"/>
        </w:rPr>
      </w:pPr>
    </w:p>
    <w:p>
      <w:pPr>
        <w:ind w:left="1240" w:hanging="25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 Holder of a Definitive Note may exchange such Note for a beneficial interest in a Global Note or transfer such Definitive Notes to a person who takes delivery thereof in the form of a beneficial interest in a Global Note at any time. Upon receipt of a request for such an exchange or transfer, the Trustee will cancel the applicable Definitive Note and increase, or cause to be increased, the aggregate principal amount of one of the applicable Global Notes.</w:t>
      </w:r>
    </w:p>
    <w:p>
      <w:pPr>
        <w:spacing w:after="0" w:line="187"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If any such exchange or transfer from a Definitive Note to a beneficial interest is effected pursuant to the previous paragraph at a time when a Global Note has not yet been issued, the Company will issue and, upon receipt of a Company Order, the Trustee will authenticate one or more Global Notes in an aggregate principal amount equal to the principal amount of Definitive Notes so transferred.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4" w:name="page15"/>
    <w:bookmarkEnd w:id="14"/>
    <w:p>
      <w:pPr>
        <w:ind w:right="40" w:firstLine="987"/>
        <w:spacing w:after="0" w:line="273" w:lineRule="auto"/>
        <w:tabs>
          <w:tab w:leader="none" w:pos="124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and Exchange of Definitive Notes for Definitive Notes</w:t>
      </w:r>
      <w:r>
        <w:rPr>
          <w:rFonts w:ascii="Arial" w:cs="Arial" w:eastAsia="Arial" w:hAnsi="Arial"/>
          <w:sz w:val="17"/>
          <w:szCs w:val="17"/>
          <w:color w:val="auto"/>
        </w:rPr>
        <w:t>. A Holder of Definitive Notes may transfer such Notes to a person who</w:t>
      </w:r>
      <w:r>
        <w:rPr>
          <w:rFonts w:ascii="Arial" w:cs="Arial" w:eastAsia="Arial" w:hAnsi="Arial"/>
          <w:sz w:val="17"/>
          <w:szCs w:val="17"/>
          <w:i w:val="1"/>
          <w:iCs w:val="1"/>
          <w:color w:val="auto"/>
        </w:rPr>
        <w:t xml:space="preserve"> </w:t>
      </w:r>
      <w:r>
        <w:rPr>
          <w:rFonts w:ascii="Arial" w:cs="Arial" w:eastAsia="Arial" w:hAnsi="Arial"/>
          <w:sz w:val="17"/>
          <w:szCs w:val="17"/>
          <w:color w:val="auto"/>
        </w:rPr>
        <w:t>takes delivery thereof in the form of a Definitive Note.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177" w:lineRule="exact"/>
        <w:rPr>
          <w:rFonts w:ascii="Arial" w:cs="Arial" w:eastAsia="Arial" w:hAnsi="Arial"/>
          <w:sz w:val="17"/>
          <w:szCs w:val="17"/>
          <w:color w:val="auto"/>
        </w:rPr>
      </w:pPr>
    </w:p>
    <w:p>
      <w:pPr>
        <w:ind w:right="840" w:firstLine="987"/>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issued under this Supplemental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Supplemental Indenture.</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GLOBAL NOTE IS A GLOBAL NOTE WITHIN THE MEANING OF THE SUPPLEMENTAL INDENTURE HEREINAFTER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REFERRED TO AND IS REGISTERED IN THE NAME OF THE DEPOSITARY OR A NOMINEE OF THE DEPOSITARY. THIS GLOBAL NOTE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IS EXCHANGEABLE FOR NOTES REGISTERED IN THE NAME OF A PERSON OTHER THAN THE DEPOSITARY OR ITS NOMINEE ONLY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THE LIMITED CIRCUMSTANCES DESCRIBED IN THE INDENTURE, AND MAY NOT BE TRANSFERRED EXCEPT AS A WHOLE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DEPOSITARY TO A NOMINEE OF THE DEPOSITARY, BY A NOMINEE OF THE DEPOSITARY TO THE DEPOSITARY OR ANOTHER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NOMINEE OF THE DEPOSITARY OR BY THE DEPOSITARY OR ANY SUCH NOMINEE TO A SUCCESSOR DEPOSITARY OR A NOMINEE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SUCH A SUCCESSOR DEPOSITARY. UNLESS THIS CERTIFICATE IS PRESENTED BY AN AUTHORIZED REPRESENTATIVE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OF TRANSFER, EXCHANGE OR PAYMENT, AND ANY CERTIFICATE ISSUED IS REGISTERED IN THE NAME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CEDE &amp; CO. OR SUCH OTHER NAME AS MAY BE REQUESTED BY AN AUTHORIZED REPRESENTATIVE OF DTC (AND ANY PAYMENT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IS MADE TO CEDE &amp; CO. OR SUCH OTHER ENTITY AS MAY BE REQUESTED BY AN AUTHORIZED REPRESENTATIVE OF DTC),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TRANSFER, PLEDGE OR OTHER USE HEREOF FOR VALUE OR OTHERWISE BY OR TO ANY PERSON IS WRONGFUL INASMUCH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OWNER HEREOF, CEDE &amp; CO., HAS AN INTEREST HEREIN.”</w:t>
      </w:r>
    </w:p>
    <w:p>
      <w:pPr>
        <w:spacing w:after="0" w:line="211" w:lineRule="exact"/>
        <w:rPr>
          <w:sz w:val="20"/>
          <w:szCs w:val="20"/>
          <w:color w:val="auto"/>
        </w:rPr>
      </w:pPr>
    </w:p>
    <w:p>
      <w:pPr>
        <w:ind w:right="20" w:firstLine="987"/>
        <w:spacing w:after="0" w:line="270" w:lineRule="auto"/>
        <w:tabs>
          <w:tab w:leader="none" w:pos="121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Cancellation and/or Adjustment of Global Notes</w:t>
      </w:r>
      <w:r>
        <w:rPr>
          <w:rFonts w:ascii="Arial" w:cs="Arial" w:eastAsia="Arial" w:hAnsi="Arial"/>
          <w:sz w:val="17"/>
          <w:szCs w:val="17"/>
          <w:color w:val="auto"/>
        </w:rPr>
        <w:t>. At such time as all beneficial interests in a particular Global Note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5" w:name="page16"/>
    <w:bookmarkEnd w:id="15"/>
    <w:p>
      <w:pPr>
        <w:ind w:left="1240" w:hanging="25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Provisions Relating to Transfers and Exchanges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1428"/>
        <w:spacing w:after="0" w:line="277" w:lineRule="auto"/>
        <w:tabs>
          <w:tab w:leader="none" w:pos="1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the receipt of a Company Order.</w:t>
      </w:r>
    </w:p>
    <w:p>
      <w:pPr>
        <w:spacing w:after="0" w:line="170" w:lineRule="exact"/>
        <w:rPr>
          <w:rFonts w:ascii="Arial" w:cs="Arial" w:eastAsia="Arial" w:hAnsi="Arial"/>
          <w:sz w:val="18"/>
          <w:szCs w:val="18"/>
          <w:color w:val="auto"/>
        </w:rPr>
      </w:pPr>
    </w:p>
    <w:p>
      <w:pPr>
        <w:ind w:right="80" w:firstLine="1428"/>
        <w:spacing w:after="0" w:line="259" w:lineRule="auto"/>
        <w:tabs>
          <w:tab w:leader="none" w:pos="1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3.6 and 9.6 of the Base Indenture).</w:t>
      </w:r>
    </w:p>
    <w:p>
      <w:pPr>
        <w:spacing w:after="0" w:line="186" w:lineRule="exact"/>
        <w:rPr>
          <w:rFonts w:ascii="Arial" w:cs="Arial" w:eastAsia="Arial" w:hAnsi="Arial"/>
          <w:sz w:val="18"/>
          <w:szCs w:val="18"/>
          <w:color w:val="auto"/>
        </w:rPr>
      </w:pPr>
    </w:p>
    <w:p>
      <w:pPr>
        <w:ind w:right="240" w:firstLine="1428"/>
        <w:spacing w:after="0" w:line="277" w:lineRule="auto"/>
        <w:tabs>
          <w:tab w:leader="none" w:pos="1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any Note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ind w:right="120" w:firstLine="1428"/>
        <w:spacing w:after="0" w:line="263" w:lineRule="auto"/>
        <w:tabs>
          <w:tab w:leader="none" w:pos="1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will not be required:</w:t>
      </w:r>
    </w:p>
    <w:p>
      <w:pPr>
        <w:spacing w:after="0" w:line="117" w:lineRule="exact"/>
        <w:rPr>
          <w:rFonts w:ascii="Arial" w:cs="Arial" w:eastAsia="Arial" w:hAnsi="Arial"/>
          <w:sz w:val="18"/>
          <w:szCs w:val="18"/>
          <w:color w:val="auto"/>
        </w:rPr>
      </w:pPr>
    </w:p>
    <w:p>
      <w:pPr>
        <w:ind w:left="440" w:right="280" w:firstLine="1371"/>
        <w:spacing w:after="0" w:line="308" w:lineRule="auto"/>
        <w:tabs>
          <w:tab w:leader="none" w:pos="2030" w:val="left"/>
        </w:tabs>
        <w:numPr>
          <w:ilvl w:val="2"/>
          <w:numId w:val="11"/>
        </w:numPr>
        <w:rPr>
          <w:rFonts w:ascii="Arial" w:cs="Arial" w:eastAsia="Arial" w:hAnsi="Arial"/>
          <w:sz w:val="17"/>
          <w:szCs w:val="17"/>
          <w:color w:val="auto"/>
        </w:rPr>
      </w:pPr>
      <w:r>
        <w:rPr>
          <w:rFonts w:ascii="Arial" w:cs="Arial" w:eastAsia="Arial" w:hAnsi="Arial"/>
          <w:sz w:val="17"/>
          <w:szCs w:val="17"/>
          <w:color w:val="auto"/>
        </w:rPr>
        <w:t>to issue, to register the transfer of or to exchange any Notes during a period of 15 days before the day of any selection of Notes for redemption under Section 3.2 of the Base Indenture and ending at the close of business on the day of selection;</w:t>
      </w:r>
    </w:p>
    <w:p>
      <w:pPr>
        <w:spacing w:after="0" w:line="38" w:lineRule="exact"/>
        <w:rPr>
          <w:rFonts w:ascii="Arial" w:cs="Arial" w:eastAsia="Arial" w:hAnsi="Arial"/>
          <w:sz w:val="17"/>
          <w:szCs w:val="17"/>
          <w:color w:val="auto"/>
        </w:rPr>
      </w:pPr>
    </w:p>
    <w:p>
      <w:pPr>
        <w:ind w:left="440" w:right="260" w:firstLine="1371"/>
        <w:spacing w:after="0" w:line="277" w:lineRule="auto"/>
        <w:tabs>
          <w:tab w:leader="none" w:pos="20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so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2120" w:hanging="309"/>
        <w:spacing w:after="0"/>
        <w:tabs>
          <w:tab w:leader="none" w:pos="2120" w:val="left"/>
        </w:tabs>
        <w:numPr>
          <w:ilvl w:val="2"/>
          <w:numId w:val="11"/>
        </w:numPr>
        <w:rPr>
          <w:rFonts w:ascii="Arial" w:cs="Arial" w:eastAsia="Arial" w:hAnsi="Arial"/>
          <w:sz w:val="16"/>
          <w:szCs w:val="16"/>
          <w:color w:val="auto"/>
        </w:rPr>
      </w:pPr>
      <w:r>
        <w:rPr>
          <w:rFonts w:ascii="Arial" w:cs="Arial" w:eastAsia="Arial" w:hAnsi="Arial"/>
          <w:sz w:val="16"/>
          <w:szCs w:val="16"/>
          <w:color w:val="auto"/>
        </w:rPr>
        <w:t>to register the transfer of or to exchange any Note between a record date and the next succeeding interest payment date.</w:t>
      </w:r>
    </w:p>
    <w:p>
      <w:pPr>
        <w:spacing w:after="0" w:line="248" w:lineRule="exact"/>
        <w:rPr>
          <w:rFonts w:ascii="Arial" w:cs="Arial" w:eastAsia="Arial" w:hAnsi="Arial"/>
          <w:sz w:val="16"/>
          <w:szCs w:val="16"/>
          <w:color w:val="auto"/>
        </w:rPr>
      </w:pPr>
    </w:p>
    <w:p>
      <w:pPr>
        <w:ind w:right="80" w:firstLine="1428"/>
        <w:spacing w:after="0" w:line="259" w:lineRule="auto"/>
        <w:tabs>
          <w:tab w:leader="none" w:pos="1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186" w:lineRule="exact"/>
        <w:rPr>
          <w:rFonts w:ascii="Arial" w:cs="Arial" w:eastAsia="Arial" w:hAnsi="Arial"/>
          <w:sz w:val="18"/>
          <w:szCs w:val="18"/>
          <w:color w:val="auto"/>
        </w:rPr>
      </w:pPr>
    </w:p>
    <w:p>
      <w:pPr>
        <w:ind w:left="1680" w:hanging="252"/>
        <w:spacing w:after="0"/>
        <w:tabs>
          <w:tab w:leader="none" w:pos="16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Trustee will authenticate Global Notes and Definitive Notes in accordance with the provisions of Section 2.3 of the Base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right="120" w:firstLine="1428"/>
        <w:spacing w:after="0" w:line="263" w:lineRule="auto"/>
        <w:tabs>
          <w:tab w:leader="none" w:pos="1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Trustee will deliver one or more Trustee Certificates certifying, among other things, pursuant to Section 2.3 of the Base Indenture, that the Notes have been authenticated and have been made available for delivery and the corporate governance documents and incumbency of signing officers of the Trustee as of the date hereof.</w:t>
      </w:r>
    </w:p>
    <w:p>
      <w:pPr>
        <w:spacing w:after="0" w:line="183" w:lineRule="exact"/>
        <w:rPr>
          <w:rFonts w:ascii="Arial" w:cs="Arial" w:eastAsia="Arial" w:hAnsi="Arial"/>
          <w:sz w:val="18"/>
          <w:szCs w:val="18"/>
          <w:color w:val="auto"/>
        </w:rPr>
      </w:pPr>
    </w:p>
    <w:p>
      <w:pPr>
        <w:ind w:right="100" w:firstLine="1428"/>
        <w:spacing w:after="0" w:line="277" w:lineRule="auto"/>
        <w:tabs>
          <w:tab w:leader="none" w:pos="1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Officers’ Certificate or Opinion of Counsel required to be submitted to the Registrar pursuant to this Section 2.2 to effect a registration of transfer or exchange may be submitted by facsimile.</w:t>
      </w:r>
    </w:p>
    <w:p>
      <w:pPr>
        <w:spacing w:after="0" w:line="170" w:lineRule="exact"/>
        <w:rPr>
          <w:rFonts w:ascii="Arial" w:cs="Arial" w:eastAsia="Arial" w:hAnsi="Arial"/>
          <w:sz w:val="18"/>
          <w:szCs w:val="18"/>
          <w:color w:val="auto"/>
        </w:rPr>
      </w:pPr>
    </w:p>
    <w:p>
      <w:pPr>
        <w:ind w:firstLine="1428"/>
        <w:spacing w:after="0" w:line="301" w:lineRule="auto"/>
        <w:tabs>
          <w:tab w:leader="none" w:pos="177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6" w:name="page17"/>
    <w:bookmarkEnd w:id="16"/>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 Neither the Trustee nor any Agent shall have any responsibility for any actions taken or not taken by the Depositary.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Issuance of Additional Notes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73"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Company will be entitled, upon delivery of an Officers’ Certificate and an Opinion of Counsel, to issue Additional Notes under this Supplemental Indenture which will have identical terms as the Initial Notes issued on the date hereof, other than with respect to the date of issuance and issue price and, if applicable, the first Interest Payment Date and the initial interest accrual date. The Initial Notes issued on the date hereof and any Additional Notes issued will be treated as a single Series for all purposes under this Supplemental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Additional Notes are not fungible for United States Federal income tax purposes with the Notes previously issued, such Additional Notes will not have the same CUSIP number (or other securities identification number) as the Notes previously issued.</w:t>
      </w:r>
    </w:p>
    <w:p>
      <w:pPr>
        <w:spacing w:after="0" w:line="177" w:lineRule="exact"/>
        <w:rPr>
          <w:rFonts w:ascii="Arial" w:cs="Arial" w:eastAsia="Arial" w:hAnsi="Arial"/>
          <w:sz w:val="17"/>
          <w:szCs w:val="17"/>
          <w:color w:val="auto"/>
        </w:rPr>
      </w:pPr>
    </w:p>
    <w:p>
      <w:pPr>
        <w:ind w:right="660" w:firstLine="987"/>
        <w:spacing w:after="0" w:line="263" w:lineRule="auto"/>
        <w:tabs>
          <w:tab w:leader="none" w:pos="1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any Additional Notes, the Company will set forth in a resolution of its Board of Directors (or a duly authorized committee thereof) or of a designee thereof and an Officers’ Certificate, a copy of each which will be delivered to the Trustee, the following information:</w:t>
      </w:r>
    </w:p>
    <w:p>
      <w:pPr>
        <w:spacing w:after="0" w:line="76" w:lineRule="exact"/>
        <w:rPr>
          <w:sz w:val="20"/>
          <w:szCs w:val="20"/>
          <w:color w:val="auto"/>
        </w:rPr>
      </w:pPr>
    </w:p>
    <w:p>
      <w:pPr>
        <w:ind w:left="1200" w:hanging="213"/>
        <w:spacing w:after="0"/>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aggregate principal amount of such Additional Notes to be authenticated and delivered pursuant to this Supplemental Indenture; and</w:t>
      </w:r>
    </w:p>
    <w:p>
      <w:pPr>
        <w:spacing w:after="0" w:line="140" w:lineRule="exact"/>
        <w:rPr>
          <w:rFonts w:ascii="Arial" w:cs="Arial" w:eastAsia="Arial" w:hAnsi="Arial"/>
          <w:sz w:val="16"/>
          <w:szCs w:val="16"/>
          <w:color w:val="auto"/>
        </w:rPr>
      </w:pPr>
    </w:p>
    <w:p>
      <w:pPr>
        <w:ind w:left="980" w:right="200" w:firstLine="7"/>
        <w:spacing w:after="0" w:line="277" w:lineRule="auto"/>
        <w:tabs>
          <w:tab w:leader="none" w:pos="1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issue price, the date of issuance, the CUSIP number(s), the first Interest Payment Date and the initial interest accrual date of such Additional Notes.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 For the avoidance of doubt, the issuance of Additional Notes pursuant to this Section 2.3 is subject to Section 2.3 of the Base Indenture.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right="340" w:firstLine="987"/>
        <w:spacing w:after="0" w:line="277" w:lineRule="auto"/>
        <w:tabs>
          <w:tab w:leader="none" w:pos="1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the Par Call Date, the Company will have the right, at its option, to redeem the Notes, at any time and from time to time, in whole or in part, at a redemption price equal to the greater of the following amounts:</w:t>
      </w:r>
    </w:p>
    <w:p>
      <w:pPr>
        <w:spacing w:after="0" w:line="62" w:lineRule="exact"/>
        <w:rPr>
          <w:rFonts w:ascii="Arial" w:cs="Arial" w:eastAsia="Arial" w:hAnsi="Arial"/>
          <w:sz w:val="18"/>
          <w:szCs w:val="18"/>
          <w:color w:val="auto"/>
        </w:rPr>
      </w:pPr>
    </w:p>
    <w:p>
      <w:pPr>
        <w:ind w:left="2020" w:hanging="209"/>
        <w:spacing w:after="0"/>
        <w:tabs>
          <w:tab w:leader="none" w:pos="2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and</w:t>
      </w:r>
    </w:p>
    <w:p>
      <w:pPr>
        <w:spacing w:after="0" w:line="117" w:lineRule="exact"/>
        <w:rPr>
          <w:rFonts w:ascii="Arial" w:cs="Arial" w:eastAsia="Arial" w:hAnsi="Arial"/>
          <w:sz w:val="18"/>
          <w:szCs w:val="18"/>
          <w:color w:val="auto"/>
        </w:rPr>
      </w:pPr>
    </w:p>
    <w:p>
      <w:pPr>
        <w:ind w:left="440" w:right="80" w:firstLine="1371"/>
        <w:spacing w:after="0" w:line="277" w:lineRule="auto"/>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the Notes being redeemed (assuming that the Notes mature on the Par Call Date).</w:t>
      </w:r>
    </w:p>
    <w:p>
      <w:pPr>
        <w:spacing w:after="0" w:line="170"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or after the Par Call Date, the Company will have the right, at its option, to redeem the Notes, at any time and from time to time, in whole or in part, at a redemption price equal to 100% of the principal amount of the Notes being redeemed.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each case, the Company will also pay the accrued and unpaid interest on the Notes being redeemed to, but excluding, the redemption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 xml:space="preserve">In connection with any redemption of the Notes prior to their maturity date, calculation of the redemption price therefor shall be made by the Company or on the Company’s behalf by such person as the Company shall designate;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calculation shall not be a duty or obligation of the Trustee or any Agent. Notwithstanding Section 3.3 of the Base Indenture, the notice of any redemption of the Notes pursuant to that Section in respect of a redemption date occurring prior to the maturity date of the Notes need not set forth the redemption price but only the manner of calculation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7" w:name="page18"/>
    <w:bookmarkEnd w:id="17"/>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the Company defaults in payment of the redemption price, on and after the redemption date, interest shall cease to accrue on the Notes or portions thereof called for redemption.</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Notes subject to a partial redemption shall be selected for redemption by such method as the Trustee shall deem fair and appropriate (provided that if the Notes are represented by one or more Global Notes, the Notes shall be selected for redemption by the Depositary in accordance with its standard procedures therefor) and may provide for the selection for redemption of a portion of the principal amount of the Notes equal to an authorized denomination.</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 Notes of $2,000 or less can be redeemed in part. Notes in denominations larger than $2,000 may be redeemed in part but only in whole multiples of $1,000, unless all of the Notes held by a Holder are being redeemed.</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Notice of any redemption shall be mailed, or otherwise transmitted in accordance with the Depositary’s standard procedures therefor, at least 15 days but not more than 60 days before the redemption date to each Holder of the Notes being redeemed.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Mandatory Redemption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not required to make any mandatory redemption or sinking fund payments with respect to the Notes.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PARTICULAR 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Offer to Purchase Upon Change of Control Triggering Event</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8" w:lineRule="auto"/>
        <w:tabs>
          <w:tab w:leader="none" w:pos="12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 Change of Control Triggering Event occurs with respect to the Notes, unless the Company has exercised its option to redeem such Notes in full pursuant to Section 3.1 hereof or has defeased such Notes or satisfied and discharged such Notes, the Company shall be required to make an offer (a “</w:t>
      </w:r>
      <w:r>
        <w:rPr>
          <w:rFonts w:ascii="Arial" w:cs="Arial" w:eastAsia="Arial" w:hAnsi="Arial"/>
          <w:sz w:val="17"/>
          <w:szCs w:val="17"/>
          <w:b w:val="1"/>
          <w:bCs w:val="1"/>
          <w:i w:val="1"/>
          <w:iCs w:val="1"/>
          <w:color w:val="auto"/>
        </w:rPr>
        <w:t>Change of Control Offer</w:t>
      </w:r>
      <w:r>
        <w:rPr>
          <w:rFonts w:ascii="Arial" w:cs="Arial" w:eastAsia="Arial" w:hAnsi="Arial"/>
          <w:sz w:val="17"/>
          <w:szCs w:val="17"/>
          <w:color w:val="auto"/>
        </w:rPr>
        <w:t xml:space="preserve">”) to each Holder of Notes to repurchase all or any part (equal to $2,000 and in integral multiples of $1,000 in excess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unrepurchased portion of a Note must be in a minimum principal amount of $2,000) of that Holder’s Notes pursuant to the offer set forth below. In a Change of Control Offer, the Company shall be required to offer payment in cash equal to 101% of the aggregate principal amount of the Notes repurchased, plus accrued and unpaid interest, if any, on the Notes repurchased to the date of repurchase (a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Within 30 days following any Change of Control Triggering Event with respect to the Notes or, at the Company’s option, prior to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 of Control, but after public announcement of the transaction that constitutes or may constitute the Change of Control, the Company shall mail or cause to be mailed (or if the Notes to be repurchased are represented by one or more Global Notes, transmitted in accordance with the Depositary’s standard procedures therefor), a notice to Holders of the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or transmitted (a “</w:t>
      </w:r>
      <w:r>
        <w:rPr>
          <w:rFonts w:ascii="Arial" w:cs="Arial" w:eastAsia="Arial" w:hAnsi="Arial"/>
          <w:sz w:val="17"/>
          <w:szCs w:val="17"/>
          <w:b w:val="1"/>
          <w:bCs w:val="1"/>
          <w:i w:val="1"/>
          <w:iCs w:val="1"/>
          <w:color w:val="auto"/>
        </w:rPr>
        <w:t>Change of Control Payment Date</w:t>
      </w:r>
      <w:r>
        <w:rPr>
          <w:rFonts w:ascii="Arial" w:cs="Arial" w:eastAsia="Arial" w:hAnsi="Arial"/>
          <w:sz w:val="17"/>
          <w:szCs w:val="17"/>
          <w:color w:val="auto"/>
        </w:rPr>
        <w:t>”). The notice shall, if mailed or transmitted prior to the date of consummation of the Change of Control, state that the offer to purchase is conditioned on the Change of Control Triggering Event occurring on or prior to the Change of Control Payment Date.</w:t>
      </w:r>
    </w:p>
    <w:p>
      <w:pPr>
        <w:spacing w:after="0" w:line="184" w:lineRule="exact"/>
        <w:rPr>
          <w:rFonts w:ascii="Arial" w:cs="Arial" w:eastAsia="Arial" w:hAnsi="Arial"/>
          <w:sz w:val="17"/>
          <w:szCs w:val="17"/>
          <w:color w:val="auto"/>
        </w:rPr>
      </w:pPr>
    </w:p>
    <w:p>
      <w:pPr>
        <w:ind w:left="1240" w:hanging="25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notice shall also state:</w:t>
      </w:r>
    </w:p>
    <w:p>
      <w:pPr>
        <w:spacing w:after="0" w:line="225" w:lineRule="exact"/>
        <w:rPr>
          <w:rFonts w:ascii="Arial" w:cs="Arial" w:eastAsia="Arial" w:hAnsi="Arial"/>
          <w:sz w:val="18"/>
          <w:szCs w:val="18"/>
          <w:color w:val="auto"/>
        </w:rPr>
      </w:pPr>
    </w:p>
    <w:p>
      <w:pPr>
        <w:ind w:right="640" w:firstLine="1428"/>
        <w:spacing w:after="0" w:line="277" w:lineRule="auto"/>
        <w:tabs>
          <w:tab w:leader="none" w:pos="168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4.1 and that all Notes or portion of Notes validly tendered and not withdrawn will be accepted for payment;</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Change of Control Payment and the Change of Control Payment Date;</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 w:name="page19"/>
    <w:bookmarkEnd w:id="18"/>
    <w:p>
      <w:pPr>
        <w:ind w:right="80" w:firstLine="1428"/>
        <w:spacing w:after="0" w:line="263" w:lineRule="auto"/>
        <w:tabs>
          <w:tab w:leader="none" w:pos="1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any Note accepted for payment pursuant to the Change of Control Offer shall cease to accrue interest after the Change of Control Payment Date unless the Company shall default in the payment of the Change of Control Payment and the only remaining right of the Holder is to receive payment of the Change of Control Payment upon surrender of the Notes to the Paying Agent;</w:t>
      </w:r>
    </w:p>
    <w:p>
      <w:pPr>
        <w:spacing w:after="0" w:line="183" w:lineRule="exact"/>
        <w:rPr>
          <w:rFonts w:ascii="Arial" w:cs="Arial" w:eastAsia="Arial" w:hAnsi="Arial"/>
          <w:sz w:val="18"/>
          <w:szCs w:val="18"/>
          <w:color w:val="auto"/>
        </w:rPr>
      </w:pPr>
    </w:p>
    <w:p>
      <w:pPr>
        <w:ind w:right="80" w:firstLine="1428"/>
        <w:spacing w:after="0" w:line="263" w:lineRule="auto"/>
        <w:tabs>
          <w:tab w:leader="none" w:pos="1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that Holders electing to have a portion of a Note purchased pursuant to a Change of Control Offer may only elect to have such Note purchased in a minimum principal amount of $2,000 and integral multiples of $1,000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a Note must be in a minimum principal amount of $2,000;</w:t>
      </w:r>
    </w:p>
    <w:p>
      <w:pPr>
        <w:spacing w:after="0" w:line="183" w:lineRule="exact"/>
        <w:rPr>
          <w:rFonts w:ascii="Arial" w:cs="Arial" w:eastAsia="Arial" w:hAnsi="Arial"/>
          <w:sz w:val="18"/>
          <w:szCs w:val="18"/>
          <w:color w:val="auto"/>
        </w:rPr>
      </w:pPr>
    </w:p>
    <w:p>
      <w:pPr>
        <w:ind w:right="60" w:firstLine="1428"/>
        <w:spacing w:after="0" w:line="259" w:lineRule="auto"/>
        <w:tabs>
          <w:tab w:leader="none" w:pos="1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that if a Holder elects to have a Note purchased pursuant to the Change of Control Offer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Payment Date;</w:t>
      </w:r>
    </w:p>
    <w:p>
      <w:pPr>
        <w:spacing w:after="0" w:line="186" w:lineRule="exact"/>
        <w:rPr>
          <w:rFonts w:ascii="Arial" w:cs="Arial" w:eastAsia="Arial" w:hAnsi="Arial"/>
          <w:sz w:val="18"/>
          <w:szCs w:val="18"/>
          <w:color w:val="auto"/>
        </w:rPr>
      </w:pPr>
    </w:p>
    <w:p>
      <w:pPr>
        <w:ind w:right="300" w:firstLine="1428"/>
        <w:spacing w:after="0" w:line="311" w:lineRule="auto"/>
        <w:tabs>
          <w:tab w:leader="none" w:pos="1687"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that a Holder will be entitled to withdraw its election if the Company receives, not later than the close of business on the third Business Day preceding the Change of Control Payment Date, a facsimile transmission or letter setting forth the name of such Holder, the principal amount of Notes such Holder delivered for purchase, and a statement that such Holder is withdrawing its election to have such Note purchased; and</w:t>
      </w:r>
    </w:p>
    <w:p>
      <w:pPr>
        <w:spacing w:after="0" w:line="148" w:lineRule="exact"/>
        <w:rPr>
          <w:rFonts w:ascii="Arial" w:cs="Arial" w:eastAsia="Arial" w:hAnsi="Arial"/>
          <w:sz w:val="16"/>
          <w:szCs w:val="16"/>
          <w:color w:val="auto"/>
        </w:rPr>
      </w:pPr>
    </w:p>
    <w:p>
      <w:pPr>
        <w:ind w:right="360" w:firstLine="1428"/>
        <w:spacing w:after="0" w:line="277" w:lineRule="auto"/>
        <w:tabs>
          <w:tab w:leader="none" w:pos="1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that if Notes are purchased only in part by the Company, a new Note of the same Series and type will be issued in a principal amount equal to the unpurchased portion of the Notes surrendered.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accept for payment all Notes or portions of such Notes properly tendered pursuant to the Change of Control Offer;</w:t>
      </w:r>
    </w:p>
    <w:p>
      <w:pPr>
        <w:spacing w:after="0" w:line="225" w:lineRule="exact"/>
        <w:rPr>
          <w:rFonts w:ascii="Arial" w:cs="Arial" w:eastAsia="Arial" w:hAnsi="Arial"/>
          <w:sz w:val="18"/>
          <w:szCs w:val="18"/>
          <w:color w:val="auto"/>
        </w:rPr>
      </w:pPr>
    </w:p>
    <w:p>
      <w:pPr>
        <w:ind w:right="400" w:firstLine="1428"/>
        <w:spacing w:after="0" w:line="277" w:lineRule="auto"/>
        <w:tabs>
          <w:tab w:leader="none" w:pos="16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such Notes properly tendered; and</w:t>
      </w:r>
    </w:p>
    <w:p>
      <w:pPr>
        <w:spacing w:after="0" w:line="170" w:lineRule="exact"/>
        <w:rPr>
          <w:rFonts w:ascii="Arial" w:cs="Arial" w:eastAsia="Arial" w:hAnsi="Arial"/>
          <w:sz w:val="18"/>
          <w:szCs w:val="18"/>
          <w:color w:val="auto"/>
        </w:rPr>
      </w:pPr>
    </w:p>
    <w:p>
      <w:pPr>
        <w:ind w:right="520" w:firstLine="1428"/>
        <w:spacing w:after="0" w:line="277" w:lineRule="auto"/>
        <w:tabs>
          <w:tab w:leader="none" w:pos="16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shall not be required to make a Change of Control Offer upon the occurrence of a Change of Control Triggering Event if a third party makes such an offer in the manner, at the times and otherwise in compliance with the requirements for an offer made by the Company and the third party purchases all Notes properly tendered and not withdrawn under its offer.</w:t>
      </w:r>
    </w:p>
    <w:p>
      <w:pPr>
        <w:spacing w:after="0" w:line="183" w:lineRule="exact"/>
        <w:rPr>
          <w:rFonts w:ascii="Arial" w:cs="Arial" w:eastAsia="Arial" w:hAnsi="Arial"/>
          <w:sz w:val="18"/>
          <w:szCs w:val="18"/>
          <w:color w:val="auto"/>
        </w:rPr>
      </w:pPr>
    </w:p>
    <w:p>
      <w:pPr>
        <w:ind w:right="100" w:firstLine="987"/>
        <w:spacing w:after="0" w:line="257" w:lineRule="auto"/>
        <w:tabs>
          <w:tab w:leader="none" w:pos="1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187" w:lineRule="exact"/>
        <w:rPr>
          <w:rFonts w:ascii="Arial" w:cs="Arial" w:eastAsia="Arial" w:hAnsi="Arial"/>
          <w:sz w:val="18"/>
          <w:szCs w:val="18"/>
          <w:color w:val="auto"/>
        </w:rPr>
      </w:pPr>
    </w:p>
    <w:p>
      <w:pPr>
        <w:ind w:right="220" w:firstLine="987"/>
        <w:spacing w:after="0" w:line="342" w:lineRule="auto"/>
        <w:tabs>
          <w:tab w:leader="none" w:pos="12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Notes of $2,000 or less can be repurchased in part pursuant to this Section 4.1. Notes in denominations larger than $2,000 may be repurchased in part but only in integral multiples of $1,000 in excess thereof, unless all of the Notes held by a Holder are to be repurchased.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Liens</w:t>
      </w:r>
      <w:r>
        <w:rPr>
          <w:rFonts w:ascii="Arial" w:cs="Arial" w:eastAsia="Arial" w:hAnsi="Arial"/>
          <w:sz w:val="18"/>
          <w:szCs w:val="18"/>
          <w:color w:val="auto"/>
        </w:rPr>
        <w:t>.</w:t>
      </w:r>
    </w:p>
    <w:p>
      <w:pPr>
        <w:spacing w:after="0" w:line="117" w:lineRule="exact"/>
        <w:rPr>
          <w:sz w:val="20"/>
          <w:szCs w:val="20"/>
          <w:color w:val="auto"/>
        </w:rPr>
      </w:pPr>
    </w:p>
    <w:p>
      <w:pPr>
        <w:jc w:val="both"/>
        <w:ind w:firstLine="987"/>
        <w:spacing w:after="0" w:line="263" w:lineRule="auto"/>
        <w:tabs>
          <w:tab w:leader="none" w:pos="12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will not, nor will it permit any Subsidiary to, issue, incur, create, assume or guarantee (collectively, “</w:t>
      </w:r>
      <w:r>
        <w:rPr>
          <w:rFonts w:ascii="Arial" w:cs="Arial" w:eastAsia="Arial" w:hAnsi="Arial"/>
          <w:sz w:val="18"/>
          <w:szCs w:val="18"/>
          <w:b w:val="1"/>
          <w:bCs w:val="1"/>
          <w:i w:val="1"/>
          <w:iCs w:val="1"/>
          <w:color w:val="auto"/>
        </w:rPr>
        <w:t>incur</w:t>
      </w:r>
      <w:r>
        <w:rPr>
          <w:rFonts w:ascii="Arial" w:cs="Arial" w:eastAsia="Arial" w:hAnsi="Arial"/>
          <w:sz w:val="18"/>
          <w:szCs w:val="18"/>
          <w:color w:val="auto"/>
        </w:rPr>
        <w:t>”) any debt for borrowed money, including all obligations evidenced by bonds, debentures, notes or similar instruments (collectively, a “</w:t>
      </w:r>
      <w:r>
        <w:rPr>
          <w:rFonts w:ascii="Arial" w:cs="Arial" w:eastAsia="Arial" w:hAnsi="Arial"/>
          <w:sz w:val="18"/>
          <w:szCs w:val="18"/>
          <w:b w:val="1"/>
          <w:bCs w:val="1"/>
          <w:i w:val="1"/>
          <w:iCs w:val="1"/>
          <w:color w:val="auto"/>
        </w:rPr>
        <w:t>Debt</w:t>
      </w:r>
      <w:r>
        <w:rPr>
          <w:rFonts w:ascii="Arial" w:cs="Arial" w:eastAsia="Arial" w:hAnsi="Arial"/>
          <w:sz w:val="18"/>
          <w:szCs w:val="18"/>
          <w:color w:val="auto"/>
        </w:rPr>
        <w:t>”), secured by a mortgage, deed of trust, security interest, pledge,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9" w:name="page20"/>
    <w:bookmarkEnd w:id="19"/>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 charge or other encumbrance (collectively, a “</w:t>
      </w:r>
      <w:r>
        <w:rPr>
          <w:rFonts w:ascii="Arial" w:cs="Arial" w:eastAsia="Arial" w:hAnsi="Arial"/>
          <w:sz w:val="16"/>
          <w:szCs w:val="16"/>
          <w:b w:val="1"/>
          <w:bCs w:val="1"/>
          <w:i w:val="1"/>
          <w:iCs w:val="1"/>
          <w:color w:val="auto"/>
        </w:rPr>
        <w:t>Lien</w:t>
      </w:r>
      <w:r>
        <w:rPr>
          <w:rFonts w:ascii="Arial" w:cs="Arial" w:eastAsia="Arial" w:hAnsi="Arial"/>
          <w:sz w:val="16"/>
          <w:szCs w:val="16"/>
          <w:color w:val="auto"/>
        </w:rPr>
        <w:t>”) upon any Principal Property or upon any shares of stock of any Principal Subsidiary (whether such Principal Property or shares are now existing or owned or hereafter created or acquired) without in any such case effectively providing, substantially concurrently with or prior to the creation or assumption of such Lien, that the Notes (together with, if the Company shall so determine, any other indebtedness of or guarantee by the Company or such Subsidiary ranking equally with the Notes) shall be secured equally and ratably with (or, at the Company’s option, prior to) such secured Debt. The foregoing restriction, however, will not apply to each of the following:</w:t>
      </w:r>
    </w:p>
    <w:p>
      <w:pPr>
        <w:spacing w:after="0" w:line="161" w:lineRule="exact"/>
        <w:rPr>
          <w:sz w:val="20"/>
          <w:szCs w:val="20"/>
          <w:color w:val="auto"/>
        </w:rPr>
      </w:pPr>
    </w:p>
    <w:p>
      <w:pPr>
        <w:ind w:firstLine="1428"/>
        <w:spacing w:after="0" w:line="259" w:lineRule="auto"/>
        <w:tabs>
          <w:tab w:leader="none" w:pos="16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Liens on property, shares of stock or other assets of any person (as defined in the Base Indenture) existing at the time such person becomes a Subsidiary or existing at the time of acquisition thereof by the Company or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not incurred in anticipation of such person’s becoming a Subsidiary or such acquisition and do not extend to (i) any Principal Property or (ii) any shares of stock of any Principal Subsidiary that, in each case, were not previously encumbered by such Liens;</w:t>
      </w:r>
    </w:p>
    <w:p>
      <w:pPr>
        <w:spacing w:after="0" w:line="186" w:lineRule="exact"/>
        <w:rPr>
          <w:rFonts w:ascii="Arial" w:cs="Arial" w:eastAsia="Arial" w:hAnsi="Arial"/>
          <w:sz w:val="18"/>
          <w:szCs w:val="18"/>
          <w:color w:val="auto"/>
        </w:rPr>
      </w:pPr>
    </w:p>
    <w:p>
      <w:pPr>
        <w:ind w:firstLine="1428"/>
        <w:spacing w:after="0" w:line="257" w:lineRule="auto"/>
        <w:tabs>
          <w:tab w:leader="none" w:pos="16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Liens on property of a person (as defined in the Base Indenture) existing at the time such person is merged into or consolidated with the Company or a Subsidiary or at the time of a sale, lease or other disposition of the properties of such person (or a division thereof) as an entirety or substantially as an entirety to the Company or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incurred in anticipation of such merger or consolidation or sale, lease or other disposition and do not extend to (i) any Principal Property or (ii) any shares of stock of any Principal Subsidiary that, in each case, were not previously encumbered by such Liens;</w:t>
      </w:r>
    </w:p>
    <w:p>
      <w:pPr>
        <w:spacing w:after="0" w:line="187" w:lineRule="exact"/>
        <w:rPr>
          <w:rFonts w:ascii="Arial" w:cs="Arial" w:eastAsia="Arial" w:hAnsi="Arial"/>
          <w:sz w:val="18"/>
          <w:szCs w:val="18"/>
          <w:color w:val="auto"/>
        </w:rPr>
      </w:pPr>
    </w:p>
    <w:p>
      <w:pPr>
        <w:ind w:right="20" w:firstLine="1428"/>
        <w:spacing w:after="0" w:line="257" w:lineRule="auto"/>
        <w:tabs>
          <w:tab w:leader="none" w:pos="16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Liens to secure all or part of the cost of acquisition, construction, development or improvement of any property or to secure Debt incurred to provide funds for any such purpose (including purchase money security interests or purchase money mortgages),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commitment of the creditor to extend the credit secured by any such Lien is obtained not later than 24 months after the later of (i) the completion of acquisition, construction, development or improvement of such property and (ii) the placing in operation of such property or of such property as so constructed, developed or improved;</w:t>
      </w:r>
    </w:p>
    <w:p>
      <w:pPr>
        <w:spacing w:after="0" w:line="187" w:lineRule="exact"/>
        <w:rPr>
          <w:rFonts w:ascii="Arial" w:cs="Arial" w:eastAsia="Arial" w:hAnsi="Arial"/>
          <w:sz w:val="18"/>
          <w:szCs w:val="18"/>
          <w:color w:val="auto"/>
        </w:rPr>
      </w:pPr>
    </w:p>
    <w:p>
      <w:pPr>
        <w:ind w:left="1680" w:hanging="252"/>
        <w:spacing w:after="0"/>
        <w:tabs>
          <w:tab w:leader="none" w:pos="1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Liens in favor of, or which secure Debt owing to, the Company or any Subsidiary;</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Liens existing at the date of the issuance of the Initial Notes;</w:t>
      </w:r>
    </w:p>
    <w:p>
      <w:pPr>
        <w:spacing w:after="0" w:line="225" w:lineRule="exact"/>
        <w:rPr>
          <w:rFonts w:ascii="Arial" w:cs="Arial" w:eastAsia="Arial" w:hAnsi="Arial"/>
          <w:sz w:val="18"/>
          <w:szCs w:val="18"/>
          <w:color w:val="auto"/>
        </w:rPr>
      </w:pPr>
    </w:p>
    <w:p>
      <w:pPr>
        <w:jc w:val="both"/>
        <w:ind w:right="180" w:firstLine="1428"/>
        <w:spacing w:after="0" w:line="301" w:lineRule="auto"/>
        <w:tabs>
          <w:tab w:leader="none" w:pos="1687" w:val="left"/>
        </w:tabs>
        <w:numPr>
          <w:ilvl w:val="1"/>
          <w:numId w:val="19"/>
        </w:numPr>
        <w:rPr>
          <w:rFonts w:ascii="Arial" w:cs="Arial" w:eastAsia="Arial" w:hAnsi="Arial"/>
          <w:sz w:val="16"/>
          <w:szCs w:val="16"/>
          <w:color w:val="auto"/>
        </w:rPr>
      </w:pPr>
      <w:r>
        <w:rPr>
          <w:rFonts w:ascii="Arial" w:cs="Arial" w:eastAsia="Arial" w:hAnsi="Arial"/>
          <w:sz w:val="16"/>
          <w:szCs w:val="16"/>
          <w:color w:val="auto"/>
        </w:rPr>
        <w:t>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57" w:lineRule="exact"/>
        <w:rPr>
          <w:rFonts w:ascii="Arial" w:cs="Arial" w:eastAsia="Arial" w:hAnsi="Arial"/>
          <w:sz w:val="16"/>
          <w:szCs w:val="16"/>
          <w:color w:val="auto"/>
        </w:rPr>
      </w:pPr>
    </w:p>
    <w:p>
      <w:pPr>
        <w:ind w:right="600" w:firstLine="1428"/>
        <w:spacing w:after="0" w:line="277" w:lineRule="auto"/>
        <w:tabs>
          <w:tab w:leader="none" w:pos="16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Liens incurred or assumed in connection with the issuance of revenue bonds the interest on which is exempt from federal taxation pursuant to Section 103(b) of the Internal Revenue Code of 1986, as amended; and</w:t>
      </w:r>
    </w:p>
    <w:p>
      <w:pPr>
        <w:spacing w:after="0" w:line="170" w:lineRule="exact"/>
        <w:rPr>
          <w:rFonts w:ascii="Arial" w:cs="Arial" w:eastAsia="Arial" w:hAnsi="Arial"/>
          <w:sz w:val="18"/>
          <w:szCs w:val="18"/>
          <w:color w:val="auto"/>
        </w:rPr>
      </w:pPr>
    </w:p>
    <w:p>
      <w:pPr>
        <w:ind w:right="100" w:firstLine="1428"/>
        <w:spacing w:after="0" w:line="259" w:lineRule="auto"/>
        <w:tabs>
          <w:tab w:leader="none" w:pos="16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extensions, renewals or replacements of any Liens referred to in the foregoing clauses,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w:t>
      </w:r>
    </w:p>
    <w:p>
      <w:pPr>
        <w:spacing w:after="0" w:line="186" w:lineRule="exact"/>
        <w:rPr>
          <w:rFonts w:ascii="Arial" w:cs="Arial" w:eastAsia="Arial" w:hAnsi="Arial"/>
          <w:sz w:val="18"/>
          <w:szCs w:val="18"/>
          <w:color w:val="auto"/>
        </w:rPr>
      </w:pPr>
    </w:p>
    <w:p>
      <w:pPr>
        <w:ind w:right="40" w:firstLine="987"/>
        <w:spacing w:after="0" w:line="273" w:lineRule="auto"/>
        <w:tabs>
          <w:tab w:leader="none" w:pos="1246"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Notwithstanding the restrictions in clause (a) above, the Company or any Subsidiary may incur Debt secured by a Lien which would otherwise be prohibited by such restrictions, without equally and ratably securing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thereto, the then aggregate outstanding amount of all such Debt so secured by such Liens (not including Liens permitted under items (1) through (8) in clause (a) above) plus the aggregate amount of Attributable Debt in respect of Sale and Lease Back Transactions with respect to Principal Properties entered into after the date of issuance of the Initial Notes and permitted solely pursuant to clause (c) of Section 4.3 hereof and still in existence does not exceed the greater of 15% of the Consolidated Net Tangible Assets at the time of such incurrence and $350 million.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4.3. </w:t>
      </w:r>
      <w:r>
        <w:rPr>
          <w:rFonts w:ascii="Arial" w:cs="Arial" w:eastAsia="Arial" w:hAnsi="Arial"/>
          <w:sz w:val="18"/>
          <w:szCs w:val="18"/>
          <w:i w:val="1"/>
          <w:iCs w:val="1"/>
          <w:color w:val="auto"/>
        </w:rPr>
        <w:t>Sale and Lease Back Transactions</w:t>
      </w:r>
      <w:r>
        <w:rPr>
          <w:rFonts w:ascii="Arial" w:cs="Arial" w:eastAsia="Arial" w:hAnsi="Arial"/>
          <w:sz w:val="18"/>
          <w:szCs w:val="18"/>
          <w:color w:val="auto"/>
        </w:rPr>
        <w:t>.</w:t>
      </w:r>
    </w:p>
    <w:p>
      <w:pPr>
        <w:spacing w:after="0" w:line="117" w:lineRule="exact"/>
        <w:rPr>
          <w:sz w:val="20"/>
          <w:szCs w:val="20"/>
          <w:color w:val="auto"/>
        </w:rPr>
      </w:pPr>
    </w:p>
    <w:p>
      <w:pPr>
        <w:ind w:right="340" w:firstLine="440"/>
        <w:spacing w:after="0" w:line="286" w:lineRule="auto"/>
        <w:rPr>
          <w:sz w:val="20"/>
          <w:szCs w:val="20"/>
          <w:color w:val="auto"/>
        </w:rPr>
      </w:pPr>
      <w:r>
        <w:rPr>
          <w:rFonts w:ascii="Arial" w:cs="Arial" w:eastAsia="Arial" w:hAnsi="Arial"/>
          <w:sz w:val="17"/>
          <w:szCs w:val="17"/>
          <w:color w:val="auto"/>
        </w:rPr>
        <w:t>The Company will not, and will not permit any Subsidiary to, enter into any Sale and Lease Back Transaction with respect to any Principal Property, other than any such Sale and Lease Back Transaction involving a lease for a term of not more than three years or any such Sale and Lease Back Transaction between the Company and one of its Subsidiaries, or between its Subsidiaries, unless:</w:t>
      </w:r>
    </w:p>
    <w:p>
      <w:pPr>
        <w:spacing w:after="0" w:line="165" w:lineRule="exact"/>
        <w:rPr>
          <w:sz w:val="20"/>
          <w:szCs w:val="20"/>
          <w:color w:val="auto"/>
        </w:rPr>
      </w:pPr>
    </w:p>
    <w:p>
      <w:pPr>
        <w:ind w:firstLine="987"/>
        <w:spacing w:after="0" w:line="286"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or such Subsidiary, as applicable, would be entitled to incur Debt secured by a Lien on the Principal Property involved in such Sale and Lease Back Transaction at least equal in amount to the Attributable Debt with respect to such Sale and Lease Back Transaction, without equally and ratably securing the Notes, pursuant to items (1) through (8) in clause (a) of Section 4.2 hereof;</w:t>
      </w:r>
    </w:p>
    <w:p>
      <w:pPr>
        <w:spacing w:after="0" w:line="165" w:lineRule="exact"/>
        <w:rPr>
          <w:rFonts w:ascii="Arial" w:cs="Arial" w:eastAsia="Arial" w:hAnsi="Arial"/>
          <w:sz w:val="17"/>
          <w:szCs w:val="17"/>
          <w:color w:val="auto"/>
        </w:rPr>
      </w:pPr>
    </w:p>
    <w:p>
      <w:pPr>
        <w:ind w:firstLine="987"/>
        <w:spacing w:after="0" w:line="301" w:lineRule="auto"/>
        <w:tabs>
          <w:tab w:leader="none" w:pos="124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applies the Net Available Proceeds of such Sale and Lease Back Transaction within 180 days of such Sale and Lease Back Transaction to either (or a combination of) (i) the prepayment or retirement of Debt of the Company or a Subsidiary (other than Debt that is, in the case of Debt of the Company, subordinated to the Notes or Debt owed to the Company or a Subsidiary) that by its terms matures more than 12 months after its creation or (ii) the purchase, construction, development, expansion or improvement of comparable properties or facilities; or</w:t>
      </w:r>
    </w:p>
    <w:p>
      <w:pPr>
        <w:spacing w:after="0" w:line="157" w:lineRule="exact"/>
        <w:rPr>
          <w:rFonts w:ascii="Arial" w:cs="Arial" w:eastAsia="Arial" w:hAnsi="Arial"/>
          <w:sz w:val="16"/>
          <w:szCs w:val="16"/>
          <w:color w:val="auto"/>
        </w:rPr>
      </w:pPr>
    </w:p>
    <w:p>
      <w:pPr>
        <w:ind w:right="20" w:firstLine="987"/>
        <w:spacing w:after="0" w:line="257"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amount of Attributable Debt in respect of such Sale and Lease Back Transaction plus the Attributable Debt in respect of all other Sale and Lease Back Transactions of Principal Properties entered into after the date of issuance of the Initial Notes permitted solely pursuant to this clause (c) and still in existence, plus the aggregate amount of all Debt secured by Liens permitted solely pursuant to clause (b) of Section 4.2 above and still outstanding, does not exceed the greater of 15% of the Consolidated Net Tangible Assets at the time of such Sale and Lease Back Transaction and $350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covenants set forth in Sections 4.2 and 4.3 above are and are intended solely for the benefit of the Holders of Notes.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the Events of Default set forth in the Base Indenture, the following is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with respect to the Notes:</w:t>
      </w:r>
    </w:p>
    <w:p>
      <w:pPr>
        <w:spacing w:after="0" w:line="225" w:lineRule="exact"/>
        <w:rPr>
          <w:sz w:val="20"/>
          <w:szCs w:val="20"/>
          <w:color w:val="auto"/>
        </w:rPr>
      </w:pPr>
    </w:p>
    <w:p>
      <w:pPr>
        <w:jc w:val="both"/>
        <w:ind w:right="200" w:firstLine="436"/>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the Company or any Subsidiary to pay indebtedness for money borrowed by the Company or any Subsidiary in an aggregate principal amount of at least $200,000,000, at the later of final maturity and the expiration of any related applicable grace period and such defaulted payment shall not have been made, waived or extended within 30 days after written notice from the Trustee or the holders of at least 25% in principal amount of the outstanding Notes; or</w:t>
      </w:r>
    </w:p>
    <w:p>
      <w:pPr>
        <w:spacing w:after="0" w:line="186" w:lineRule="exact"/>
        <w:rPr>
          <w:rFonts w:ascii="Arial" w:cs="Arial" w:eastAsia="Arial" w:hAnsi="Arial"/>
          <w:sz w:val="18"/>
          <w:szCs w:val="18"/>
          <w:color w:val="auto"/>
        </w:rPr>
      </w:pPr>
    </w:p>
    <w:p>
      <w:pPr>
        <w:ind w:right="40" w:firstLine="436"/>
        <w:spacing w:after="0" w:line="291"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acceleration of the maturity of indebtedness for money borrowed by the Company or any Subsidiary in an aggregate principal amount of at least $200,000,000, if that acceleration results from a default under the instrument giving rise to or securing such indebtedness for money borrowed and such indebtedness has not been discharged in full or such acceleration has not been rescinded or annulled within 30 days after written notice from the Trustee or the holders of at least 25% in principal amount of the outstanding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in the case of this clause (ii), the default under the instrument governing the foregoing indebtedness is cured by the Company, or waived by the holders of the indebtedness, in each case, as permitted by such governing instrument, then, unless the maturity of the Notes has been accelerated in accordance with the Indenture, the Event of Default under the Indenture with respect to the Notes caused by such default will be deemed likewise to be cured or waived.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may satisfy and discharge the Notes hereunder in accordance with and subject to the terms of Section 8.1 of the Base Indenture.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Legal Defeasance of Securities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8.3 of the Base Indenture shall be applicable to the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p>
      <w:pPr>
        <w:spacing w:after="0" w:line="11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In addition to the covenants specified in Section 8.4 of the Base Indenture, the Company may omit to comply with respect to the Notes with any term, provision or condition set forth in Sections 4.1, 4.2 and 4.3 of this Supplemental Indenture by complying with the requirements of Section 8.4 of the Base Indenture in respect of such Notes.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Trust Indenture Act Controls</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THIS SUPPLEMENTAL INDENTURE AND THE NOTES SHALL BE GOVERNED BY THE LAWS OF THE STATE OF NEW YORK APPLICABLE TO AGREEMENTS MADE AND TO BE PERFORMED IN SUCH STATE, WITHOUT REGARD TO THE CONFLICT OF LAWS PROVISIONS THEREOF.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All agreements of the Company in this Supplemental Indenture and the Notes will bind its successors. All agreements of the Trustee in this Supplemental Indenture will bind its successors.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In case any provision in this Supplemental Indenture or in the Notes will be invalid, illegal or unenforceable, the validity, legality and enforceability of the remaining provisions will not in any way be affected or impaired thereby.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Counterpart Originals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This Supplemental Indenture may be executed in one or more counterparts, each of which when so executed shall be deemed to be an original and all of which when taken together shall constitute one and the same instrument. The parties hereto agree that this Supplemental Indenture, any documents to be delivered pursuant to this Supplemental Indenture and any notices hereunder may be transmitted between them by email and/or facsimile. The parties hereto agree that faxed signatures and electronically imaged signatures such as .pdf files shall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22" w:name="page23"/>
    <w:bookmarkEnd w:id="22"/>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constitute original signatures and be binding on all parties hereto. The original documents shall be delivered as soon as practicable, if requested. Each party agrees that this Supplemental Indenture and any other documents to be delivered in connection herewith may be electronically or digitally signed as specified in writing to the Trustee (and agreed to by the Trustee in its sole discretion), and that any such electronic or digital signatures appearing on this Supplemental Indenture or such other documents are the same as handwritten signatures for the purposes of validity, enforceability and admissibility.</w:t>
      </w:r>
    </w:p>
    <w:p>
      <w:pPr>
        <w:spacing w:after="0" w:line="18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Notwithstanding Section 2.3 of the Base Indenture, the Notes may be executed by the Company and authenticated by the Trustee by manual or electronic signature.</w:t>
      </w:r>
    </w:p>
    <w:p>
      <w:pPr>
        <w:spacing w:after="0" w:line="170"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The Company agrees to assume all risks arising out of the use of electronic or digital signatures and electronic methods to submit any communications to the Trustee, including the risk of the Trustee acting on unauthorized instructions and the risk of interception and misuse by third 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Jury Trial</w:t>
      </w:r>
      <w:r>
        <w:rPr>
          <w:rFonts w:ascii="Arial" w:cs="Arial" w:eastAsia="Arial" w:hAnsi="Arial"/>
          <w:sz w:val="18"/>
          <w:szCs w:val="18"/>
          <w:color w:val="auto"/>
        </w:rPr>
        <w:t>.</w:t>
      </w:r>
    </w:p>
    <w:p>
      <w:pPr>
        <w:spacing w:after="0" w:line="117"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Each party hereto hereby irrevocably waives any and all rights to trial by jury in any legal proceeding arising out of or relating to this Supplemental Indenture.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Instruction by Electronic Transmissions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addition to the foregoing, the Trustee agrees to accept and act upon notice, instructions or directions pursuant to this Supplemental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7.10. </w:t>
      </w: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40" w:top="274" w:right="5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as of April 8,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tbl>
      <w:tblPr>
        <w:tblLayout w:type="fixed"/>
        <w:tblInd w:w="6960" w:type="dxa"/>
        <w:tblCellMar>
          <w:top w:w="0" w:type="dxa"/>
          <w:left w:w="0" w:type="dxa"/>
          <w:bottom w:w="0" w:type="dxa"/>
          <w:right w:w="0" w:type="dxa"/>
        </w:tblCellMar>
      </w:tblPr>
      <w:tr>
        <w:trPr>
          <w:trHeight w:val="230"/>
        </w:trPr>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Prashanth Mahendra-Rajah</w:t>
            </w:r>
          </w:p>
        </w:tc>
      </w:tr>
      <w:tr>
        <w:trPr>
          <w:trHeight w:val="209"/>
        </w:trPr>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3400" w:type="dxa"/>
            <w:vAlign w:val="bottom"/>
          </w:tcPr>
          <w:p>
            <w:pPr>
              <w:spacing w:after="0"/>
              <w:rPr>
                <w:sz w:val="20"/>
                <w:szCs w:val="20"/>
                <w:color w:val="auto"/>
              </w:rPr>
            </w:pPr>
            <w:r>
              <w:rPr>
                <w:rFonts w:ascii="Arial" w:cs="Arial" w:eastAsia="Arial" w:hAnsi="Arial"/>
                <w:sz w:val="18"/>
                <w:szCs w:val="18"/>
                <w:color w:val="auto"/>
              </w:rPr>
              <w:t>Prashanth Mahendra-Rajah</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spacing w:after="0"/>
              <w:rPr>
                <w:sz w:val="20"/>
                <w:szCs w:val="20"/>
                <w:color w:val="auto"/>
              </w:rPr>
            </w:pPr>
            <w:r>
              <w:rPr>
                <w:rFonts w:ascii="Arial" w:cs="Arial" w:eastAsia="Arial" w:hAnsi="Arial"/>
                <w:sz w:val="18"/>
                <w:szCs w:val="18"/>
                <w:color w:val="auto"/>
              </w:rPr>
              <w:t>Senior Vice President, Finance and Chief</w:t>
            </w:r>
          </w:p>
        </w:tc>
      </w:tr>
      <w:tr>
        <w:trPr>
          <w:trHeight w:val="230"/>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 TRUST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N.A., as Trustee</w:t>
      </w:r>
    </w:p>
    <w:p>
      <w:pPr>
        <w:spacing w:after="0" w:line="211"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Mitchell L Brumwell</w:t>
      </w:r>
    </w:p>
    <w:p>
      <w:pPr>
        <w:spacing w:after="0" w:line="23"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1020"/>
          </w:cols>
          <w:pgMar w:left="440" w:top="270" w:right="439" w:bottom="1440" w:gutter="0" w:footer="0" w:header="0"/>
        </w:sectPr>
      </w:pPr>
    </w:p>
    <w:bookmarkStart w:id="25" w:name="page26"/>
    <w:bookmarkEnd w:id="2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GLOBAL NOTE</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(Face of Global Note)</w:t>
      </w:r>
    </w:p>
    <w:p>
      <w:pPr>
        <w:spacing w:after="0" w:line="225" w:lineRule="exact"/>
        <w:rPr>
          <w:sz w:val="20"/>
          <w:szCs w:val="20"/>
          <w:color w:val="auto"/>
        </w:rPr>
      </w:pPr>
    </w:p>
    <w:p>
      <w:pPr>
        <w:ind w:left="4" w:right="160" w:firstLine="440"/>
        <w:spacing w:after="0" w:line="268"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left="4" w:right="220" w:hanging="4"/>
        <w:spacing w:after="0" w:line="255" w:lineRule="auto"/>
        <w:tabs>
          <w:tab w:leader="none" w:pos="3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GLOBAL NOTE IS A GLOBAL NOTE WITHIN THE MEANING OF THE SUPPLEMENTAL INDENTURE HEREINAFTER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7"/>
          <w:szCs w:val="17"/>
          <w:color w:val="auto"/>
        </w:rPr>
        <w:t>REFERRED TO AND IS REGISTERED IN THE NAME OF THE DEPOSITARY OR A NOMINEE OF THE DEPOSITARY. THIS GLOBAL NOTE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IS EXCHANGEABLE FOR NOTES REGISTERED IN THE NAME OF A PERSON OTHER THAN THE DEPOSITARY OR ITS NOMINEE ONLY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THE LIMITED CIRCUMSTANCES DESCRIBED IN THE INDENTURE AND MAY NOT BE TRANSFERRED EXCEPT AS A WHOLE BY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DEPOSITARY TO A NOMINEE OF THE DEPOSITARY, BY A NOMINEE OF THE DEPOSITARY TO THE DEPOSITARY OR ANOTHER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NOMINEE OF THE DEPOSITARY OR BY THE DEPOSITARY OR ANY SUCH NOMINEE TO A SUCCESSOR DEPOSITARY OR A NOMINEE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SUCH A SUCCESSOR DEPOSITARY. UNLESS THIS CERTIFICATE IS PRESENTED BY AN AUTHORIZED REPRESENTATIVE OF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REGISTRATION OF TRANSFER, EXCHANGE OR PAYMENT, AND ANY CERTIFICATE ISSUED IS REGISTERED IN THE NAME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CEDE &amp; CO. OR SUCH OTHER NAME AS MAY BE REQUESTED BY AN AUTHORIZED REPRESENTATIVE OF DTC (AND ANY PAYMENT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IS MADE TO CEDE &amp; CO. OR SUCH OTHER ENTITY AS MAY BE REQUESTED BY AN AUTHORIZED REPRESENTATIVE OF DTC), ANY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TRANSFER, PLEDGE OR OTHER USE HEREOF FOR VALUE OR OTHERWISE BY OR TO ANY PERSON IS WRONGFUL INASMUCH AS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REGISTERED OWNER HEREOF, CEDE &amp; CO., HAS AN INTEREST HEREIN.</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CUSIP: 032654AS4</w:t>
            </w:r>
          </w:p>
        </w:tc>
      </w:tr>
      <w:tr>
        <w:trPr>
          <w:trHeight w:val="230"/>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w w:val="94"/>
              </w:rPr>
              <w:t>ISIN: US032654AS42</w:t>
            </w:r>
          </w:p>
        </w:tc>
      </w:tr>
      <w:tr>
        <w:trPr>
          <w:trHeight w:val="418"/>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00" w:type="dxa"/>
            <w:vAlign w:val="bottom"/>
          </w:tcPr>
          <w:p>
            <w:pPr>
              <w:jc w:val="center"/>
              <w:ind w:right="730"/>
              <w:spacing w:after="0"/>
              <w:rPr>
                <w:sz w:val="20"/>
                <w:szCs w:val="20"/>
                <w:color w:val="auto"/>
              </w:rPr>
            </w:pPr>
            <w:r>
              <w:rPr>
                <w:rFonts w:ascii="Arial" w:cs="Arial" w:eastAsia="Arial" w:hAnsi="Arial"/>
                <w:sz w:val="18"/>
                <w:szCs w:val="18"/>
                <w:color w:val="auto"/>
                <w:w w:val="97"/>
              </w:rPr>
              <w:t>ANALOG DEVICES, INC.</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900" w:type="dxa"/>
            <w:vAlign w:val="bottom"/>
          </w:tcPr>
          <w:p>
            <w:pPr>
              <w:jc w:val="center"/>
              <w:ind w:right="710"/>
              <w:spacing w:after="0"/>
              <w:rPr>
                <w:sz w:val="20"/>
                <w:szCs w:val="20"/>
                <w:color w:val="auto"/>
              </w:rPr>
            </w:pPr>
            <w:r>
              <w:rPr>
                <w:rFonts w:ascii="Arial" w:cs="Arial" w:eastAsia="Arial" w:hAnsi="Arial"/>
                <w:sz w:val="18"/>
                <w:szCs w:val="18"/>
                <w:color w:val="auto"/>
                <w:w w:val="91"/>
              </w:rPr>
              <w:t>2.950% Senior Note due April 1, 2025</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w w:val="99"/>
              </w:rPr>
              <w:t>No.</w:t>
            </w:r>
          </w:p>
        </w:tc>
        <w:tc>
          <w:tcPr>
            <w:tcW w:w="720" w:type="dxa"/>
            <w:vAlign w:val="bottom"/>
            <w:tcBorders>
              <w:bottom w:val="single" w:sz="8" w:color="auto"/>
            </w:tcBorders>
            <w:gridSpan w:val="2"/>
          </w:tcPr>
          <w:p>
            <w:pPr>
              <w:spacing w:after="0"/>
              <w:rPr>
                <w:sz w:val="24"/>
                <w:szCs w:val="24"/>
                <w:color w:val="auto"/>
              </w:rPr>
            </w:pPr>
          </w:p>
        </w:tc>
        <w:tc>
          <w:tcPr>
            <w:tcW w:w="1440" w:type="dxa"/>
            <w:vAlign w:val="bottom"/>
            <w:gridSpan w:val="2"/>
          </w:tcPr>
          <w:p>
            <w:pPr>
              <w:spacing w:after="0"/>
              <w:rPr>
                <w:sz w:val="24"/>
                <w:szCs w:val="24"/>
                <w:color w:val="auto"/>
              </w:rPr>
            </w:pPr>
          </w:p>
        </w:tc>
        <w:tc>
          <w:tcPr>
            <w:tcW w:w="69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9360" w:type="dxa"/>
            <w:vAlign w:val="bottom"/>
            <w:gridSpan w:val="6"/>
          </w:tcPr>
          <w:p>
            <w:pPr>
              <w:spacing w:after="0"/>
              <w:rPr>
                <w:sz w:val="20"/>
                <w:szCs w:val="20"/>
                <w:color w:val="auto"/>
              </w:rPr>
            </w:pPr>
            <w:r>
              <w:rPr>
                <w:rFonts w:ascii="Arial" w:cs="Arial" w:eastAsia="Arial" w:hAnsi="Arial"/>
                <w:sz w:val="18"/>
                <w:szCs w:val="18"/>
                <w:color w:val="auto"/>
                <w:w w:val="90"/>
              </w:rPr>
              <w:t>Analog Devices, Inc., a Massachusetts corporation, promises to pay to CEDE &amp; CO. or registered assigns, the principal sum of $[</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 on April 1,</w:t>
            </w:r>
          </w:p>
        </w:tc>
      </w:tr>
      <w:tr>
        <w:trPr>
          <w:trHeight w:val="230"/>
        </w:trPr>
        <w:tc>
          <w:tcPr>
            <w:tcW w:w="440" w:type="dxa"/>
            <w:vAlign w:val="bottom"/>
            <w:gridSpan w:val="2"/>
          </w:tcPr>
          <w:p>
            <w:pPr>
              <w:spacing w:after="0"/>
              <w:rPr>
                <w:sz w:val="20"/>
                <w:szCs w:val="20"/>
                <w:color w:val="auto"/>
              </w:rPr>
            </w:pPr>
            <w:r>
              <w:rPr>
                <w:rFonts w:ascii="Arial" w:cs="Arial" w:eastAsia="Arial" w:hAnsi="Arial"/>
                <w:sz w:val="18"/>
                <w:szCs w:val="18"/>
                <w:color w:val="auto"/>
                <w:w w:val="93"/>
              </w:rPr>
              <w:t>2025.</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18"/>
                <w:szCs w:val="18"/>
                <w:color w:val="auto"/>
              </w:rPr>
              <w:t>Interest Payment Dates:</w:t>
            </w:r>
          </w:p>
        </w:tc>
        <w:tc>
          <w:tcPr>
            <w:tcW w:w="6900" w:type="dxa"/>
            <w:vAlign w:val="bottom"/>
          </w:tcPr>
          <w:p>
            <w:pPr>
              <w:ind w:left="740"/>
              <w:spacing w:after="0"/>
              <w:rPr>
                <w:sz w:val="20"/>
                <w:szCs w:val="20"/>
                <w:color w:val="auto"/>
              </w:rPr>
            </w:pPr>
            <w:r>
              <w:rPr>
                <w:rFonts w:ascii="Arial" w:cs="Arial" w:eastAsia="Arial" w:hAnsi="Arial"/>
                <w:sz w:val="18"/>
                <w:szCs w:val="18"/>
                <w:color w:val="auto"/>
              </w:rPr>
              <w:t>April 1 and October 1</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460" w:type="dxa"/>
            <w:vAlign w:val="bottom"/>
            <w:gridSpan w:val="5"/>
          </w:tcPr>
          <w:p>
            <w:pPr>
              <w:spacing w:after="0"/>
              <w:rPr>
                <w:sz w:val="20"/>
                <w:szCs w:val="20"/>
                <w:color w:val="auto"/>
              </w:rPr>
            </w:pPr>
            <w:r>
              <w:rPr>
                <w:rFonts w:ascii="Arial" w:cs="Arial" w:eastAsia="Arial" w:hAnsi="Arial"/>
                <w:sz w:val="18"/>
                <w:szCs w:val="18"/>
                <w:color w:val="auto"/>
              </w:rPr>
              <w:t>Record Dates:</w:t>
            </w:r>
          </w:p>
        </w:tc>
        <w:tc>
          <w:tcPr>
            <w:tcW w:w="6900" w:type="dxa"/>
            <w:vAlign w:val="bottom"/>
          </w:tcPr>
          <w:p>
            <w:pPr>
              <w:ind w:left="740"/>
              <w:spacing w:after="0"/>
              <w:rPr>
                <w:sz w:val="20"/>
                <w:szCs w:val="20"/>
                <w:color w:val="auto"/>
              </w:rPr>
            </w:pPr>
            <w:r>
              <w:rPr>
                <w:rFonts w:ascii="Arial" w:cs="Arial" w:eastAsia="Arial" w:hAnsi="Arial"/>
                <w:sz w:val="18"/>
                <w:szCs w:val="18"/>
                <w:color w:val="auto"/>
              </w:rPr>
              <w:t>March 15 and September 15</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440" w:type="dxa"/>
            <w:vAlign w:val="bottom"/>
            <w:gridSpan w:val="2"/>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gridSpan w:val="2"/>
          </w:tcPr>
          <w:p>
            <w:pPr>
              <w:spacing w:after="0"/>
              <w:rPr>
                <w:sz w:val="24"/>
                <w:szCs w:val="24"/>
                <w:color w:val="auto"/>
              </w:rPr>
            </w:pPr>
          </w:p>
        </w:tc>
        <w:tc>
          <w:tcPr>
            <w:tcW w:w="11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270" w:right="439" w:bottom="1440" w:gutter="0" w:footer="0" w:header="0"/>
        </w:sectPr>
      </w:pPr>
    </w:p>
    <w:bookmarkStart w:id="26" w:name="page27"/>
    <w:bookmarkEnd w:id="26"/>
    <w:p>
      <w:pPr>
        <w:ind w:left="3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571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right="4879"/>
        <w:spacing w:after="0" w:line="277" w:lineRule="auto"/>
        <w:rPr>
          <w:sz w:val="20"/>
          <w:szCs w:val="20"/>
          <w:color w:val="auto"/>
        </w:rPr>
      </w:pPr>
      <w:r>
        <w:rPr>
          <w:rFonts w:ascii="Arial" w:cs="Arial" w:eastAsia="Arial" w:hAnsi="Arial"/>
          <w:sz w:val="18"/>
          <w:szCs w:val="18"/>
          <w:color w:val="auto"/>
        </w:rPr>
        <w:t>THE BANK OF NEW YORK MELLON TRUST COMPANY, N.A. as Trustee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019"/>
          </w:cols>
          <w:pgMar w:left="440" w:top="274" w:right="1440"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(Back of Global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2.950% Senior Note due April 1, 2025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20" w:firstLine="436"/>
        <w:spacing w:after="0" w:line="269"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Analog Devices, Inc., a Massachusetts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 this Note</w:t>
      </w:r>
      <w:r>
        <w:rPr>
          <w:rFonts w:ascii="Arial" w:cs="Arial" w:eastAsia="Arial" w:hAnsi="Arial"/>
          <w:sz w:val="17"/>
          <w:szCs w:val="17"/>
          <w:i w:val="1"/>
          <w:iCs w:val="1"/>
          <w:color w:val="auto"/>
        </w:rPr>
        <w:t xml:space="preserve"> </w:t>
      </w:r>
      <w:r>
        <w:rPr>
          <w:rFonts w:ascii="Arial" w:cs="Arial" w:eastAsia="Arial" w:hAnsi="Arial"/>
          <w:sz w:val="17"/>
          <w:szCs w:val="17"/>
          <w:color w:val="auto"/>
        </w:rPr>
        <w:t>at 2.950% per annum from the date hereof until maturity. The Company will pay interest on the Notes semi-annually in arrears on April 1 and October 1 of each year, commencing on October 1, 2020, or if any such day is not a Business Day, on the next succeeding Business Day, and no additional interest will accrue on the amount so payable in respect of such Notes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Notes will accrue from the most recent date to which interest has been paid or provided for or, if no interest has been paid or provided for, from April 8, 2020;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is no existing Default in the payment of interest, and if this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Notes to the extent lawful; it will pay interest (including post-petition interest in any proceeding under any Bankruptcy Law to the extent allowable) on overdue installments of interest at the same rate to the extent lawful. Interest on the Notes will be computed on the basis of a 360-day year of twelve 30-day months.</w:t>
      </w:r>
    </w:p>
    <w:p>
      <w:pPr>
        <w:spacing w:after="0" w:line="181" w:lineRule="exact"/>
        <w:rPr>
          <w:rFonts w:ascii="Arial" w:cs="Arial" w:eastAsia="Arial" w:hAnsi="Arial"/>
          <w:sz w:val="17"/>
          <w:szCs w:val="17"/>
          <w:color w:val="auto"/>
        </w:rPr>
      </w:pPr>
    </w:p>
    <w:p>
      <w:pPr>
        <w:ind w:firstLine="436"/>
        <w:spacing w:after="0" w:line="289"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Notes (except defaulted interest) to the persons who are registered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Notes at the close of business on the March 15 or September 15 (whether or not a Business Day) next preceding the Interest Payment Date, even if such Notes are canceled after such record date and on or before such Interest Payment Date, except as provided in Section 2.13 of the Base Indenture with respect to defaulted interest. Principal and interest on the Notes will be payable at the office or agency of the Paying Agent and Registrar within the City and State of New York or, at the option of the Company, payment of interest may be made by check mailed to the Holders of Notes at their respective addresses set forth in the register of Holders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6" w:lineRule="exact"/>
        <w:rPr>
          <w:rFonts w:ascii="Arial" w:cs="Arial" w:eastAsia="Arial" w:hAnsi="Arial"/>
          <w:sz w:val="16"/>
          <w:szCs w:val="16"/>
          <w:color w:val="auto"/>
        </w:rPr>
      </w:pPr>
    </w:p>
    <w:p>
      <w:pPr>
        <w:ind w:right="40" w:firstLine="436"/>
        <w:spacing w:after="0" w:line="263"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The Bank of New York Mellon Trust Company, N.A., the Trustee under the Indenture, will act as</w:t>
      </w:r>
      <w:r>
        <w:rPr>
          <w:rFonts w:ascii="Arial" w:cs="Arial" w:eastAsia="Arial" w:hAnsi="Arial"/>
          <w:sz w:val="18"/>
          <w:szCs w:val="18"/>
          <w:i w:val="1"/>
          <w:iCs w:val="1"/>
          <w:color w:val="auto"/>
        </w:rPr>
        <w:t xml:space="preserve"> </w:t>
      </w:r>
      <w:r>
        <w:rPr>
          <w:rFonts w:ascii="Arial" w:cs="Arial" w:eastAsia="Arial" w:hAnsi="Arial"/>
          <w:sz w:val="18"/>
          <w:szCs w:val="18"/>
          <w:color w:val="auto"/>
        </w:rPr>
        <w:t>Paying Agent and Registrar. The Company may change any Paying Agent or Registrar without notice to any Holder. The Company or any of its Subsidiaries may act in any such capacity.</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This Note is one of a duly authenticated Series of securities of the Company issued and to be issued under an indenture (the</w:t>
      </w:r>
    </w:p>
    <w:p>
      <w:pPr>
        <w:spacing w:after="0" w:line="4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Base Indenture</w:t>
      </w:r>
      <w:r>
        <w:rPr>
          <w:rFonts w:ascii="Arial" w:cs="Arial" w:eastAsia="Arial" w:hAnsi="Arial"/>
          <w:sz w:val="16"/>
          <w:szCs w:val="16"/>
          <w:color w:val="auto"/>
        </w:rPr>
        <w:t>”), dated as of June 3, 2013, between the Company and the Trustee, as amended by the Supplemental Indenture, dated as of April 8, 2020, between the Company and the Trustee (the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The terms of the Notes include those stated in the Indenture and those made part of the Indenture by reference to the TIA. The Notes are subject to all such terms, and Holders are referred to the Indenture and the TIA for a statement of such terms. To the extent any provision of this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Notes pursuant to Section 2.3 of the Supplemental Indenture.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440" w:top="274" w:right="479" w:bottom="1440" w:gutter="0" w:footer="0" w:header="0"/>
        </w:sectPr>
      </w:pPr>
    </w:p>
    <w:bookmarkStart w:id="28" w:name="page29"/>
    <w:bookmarkEnd w:id="28"/>
    <w:p>
      <w:pPr>
        <w:ind w:left="620" w:hanging="184"/>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OPTIONAL REDEMPTION</w:t>
      </w:r>
      <w:r>
        <w:rPr>
          <w:rFonts w:ascii="Arial" w:cs="Arial" w:eastAsia="Arial" w:hAnsi="Arial"/>
          <w:sz w:val="18"/>
          <w:szCs w:val="18"/>
          <w:color w:val="auto"/>
        </w:rPr>
        <w:t>.</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Prior to the Par Call Date, the Company will have the right, at its option, to redeem the Notes, at any time and from time to time, in whole or in part, at a redemption price equal to the greater of the following amounts:</w:t>
      </w:r>
    </w:p>
    <w:p>
      <w:pPr>
        <w:spacing w:after="0" w:line="62" w:lineRule="exact"/>
        <w:rPr>
          <w:sz w:val="20"/>
          <w:szCs w:val="20"/>
          <w:color w:val="auto"/>
        </w:rPr>
      </w:pPr>
    </w:p>
    <w:p>
      <w:pPr>
        <w:ind w:left="660" w:hanging="22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and</w:t>
      </w:r>
    </w:p>
    <w:p>
      <w:pPr>
        <w:spacing w:after="0" w:line="117" w:lineRule="exact"/>
        <w:rPr>
          <w:rFonts w:ascii="Arial" w:cs="Arial" w:eastAsia="Arial" w:hAnsi="Arial"/>
          <w:sz w:val="18"/>
          <w:szCs w:val="18"/>
          <w:color w:val="auto"/>
        </w:rPr>
      </w:pPr>
    </w:p>
    <w:p>
      <w:pPr>
        <w:ind w:left="440" w:right="120" w:hanging="4"/>
        <w:spacing w:after="0" w:line="277"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the Notes being redeemed (assuming that the Notes mature on the Par Call Date).</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On or after the Par Call Date, the Company will have the right, at its option, to redeem the Notes, at any time and from time to time, in whole or in part, at a redemption price equal to 100% of the principal amount of the Notes being redeemed.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each case, the Company will also pay the accrued and unpaid interest on the Notes being redeemed to, but excluding, the redemption date.</w:t>
      </w:r>
    </w:p>
    <w:p>
      <w:pPr>
        <w:spacing w:after="0" w:line="23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In connection with any redemption of the Notes prior to their maturity date, calculation of the redemption price therefor shall be made by the Company or on the Company’s behalf by such person as the Company shall designate;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calculation shall not be a duty or obligation of the Trustee or any Agent. Notwithstanding Section 3.3 of the Base Indenture, the notice of any redemption of the Notes pursuant to that Section in respect of a redemption date occurring prior to the maturity date of the Notes need not set forth the redemption price but only the manner of calculation thereof.</w:t>
      </w:r>
    </w:p>
    <w:p>
      <w:pPr>
        <w:spacing w:after="0" w:line="18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shall cease to accrue on the Notes or portions thereof called for redemption.</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Notes subject to a partial redemption shall be selected for redemption by such method as the Trustee shall deem fair and appropriate (provided that if the Notes are represented by one or more Global Notes, the Notes shall be selected for redemption by the Depositary in accordance with its standard procedures therefor) and may provide for the selection for redemption of a portion of the principal amount of the Notes equal to an authorized denomination.</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 Notes of $2,000 or less can be redeemed in part. Notes in denominations larger than $2,000 may be redeemed in part but only in whole multiples of $1,000, unless all of the Notes held by a Holder are being redeemed.</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Notice of any redemption shall be mailed, or otherwise transmitted in accordance with the Depositary’s standard procedures therefor, at least 15 days but not more than 60 days before the redemption date to each Holder of the Notes being redeemed.</w:t>
      </w:r>
    </w:p>
    <w:p>
      <w:pPr>
        <w:spacing w:after="0" w:line="170" w:lineRule="exact"/>
        <w:rPr>
          <w:sz w:val="20"/>
          <w:szCs w:val="20"/>
          <w:color w:val="auto"/>
        </w:rPr>
      </w:pPr>
    </w:p>
    <w:p>
      <w:pPr>
        <w:ind w:left="620" w:hanging="184"/>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MANDATORY REDEMPTION. </w:t>
      </w:r>
      <w:r>
        <w:rPr>
          <w:rFonts w:ascii="Arial" w:cs="Arial" w:eastAsia="Arial" w:hAnsi="Arial"/>
          <w:sz w:val="16"/>
          <w:szCs w:val="16"/>
          <w:color w:val="auto"/>
        </w:rPr>
        <w:t>The Company is not required to make any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0" w:lineRule="exact"/>
        <w:rPr>
          <w:rFonts w:ascii="Arial" w:cs="Arial" w:eastAsia="Arial" w:hAnsi="Arial"/>
          <w:sz w:val="16"/>
          <w:szCs w:val="16"/>
          <w:color w:val="auto"/>
        </w:rPr>
      </w:pPr>
    </w:p>
    <w:p>
      <w:pPr>
        <w:ind w:firstLine="436"/>
        <w:spacing w:after="0" w:line="272"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OFFER TO PURCHASE UPON CHANGE OF CONTROL</w:t>
      </w:r>
      <w:r>
        <w:rPr>
          <w:rFonts w:ascii="Arial" w:cs="Arial" w:eastAsia="Arial" w:hAnsi="Arial"/>
          <w:sz w:val="17"/>
          <w:szCs w:val="17"/>
          <w:color w:val="auto"/>
        </w:rPr>
        <w:t>. If a Change of Control Triggering Event occurs with respect to the Notes,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exercised its option to redeem the Notes in full pursuant to Section 3.1 of the Supplemental Indenture or has defeased the Notes or satisfied and discharged the Notes, the Company shall be required to make an offer (a “</w:t>
      </w:r>
      <w:r>
        <w:rPr>
          <w:rFonts w:ascii="Arial" w:cs="Arial" w:eastAsia="Arial" w:hAnsi="Arial"/>
          <w:sz w:val="17"/>
          <w:szCs w:val="17"/>
          <w:b w:val="1"/>
          <w:bCs w:val="1"/>
          <w:i w:val="1"/>
          <w:iCs w:val="1"/>
          <w:color w:val="auto"/>
        </w:rPr>
        <w:t>Change of Control Offer</w:t>
      </w:r>
      <w:r>
        <w:rPr>
          <w:rFonts w:ascii="Arial" w:cs="Arial" w:eastAsia="Arial" w:hAnsi="Arial"/>
          <w:sz w:val="17"/>
          <w:szCs w:val="17"/>
          <w:color w:val="auto"/>
        </w:rPr>
        <w:t xml:space="preserve">”) to each Holder of Notes to repurchase all or any part (equal to $2,000 and in integral multiples of $1,000 in excess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unrepurchased portion of a Note must be in a minimum principal amount of $2,000) of that Holder’s Notes pursuant to the terms set forth in the Indenture. In a Change of Control Offer, the Company shall be required to offer payment in cash equal to 101% of the aggregate principal amount of the Notes repurchased, plus accrued and unpaid interest, if any, on the Notes repurchased to the date of repurchase.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29" w:name="page30"/>
    <w:bookmarkEnd w:id="29"/>
    <w:p>
      <w:pPr>
        <w:ind w:left="-20" w:firstLine="436"/>
        <w:spacing w:after="0" w:line="25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DENOMINATIONS, TRANSFER, EXCHANGE</w:t>
      </w:r>
      <w:r>
        <w:rPr>
          <w:rFonts w:ascii="Arial" w:cs="Arial" w:eastAsia="Arial" w:hAnsi="Arial"/>
          <w:sz w:val="18"/>
          <w:szCs w:val="18"/>
          <w:color w:val="auto"/>
        </w:rPr>
        <w:t>. The Notes are in registered form without coupons in denominations of $2,000 and integral</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multiples of $1,000 in excess thereof.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Note or portion of a Note selected for redemption, except for the unredeemed portion of any Note being redeemed in part. Also, the Company need not exchange or register the transfer of any Notes for a period of 15 days before the day of any selection of Notes being redeemed or during the period between a record date and the corresponding Interest Payment Date.</w:t>
      </w:r>
    </w:p>
    <w:p>
      <w:pPr>
        <w:spacing w:after="0" w:line="194" w:lineRule="exact"/>
        <w:rPr>
          <w:rFonts w:ascii="Arial" w:cs="Arial" w:eastAsia="Arial" w:hAnsi="Arial"/>
          <w:sz w:val="18"/>
          <w:szCs w:val="18"/>
          <w:color w:val="auto"/>
        </w:rPr>
      </w:pPr>
    </w:p>
    <w:p>
      <w:pPr>
        <w:ind w:left="-20" w:right="20" w:firstLine="436"/>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Note may be treated as its owner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w:t>
      </w:r>
    </w:p>
    <w:p>
      <w:pPr>
        <w:spacing w:after="0" w:line="170" w:lineRule="exact"/>
        <w:rPr>
          <w:rFonts w:ascii="Arial" w:cs="Arial" w:eastAsia="Arial" w:hAnsi="Arial"/>
          <w:sz w:val="18"/>
          <w:szCs w:val="18"/>
          <w:color w:val="auto"/>
        </w:rPr>
      </w:pPr>
    </w:p>
    <w:p>
      <w:pPr>
        <w:ind w:left="-20" w:right="60" w:firstLine="436"/>
        <w:spacing w:after="0" w:line="269" w:lineRule="auto"/>
        <w:tabs>
          <w:tab w:leader="none" w:pos="69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Notes may be amended or supplemented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consent of the Holders of at least a majority in principal amount of the Notes then outstanding, including, without limitation, consents obtained in connection with a tender offer or exchange offer for the Notes, and any existing default or compliance with any provision of the Indenture or the Notes may be waived with the consent of the Holders of a majority in principal amount of the then outstanding Notes, including, without limitation, consents obtained in connection with a tender offer or exchange offer for the Notes. Without the consent of any Holder of a Note, the Indenture or the Notes may be amended or supplemented (i) to cure any ambiguity, defect or inconsistency; (ii) to provide for a supplemental indenture as set forth in Article V of the Base Indenture; (iii) to provide for uncertificated Securities in addition to or in place of certificated Securities; (iv) to make any change that does not adversely affect the rights of any Holder; (v) to provide for the issuance of and to establish the form and terms and conditions of the Securities as permitted by the Indenture; (vi) to evidence and provide for the acceptance of appointment under the Indenture by a successor Trustee and to add to or change any of the provisions of the Indenture as shall be necessary to provide for or facilitate the administration of the trusts under the Indenture by more than one Trustee; or (vii) to comply with the requirements of the SEC in order to effect or maintain the qualification of the Indenture under the TIA.</w:t>
      </w:r>
    </w:p>
    <w:p>
      <w:pPr>
        <w:spacing w:after="0" w:line="178" w:lineRule="exact"/>
        <w:rPr>
          <w:rFonts w:ascii="Arial" w:cs="Arial" w:eastAsia="Arial" w:hAnsi="Arial"/>
          <w:sz w:val="17"/>
          <w:szCs w:val="17"/>
          <w:color w:val="auto"/>
        </w:rPr>
      </w:pPr>
    </w:p>
    <w:p>
      <w:pPr>
        <w:ind w:left="-20" w:firstLine="436"/>
        <w:spacing w:after="0" w:line="342" w:lineRule="auto"/>
        <w:tabs>
          <w:tab w:leader="none" w:pos="683"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If an Event of Default with respect to the Notes shall occur and be continuing, the principal of, and any accrued</w:t>
      </w:r>
      <w:r>
        <w:rPr>
          <w:rFonts w:ascii="Arial" w:cs="Arial" w:eastAsia="Arial" w:hAnsi="Arial"/>
          <w:sz w:val="16"/>
          <w:szCs w:val="16"/>
          <w:i w:val="1"/>
          <w:iCs w:val="1"/>
          <w:color w:val="auto"/>
        </w:rPr>
        <w:t xml:space="preserve"> </w:t>
      </w:r>
      <w:r>
        <w:rPr>
          <w:rFonts w:ascii="Arial" w:cs="Arial" w:eastAsia="Arial" w:hAnsi="Arial"/>
          <w:sz w:val="16"/>
          <w:szCs w:val="16"/>
          <w:color w:val="auto"/>
        </w:rPr>
        <w:t>and unpaid interest on, the outstanding Notes may be declared due and payable in the manner and with the effect provided in the Indenture.</w:t>
      </w:r>
    </w:p>
    <w:p>
      <w:pPr>
        <w:spacing w:after="0" w:line="123" w:lineRule="exact"/>
        <w:rPr>
          <w:rFonts w:ascii="Arial" w:cs="Arial" w:eastAsia="Arial" w:hAnsi="Arial"/>
          <w:sz w:val="16"/>
          <w:szCs w:val="16"/>
          <w:color w:val="auto"/>
        </w:rPr>
      </w:pPr>
    </w:p>
    <w:p>
      <w:pPr>
        <w:ind w:left="-20" w:right="80" w:firstLine="436"/>
        <w:spacing w:after="0" w:line="308" w:lineRule="auto"/>
        <w:tabs>
          <w:tab w:leader="none" w:pos="69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TRUSTEE DEALINGS WITH COMPANY</w:t>
      </w:r>
      <w:r>
        <w:rPr>
          <w:rFonts w:ascii="Arial" w:cs="Arial" w:eastAsia="Arial" w:hAnsi="Arial"/>
          <w:sz w:val="17"/>
          <w:szCs w:val="17"/>
          <w:color w:val="auto"/>
        </w:rPr>
        <w:t>. The Trustee, in its individual or any other capacity, may become the owner or pledgee of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may otherwise deal with the Company or an Affiliate of the Company with the same rights it would have if it were not Trustee.</w:t>
      </w:r>
    </w:p>
    <w:p>
      <w:pPr>
        <w:spacing w:after="0" w:line="146" w:lineRule="exact"/>
        <w:rPr>
          <w:rFonts w:ascii="Arial" w:cs="Arial" w:eastAsia="Arial" w:hAnsi="Arial"/>
          <w:sz w:val="17"/>
          <w:szCs w:val="17"/>
          <w:color w:val="auto"/>
        </w:rPr>
      </w:pPr>
    </w:p>
    <w:p>
      <w:pPr>
        <w:jc w:val="both"/>
        <w:ind w:left="-20" w:right="40" w:firstLine="436"/>
        <w:spacing w:after="0" w:line="311" w:lineRule="auto"/>
        <w:tabs>
          <w:tab w:leader="none" w:pos="69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NO RECOURSE AGAINST OTHERS</w:t>
      </w:r>
      <w:r>
        <w:rPr>
          <w:rFonts w:ascii="Arial" w:cs="Arial" w:eastAsia="Arial" w:hAnsi="Arial"/>
          <w:sz w:val="16"/>
          <w:szCs w:val="16"/>
          <w:color w:val="auto"/>
        </w:rPr>
        <w:t>. A director, officer, employee or stockholder, as such, of the Company will not have any liability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issue of the Notes.</w:t>
      </w:r>
    </w:p>
    <w:p>
      <w:pPr>
        <w:spacing w:after="0" w:line="148" w:lineRule="exact"/>
        <w:rPr>
          <w:rFonts w:ascii="Arial" w:cs="Arial" w:eastAsia="Arial" w:hAnsi="Arial"/>
          <w:sz w:val="16"/>
          <w:szCs w:val="16"/>
          <w:color w:val="auto"/>
        </w:rPr>
      </w:pPr>
    </w:p>
    <w:p>
      <w:pPr>
        <w:ind w:left="680" w:hanging="264"/>
        <w:spacing w:after="0"/>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will not be valid until authenticated by the manual signature of the Trustee or an authenticating agent.</w:t>
      </w:r>
    </w:p>
    <w:p>
      <w:pPr>
        <w:spacing w:after="0" w:line="236" w:lineRule="exact"/>
        <w:rPr>
          <w:rFonts w:ascii="Arial" w:cs="Arial" w:eastAsia="Arial" w:hAnsi="Arial"/>
          <w:sz w:val="17"/>
          <w:szCs w:val="17"/>
          <w:color w:val="auto"/>
        </w:rPr>
      </w:pPr>
    </w:p>
    <w:p>
      <w:pPr>
        <w:ind w:left="-20" w:right="60" w:firstLine="436"/>
        <w:spacing w:after="0" w:line="263" w:lineRule="auto"/>
        <w:tabs>
          <w:tab w:leader="none" w:pos="69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TEN ENT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60"/>
          </w:cols>
          <w:pgMar w:left="460" w:top="274" w:right="479" w:bottom="1440" w:gutter="0" w:footer="0" w:header="0"/>
        </w:sectPr>
      </w:pPr>
    </w:p>
    <w:bookmarkStart w:id="30" w:name="page31"/>
    <w:bookmarkEnd w:id="30"/>
    <w:p>
      <w:pPr>
        <w:ind w:left="-80" w:firstLine="436"/>
        <w:spacing w:after="0" w:line="275" w:lineRule="auto"/>
        <w:tabs>
          <w:tab w:leader="none" w:pos="63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NUMBERS</w:t>
      </w:r>
      <w:r>
        <w:rPr>
          <w:rFonts w:ascii="Arial" w:cs="Arial" w:eastAsia="Arial" w:hAnsi="Arial"/>
          <w:sz w:val="17"/>
          <w:szCs w:val="17"/>
          <w:color w:val="auto"/>
        </w:rPr>
        <w:t>. The Company has caused CUSIP numbers to be printed on the Notes and the Trustee shall use CUSIP numbers in notices</w:t>
      </w:r>
      <w:r>
        <w:rPr>
          <w:rFonts w:ascii="Arial" w:cs="Arial" w:eastAsia="Arial" w:hAnsi="Arial"/>
          <w:sz w:val="17"/>
          <w:szCs w:val="17"/>
          <w:i w:val="1"/>
          <w:iCs w:val="1"/>
          <w:color w:val="auto"/>
        </w:rPr>
        <w:t xml:space="preserve"> </w:t>
      </w:r>
      <w:r>
        <w:rPr>
          <w:rFonts w:ascii="Arial" w:cs="Arial" w:eastAsia="Arial" w:hAnsi="Arial"/>
          <w:sz w:val="17"/>
          <w:szCs w:val="17"/>
          <w:color w:val="auto"/>
        </w:rPr>
        <w:t>of redemption as a convenience to Holders. No representation is made as to the correctness of such numbers either as printed on the Notes or as contained in any notice of redemption and reliance may be placed only on the other elements of identification printed on the Notes, and any such redemption shall not be affected by any defect in or omission of such numbers. The Company will furnish to any Holder upon written request and without charge a copy of the Base Indenture and the Supplemental Indenture. Requests may be made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840"/>
          </w:cols>
          <w:pgMar w:left="520" w:top="274" w:right="5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Note to:</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7900" w:type="dxa"/>
            <w:vAlign w:val="bottom"/>
            <w:tcBorders>
              <w:top w:val="single" w:sz="8" w:color="auto"/>
            </w:tcBorders>
            <w:gridSpan w:val="7"/>
          </w:tcPr>
          <w:p>
            <w:pPr>
              <w:jc w:val="center"/>
              <w:ind w:right="3120"/>
              <w:spacing w:after="0"/>
              <w:rPr>
                <w:sz w:val="20"/>
                <w:szCs w:val="20"/>
                <w:color w:val="auto"/>
              </w:rPr>
            </w:pPr>
            <w:r>
              <w:rPr>
                <w:rFonts w:ascii="Arial" w:cs="Arial" w:eastAsia="Arial" w:hAnsi="Arial"/>
                <w:sz w:val="18"/>
                <w:szCs w:val="18"/>
                <w:color w:val="auto"/>
                <w:w w:val="89"/>
              </w:rPr>
              <w:t>(Insert assignee’s legal name)</w:t>
            </w:r>
          </w:p>
        </w:tc>
      </w:tr>
      <w:tr>
        <w:trPr>
          <w:trHeight w:val="242"/>
        </w:trPr>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r>
      <w:tr>
        <w:trPr>
          <w:trHeight w:val="224"/>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900" w:type="dxa"/>
            <w:vAlign w:val="bottom"/>
            <w:gridSpan w:val="7"/>
          </w:tcPr>
          <w:p>
            <w:pPr>
              <w:jc w:val="center"/>
              <w:ind w:right="3140"/>
              <w:spacing w:after="0"/>
              <w:rPr>
                <w:sz w:val="20"/>
                <w:szCs w:val="20"/>
                <w:color w:val="auto"/>
              </w:rPr>
            </w:pPr>
            <w:r>
              <w:rPr>
                <w:rFonts w:ascii="Arial" w:cs="Arial" w:eastAsia="Arial" w:hAnsi="Arial"/>
                <w:sz w:val="18"/>
                <w:szCs w:val="18"/>
                <w:color w:val="auto"/>
                <w:w w:val="89"/>
              </w:rPr>
              <w:t>(Insert assignee’s soc. sec. or tax I.D. no.)</w:t>
            </w:r>
          </w:p>
        </w:tc>
      </w:tr>
      <w:tr>
        <w:trPr>
          <w:trHeight w:val="242"/>
        </w:trPr>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r>
      <w:tr>
        <w:trPr>
          <w:trHeight w:val="224"/>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900" w:type="dxa"/>
            <w:vAlign w:val="bottom"/>
            <w:gridSpan w:val="7"/>
          </w:tcPr>
          <w:p>
            <w:pPr>
              <w:jc w:val="center"/>
              <w:ind w:right="312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377"/>
        </w:trPr>
        <w:tc>
          <w:tcPr>
            <w:tcW w:w="1740" w:type="dxa"/>
            <w:vAlign w:val="bottom"/>
            <w:gridSpan w:val="3"/>
          </w:tcPr>
          <w:p>
            <w:pPr>
              <w:spacing w:after="0"/>
              <w:rPr>
                <w:sz w:val="20"/>
                <w:szCs w:val="20"/>
                <w:color w:val="auto"/>
              </w:rPr>
            </w:pPr>
            <w:r>
              <w:rPr>
                <w:rFonts w:ascii="Arial" w:cs="Arial" w:eastAsia="Arial" w:hAnsi="Arial"/>
                <w:sz w:val="18"/>
                <w:szCs w:val="18"/>
                <w:color w:val="auto"/>
                <w:w w:val="92"/>
              </w:rPr>
              <w:t>and irrevocably appoint</w:t>
            </w:r>
          </w:p>
        </w:tc>
        <w:tc>
          <w:tcPr>
            <w:tcW w:w="13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500" w:type="dxa"/>
            <w:vAlign w:val="bottom"/>
            <w:gridSpan w:val="3"/>
          </w:tcPr>
          <w:p>
            <w:pPr>
              <w:ind w:left="40"/>
              <w:spacing w:after="0"/>
              <w:rPr>
                <w:sz w:val="20"/>
                <w:szCs w:val="20"/>
                <w:color w:val="auto"/>
              </w:rPr>
            </w:pPr>
            <w:r>
              <w:rPr>
                <w:rFonts w:ascii="Arial" w:cs="Arial" w:eastAsia="Arial" w:hAnsi="Arial"/>
                <w:sz w:val="18"/>
                <w:szCs w:val="18"/>
                <w:color w:val="auto"/>
                <w:w w:val="90"/>
              </w:rPr>
              <w:t>to transfer this Note on the books of the Company. The agent</w:t>
            </w:r>
          </w:p>
        </w:tc>
      </w:tr>
      <w:tr>
        <w:trPr>
          <w:trHeight w:val="237"/>
        </w:trPr>
        <w:tc>
          <w:tcPr>
            <w:tcW w:w="3120" w:type="dxa"/>
            <w:vAlign w:val="bottom"/>
            <w:gridSpan w:val="4"/>
          </w:tcPr>
          <w:p>
            <w:pPr>
              <w:spacing w:after="0"/>
              <w:rPr>
                <w:sz w:val="20"/>
                <w:szCs w:val="20"/>
                <w:color w:val="auto"/>
              </w:rPr>
            </w:pPr>
            <w:r>
              <w:rPr>
                <w:rFonts w:ascii="Arial" w:cs="Arial" w:eastAsia="Arial" w:hAnsi="Arial"/>
                <w:sz w:val="18"/>
                <w:szCs w:val="18"/>
                <w:color w:val="auto"/>
              </w:rPr>
              <w:t>may substitute another to act for him</w:t>
            </w:r>
          </w:p>
        </w:tc>
        <w:tc>
          <w:tcPr>
            <w:tcW w:w="2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3120" w:type="dxa"/>
            <w:vAlign w:val="bottom"/>
            <w:gridSpan w:val="4"/>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39"/>
        </w:trPr>
        <w:tc>
          <w:tcPr>
            <w:tcW w:w="4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tcPr>
          <w:p>
            <w:pPr>
              <w:ind w:left="1300"/>
              <w:spacing w:after="0"/>
              <w:rPr>
                <w:sz w:val="20"/>
                <w:szCs w:val="20"/>
                <w:color w:val="auto"/>
              </w:rPr>
            </w:pPr>
            <w:r>
              <w:rPr>
                <w:rFonts w:ascii="Arial" w:cs="Arial" w:eastAsia="Arial" w:hAnsi="Arial"/>
                <w:sz w:val="18"/>
                <w:szCs w:val="18"/>
                <w:color w:val="auto"/>
                <w:w w:val="92"/>
              </w:rPr>
              <w:t>Your Signature:</w:t>
            </w:r>
          </w:p>
        </w:tc>
        <w:tc>
          <w:tcPr>
            <w:tcW w:w="3100" w:type="dxa"/>
            <w:vAlign w:val="bottom"/>
            <w:tcBorders>
              <w:bottom w:val="single" w:sz="8" w:color="auto"/>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00" w:type="dxa"/>
            <w:vAlign w:val="bottom"/>
            <w:gridSpan w:val="7"/>
          </w:tcPr>
          <w:p>
            <w:pPr>
              <w:ind w:left="1480"/>
              <w:spacing w:after="0"/>
              <w:rPr>
                <w:sz w:val="20"/>
                <w:szCs w:val="20"/>
                <w:color w:val="auto"/>
              </w:rPr>
            </w:pPr>
            <w:r>
              <w:rPr>
                <w:rFonts w:ascii="Arial" w:cs="Arial" w:eastAsia="Arial" w:hAnsi="Arial"/>
                <w:sz w:val="18"/>
                <w:szCs w:val="18"/>
                <w:color w:val="auto"/>
              </w:rPr>
              <w:t>(sign exactly as your name appears on the face of this Note)</w:t>
            </w:r>
          </w:p>
        </w:tc>
      </w:tr>
      <w:tr>
        <w:trPr>
          <w:trHeight w:val="391"/>
        </w:trPr>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40" w:type="dxa"/>
            <w:vAlign w:val="bottom"/>
            <w:gridSpan w:val="3"/>
          </w:tcPr>
          <w:p>
            <w:pPr>
              <w:ind w:left="1300"/>
              <w:spacing w:after="0"/>
              <w:rPr>
                <w:sz w:val="20"/>
                <w:szCs w:val="20"/>
                <w:color w:val="auto"/>
              </w:rPr>
            </w:pPr>
            <w:r>
              <w:rPr>
                <w:rFonts w:ascii="Arial" w:cs="Arial" w:eastAsia="Arial" w:hAnsi="Arial"/>
                <w:sz w:val="18"/>
                <w:szCs w:val="18"/>
                <w:color w:val="auto"/>
                <w:w w:val="95"/>
              </w:rPr>
              <w:t>Tax Identification No:</w:t>
            </w:r>
          </w:p>
        </w:tc>
        <w:tc>
          <w:tcPr>
            <w:tcW w:w="2640" w:type="dxa"/>
            <w:vAlign w:val="bottom"/>
            <w:tcBorders>
              <w:bottom w:val="single" w:sz="8" w:color="auto"/>
            </w:tcBorders>
            <w:gridSpan w:val="2"/>
          </w:tcPr>
          <w:p>
            <w:pPr>
              <w:spacing w:after="0"/>
              <w:rPr>
                <w:sz w:val="24"/>
                <w:szCs w:val="24"/>
                <w:color w:val="auto"/>
              </w:rPr>
            </w:pPr>
          </w:p>
        </w:tc>
        <w:tc>
          <w:tcPr>
            <w:tcW w:w="2320" w:type="dxa"/>
            <w:vAlign w:val="bottom"/>
            <w:gridSpan w:val="2"/>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60" w:type="dxa"/>
            <w:vAlign w:val="bottom"/>
            <w:gridSpan w:val="2"/>
          </w:tcPr>
          <w:p>
            <w:pPr>
              <w:ind w:left="1300"/>
              <w:spacing w:after="0"/>
              <w:rPr>
                <w:sz w:val="20"/>
                <w:szCs w:val="20"/>
                <w:color w:val="auto"/>
              </w:rPr>
            </w:pPr>
            <w:r>
              <w:rPr>
                <w:rFonts w:ascii="Arial" w:cs="Arial" w:eastAsia="Arial" w:hAnsi="Arial"/>
                <w:sz w:val="18"/>
                <w:szCs w:val="18"/>
                <w:color w:val="auto"/>
                <w:w w:val="89"/>
              </w:rPr>
              <w:t>Signature Guarantee:</w:t>
            </w:r>
          </w:p>
        </w:tc>
        <w:tc>
          <w:tcPr>
            <w:tcW w:w="2740" w:type="dxa"/>
            <w:vAlign w:val="bottom"/>
            <w:tcBorders>
              <w:bottom w:val="single" w:sz="8" w:color="auto"/>
            </w:tcBorders>
            <w:gridSpan w:val="4"/>
          </w:tcPr>
          <w:p>
            <w:pPr>
              <w:spacing w:after="0"/>
              <w:rPr>
                <w:sz w:val="24"/>
                <w:szCs w:val="24"/>
                <w:color w:val="auto"/>
              </w:rPr>
            </w:pPr>
          </w:p>
        </w:tc>
        <w:tc>
          <w:tcPr>
            <w:tcW w:w="2300" w:type="dxa"/>
            <w:vAlign w:val="bottom"/>
          </w:tcPr>
          <w:p>
            <w:pPr>
              <w:spacing w:after="0"/>
              <w:rPr>
                <w:sz w:val="24"/>
                <w:szCs w:val="24"/>
                <w:color w:val="auto"/>
              </w:rPr>
            </w:pPr>
          </w:p>
        </w:tc>
      </w:tr>
    </w:tbl>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20"/>
          </w:cols>
          <w:pgMar w:left="440" w:top="270" w:right="4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4.1 of the Supplemental Indenture, check the box below:</w:t>
      </w:r>
    </w:p>
    <w:p>
      <w:pPr>
        <w:spacing w:after="0" w:line="248" w:lineRule="exact"/>
        <w:rPr>
          <w:sz w:val="20"/>
          <w:szCs w:val="20"/>
          <w:color w:val="auto"/>
        </w:rPr>
      </w:pPr>
    </w:p>
    <w:p>
      <w:pPr>
        <w:ind w:left="640" w:hanging="204"/>
        <w:spacing w:after="0"/>
        <w:tabs>
          <w:tab w:leader="none" w:pos="640" w:val="left"/>
        </w:tabs>
        <w:numPr>
          <w:ilvl w:val="0"/>
          <w:numId w:val="30"/>
        </w:numPr>
        <w:rPr>
          <w:rFonts w:ascii="MS PGothic" w:cs="MS PGothic" w:eastAsia="MS PGothic" w:hAnsi="MS PGothic"/>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If you want to elect to have only part of this Note purchased by the Company pursuant to Section 4.1 of the Supplemental Indenture, state the amount you elect to have purchased ($2,000 or integral multiples of $1,000 in excess thereof; provided that the unrepurchased portion of this Note must be in a minimum principal amount of $2,000): $________________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-10160</wp:posOffset>
            </wp:positionV>
            <wp:extent cx="19710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971040" cy="8890"/>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-10160</wp:posOffset>
            </wp:positionV>
            <wp:extent cx="1685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-10160</wp:posOffset>
            </wp:positionV>
            <wp:extent cx="1742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20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40"/>
          </w:cols>
          <w:pgMar w:left="440" w:top="270" w:right="5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acted as counsel for Analog Devices, Inc., a Massachusetts corporation (the “Company”), in connection with the offer and sale of $400,000,000 aggregate principal amount of the Company’s 2.950% Senior Notes due April 1, 2025 (the “Notes”), pursuant to an underwriting agreement dated as of April 6, 2020 (the “Underwriting Agreement”) between the Company and J.P. Morgan Securities LLC and Citigroup Global Markets Inc., as representatives of the several underwriters named in the Underwriting Agreement. The Notes will be issued pursuant to an Indenture dated as of June 3, 2013 between the Company and The Bank of New York Mellon Trust Company, N.A. (the “Trustee”), as supplemented by the Supplemental Indenture dated as of April 8, 2020 (the “Indenture”).</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such counsel, we have assisted in the preparation and filing with the Securities and Exchange Commission (the “Commission”) of the Company’s prospectus supplement dated April 6, 2020 (the “Prospectus Supplement”) to the prospectus dated June 15, 2018 (the “Base Prospectus”), each relating to the registration statement on Form S-3 (File No. 333-225652) (the “Registration Statement”) filed by the Company with the Commission on June 15, 2018.</w:t>
      </w:r>
    </w:p>
    <w:p>
      <w:pPr>
        <w:spacing w:after="0" w:line="18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examined and relied upon (i) corporate or other proceedings of the Company regarding the authorization of the execution and delivery of the Indenture, the Underwriting Agreement and the issuance of the Notes, (ii) the Registration Statement, (iii) the Base Prospectus, (iv) the Prospectus Supplement, (v) the Underwriting Agreement and (vi) the Indenture. We have also examined and relied upon originals or copies, certified or otherwise identified to our satisfaction, of such other corporate records of the Company, such other agreements and instruments, certificates of public officials, officers of the Company and other persons, and such other documents, instruments and certificates as we have deemed necessary as a basis for the opinions hereinafter expressed.</w:t>
      </w:r>
    </w:p>
    <w:p>
      <w:pPr>
        <w:spacing w:after="0" w:line="19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our examination of the documents referred to above, we have assumed the genuineness of all signatures, the legal capacity of all individual signatories, the authenticity of all documents submitted to us as originals, the conformity to original documents of all documents submitted to us as copies, the authenticity of such original documents and the completeness and accuracy of the corporate records of the Company provided to us by the Company. Insofar as this opinion relates to factual matters, we have assumed with your permission without independent investigation that the statements of the Company contained in the Registration Statement are true and correct as to all factual matters stated therein.</w:t>
      </w:r>
    </w:p>
    <w:p>
      <w:pPr>
        <w:sectPr>
          <w:pgSz w:w="11900" w:h="16838" w:orient="portrait"/>
          <w:cols w:equalWidth="0" w:num="1">
            <w:col w:w="11020"/>
          </w:cols>
          <w:pgMar w:left="440" w:top="121" w:right="439" w:bottom="1440" w:gutter="0" w:footer="0" w:header="0"/>
        </w:sectPr>
      </w:pPr>
    </w:p>
    <w:bookmarkStart w:id="34" w:name="page35"/>
    <w:bookmarkEnd w:id="34"/>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rendering the opinions set forth below, we have assumed that (i) the Trustee has the power, corporate or other, to enter into and perform its obligations under the Indenture, (ii) the Indenture will be a valid and binding obligation of the Trustee, and (iii) the Trustee shall have been qualified under the Trust Indenture Act of 1939, as amended. We have also assumed the due authentication of the Notes by the Trustee and that at the time of the issuance and sale of the Notes, the Board of Directors of the Company (or any committee thereof acting pursuant to authority properly delegated to such committee by the Board of Directors) has not taken any action to rescind or otherwise reduce its prior authorization of the issuance of the Debt Securities.</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express no opinion herein as to the laws of any jurisdiction other than the state laws of the Commonwealth of Massachusetts, the state laws of the State of New York and the federal laws of the United States of America.</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opinions below are qualified to the extent that they may be subject to or affected by (i) applicable bankruptcy, insolvency, reorganization, moratorium, usury, fraudulent conveyance or similar laws relating to or affecting the rights or remedies of creditors generally, (ii) statutory or decisional law concerning recourse by creditors to security in the absence of notice or hearing, (iii) duties and standards imposed on creditors and parties to contracts, including, without limitation, requirements of materiality, good faith, reasonableness and fair dealing, and (iv) general equitable principles. Furthermore, we express no opinion as to the availability of any equitable or specific remedy upon any breach of the Indenture or the Notes, or to the successful assertion of any equitable defenses, inasmuch as the availability of such remedies or the success of any equitable defenses may be subject to the discretion of a court. We also express no opinion herein with respect to compliance by the Company with the securities or “blue sky” laws of any state or other jurisdiction of the United States or of any foreign jurisdiction. In addition, we express no opinion and make no statement herein with respect to the antifraud laws of any jurisdiction.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basis of, and subject to, the foregoing, we are of the opinion that when the Notes have been duly executed by the Company, duly authenticated by the Trustee in accordance with the terms of the Indenture and delivered to the purchasers thereof against payment of the consideration therefor duly approved by the Company, the Notes will constitute valid and binding obligations of the Company, enforceable against the Company in accordance with their terms.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is rendered as of the date hereof, and we disclaim any obligation to advise you of any change in any of the foregoing sources of law or subsequent developments in law or changes in facts or circumstances that might affect any matters or opinions set forth herein.</w:t>
      </w:r>
    </w:p>
    <w:p>
      <w:pPr>
        <w:sectPr>
          <w:pgSz w:w="11900" w:h="16838" w:orient="portrait"/>
          <w:cols w:equalWidth="0" w:num="1">
            <w:col w:w="11000"/>
          </w:cols>
          <w:pgMar w:left="440" w:top="274" w:right="459" w:bottom="1440" w:gutter="0" w:footer="0" w:header="0"/>
        </w:sectPr>
      </w:pPr>
    </w:p>
    <w:bookmarkStart w:id="35" w:name="page36"/>
    <w:bookmarkEnd w:id="3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hereby consent to the filing of this opinion with the Commission as an exhibit to the Company’s Current Report on Form 8-K to be filed on or about April 8, 2020, which Form 8-K will be incorporated by reference into the Registration Statement, and to the use of our name therein and in the related Base Prospectus, Preliminary Prospectus Supplement and Prospectus Supplement under the caption “Legal Matters.” In giving such consent, we do not hereby admit that we are in the category of persons whose consent is required under Section 7 of the Securities Act of 1933, as amended, or the rules and regulations of the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Erika 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Erika L. Robinson, a Partner</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Roman"/>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2"/>
    </w:lvl>
    <w:lvl w:ilvl="1">
      <w:lvlJc w:val="left"/>
      <w:lvlText w:val="(%2)"/>
      <w:numFmt w:val="decimal"/>
      <w:start w:val="1"/>
    </w:lvl>
  </w:abstractNum>
  <w:abstractNum w:abstractNumId="4">
    <w:nsid w:val="519B500D"/>
    <w:multiLevelType w:val="hybridMultilevel"/>
    <w:lvl w:ilvl="0">
      <w:lvlJc w:val="left"/>
      <w:lvlText w:val="(%1)"/>
      <w:numFmt w:val="lowerLetter"/>
      <w:start w:val="1"/>
    </w:lvl>
    <w:lvl w:ilvl="1">
      <w:lvlJc w:val="left"/>
      <w:lvlText w:val="(%2)"/>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
    <w:nsid w:val="7C83E458"/>
    <w:multiLevelType w:val="hybridMultilevel"/>
    <w:lvl w:ilvl="0">
      <w:lvlJc w:val="left"/>
      <w:lvlText w:val="(%1)"/>
      <w:numFmt w:val="lowerLetter"/>
      <w:start w:val="3"/>
    </w:lvl>
  </w:abstractNum>
  <w:abstractNum w:abstractNumId="8">
    <w:nsid w:val="257130A3"/>
    <w:multiLevelType w:val="hybridMultilevel"/>
    <w:lvl w:ilvl="0">
      <w:lvlJc w:val="left"/>
      <w:lvlText w:val="(%1)"/>
      <w:numFmt w:val="lowerLetter"/>
      <w:start w:val="4"/>
    </w:lvl>
  </w:abstractNum>
  <w:abstractNum w:abstractNumId="9">
    <w:nsid w:val="62BBD95A"/>
    <w:multiLevelType w:val="hybridMultilevel"/>
    <w:lvl w:ilvl="0">
      <w:lvlJc w:val="left"/>
      <w:lvlText w:val="(%1)"/>
      <w:numFmt w:val="lowerLetter"/>
      <w:start w:val="6"/>
    </w:lvl>
  </w:abstractNum>
  <w:abstractNum w:abstractNumId="10">
    <w:nsid w:val="436C6125"/>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1)"/>
      <w:numFmt w:val="lowerLetter"/>
      <w:start w:val="1"/>
    </w:lvl>
    <w:lvl w:ilvl="1">
      <w:lvlJc w:val="left"/>
      <w:lvlText w:val="(%2)"/>
      <w:numFmt w:val="lowerRoman"/>
      <w:start w:val="1"/>
    </w:lvl>
  </w:abstractNum>
  <w:abstractNum w:abstractNumId="14">
    <w:nsid w:val="2443A858"/>
    <w:multiLevelType w:val="hybridMultilevel"/>
    <w:lvl w:ilvl="0">
      <w:lvlJc w:val="left"/>
      <w:lvlText w:val="(%1)"/>
      <w:numFmt w:val="lowerLetter"/>
      <w:start w:val="1"/>
    </w:lvl>
    <w:lvl w:ilvl="1">
      <w:lvlJc w:val="left"/>
      <w:lvlText w:val="(%2)"/>
      <w:numFmt w:val="decimal"/>
      <w:start w:val="1"/>
    </w:lvl>
  </w:abstractNum>
  <w:abstractNum w:abstractNumId="15">
    <w:nsid w:val="2D1D5AE9"/>
    <w:multiLevelType w:val="hybridMultilevel"/>
    <w:lvl w:ilvl="0">
      <w:lvlJc w:val="left"/>
      <w:lvlText w:val="%1"/>
      <w:numFmt w:val="lowerLetter"/>
      <w:start w:val="1"/>
    </w:lvl>
    <w:lvl w:ilvl="1">
      <w:lvlJc w:val="left"/>
      <w:lvlText w:val="(%2)"/>
      <w:numFmt w:val="decimal"/>
      <w:start w:val="4"/>
    </w:lvl>
  </w:abstractNum>
  <w:abstractNum w:abstractNumId="16">
    <w:nsid w:val="6763845E"/>
    <w:multiLevelType w:val="hybridMultilevel"/>
    <w:lvl w:ilvl="0">
      <w:lvlJc w:val="left"/>
      <w:lvlText w:val="(%1)"/>
      <w:numFmt w:val="lowerLetter"/>
      <w:start w:val="3"/>
    </w:lvl>
    <w:lvl w:ilvl="1">
      <w:lvlJc w:val="left"/>
      <w:lvlText w:val="(%2)"/>
      <w:numFmt w:val="decimal"/>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lvl w:ilvl="1">
      <w:lvlJc w:val="left"/>
      <w:lvlText w:val="(%2)"/>
      <w:numFmt w:val="decimal"/>
      <w:start w:val="1"/>
    </w:lvl>
  </w:abstractNum>
  <w:abstractNum w:abstractNumId="19">
    <w:nsid w:val="79838CB2"/>
    <w:multiLevelType w:val="hybridMultilevel"/>
    <w:lvl w:ilvl="0">
      <w:lvlJc w:val="left"/>
      <w:lvlText w:val="(%1)"/>
      <w:numFmt w:val="lowerLetter"/>
      <w:start w:val="2"/>
    </w:lvl>
    <w:lvl w:ilvl="1">
      <w:lvlJc w:val="left"/>
      <w:lvlText w:val="%2"/>
      <w:numFmt w:val="decimal"/>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Roman"/>
      <w:start w:val="1"/>
    </w:lvl>
  </w:abstractNum>
  <w:abstractNum w:abstractNumId="22">
    <w:nsid w:val="189A769B"/>
    <w:multiLevelType w:val="hybridMultilevel"/>
    <w:lvl w:ilvl="0">
      <w:lvlJc w:val="left"/>
      <w:lvlText w:val="(%1)"/>
      <w:numFmt w:val="upperLetter"/>
      <w:start w:val="6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lowerRoman"/>
      <w:start w:val="1"/>
    </w:lvl>
  </w:abstractNum>
  <w:abstractNum w:abstractNumId="26">
    <w:nsid w:val="836C40E"/>
    <w:multiLevelType w:val="hybridMultilevel"/>
    <w:lvl w:ilvl="0">
      <w:lvlJc w:val="left"/>
      <w:lvlText w:val="%1."/>
      <w:numFmt w:val="decimal"/>
      <w:start w:val="6"/>
    </w:lvl>
  </w:abstractNum>
  <w:abstractNum w:abstractNumId="27">
    <w:nsid w:val="2901D82"/>
    <w:multiLevelType w:val="hybridMultilevel"/>
    <w:lvl w:ilvl="0">
      <w:lvlJc w:val="left"/>
      <w:lvlText w:val="%1."/>
      <w:numFmt w:val="decimal"/>
      <w:start w:val="8"/>
    </w:lvl>
  </w:abstractNum>
  <w:abstractNum w:abstractNumId="28">
    <w:nsid w:val="3A95F874"/>
    <w:multiLevelType w:val="hybridMultilevel"/>
    <w:lvl w:ilvl="0">
      <w:lvlJc w:val="left"/>
      <w:lvlText w:val="%1."/>
      <w:numFmt w:val="decimal"/>
      <w:start w:val="16"/>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17" Type="http://schemas.openxmlformats.org/officeDocument/2006/relationships/hyperlink" Target="http://www.sec.gov/Archives/edgar/data/6281/000119312513245264/d54876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2020-04-08T15:36:32Z</dcterms:created>
  <dcterms:modified xsi:type="dcterms:W3CDTF">2020-04-08T15:36:32Z</dcterms:modified>
</cp:coreProperties>
</file>