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August 1, 2009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Massachusetts</w:t>
            </w:r>
          </w:p>
        </w:tc>
        <w:tc>
          <w:tcPr>
            <w:tcW w:w="2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1-7819</w:t>
            </w:r>
          </w:p>
        </w:tc>
        <w:tc>
          <w:tcPr>
            <w:tcW w:w="116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5"/>
        </w:trPr>
        <w:tc>
          <w:tcPr>
            <w:tcW w:w="40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w w:val="91"/>
              </w:rPr>
              <w:t>One Technology Way, Norwood, MA</w:t>
            </w:r>
          </w:p>
        </w:tc>
        <w:tc>
          <w:tcPr>
            <w:tcW w:w="1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250"/>
              <w:spacing w:after="0"/>
              <w:rPr>
                <w:sz w:val="20"/>
                <w:szCs w:val="20"/>
                <w:color w:val="auto"/>
              </w:rPr>
            </w:pPr>
            <w:r>
              <w:rPr>
                <w:rFonts w:ascii="Arial" w:cs="Arial" w:eastAsia="Arial" w:hAnsi="Arial"/>
                <w:sz w:val="18"/>
                <w:szCs w:val="18"/>
                <w:b w:val="1"/>
                <w:bCs w:val="1"/>
                <w:color w:val="auto"/>
              </w:rPr>
              <w:t>02062</w:t>
            </w:r>
          </w:p>
        </w:tc>
      </w:tr>
      <w:tr>
        <w:trPr>
          <w:trHeight w:val="230"/>
        </w:trPr>
        <w:tc>
          <w:tcPr>
            <w:tcW w:w="4020" w:type="dxa"/>
            <w:vAlign w:val="bottom"/>
            <w:gridSpan w:val="2"/>
          </w:tcPr>
          <w:p>
            <w:pPr>
              <w:ind w:left="114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6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August 18, 2009, Analog Devices, Inc. (the “Registrant”) announced its financial results for its fiscal third quarter ended August 1, 2009.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5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04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Press release dated August 18, 2009</w:t>
            </w:r>
          </w:p>
        </w:tc>
      </w:tr>
      <w:tr>
        <w:trPr>
          <w:trHeight w:val="230"/>
        </w:trPr>
        <w:tc>
          <w:tcPr>
            <w:tcW w:w="84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70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18, 2009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780" w:type="dxa"/>
            <w:vAlign w:val="bottom"/>
          </w:tcPr>
          <w:p>
            <w:pPr>
              <w:ind w:left="1200"/>
              <w:spacing w:after="0"/>
              <w:rPr>
                <w:sz w:val="20"/>
                <w:szCs w:val="20"/>
                <w:color w:val="auto"/>
              </w:rPr>
            </w:pPr>
            <w:r>
              <w:rPr>
                <w:rFonts w:ascii="Arial" w:cs="Arial" w:eastAsia="Arial" w:hAnsi="Arial"/>
                <w:sz w:val="22"/>
                <w:szCs w:val="22"/>
                <w:color w:val="auto"/>
                <w:w w:val="98"/>
              </w:rPr>
              <w:t>EXHIBIT INDEX</w:t>
            </w:r>
          </w:p>
        </w:tc>
      </w:tr>
      <w:tr>
        <w:trPr>
          <w:trHeight w:val="395"/>
        </w:trPr>
        <w:tc>
          <w:tcPr>
            <w:tcW w:w="28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6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04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Press release dated August 18, 2009</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Analog Devices Announces Financial Results for the Third Quarter of Fiscal Year 2009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NORWOOD, Mass.--(BUSINESS WIRE)--August 18, 2009--Analog Devices, Inc. (NYSE: ADI)</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Revenue was $492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Diluted EPS from continuing operations was $0.22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Cash and short-term investments, net of debt, at the end of 3Q09 totaled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Board of Directors declared a cash dividend of $0.20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Financial results will be discussed via conference call today at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Analog Devices, Inc. (NYSE: ADI), a global leader in high-performance semiconductors for signal processing applications, today announced financial results for the third quarter of fiscal 2009, which ended August 1, 2009.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for the Third Quarter of Fiscal 2009</w:t>
      </w:r>
    </w:p>
    <w:p>
      <w:pPr>
        <w:spacing w:after="0" w:line="206" w:lineRule="exact"/>
        <w:rPr>
          <w:sz w:val="20"/>
          <w:szCs w:val="20"/>
          <w:color w:val="auto"/>
        </w:rPr>
      </w:pPr>
    </w:p>
    <w:p>
      <w:pPr>
        <w:ind w:left="540" w:right="320"/>
        <w:spacing w:after="0" w:line="289" w:lineRule="auto"/>
        <w:rPr>
          <w:sz w:val="20"/>
          <w:szCs w:val="20"/>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was $492 million, an increase of 4% from the immediately prior quarter and a decrease of 25% from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one year ago. For more information regarding the breakout of revenue by end market and product type for the third quarter of fiscal 2009, please see Schedules D and E of this document. In addition, a more complete table covering prior periods is available on the Analog Devices Investor Relations web site at: investor.analog.com.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-602615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 w:lineRule="exact"/>
        <w:rPr>
          <w:sz w:val="20"/>
          <w:szCs w:val="20"/>
          <w:color w:val="auto"/>
        </w:rPr>
      </w:pPr>
    </w:p>
    <w:p>
      <w:pPr>
        <w:ind w:left="540" w:right="60"/>
        <w:spacing w:after="0" w:line="335" w:lineRule="auto"/>
        <w:rPr>
          <w:sz w:val="20"/>
          <w:szCs w:val="20"/>
          <w:color w:val="auto"/>
        </w:rPr>
      </w:pPr>
      <w:r>
        <w:rPr>
          <w:rFonts w:ascii="Arial" w:cs="Arial" w:eastAsia="Arial" w:hAnsi="Arial"/>
          <w:sz w:val="19"/>
          <w:szCs w:val="19"/>
          <w:b w:val="1"/>
          <w:bCs w:val="1"/>
          <w:color w:val="auto"/>
        </w:rPr>
        <w:t xml:space="preserve">Gross margin </w:t>
      </w:r>
      <w:r>
        <w:rPr>
          <w:rFonts w:ascii="Arial" w:cs="Arial" w:eastAsia="Arial" w:hAnsi="Arial"/>
          <w:sz w:val="19"/>
          <w:szCs w:val="19"/>
          <w:color w:val="auto"/>
        </w:rPr>
        <w:t>was 54.1% of revenue, compared to 55.1% of revenue in the immediately prior quarter, and 61.0% of revenue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year-ago period. The sequential decrease in gross margin was primarily due to end market revenue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-321945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80" w:lineRule="auto"/>
        <w:rPr>
          <w:sz w:val="20"/>
          <w:szCs w:val="20"/>
          <w:color w:val="auto"/>
        </w:rPr>
      </w:pPr>
      <w:r>
        <w:rPr>
          <w:rFonts w:ascii="Arial" w:cs="Arial" w:eastAsia="Arial" w:hAnsi="Arial"/>
          <w:sz w:val="21"/>
          <w:szCs w:val="21"/>
          <w:b w:val="1"/>
          <w:bCs w:val="1"/>
          <w:color w:val="auto"/>
        </w:rPr>
        <w:t xml:space="preserve">Operating expenses </w:t>
      </w:r>
      <w:r>
        <w:rPr>
          <w:rFonts w:ascii="Arial" w:cs="Arial" w:eastAsia="Arial" w:hAnsi="Arial"/>
          <w:sz w:val="21"/>
          <w:szCs w:val="21"/>
          <w:color w:val="auto"/>
        </w:rPr>
        <w:t>were $187 million, a decrease of $16 million from the immediately prior quarter which included a $12</w:t>
      </w:r>
      <w:r>
        <w:rPr>
          <w:rFonts w:ascii="Arial" w:cs="Arial" w:eastAsia="Arial" w:hAnsi="Arial"/>
          <w:sz w:val="21"/>
          <w:szCs w:val="21"/>
          <w:b w:val="1"/>
          <w:bCs w:val="1"/>
          <w:color w:val="auto"/>
        </w:rPr>
        <w:t xml:space="preserve"> </w:t>
      </w:r>
      <w:r>
        <w:rPr>
          <w:rFonts w:ascii="Arial" w:cs="Arial" w:eastAsia="Arial" w:hAnsi="Arial"/>
          <w:sz w:val="21"/>
          <w:szCs w:val="21"/>
          <w:color w:val="auto"/>
        </w:rPr>
        <w:t>million restructuring charge, and a decrease of $53 million, from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-292100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 w:lineRule="exact"/>
        <w:rPr>
          <w:sz w:val="20"/>
          <w:szCs w:val="20"/>
          <w:color w:val="auto"/>
        </w:rPr>
      </w:pPr>
    </w:p>
    <w:p>
      <w:pPr>
        <w:ind w:left="540" w:right="180"/>
        <w:spacing w:after="0" w:line="335" w:lineRule="auto"/>
        <w:rPr>
          <w:sz w:val="20"/>
          <w:szCs w:val="20"/>
          <w:color w:val="auto"/>
        </w:rPr>
      </w:pPr>
      <w:r>
        <w:rPr>
          <w:rFonts w:ascii="Arial" w:cs="Arial" w:eastAsia="Arial" w:hAnsi="Arial"/>
          <w:sz w:val="19"/>
          <w:szCs w:val="19"/>
          <w:b w:val="1"/>
          <w:bCs w:val="1"/>
          <w:color w:val="auto"/>
        </w:rPr>
        <w:t xml:space="preserve">Operating income from continuing operations </w:t>
      </w:r>
      <w:r>
        <w:rPr>
          <w:rFonts w:ascii="Arial" w:cs="Arial" w:eastAsia="Arial" w:hAnsi="Arial"/>
          <w:sz w:val="19"/>
          <w:szCs w:val="19"/>
          <w:color w:val="auto"/>
        </w:rPr>
        <w:t>was $79 million, or 16.0% of revenue, compared to $58 million, or 12.2%</w:t>
      </w:r>
      <w:r>
        <w:rPr>
          <w:rFonts w:ascii="Arial" w:cs="Arial" w:eastAsia="Arial" w:hAnsi="Arial"/>
          <w:sz w:val="19"/>
          <w:szCs w:val="19"/>
          <w:b w:val="1"/>
          <w:bCs w:val="1"/>
          <w:color w:val="auto"/>
        </w:rPr>
        <w:t xml:space="preserve"> </w:t>
      </w:r>
      <w:r>
        <w:rPr>
          <w:rFonts w:ascii="Arial" w:cs="Arial" w:eastAsia="Arial" w:hAnsi="Arial"/>
          <w:sz w:val="19"/>
          <w:szCs w:val="19"/>
          <w:color w:val="auto"/>
        </w:rPr>
        <w:t>of revenue, in the immediately prior quarter, and $161 million, or 24.5% of revenue,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-321945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56" w:lineRule="auto"/>
        <w:rPr>
          <w:sz w:val="20"/>
          <w:szCs w:val="20"/>
          <w:color w:val="auto"/>
        </w:rPr>
      </w:pPr>
      <w:r>
        <w:rPr>
          <w:rFonts w:ascii="Arial" w:cs="Arial" w:eastAsia="Arial" w:hAnsi="Arial"/>
          <w:sz w:val="22"/>
          <w:szCs w:val="22"/>
          <w:b w:val="1"/>
          <w:bCs w:val="1"/>
          <w:color w:val="auto"/>
        </w:rPr>
        <w:t xml:space="preserve">Diluted earnings per share (EPS) from continuing operations </w:t>
      </w:r>
      <w:r>
        <w:rPr>
          <w:rFonts w:ascii="Arial" w:cs="Arial" w:eastAsia="Arial" w:hAnsi="Arial"/>
          <w:sz w:val="22"/>
          <w:szCs w:val="22"/>
          <w:color w:val="auto"/>
        </w:rPr>
        <w:t>was $0.22, compared to $0.18 in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$0.44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20"/>
        <w:spacing w:after="0" w:line="256" w:lineRule="auto"/>
        <w:rPr>
          <w:sz w:val="20"/>
          <w:szCs w:val="20"/>
          <w:color w:val="auto"/>
        </w:rPr>
      </w:pPr>
      <w:r>
        <w:rPr>
          <w:rFonts w:ascii="Arial" w:cs="Arial" w:eastAsia="Arial" w:hAnsi="Arial"/>
          <w:sz w:val="22"/>
          <w:szCs w:val="22"/>
          <w:b w:val="1"/>
          <w:bCs w:val="1"/>
          <w:color w:val="auto"/>
        </w:rPr>
        <w:t xml:space="preserve">Net cash provided by operating activities </w:t>
      </w:r>
      <w:r>
        <w:rPr>
          <w:rFonts w:ascii="Arial" w:cs="Arial" w:eastAsia="Arial" w:hAnsi="Arial"/>
          <w:sz w:val="22"/>
          <w:szCs w:val="22"/>
          <w:color w:val="auto"/>
        </w:rPr>
        <w:t>was $134 million, or 27% of revenue. Capital expenditures were $5 million, and</w:t>
      </w:r>
      <w:r>
        <w:rPr>
          <w:rFonts w:ascii="Arial" w:cs="Arial" w:eastAsia="Arial" w:hAnsi="Arial"/>
          <w:sz w:val="22"/>
          <w:szCs w:val="22"/>
          <w:b w:val="1"/>
          <w:bCs w:val="1"/>
          <w:color w:val="auto"/>
        </w:rPr>
        <w:t xml:space="preserve"> </w:t>
      </w:r>
      <w:r>
        <w:rPr>
          <w:rFonts w:ascii="Arial" w:cs="Arial" w:eastAsia="Arial" w:hAnsi="Arial"/>
          <w:sz w:val="22"/>
          <w:szCs w:val="22"/>
          <w:color w:val="auto"/>
        </w:rPr>
        <w:t>cash dividends of $58 million were paid during the third quarter of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60"/>
        <w:spacing w:after="0" w:line="243" w:lineRule="auto"/>
        <w:rPr>
          <w:sz w:val="20"/>
          <w:szCs w:val="20"/>
          <w:color w:val="auto"/>
        </w:rPr>
      </w:pPr>
      <w:r>
        <w:rPr>
          <w:rFonts w:ascii="Arial" w:cs="Arial" w:eastAsia="Arial" w:hAnsi="Arial"/>
          <w:sz w:val="22"/>
          <w:szCs w:val="22"/>
          <w:b w:val="1"/>
          <w:bCs w:val="1"/>
          <w:color w:val="auto"/>
        </w:rPr>
        <w:t xml:space="preserve">Cash and short-term investments </w:t>
      </w:r>
      <w:r>
        <w:rPr>
          <w:rFonts w:ascii="Arial" w:cs="Arial" w:eastAsia="Arial" w:hAnsi="Arial"/>
          <w:sz w:val="22"/>
          <w:szCs w:val="22"/>
          <w:color w:val="auto"/>
        </w:rPr>
        <w:t>at the end of the third quarter of fiscal 2009 totaled approximately $1.7 billion, an</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 of $439 million from the prior quarter which includes $370 million of net proceeds from an offering of 5.00% five-year notes completed in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540" w:right="200"/>
        <w:spacing w:after="0" w:line="257" w:lineRule="auto"/>
        <w:rPr>
          <w:sz w:val="20"/>
          <w:szCs w:val="20"/>
          <w:color w:val="auto"/>
        </w:rPr>
      </w:pPr>
      <w:r>
        <w:rPr>
          <w:rFonts w:ascii="Arial" w:cs="Arial" w:eastAsia="Arial" w:hAnsi="Arial"/>
          <w:sz w:val="22"/>
          <w:szCs w:val="22"/>
          <w:b w:val="1"/>
          <w:bCs w:val="1"/>
          <w:color w:val="auto"/>
        </w:rPr>
        <w:t xml:space="preserve">Accounts receivable </w:t>
      </w:r>
      <w:r>
        <w:rPr>
          <w:rFonts w:ascii="Arial" w:cs="Arial" w:eastAsia="Arial" w:hAnsi="Arial"/>
          <w:sz w:val="22"/>
          <w:szCs w:val="22"/>
          <w:color w:val="auto"/>
        </w:rPr>
        <w:t>in the third quarter of fiscal 2009, as measured by</w:t>
      </w:r>
      <w:r>
        <w:rPr>
          <w:rFonts w:ascii="Arial" w:cs="Arial" w:eastAsia="Arial" w:hAnsi="Arial"/>
          <w:sz w:val="22"/>
          <w:szCs w:val="22"/>
          <w:b w:val="1"/>
          <w:bCs w:val="1"/>
          <w:color w:val="auto"/>
        </w:rPr>
        <w:t xml:space="preserve"> days sales outstanding, </w:t>
      </w:r>
      <w:r>
        <w:rPr>
          <w:rFonts w:ascii="Arial" w:cs="Arial" w:eastAsia="Arial" w:hAnsi="Arial"/>
          <w:sz w:val="22"/>
          <w:szCs w:val="22"/>
          <w:color w:val="auto"/>
        </w:rPr>
        <w:t>was 45 days,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44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-278130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0" w:lineRule="exact"/>
        <w:rPr>
          <w:sz w:val="20"/>
          <w:szCs w:val="20"/>
          <w:color w:val="auto"/>
        </w:rPr>
      </w:pPr>
    </w:p>
    <w:p>
      <w:pPr>
        <w:ind w:left="540" w:right="280"/>
        <w:spacing w:after="0" w:line="243" w:lineRule="auto"/>
        <w:rPr>
          <w:sz w:val="20"/>
          <w:szCs w:val="20"/>
          <w:color w:val="auto"/>
        </w:rPr>
      </w:pPr>
      <w:r>
        <w:rPr>
          <w:rFonts w:ascii="Arial" w:cs="Arial" w:eastAsia="Arial" w:hAnsi="Arial"/>
          <w:sz w:val="22"/>
          <w:szCs w:val="22"/>
          <w:b w:val="1"/>
          <w:bCs w:val="1"/>
          <w:color w:val="auto"/>
        </w:rPr>
        <w:t xml:space="preserve">Inventory </w:t>
      </w:r>
      <w:r>
        <w:rPr>
          <w:rFonts w:ascii="Arial" w:cs="Arial" w:eastAsia="Arial" w:hAnsi="Arial"/>
          <w:sz w:val="22"/>
          <w:szCs w:val="22"/>
          <w:color w:val="auto"/>
        </w:rPr>
        <w:t>at the end of the third quarter of fiscal 2009 decreased by approximately $29 million, or 9%, compared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immediately prior quarter. </w:t>
      </w:r>
      <w:r>
        <w:rPr>
          <w:rFonts w:ascii="Arial" w:cs="Arial" w:eastAsia="Arial" w:hAnsi="Arial"/>
          <w:sz w:val="22"/>
          <w:szCs w:val="22"/>
          <w:b w:val="1"/>
          <w:bCs w:val="1"/>
          <w:color w:val="auto"/>
        </w:rPr>
        <w:t>Days in inventory</w:t>
      </w:r>
      <w:r>
        <w:rPr>
          <w:rFonts w:ascii="Arial" w:cs="Arial" w:eastAsia="Arial" w:hAnsi="Arial"/>
          <w:sz w:val="22"/>
          <w:szCs w:val="22"/>
          <w:color w:val="auto"/>
        </w:rPr>
        <w:t xml:space="preserve"> decreased to 112 days at the end of the third quarter of fiscal 2009 from 130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spacing w:after="0" w:line="256" w:lineRule="auto"/>
        <w:rPr>
          <w:sz w:val="20"/>
          <w:szCs w:val="20"/>
          <w:color w:val="auto"/>
        </w:rPr>
      </w:pPr>
      <w:r>
        <w:rPr>
          <w:rFonts w:ascii="Arial" w:cs="Arial" w:eastAsia="Arial" w:hAnsi="Arial"/>
          <w:sz w:val="22"/>
          <w:szCs w:val="22"/>
          <w:b w:val="1"/>
          <w:bCs w:val="1"/>
          <w:color w:val="auto"/>
        </w:rPr>
        <w:t xml:space="preserve">The Board of Directors declared a cash dividend of $0.20 per outstanding share of common stock </w:t>
      </w:r>
      <w:r>
        <w:rPr>
          <w:rFonts w:ascii="Arial" w:cs="Arial" w:eastAsia="Arial" w:hAnsi="Arial"/>
          <w:sz w:val="22"/>
          <w:szCs w:val="22"/>
          <w:color w:val="auto"/>
        </w:rPr>
        <w:t>which will be paid on</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16, 2009 to all shareholders of record at the close of business on August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“ADI had a solid third quarter, delivering sequential sales growth of 4% with the largest increases in the automotive and consumer end markets. During the quarter, we also saw order rates from industrial customers begin to improve as inventory reductions subsided,” said President and CEO Jerald G. Fishman. “Importantly, we reduced costs for the third consecutive quarter, resulting in a cumulative decline in operating expenses of well over 20% since the end of fiscal 2008. By driving continued competitive advantage through innovation while remaining focused on expense management, we’re positioning ADI to achieve solid revenue growth and operating leverage as demand improves.”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 for the Fourth Quarter of Fiscal 2009</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including as a result of the important factors discussed at the end of this release. These statements supersede all prior statements regarding business outlook set forth in prior ADI news releases.</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Regarding the outlook for the fourth quarter of fiscal 2009, Mr. Fishman stated, “There are near-term indications that business conditions are improving. Order rates strengthened throughout the third quarter and have remained strong during the first two weeks of August. Our book-to-bill ratio for the third quarter, as measured by end customer bookings, was above one, and our fourth quarter opening backlog was up from last quarter.”</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Mr. Fishman continued, “Given these factors, we expect that our revenue will grow to approximately $510 million to $530 million in the fiscal fourth quarter. While we plan to continue to tightly manage inventory levels, we expect a small increase in utilization, which should result in a gross margin in the fourth quarter of approximately 55.0%. In addition, we plan to continue to closely manage operating expenses and expect them to increase slightly by approximately 1% to 2% in the fourth quarter. As a result, our plan is for diluted EPS from continuing operations to increase again to approximately $0.24 to $0.26 in the fourth quarter.”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Scheduled for 5:00 pm ET</w:t>
      </w:r>
    </w:p>
    <w:p>
      <w:pPr>
        <w:spacing w:after="0" w:line="212"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Mr. Fishman will discuss the third fiscal quarter’s results and short-term outlook via webcast, accessible at investor.analog.com, today, beginning at 5:00 pm ET. Investors who prefer to join by telephone may call 706-634-7193 ten minutes before the call begins and provide the password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ind w:right="260"/>
        <w:spacing w:after="0" w:line="251" w:lineRule="auto"/>
        <w:rPr>
          <w:sz w:val="20"/>
          <w:szCs w:val="20"/>
          <w:color w:val="auto"/>
        </w:rPr>
      </w:pPr>
      <w:r>
        <w:rPr>
          <w:rFonts w:ascii="Arial" w:cs="Arial" w:eastAsia="Arial" w:hAnsi="Arial"/>
          <w:sz w:val="22"/>
          <w:szCs w:val="22"/>
          <w:color w:val="auto"/>
        </w:rPr>
        <w:t>A replay will be available almost immediately after the call. The replay may be accessed for up to one week by dialing 800-642-1687 (replay only) and providing the conference ID: 23056388, or by visiting investor.analog.com.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340"/>
        <w:spacing w:after="0" w:line="258" w:lineRule="auto"/>
        <w:rPr>
          <w:sz w:val="20"/>
          <w:szCs w:val="20"/>
          <w:color w:val="auto"/>
        </w:rPr>
      </w:pPr>
      <w:r>
        <w:rPr>
          <w:rFonts w:ascii="Arial" w:cs="Arial" w:eastAsia="Arial" w:hAnsi="Arial"/>
          <w:sz w:val="21"/>
          <w:szCs w:val="21"/>
          <w:color w:val="auto"/>
        </w:rPr>
        <w:t>This release includes non-GAAP financial measures for prior periods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67" w:lineRule="exact"/>
        <w:rPr>
          <w:sz w:val="20"/>
          <w:szCs w:val="20"/>
          <w:color w:val="auto"/>
        </w:rPr>
      </w:pPr>
    </w:p>
    <w:p>
      <w:pPr>
        <w:ind w:right="860"/>
        <w:spacing w:after="0" w:line="435" w:lineRule="auto"/>
        <w:rPr>
          <w:sz w:val="20"/>
          <w:szCs w:val="20"/>
          <w:color w:val="auto"/>
        </w:rPr>
      </w:pPr>
      <w:r>
        <w:rPr>
          <w:rFonts w:ascii="Arial" w:cs="Arial" w:eastAsia="Arial" w:hAnsi="Arial"/>
          <w:sz w:val="22"/>
          <w:szCs w:val="22"/>
          <w:i w:val="1"/>
          <w:iCs w:val="1"/>
          <w:color w:val="auto"/>
        </w:rPr>
        <w:t xml:space="preserve">Schedule F of this press release provides the reconciliation of the Company’s non-GAAP measures to its GAAP measures. </w:t>
      </w:r>
      <w:r>
        <w:rPr>
          <w:rFonts w:ascii="Arial" w:cs="Arial" w:eastAsia="Arial" w:hAnsi="Arial"/>
          <w:sz w:val="22"/>
          <w:szCs w:val="22"/>
          <w:b w:val="1"/>
          <w:bCs w:val="1"/>
          <w:u w:val="single" w:color="auto"/>
          <w:color w:val="auto"/>
        </w:rPr>
        <w:t>Manner in Which Management Uses the Non-GAAP Financial Measures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Management uses non-GAAP operating expenses, non-GAAP operating income, and non-GAAP diluted earnings per share to evaluate the Company’s operating performance against past periods and to budget and allocate resources in future periods. These non-GAAP measures also assist management in understanding and evaluating the underlying baseline operating results and trends in the Company’s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items excluded from the non-GAAP measures were excluded because they are of a non-recurring or non-cash nature.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item is excluded from our non-GAAP operating expenses, our non-GAAP operating income, and our non-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diluted earnings per share:</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i w:val="1"/>
          <w:iCs w:val="1"/>
          <w:color w:val="auto"/>
        </w:rPr>
        <w:t xml:space="preserve">Restructuring-Related Expenses. </w:t>
      </w:r>
      <w:r>
        <w:rPr>
          <w:rFonts w:ascii="Arial" w:cs="Arial" w:eastAsia="Arial" w:hAnsi="Arial"/>
          <w:sz w:val="21"/>
          <w:szCs w:val="21"/>
          <w:color w:val="auto"/>
        </w:rPr>
        <w:t>These expenses are incurred in connection with facility closures, consolidation of manufacturing</w:t>
      </w:r>
      <w:r>
        <w:rPr>
          <w:rFonts w:ascii="Arial" w:cs="Arial" w:eastAsia="Arial" w:hAnsi="Arial"/>
          <w:sz w:val="21"/>
          <w:szCs w:val="21"/>
          <w:i w:val="1"/>
          <w:iCs w:val="1"/>
          <w:color w:val="auto"/>
        </w:rPr>
        <w:t xml:space="preserve"> </w:t>
      </w:r>
      <w:r>
        <w:rPr>
          <w:rFonts w:ascii="Arial" w:cs="Arial" w:eastAsia="Arial" w:hAnsi="Arial"/>
          <w:sz w:val="21"/>
          <w:szCs w:val="21"/>
          <w:color w:val="auto"/>
        </w:rPr>
        <w:t>facilities, and other cost reduction efforts. Apart from ongoing expense savings as a result of such items, these expenses and the related tax effects have no direct correlation to the operation of our business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2"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Management believes that the presentation of non-GAAP operating expenses, non-GAAP operating income, and non-GAAP diluted EPS is useful to investors because it provides investors with the operating results that management uses to manage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Analog Devices believes that non-GAAP operating expenses, non-GAAP operating income,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in excluding certain items, is not necessarily an indication of the results of operations that may be expected in the future, or that the Company will not, in fact, record such items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Management compensates for these material limitations in non-GAAP operating expenses, non-GAAP operating income, and non-GAAP diluted EPS by also evaluating our GAAP results and the reconciliations of our non-GAAP measures to the most directly comparable GAAP measures. Investors should consider our non-GAAP financial measures in conjunction with the corresponding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earnings, operating expenses, inventory levels, gross margins, restructuring charges, and other financial results, expected customer demand for our products, and expected results of our ongoing expense reduction efforts,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continuing adversity in economic conditions in the United States and internationally as a result of the ongoing crisis in global credit and financial markets, further erosion of consumer confidence and further declines in customer spending, the effects of declines in customer demand for our products and for end products that incorporate our products, competitive pricing pressures, unavailability of raw materials or wafer fabrication, assembly and test capacity, any delay or cancellation of significant customer orders, changes in geographic, product or customer mix,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200" w:lineRule="exact"/>
        <w:rPr>
          <w:sz w:val="20"/>
          <w:szCs w:val="20"/>
          <w:color w:val="auto"/>
        </w:rPr>
      </w:pPr>
    </w:p>
    <w:p>
      <w:pPr>
        <w:spacing w:after="0" w:line="20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Analog Devices, Third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Sales/Earnings Summary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ind w:right="228"/>
              <w:spacing w:after="0" w:line="160" w:lineRule="exact"/>
              <w:rPr>
                <w:sz w:val="20"/>
                <w:szCs w:val="20"/>
                <w:color w:val="auto"/>
              </w:rPr>
            </w:pPr>
            <w:r>
              <w:rPr>
                <w:rFonts w:ascii="Arial" w:cs="Arial" w:eastAsia="Arial" w:hAnsi="Arial"/>
                <w:sz w:val="14"/>
                <w:szCs w:val="14"/>
                <w:b w:val="1"/>
                <w:bCs w:val="1"/>
                <w:color w:val="auto"/>
                <w:w w:val="99"/>
              </w:rPr>
              <w:t>3Q 09</w:t>
            </w:r>
          </w:p>
        </w:tc>
        <w:tc>
          <w:tcPr>
            <w:tcW w:w="360" w:type="dxa"/>
            <w:vAlign w:val="bottom"/>
          </w:tcPr>
          <w:p>
            <w:pPr>
              <w:spacing w:after="0"/>
              <w:rPr>
                <w:sz w:val="13"/>
                <w:szCs w:val="13"/>
                <w:color w:val="auto"/>
              </w:rPr>
            </w:pPr>
          </w:p>
        </w:tc>
        <w:tc>
          <w:tcPr>
            <w:tcW w:w="112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2Q 09</w:t>
            </w:r>
          </w:p>
        </w:tc>
        <w:tc>
          <w:tcPr>
            <w:tcW w:w="300" w:type="dxa"/>
            <w:vAlign w:val="bottom"/>
          </w:tcPr>
          <w:p>
            <w:pPr>
              <w:spacing w:after="0"/>
              <w:rPr>
                <w:sz w:val="13"/>
                <w:szCs w:val="13"/>
                <w:color w:val="auto"/>
              </w:rPr>
            </w:pPr>
          </w:p>
        </w:tc>
        <w:tc>
          <w:tcPr>
            <w:tcW w:w="110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3Q 08</w:t>
            </w: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Aug. 1,</w:t>
            </w:r>
          </w:p>
        </w:tc>
        <w:tc>
          <w:tcPr>
            <w:tcW w:w="360" w:type="dxa"/>
            <w:vAlign w:val="bottom"/>
          </w:tcPr>
          <w:p>
            <w:pPr>
              <w:spacing w:after="0"/>
              <w:rPr>
                <w:sz w:val="12"/>
                <w:szCs w:val="12"/>
                <w:color w:val="auto"/>
              </w:rPr>
            </w:pPr>
          </w:p>
        </w:tc>
        <w:tc>
          <w:tcPr>
            <w:tcW w:w="112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2"/>
                <w:szCs w:val="12"/>
                <w:color w:val="auto"/>
              </w:rPr>
            </w:pPr>
          </w:p>
        </w:tc>
        <w:tc>
          <w:tcPr>
            <w:tcW w:w="110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Aug. 2,</w:t>
            </w:r>
          </w:p>
        </w:tc>
      </w:tr>
      <w:tr>
        <w:trPr>
          <w:trHeight w:val="185"/>
        </w:trPr>
        <w:tc>
          <w:tcPr>
            <w:tcW w:w="20" w:type="dxa"/>
            <w:vAlign w:val="bottom"/>
          </w:tcPr>
          <w:p>
            <w:pPr>
              <w:spacing w:after="0"/>
              <w:rPr>
                <w:sz w:val="16"/>
                <w:szCs w:val="16"/>
                <w:color w:val="auto"/>
              </w:rPr>
            </w:pPr>
          </w:p>
        </w:tc>
        <w:tc>
          <w:tcPr>
            <w:tcW w:w="7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2008</w:t>
            </w:r>
          </w:p>
        </w:tc>
      </w:tr>
      <w:tr>
        <w:trPr>
          <w:trHeight w:val="164"/>
        </w:trPr>
        <w:tc>
          <w:tcPr>
            <w:tcW w:w="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491,991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474,748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658,986</w:t>
            </w:r>
          </w:p>
        </w:tc>
      </w:tr>
      <w:tr>
        <w:trPr>
          <w:trHeight w:val="176"/>
        </w:trPr>
        <w:tc>
          <w:tcPr>
            <w:tcW w:w="20" w:type="dxa"/>
            <w:vAlign w:val="bottom"/>
          </w:tcPr>
          <w:p>
            <w:pPr>
              <w:spacing w:after="0"/>
              <w:rPr>
                <w:sz w:val="15"/>
                <w:szCs w:val="15"/>
                <w:color w:val="auto"/>
              </w:rPr>
            </w:pPr>
          </w:p>
        </w:tc>
        <w:tc>
          <w:tcPr>
            <w:tcW w:w="716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3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-26.9%</w:t>
            </w:r>
          </w:p>
        </w:tc>
        <w:tc>
          <w:tcPr>
            <w:tcW w:w="30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6.7%</w:t>
            </w:r>
          </w:p>
        </w:tc>
      </w:tr>
      <w:tr>
        <w:trPr>
          <w:trHeight w:val="176"/>
        </w:trPr>
        <w:tc>
          <w:tcPr>
            <w:tcW w:w="20" w:type="dxa"/>
            <w:vAlign w:val="bottom"/>
          </w:tcPr>
          <w:p>
            <w:pPr>
              <w:spacing w:after="0"/>
              <w:rPr>
                <w:sz w:val="15"/>
                <w:szCs w:val="15"/>
                <w:color w:val="auto"/>
              </w:rPr>
            </w:pPr>
          </w:p>
        </w:tc>
        <w:tc>
          <w:tcPr>
            <w:tcW w:w="716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3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18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225,762</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213,196</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257,192</w:t>
            </w:r>
          </w:p>
        </w:tc>
      </w:tr>
      <w:tr>
        <w:trPr>
          <w:trHeight w:val="164"/>
        </w:trPr>
        <w:tc>
          <w:tcPr>
            <w:tcW w:w="718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3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266,229</w:t>
            </w:r>
          </w:p>
        </w:tc>
        <w:tc>
          <w:tcPr>
            <w:tcW w:w="36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261,552</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401,794</w:t>
            </w:r>
          </w:p>
        </w:tc>
      </w:tr>
      <w:tr>
        <w:trPr>
          <w:trHeight w:val="18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 percentage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55.1%</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61.0%</w:t>
            </w:r>
          </w:p>
        </w:tc>
      </w:tr>
      <w:tr>
        <w:trPr>
          <w:trHeight w:val="164"/>
        </w:trPr>
        <w:tc>
          <w:tcPr>
            <w:tcW w:w="71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00"/>
              <w:spacing w:after="0"/>
              <w:rPr>
                <w:sz w:val="20"/>
                <w:szCs w:val="20"/>
                <w:color w:val="auto"/>
              </w:rPr>
            </w:pPr>
            <w:r>
              <w:rPr>
                <w:rFonts w:ascii="Arial" w:cs="Arial" w:eastAsia="Arial" w:hAnsi="Arial"/>
                <w:sz w:val="14"/>
                <w:szCs w:val="14"/>
                <w:color w:val="auto"/>
              </w:rPr>
              <w:t>R&amp;D (1)</w:t>
            </w:r>
          </w:p>
        </w:tc>
        <w:tc>
          <w:tcPr>
            <w:tcW w:w="32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107,578</w:t>
            </w:r>
          </w:p>
        </w:tc>
        <w:tc>
          <w:tcPr>
            <w:tcW w:w="36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109,448</w:t>
            </w:r>
          </w:p>
        </w:tc>
        <w:tc>
          <w:tcPr>
            <w:tcW w:w="30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135,837</w:t>
            </w:r>
          </w:p>
        </w:tc>
      </w:tr>
      <w:tr>
        <w:trPr>
          <w:trHeight w:val="176"/>
        </w:trPr>
        <w:tc>
          <w:tcPr>
            <w:tcW w:w="20" w:type="dxa"/>
            <w:vAlign w:val="bottom"/>
          </w:tcPr>
          <w:p>
            <w:pPr>
              <w:spacing w:after="0"/>
              <w:rPr>
                <w:sz w:val="15"/>
                <w:szCs w:val="15"/>
                <w:color w:val="auto"/>
              </w:rPr>
            </w:pPr>
          </w:p>
        </w:tc>
        <w:tc>
          <w:tcPr>
            <w:tcW w:w="716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32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79,706</w:t>
            </w:r>
          </w:p>
        </w:tc>
        <w:tc>
          <w:tcPr>
            <w:tcW w:w="36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82,276</w:t>
            </w:r>
          </w:p>
        </w:tc>
        <w:tc>
          <w:tcPr>
            <w:tcW w:w="30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104,767</w:t>
            </w:r>
          </w:p>
        </w:tc>
      </w:tr>
      <w:tr>
        <w:trPr>
          <w:trHeight w:val="181"/>
        </w:trPr>
        <w:tc>
          <w:tcPr>
            <w:tcW w:w="20" w:type="dxa"/>
            <w:vAlign w:val="bottom"/>
          </w:tcPr>
          <w:p>
            <w:pPr>
              <w:spacing w:after="0"/>
              <w:rPr>
                <w:sz w:val="15"/>
                <w:szCs w:val="15"/>
                <w:color w:val="auto"/>
              </w:rPr>
            </w:pPr>
          </w:p>
        </w:tc>
        <w:tc>
          <w:tcPr>
            <w:tcW w:w="71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11,919</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3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78,945</w:t>
            </w:r>
          </w:p>
        </w:tc>
        <w:tc>
          <w:tcPr>
            <w:tcW w:w="36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57,909</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161,190</w:t>
            </w:r>
          </w:p>
        </w:tc>
      </w:tr>
      <w:tr>
        <w:trPr>
          <w:trHeight w:val="18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(1,082)</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(4,324)</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(7,541)</w:t>
            </w:r>
          </w:p>
        </w:tc>
      </w:tr>
      <w:tr>
        <w:trPr>
          <w:trHeight w:val="164"/>
        </w:trPr>
        <w:tc>
          <w:tcPr>
            <w:tcW w:w="718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w:t>
            </w:r>
          </w:p>
        </w:tc>
        <w:tc>
          <w:tcPr>
            <w:tcW w:w="3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80,027</w:t>
            </w:r>
          </w:p>
        </w:tc>
        <w:tc>
          <w:tcPr>
            <w:tcW w:w="36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62,233</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168,731</w:t>
            </w:r>
          </w:p>
        </w:tc>
      </w:tr>
      <w:tr>
        <w:trPr>
          <w:trHeight w:val="18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14,567</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10,479</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39,536</w:t>
            </w:r>
          </w:p>
        </w:tc>
      </w:tr>
      <w:tr>
        <w:trPr>
          <w:trHeight w:val="164"/>
        </w:trPr>
        <w:tc>
          <w:tcPr>
            <w:tcW w:w="7180" w:type="dxa"/>
            <w:vAlign w:val="bottom"/>
            <w:gridSpan w:val="2"/>
          </w:tcPr>
          <w:p>
            <w:pPr>
              <w:spacing w:after="0"/>
              <w:rPr>
                <w:sz w:val="20"/>
                <w:szCs w:val="20"/>
                <w:color w:val="auto"/>
              </w:rPr>
            </w:pPr>
            <w:r>
              <w:rPr>
                <w:rFonts w:ascii="Arial" w:cs="Arial" w:eastAsia="Arial" w:hAnsi="Arial"/>
                <w:sz w:val="14"/>
                <w:szCs w:val="14"/>
                <w:color w:val="auto"/>
              </w:rPr>
              <w:t>Income from continuing operations, net of tax</w:t>
            </w:r>
          </w:p>
        </w:tc>
        <w:tc>
          <w:tcPr>
            <w:tcW w:w="3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65,460</w:t>
            </w:r>
          </w:p>
        </w:tc>
        <w:tc>
          <w:tcPr>
            <w:tcW w:w="36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51,754</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129,195</w:t>
            </w:r>
          </w:p>
        </w:tc>
      </w:tr>
      <w:tr>
        <w:trPr>
          <w:trHeight w:val="18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discontinued operations, net of tax</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9,413</w:t>
            </w:r>
          </w:p>
        </w:tc>
      </w:tr>
      <w:tr>
        <w:trPr>
          <w:trHeight w:val="169"/>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65,460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51,754</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138,608</w:t>
            </w:r>
          </w:p>
        </w:tc>
      </w:tr>
      <w:tr>
        <w:trPr>
          <w:trHeight w:val="339"/>
        </w:trPr>
        <w:tc>
          <w:tcPr>
            <w:tcW w:w="718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32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291,387</w:t>
            </w:r>
          </w:p>
        </w:tc>
        <w:tc>
          <w:tcPr>
            <w:tcW w:w="36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291,227</w:t>
            </w:r>
          </w:p>
        </w:tc>
        <w:tc>
          <w:tcPr>
            <w:tcW w:w="300" w:type="dxa"/>
            <w:vAlign w:val="bottom"/>
          </w:tcPr>
          <w:p>
            <w:pPr>
              <w:spacing w:after="0"/>
              <w:rPr>
                <w:sz w:val="24"/>
                <w:szCs w:val="2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290,376</w:t>
            </w:r>
          </w:p>
        </w:tc>
      </w:tr>
      <w:tr>
        <w:trPr>
          <w:trHeight w:val="182"/>
        </w:trPr>
        <w:tc>
          <w:tcPr>
            <w:tcW w:w="718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32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293,084</w:t>
            </w:r>
          </w:p>
        </w:tc>
        <w:tc>
          <w:tcPr>
            <w:tcW w:w="36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292,446</w:t>
            </w:r>
          </w:p>
        </w:tc>
        <w:tc>
          <w:tcPr>
            <w:tcW w:w="30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295,001</w:t>
            </w:r>
          </w:p>
        </w:tc>
      </w:tr>
      <w:tr>
        <w:trPr>
          <w:trHeight w:val="344"/>
        </w:trPr>
        <w:tc>
          <w:tcPr>
            <w:tcW w:w="718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basic</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0.22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0.44</w:t>
            </w:r>
          </w:p>
        </w:tc>
      </w:tr>
      <w:tr>
        <w:trPr>
          <w:trHeight w:val="182"/>
        </w:trPr>
        <w:tc>
          <w:tcPr>
            <w:tcW w:w="718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diluted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0.22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0.44</w:t>
            </w:r>
          </w:p>
        </w:tc>
      </w:tr>
      <w:tr>
        <w:trPr>
          <w:trHeight w:val="344"/>
        </w:trPr>
        <w:tc>
          <w:tcPr>
            <w:tcW w:w="718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0.22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0.48</w:t>
            </w:r>
          </w:p>
        </w:tc>
      </w:tr>
      <w:tr>
        <w:trPr>
          <w:trHeight w:val="182"/>
        </w:trPr>
        <w:tc>
          <w:tcPr>
            <w:tcW w:w="718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0.22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0.47</w:t>
            </w:r>
          </w:p>
        </w:tc>
      </w:tr>
      <w:tr>
        <w:trPr>
          <w:trHeight w:val="350"/>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0.20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0.20</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0.20</w:t>
            </w:r>
          </w:p>
        </w:tc>
      </w:tr>
      <w:tr>
        <w:trPr>
          <w:trHeight w:val="339"/>
        </w:trPr>
        <w:tc>
          <w:tcPr>
            <w:tcW w:w="718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1,942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1,812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1,943</w:t>
            </w:r>
          </w:p>
        </w:tc>
      </w:tr>
      <w:tr>
        <w:trPr>
          <w:trHeight w:val="176"/>
        </w:trPr>
        <w:tc>
          <w:tcPr>
            <w:tcW w:w="20" w:type="dxa"/>
            <w:vAlign w:val="bottom"/>
          </w:tcPr>
          <w:p>
            <w:pPr>
              <w:spacing w:after="0"/>
              <w:rPr>
                <w:sz w:val="15"/>
                <w:szCs w:val="15"/>
                <w:color w:val="auto"/>
              </w:rPr>
            </w:pPr>
          </w:p>
        </w:tc>
        <w:tc>
          <w:tcPr>
            <w:tcW w:w="7160" w:type="dxa"/>
            <w:vAlign w:val="bottom"/>
          </w:tcPr>
          <w:p>
            <w:pPr>
              <w:ind w:left="460"/>
              <w:spacing w:after="0"/>
              <w:rPr>
                <w:sz w:val="20"/>
                <w:szCs w:val="20"/>
                <w:color w:val="auto"/>
              </w:rPr>
            </w:pPr>
            <w:r>
              <w:rPr>
                <w:rFonts w:ascii="Arial" w:cs="Arial" w:eastAsia="Arial" w:hAnsi="Arial"/>
                <w:sz w:val="14"/>
                <w:szCs w:val="14"/>
                <w:color w:val="auto"/>
              </w:rPr>
              <w:t>R&amp;D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5,508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6,051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6,178</w:t>
            </w:r>
          </w:p>
        </w:tc>
      </w:tr>
      <w:tr>
        <w:trPr>
          <w:trHeight w:val="182"/>
        </w:trPr>
        <w:tc>
          <w:tcPr>
            <w:tcW w:w="20" w:type="dxa"/>
            <w:vAlign w:val="bottom"/>
          </w:tcPr>
          <w:p>
            <w:pPr>
              <w:spacing w:after="0"/>
              <w:rPr>
                <w:sz w:val="15"/>
                <w:szCs w:val="15"/>
                <w:color w:val="auto"/>
              </w:rPr>
            </w:pPr>
          </w:p>
        </w:tc>
        <w:tc>
          <w:tcPr>
            <w:tcW w:w="716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4,565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4,703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5,452</w:t>
            </w:r>
          </w:p>
        </w:tc>
      </w:tr>
      <w:tr>
        <w:trPr>
          <w:trHeight w:val="134"/>
        </w:trPr>
        <w:tc>
          <w:tcPr>
            <w:tcW w:w="20" w:type="dxa"/>
            <w:vAlign w:val="bottom"/>
          </w:tcPr>
          <w:p>
            <w:pPr>
              <w:spacing w:after="0"/>
              <w:rPr>
                <w:sz w:val="11"/>
                <w:szCs w:val="11"/>
                <w:color w:val="auto"/>
              </w:rPr>
            </w:pPr>
          </w:p>
        </w:tc>
        <w:tc>
          <w:tcPr>
            <w:tcW w:w="71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3"/>
              </w:rPr>
              <w:t>Analog Devices, Third Quarter, Fiscal 2009</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Schedule B</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8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center"/>
              <w:ind w:right="568"/>
              <w:spacing w:after="0"/>
              <w:rPr>
                <w:sz w:val="20"/>
                <w:szCs w:val="20"/>
                <w:color w:val="auto"/>
              </w:rPr>
            </w:pPr>
            <w:r>
              <w:rPr>
                <w:rFonts w:ascii="Arial" w:cs="Arial" w:eastAsia="Arial" w:hAnsi="Arial"/>
                <w:sz w:val="14"/>
                <w:szCs w:val="14"/>
                <w:b w:val="1"/>
                <w:bCs w:val="1"/>
                <w:color w:val="auto"/>
                <w:w w:val="94"/>
              </w:rPr>
              <w:t>3Q 09</w:t>
            </w:r>
          </w:p>
        </w:tc>
        <w:tc>
          <w:tcPr>
            <w:tcW w:w="380" w:type="dxa"/>
            <w:vAlign w:val="bottom"/>
          </w:tcPr>
          <w:p>
            <w:pPr>
              <w:spacing w:after="0"/>
              <w:rPr>
                <w:sz w:val="24"/>
                <w:szCs w:val="24"/>
                <w:color w:val="auto"/>
              </w:rPr>
            </w:pPr>
          </w:p>
        </w:tc>
        <w:tc>
          <w:tcPr>
            <w:tcW w:w="1280" w:type="dxa"/>
            <w:vAlign w:val="bottom"/>
          </w:tcPr>
          <w:p>
            <w:pPr>
              <w:jc w:val="center"/>
              <w:ind w:right="428"/>
              <w:spacing w:after="0"/>
              <w:rPr>
                <w:sz w:val="20"/>
                <w:szCs w:val="20"/>
                <w:color w:val="auto"/>
              </w:rPr>
            </w:pPr>
            <w:r>
              <w:rPr>
                <w:rFonts w:ascii="Arial" w:cs="Arial" w:eastAsia="Arial" w:hAnsi="Arial"/>
                <w:sz w:val="14"/>
                <w:szCs w:val="14"/>
                <w:b w:val="1"/>
                <w:bCs w:val="1"/>
                <w:color w:val="auto"/>
                <w:w w:val="99"/>
              </w:rPr>
              <w:t>2Q 09</w:t>
            </w:r>
          </w:p>
        </w:tc>
        <w:tc>
          <w:tcPr>
            <w:tcW w:w="3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3Q 08</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right"/>
              <w:ind w:right="588"/>
              <w:spacing w:after="0" w:line="149" w:lineRule="exact"/>
              <w:rPr>
                <w:sz w:val="20"/>
                <w:szCs w:val="20"/>
                <w:color w:val="auto"/>
              </w:rPr>
            </w:pPr>
            <w:r>
              <w:rPr>
                <w:rFonts w:ascii="Arial" w:cs="Arial" w:eastAsia="Arial" w:hAnsi="Arial"/>
                <w:sz w:val="14"/>
                <w:szCs w:val="14"/>
                <w:b w:val="1"/>
                <w:bCs w:val="1"/>
                <w:color w:val="auto"/>
                <w:w w:val="94"/>
              </w:rPr>
              <w:t>Aug. 1,</w:t>
            </w:r>
          </w:p>
        </w:tc>
        <w:tc>
          <w:tcPr>
            <w:tcW w:w="380" w:type="dxa"/>
            <w:vAlign w:val="bottom"/>
          </w:tcPr>
          <w:p>
            <w:pPr>
              <w:spacing w:after="0"/>
              <w:rPr>
                <w:sz w:val="12"/>
                <w:szCs w:val="12"/>
                <w:color w:val="auto"/>
              </w:rPr>
            </w:pPr>
          </w:p>
        </w:tc>
        <w:tc>
          <w:tcPr>
            <w:tcW w:w="1280" w:type="dxa"/>
            <w:vAlign w:val="bottom"/>
          </w:tcPr>
          <w:p>
            <w:pPr>
              <w:jc w:val="right"/>
              <w:ind w:right="608"/>
              <w:spacing w:after="0" w:line="149" w:lineRule="exact"/>
              <w:rPr>
                <w:sz w:val="20"/>
                <w:szCs w:val="20"/>
                <w:color w:val="auto"/>
              </w:rPr>
            </w:pPr>
            <w:r>
              <w:rPr>
                <w:rFonts w:ascii="Arial" w:cs="Arial" w:eastAsia="Arial" w:hAnsi="Arial"/>
                <w:sz w:val="14"/>
                <w:szCs w:val="14"/>
                <w:b w:val="1"/>
                <w:bCs w:val="1"/>
                <w:color w:val="auto"/>
              </w:rPr>
              <w:t>May 2,</w:t>
            </w:r>
          </w:p>
        </w:tc>
        <w:tc>
          <w:tcPr>
            <w:tcW w:w="3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Aug. 2,</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4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1,724,444</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1,285,478</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1,277,644</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244,025</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228,520</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326,456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276,072</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304,834</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309,870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assets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9,895</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115,092</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123,381</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132,637</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2,359,633</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1,942,213</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2,056,502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491,564</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515,937</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558,312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8,755</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8,698</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33,882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256,163</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251,803</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277,524</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101,999</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94,651</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103,868</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Non-current assets of discontinued operations</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62,037</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62,037</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3,280,151</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2,875,339</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3,092,125</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4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123,876</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124,792</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174,070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liabilities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5,305</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76,431</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228,850</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234,951</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362,812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467,860</w:t>
            </w:r>
          </w:p>
        </w:tc>
        <w:tc>
          <w:tcPr>
            <w:tcW w:w="38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90,040</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88,454</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Stockholders' equity</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2,458,365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2,420,251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2,390,358</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3,280,151</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2,875,339</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3,092,125</w:t>
            </w:r>
          </w:p>
        </w:tc>
      </w:tr>
    </w:tbl>
    <w:p>
      <w:pPr>
        <w:spacing w:after="0" w:line="170" w:lineRule="exact"/>
        <w:rPr>
          <w:sz w:val="20"/>
          <w:szCs w:val="20"/>
          <w:color w:val="auto"/>
        </w:rPr>
      </w:pPr>
    </w:p>
    <w:p>
      <w:pPr>
        <w:ind w:right="6880" w:firstLine="8"/>
        <w:spacing w:after="0" w:line="253"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$2,503, $2,261 and $2,566 related to stock-based compensation in 3Q09, 2Q09 and 3Q08,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Analog Devices, Third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3Q 09</w:t>
            </w:r>
          </w:p>
        </w:tc>
        <w:tc>
          <w:tcPr>
            <w:tcW w:w="440" w:type="dxa"/>
            <w:vAlign w:val="bottom"/>
          </w:tcPr>
          <w:p>
            <w:pPr>
              <w:spacing w:after="0"/>
              <w:rPr>
                <w:sz w:val="13"/>
                <w:szCs w:val="13"/>
                <w:color w:val="auto"/>
              </w:rPr>
            </w:pPr>
          </w:p>
        </w:tc>
        <w:tc>
          <w:tcPr>
            <w:tcW w:w="108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2Q 09</w:t>
            </w:r>
          </w:p>
        </w:tc>
        <w:tc>
          <w:tcPr>
            <w:tcW w:w="380" w:type="dxa"/>
            <w:vAlign w:val="bottom"/>
          </w:tcPr>
          <w:p>
            <w:pPr>
              <w:spacing w:after="0"/>
              <w:rPr>
                <w:sz w:val="13"/>
                <w:szCs w:val="13"/>
                <w:color w:val="auto"/>
              </w:rPr>
            </w:pPr>
          </w:p>
        </w:tc>
        <w:tc>
          <w:tcPr>
            <w:tcW w:w="106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9"/>
              </w:rPr>
              <w:t>3Q 08</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448"/>
              <w:spacing w:after="0" w:line="149" w:lineRule="exact"/>
              <w:rPr>
                <w:sz w:val="20"/>
                <w:szCs w:val="20"/>
                <w:color w:val="auto"/>
              </w:rPr>
            </w:pPr>
            <w:r>
              <w:rPr>
                <w:rFonts w:ascii="Arial" w:cs="Arial" w:eastAsia="Arial" w:hAnsi="Arial"/>
                <w:sz w:val="14"/>
                <w:szCs w:val="14"/>
                <w:b w:val="1"/>
                <w:bCs w:val="1"/>
                <w:color w:val="auto"/>
              </w:rPr>
              <w:t>Aug. 1,</w:t>
            </w:r>
          </w:p>
        </w:tc>
        <w:tc>
          <w:tcPr>
            <w:tcW w:w="440" w:type="dxa"/>
            <w:vAlign w:val="bottom"/>
          </w:tcPr>
          <w:p>
            <w:pPr>
              <w:spacing w:after="0"/>
              <w:rPr>
                <w:sz w:val="12"/>
                <w:szCs w:val="12"/>
                <w:color w:val="auto"/>
              </w:rPr>
            </w:pPr>
          </w:p>
        </w:tc>
        <w:tc>
          <w:tcPr>
            <w:tcW w:w="108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May 2,</w:t>
            </w:r>
          </w:p>
        </w:tc>
        <w:tc>
          <w:tcPr>
            <w:tcW w:w="380" w:type="dxa"/>
            <w:vAlign w:val="bottom"/>
          </w:tcPr>
          <w:p>
            <w:pPr>
              <w:spacing w:after="0"/>
              <w:rPr>
                <w:sz w:val="12"/>
                <w:szCs w:val="12"/>
                <w:color w:val="auto"/>
              </w:rPr>
            </w:pPr>
          </w:p>
        </w:tc>
        <w:tc>
          <w:tcPr>
            <w:tcW w:w="106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Aug. 2,</w:t>
            </w:r>
          </w:p>
        </w:tc>
      </w:tr>
      <w:tr>
        <w:trPr>
          <w:trHeight w:val="18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b w:val="1"/>
                <w:bCs w:val="1"/>
                <w:color w:val="auto"/>
              </w:rPr>
              <w:t>008</w:t>
            </w:r>
          </w:p>
        </w:tc>
      </w:tr>
      <w:tr>
        <w:trPr>
          <w:trHeight w:val="164"/>
        </w:trPr>
        <w:tc>
          <w:tcPr>
            <w:tcW w:w="698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65,460</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51,754</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138,608</w:t>
            </w:r>
          </w:p>
        </w:tc>
      </w:tr>
      <w:tr>
        <w:trPr>
          <w:trHeight w:val="149"/>
        </w:trPr>
        <w:tc>
          <w:tcPr>
            <w:tcW w:w="20" w:type="dxa"/>
            <w:vAlign w:val="bottom"/>
          </w:tcPr>
          <w:p>
            <w:pPr>
              <w:spacing w:after="0"/>
              <w:rPr>
                <w:sz w:val="12"/>
                <w:szCs w:val="12"/>
                <w:color w:val="auto"/>
              </w:rPr>
            </w:pPr>
          </w:p>
        </w:tc>
        <w:tc>
          <w:tcPr>
            <w:tcW w:w="6960" w:type="dxa"/>
            <w:vAlign w:val="bottom"/>
          </w:tcPr>
          <w:p>
            <w:pPr>
              <w:ind w:left="120"/>
              <w:spacing w:after="0" w:line="149" w:lineRule="exact"/>
              <w:rPr>
                <w:sz w:val="20"/>
                <w:szCs w:val="20"/>
                <w:color w:val="auto"/>
              </w:rPr>
            </w:pPr>
            <w:r>
              <w:rPr>
                <w:rFonts w:ascii="Arial" w:cs="Arial" w:eastAsia="Arial" w:hAnsi="Arial"/>
                <w:sz w:val="14"/>
                <w:szCs w:val="14"/>
                <w:color w:val="auto"/>
              </w:rPr>
              <w:t>Adjustments to reconcile net income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160"/>
              <w:spacing w:after="0"/>
              <w:rPr>
                <w:sz w:val="20"/>
                <w:szCs w:val="20"/>
                <w:color w:val="auto"/>
              </w:rPr>
            </w:pPr>
            <w:r>
              <w:rPr>
                <w:rFonts w:ascii="Arial" w:cs="Arial" w:eastAsia="Arial" w:hAnsi="Arial"/>
                <w:sz w:val="14"/>
                <w:szCs w:val="14"/>
                <w:color w:val="auto"/>
              </w:rPr>
              <w:t>to net cash provided by operations: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30,300</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33,440</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36,244</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1,679</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1,591</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2,438</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12,015</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12,566</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13,573</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Gain on sale of business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(3,802)</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(3,083)</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Non-cash portion of special charges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75</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770</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322</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1,152</w:t>
            </w: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1,713</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13,991</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(4,813)</w:t>
            </w:r>
          </w:p>
        </w:tc>
      </w:tr>
      <w:tr>
        <w:trPr>
          <w:trHeight w:val="176"/>
        </w:trPr>
        <w:tc>
          <w:tcPr>
            <w:tcW w:w="698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460"/>
              <w:spacing w:after="0"/>
              <w:rPr>
                <w:sz w:val="20"/>
                <w:szCs w:val="20"/>
                <w:color w:val="auto"/>
              </w:rPr>
            </w:pPr>
            <w:r>
              <w:rPr>
                <w:rFonts w:ascii="Arial" w:cs="Arial" w:eastAsia="Arial" w:hAnsi="Arial"/>
                <w:sz w:val="14"/>
                <w:szCs w:val="14"/>
                <w:color w:val="auto"/>
              </w:rPr>
              <w:t>Income tax payments related to gain on sale of businesses</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(4,105)</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69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Changes in other operating assets and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25,732</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(37,738)</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15,830</w:t>
            </w:r>
          </w:p>
        </w:tc>
      </w:tr>
      <w:tr>
        <w:trPr>
          <w:trHeight w:val="169"/>
        </w:trPr>
        <w:tc>
          <w:tcPr>
            <w:tcW w:w="20" w:type="dxa"/>
            <w:vAlign w:val="bottom"/>
          </w:tcPr>
          <w:p>
            <w:pPr>
              <w:spacing w:after="0"/>
              <w:rPr>
                <w:sz w:val="14"/>
                <w:szCs w:val="14"/>
                <w:color w:val="auto"/>
              </w:rPr>
            </w:pPr>
          </w:p>
        </w:tc>
        <w:tc>
          <w:tcPr>
            <w:tcW w:w="69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68,104</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24,242</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57,539</w:t>
            </w:r>
          </w:p>
        </w:tc>
      </w:tr>
      <w:tr>
        <w:trPr>
          <w:trHeight w:val="169"/>
        </w:trPr>
        <w:tc>
          <w:tcPr>
            <w:tcW w:w="20" w:type="dxa"/>
            <w:vAlign w:val="bottom"/>
          </w:tcPr>
          <w:p>
            <w:pPr>
              <w:spacing w:after="0"/>
              <w:rPr>
                <w:sz w:val="14"/>
                <w:szCs w:val="14"/>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133,564</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75,996</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196,147</w:t>
            </w:r>
          </w:p>
        </w:tc>
      </w:tr>
      <w:tr>
        <w:trPr>
          <w:trHeight w:val="169"/>
        </w:trPr>
        <w:tc>
          <w:tcPr>
            <w:tcW w:w="20" w:type="dxa"/>
            <w:vAlign w:val="bottom"/>
          </w:tcPr>
          <w:p>
            <w:pPr>
              <w:spacing w:after="0"/>
              <w:rPr>
                <w:sz w:val="14"/>
                <w:szCs w:val="14"/>
                <w:color w:val="auto"/>
              </w:rPr>
            </w:pPr>
          </w:p>
        </w:tc>
        <w:tc>
          <w:tcPr>
            <w:tcW w:w="6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r>
      <w:tr>
        <w:trPr>
          <w:trHeight w:val="339"/>
        </w:trPr>
        <w:tc>
          <w:tcPr>
            <w:tcW w:w="698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(5,425)</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(12,046)</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(39,381)</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(1,066,845)</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(583,677)</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(626,815)</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583,701</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488,043</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538,031</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Net (expenditures) proceeds related to sale of businesses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(1,340)</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3,590</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Payments for acquisitions</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(8,360)</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(3,146)</w:t>
            </w:r>
          </w:p>
        </w:tc>
      </w:tr>
      <w:tr>
        <w:trPr>
          <w:trHeight w:val="181"/>
        </w:trPr>
        <w:tc>
          <w:tcPr>
            <w:tcW w:w="20" w:type="dxa"/>
            <w:vAlign w:val="bottom"/>
          </w:tcPr>
          <w:p>
            <w:pPr>
              <w:spacing w:after="0"/>
              <w:rPr>
                <w:sz w:val="15"/>
                <w:szCs w:val="15"/>
                <w:color w:val="auto"/>
              </w:rPr>
            </w:pPr>
          </w:p>
        </w:tc>
        <w:tc>
          <w:tcPr>
            <w:tcW w:w="6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Increase in other assets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(1,481)</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(2,206)</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(1,855)</w:t>
            </w:r>
          </w:p>
        </w:tc>
      </w:tr>
      <w:tr>
        <w:trPr>
          <w:trHeight w:val="169"/>
        </w:trPr>
        <w:tc>
          <w:tcPr>
            <w:tcW w:w="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investing activities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(498,410)</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(111,226)</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(129,576)</w:t>
            </w:r>
          </w:p>
        </w:tc>
      </w:tr>
      <w:tr>
        <w:trPr>
          <w:trHeight w:val="339"/>
        </w:trPr>
        <w:tc>
          <w:tcPr>
            <w:tcW w:w="698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(58,260)</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(58,164)</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(58,078)</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4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(3,091)</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(27,578)</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Decrease in liability for common stock repurchases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(366)</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Net proceeds from employee stock plans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5,820</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2,152</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20,885</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370,350</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4"/>
                <w:szCs w:val="14"/>
                <w:color w:val="auto"/>
              </w:rPr>
              <w:t>Credit facility fees</w:t>
            </w:r>
          </w:p>
        </w:tc>
        <w:tc>
          <w:tcPr>
            <w:tcW w:w="34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(600)</w:t>
            </w:r>
          </w:p>
        </w:tc>
      </w:tr>
      <w:tr>
        <w:trPr>
          <w:trHeight w:val="181"/>
        </w:trPr>
        <w:tc>
          <w:tcPr>
            <w:tcW w:w="20" w:type="dxa"/>
            <w:vAlign w:val="bottom"/>
          </w:tcPr>
          <w:p>
            <w:pPr>
              <w:spacing w:after="0"/>
              <w:rPr>
                <w:sz w:val="15"/>
                <w:szCs w:val="15"/>
                <w:color w:val="auto"/>
              </w:rPr>
            </w:pPr>
          </w:p>
        </w:tc>
        <w:tc>
          <w:tcPr>
            <w:tcW w:w="6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Excess tax benefit - stock options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3,083</w:t>
            </w:r>
          </w:p>
        </w:tc>
      </w:tr>
      <w:tr>
        <w:trPr>
          <w:trHeight w:val="169"/>
        </w:trPr>
        <w:tc>
          <w:tcPr>
            <w:tcW w:w="2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(used) for financing activities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317,728</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(59,098)</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(62,654)</w:t>
            </w:r>
          </w:p>
        </w:tc>
      </w:tr>
      <w:tr>
        <w:trPr>
          <w:trHeight w:val="169"/>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2,954</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1,494</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178</w:t>
            </w:r>
          </w:p>
        </w:tc>
      </w:tr>
      <w:tr>
        <w:trPr>
          <w:trHeight w:val="339"/>
        </w:trPr>
        <w:tc>
          <w:tcPr>
            <w:tcW w:w="6980" w:type="dxa"/>
            <w:vAlign w:val="bottom"/>
            <w:gridSpan w:val="2"/>
          </w:tcPr>
          <w:p>
            <w:pPr>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(44,164)</w:t>
            </w:r>
          </w:p>
        </w:tc>
        <w:tc>
          <w:tcPr>
            <w:tcW w:w="4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(92,834)</w:t>
            </w:r>
          </w:p>
        </w:tc>
        <w:tc>
          <w:tcPr>
            <w:tcW w:w="380" w:type="dxa"/>
            <w:vAlign w:val="bottom"/>
          </w:tcPr>
          <w:p>
            <w:pPr>
              <w:spacing w:after="0"/>
              <w:rPr>
                <w:sz w:val="24"/>
                <w:szCs w:val="2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4,095</w:t>
            </w:r>
          </w:p>
        </w:tc>
      </w:tr>
      <w:tr>
        <w:trPr>
          <w:trHeight w:val="181"/>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676,879</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769,713</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414,361</w:t>
            </w:r>
          </w:p>
        </w:tc>
      </w:tr>
      <w:tr>
        <w:trPr>
          <w:trHeight w:val="169"/>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632,715</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676,879</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418,456</w:t>
            </w:r>
          </w:p>
        </w:tc>
      </w:tr>
      <w:tr>
        <w:trPr>
          <w:trHeight w:val="129"/>
        </w:trPr>
        <w:tc>
          <w:tcPr>
            <w:tcW w:w="20" w:type="dxa"/>
            <w:vAlign w:val="bottom"/>
          </w:tcPr>
          <w:p>
            <w:pPr>
              <w:spacing w:after="0"/>
              <w:rPr>
                <w:sz w:val="11"/>
                <w:szCs w:val="11"/>
                <w:color w:val="auto"/>
              </w:rPr>
            </w:pPr>
          </w:p>
        </w:tc>
        <w:tc>
          <w:tcPr>
            <w:tcW w:w="69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Third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2"/>
              </w:rPr>
              <w:t>Aug. 1, 2009</w:t>
            </w: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7"/>
              </w:rPr>
              <w:t>May 2, 2009</w:t>
            </w: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Aug. 2, 2008</w:t>
            </w:r>
          </w:p>
        </w:tc>
        <w:tc>
          <w:tcPr>
            <w:tcW w:w="2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Revenue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Q/Q %</w:t>
            </w: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Y/Y %</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Revenue</w:t>
            </w:r>
          </w:p>
        </w:tc>
        <w:tc>
          <w:tcPr>
            <w:tcW w:w="440" w:type="dxa"/>
            <w:vAlign w:val="bottom"/>
          </w:tcPr>
          <w:p>
            <w:pPr>
              <w:spacing w:after="0"/>
              <w:rPr>
                <w:sz w:val="14"/>
                <w:szCs w:val="14"/>
                <w:color w:val="auto"/>
              </w:rPr>
            </w:pPr>
          </w:p>
        </w:tc>
        <w:tc>
          <w:tcPr>
            <w:tcW w:w="1520" w:type="dxa"/>
            <w:vAlign w:val="bottom"/>
          </w:tcPr>
          <w:p>
            <w:pPr>
              <w:jc w:val="right"/>
              <w:ind w:right="648"/>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64"/>
        </w:trPr>
        <w:tc>
          <w:tcPr>
            <w:tcW w:w="2460" w:type="dxa"/>
            <w:vAlign w:val="bottom"/>
          </w:tcPr>
          <w:p>
            <w:pPr>
              <w:spacing w:after="0"/>
              <w:rPr>
                <w:sz w:val="20"/>
                <w:szCs w:val="20"/>
                <w:color w:val="auto"/>
              </w:rPr>
            </w:pPr>
            <w:r>
              <w:rPr>
                <w:rFonts w:ascii="Arial" w:cs="Arial" w:eastAsia="Arial" w:hAnsi="Arial"/>
                <w:sz w:val="14"/>
                <w:szCs w:val="14"/>
                <w:color w:val="auto"/>
              </w:rPr>
              <w:t>Industrial</w:t>
            </w:r>
          </w:p>
        </w:tc>
        <w:tc>
          <w:tcPr>
            <w:tcW w:w="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252,135</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51%</w:t>
            </w: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color w:val="auto"/>
                <w:w w:val="93"/>
              </w:rPr>
              <w:t>3.4%</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-29.2%</w:t>
            </w: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243,873</w:t>
            </w:r>
          </w:p>
        </w:tc>
        <w:tc>
          <w:tcPr>
            <w:tcW w:w="160" w:type="dxa"/>
            <w:vAlign w:val="bottom"/>
          </w:tcPr>
          <w:p>
            <w:pPr>
              <w:spacing w:after="0"/>
              <w:rPr>
                <w:sz w:val="14"/>
                <w:szCs w:val="14"/>
                <w:color w:val="auto"/>
              </w:rPr>
            </w:pPr>
          </w:p>
        </w:tc>
        <w:tc>
          <w:tcPr>
            <w:tcW w:w="4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356,280</w:t>
            </w:r>
          </w:p>
        </w:tc>
        <w:tc>
          <w:tcPr>
            <w:tcW w:w="20" w:type="dxa"/>
            <w:vAlign w:val="bottom"/>
          </w:tcPr>
          <w:p>
            <w:pPr>
              <w:spacing w:after="0"/>
              <w:rPr>
                <w:sz w:val="14"/>
                <w:szCs w:val="14"/>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Communications</w:t>
            </w:r>
          </w:p>
        </w:tc>
        <w:tc>
          <w:tcPr>
            <w:tcW w:w="2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125,500</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26%</w:t>
            </w:r>
          </w:p>
        </w:tc>
        <w:tc>
          <w:tcPr>
            <w:tcW w:w="300" w:type="dxa"/>
            <w:vAlign w:val="bottom"/>
          </w:tcPr>
          <w:p>
            <w:pPr>
              <w:spacing w:after="0"/>
              <w:rPr>
                <w:sz w:val="15"/>
                <w:szCs w:val="15"/>
                <w:color w:val="auto"/>
              </w:rPr>
            </w:pPr>
          </w:p>
        </w:tc>
        <w:tc>
          <w:tcPr>
            <w:tcW w:w="800" w:type="dxa"/>
            <w:vAlign w:val="bottom"/>
          </w:tcPr>
          <w:p>
            <w:pPr>
              <w:jc w:val="center"/>
              <w:ind w:right="208"/>
              <w:spacing w:after="0"/>
              <w:rPr>
                <w:sz w:val="20"/>
                <w:szCs w:val="20"/>
                <w:color w:val="auto"/>
              </w:rPr>
            </w:pPr>
            <w:r>
              <w:rPr>
                <w:rFonts w:ascii="Arial" w:cs="Arial" w:eastAsia="Arial" w:hAnsi="Arial"/>
                <w:sz w:val="14"/>
                <w:szCs w:val="14"/>
                <w:color w:val="auto"/>
                <w:w w:val="98"/>
              </w:rPr>
              <w:t>-9.1%</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-15.1%</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138,050</w:t>
            </w:r>
          </w:p>
        </w:tc>
        <w:tc>
          <w:tcPr>
            <w:tcW w:w="44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147,894</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Consumer</w:t>
            </w:r>
          </w:p>
        </w:tc>
        <w:tc>
          <w:tcPr>
            <w:tcW w:w="2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102,323</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300" w:type="dxa"/>
            <w:vAlign w:val="bottom"/>
          </w:tcPr>
          <w:p>
            <w:pPr>
              <w:spacing w:after="0"/>
              <w:rPr>
                <w:sz w:val="15"/>
                <w:szCs w:val="15"/>
                <w:color w:val="auto"/>
              </w:rPr>
            </w:pPr>
          </w:p>
        </w:tc>
        <w:tc>
          <w:tcPr>
            <w:tcW w:w="800" w:type="dxa"/>
            <w:vAlign w:val="bottom"/>
          </w:tcPr>
          <w:p>
            <w:pPr>
              <w:jc w:val="center"/>
              <w:ind w:right="208"/>
              <w:spacing w:after="0"/>
              <w:rPr>
                <w:sz w:val="20"/>
                <w:szCs w:val="20"/>
                <w:color w:val="auto"/>
              </w:rPr>
            </w:pPr>
            <w:r>
              <w:rPr>
                <w:rFonts w:ascii="Arial" w:cs="Arial" w:eastAsia="Arial" w:hAnsi="Arial"/>
                <w:sz w:val="14"/>
                <w:szCs w:val="14"/>
                <w:color w:val="auto"/>
                <w:w w:val="90"/>
              </w:rPr>
              <w:t>28.0%</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-21.2%</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79,926</w:t>
            </w:r>
          </w:p>
        </w:tc>
        <w:tc>
          <w:tcPr>
            <w:tcW w:w="44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129,784</w:t>
            </w:r>
          </w:p>
        </w:tc>
      </w:tr>
      <w:tr>
        <w:trPr>
          <w:trHeight w:val="181"/>
        </w:trPr>
        <w:tc>
          <w:tcPr>
            <w:tcW w:w="2460" w:type="dxa"/>
            <w:vAlign w:val="bottom"/>
          </w:tcPr>
          <w:p>
            <w:pPr>
              <w:spacing w:after="0"/>
              <w:rPr>
                <w:sz w:val="20"/>
                <w:szCs w:val="20"/>
                <w:color w:val="auto"/>
              </w:rPr>
            </w:pPr>
            <w:r>
              <w:rPr>
                <w:rFonts w:ascii="Arial" w:cs="Arial" w:eastAsia="Arial" w:hAnsi="Arial"/>
                <w:sz w:val="14"/>
                <w:szCs w:val="14"/>
                <w:color w:val="auto"/>
              </w:rPr>
              <w:t>Computer</w:t>
            </w:r>
          </w:p>
        </w:tc>
        <w:tc>
          <w:tcPr>
            <w:tcW w:w="2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12,033</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2%</w:t>
            </w:r>
          </w:p>
        </w:tc>
        <w:tc>
          <w:tcPr>
            <w:tcW w:w="300" w:type="dxa"/>
            <w:vAlign w:val="bottom"/>
          </w:tcPr>
          <w:p>
            <w:pPr>
              <w:spacing w:after="0"/>
              <w:rPr>
                <w:sz w:val="15"/>
                <w:szCs w:val="15"/>
                <w:color w:val="auto"/>
              </w:rPr>
            </w:pPr>
          </w:p>
        </w:tc>
        <w:tc>
          <w:tcPr>
            <w:tcW w:w="800" w:type="dxa"/>
            <w:vAlign w:val="bottom"/>
          </w:tcPr>
          <w:p>
            <w:pPr>
              <w:jc w:val="center"/>
              <w:ind w:right="208"/>
              <w:spacing w:after="0"/>
              <w:rPr>
                <w:sz w:val="20"/>
                <w:szCs w:val="20"/>
                <w:color w:val="auto"/>
              </w:rPr>
            </w:pPr>
            <w:r>
              <w:rPr>
                <w:rFonts w:ascii="Arial" w:cs="Arial" w:eastAsia="Arial" w:hAnsi="Arial"/>
                <w:sz w:val="14"/>
                <w:szCs w:val="14"/>
                <w:color w:val="auto"/>
                <w:w w:val="98"/>
              </w:rPr>
              <w:t>-6.7%</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-51.9%</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12,899</w:t>
            </w:r>
          </w:p>
        </w:tc>
        <w:tc>
          <w:tcPr>
            <w:tcW w:w="44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25,028</w:t>
            </w:r>
          </w:p>
        </w:tc>
      </w:tr>
      <w:tr>
        <w:trPr>
          <w:trHeight w:val="169"/>
        </w:trPr>
        <w:tc>
          <w:tcPr>
            <w:tcW w:w="246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491,991</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4"/>
                <w:szCs w:val="14"/>
                <w:color w:val="auto"/>
              </w:rPr>
            </w:pPr>
          </w:p>
        </w:tc>
        <w:tc>
          <w:tcPr>
            <w:tcW w:w="800" w:type="dxa"/>
            <w:vAlign w:val="bottom"/>
          </w:tcPr>
          <w:p>
            <w:pPr>
              <w:jc w:val="center"/>
              <w:ind w:right="208"/>
              <w:spacing w:after="0"/>
              <w:rPr>
                <w:sz w:val="20"/>
                <w:szCs w:val="20"/>
                <w:color w:val="auto"/>
              </w:rPr>
            </w:pPr>
            <w:r>
              <w:rPr>
                <w:rFonts w:ascii="Arial" w:cs="Arial" w:eastAsia="Arial" w:hAnsi="Arial"/>
                <w:sz w:val="14"/>
                <w:szCs w:val="14"/>
                <w:b w:val="1"/>
                <w:bCs w:val="1"/>
                <w:color w:val="auto"/>
              </w:rPr>
              <w:t>3.6%</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-25.3%</w:t>
            </w:r>
          </w:p>
        </w:tc>
        <w:tc>
          <w:tcPr>
            <w:tcW w:w="3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474,748</w:t>
            </w:r>
          </w:p>
        </w:tc>
        <w:tc>
          <w:tcPr>
            <w:tcW w:w="1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658,986</w:t>
            </w: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2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24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Third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Aug. 1, 2009</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5"/>
              </w:rPr>
              <w:t>May 2, 2009</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Aug. 2, 2008</w:t>
            </w:r>
          </w:p>
        </w:tc>
        <w:tc>
          <w:tcPr>
            <w:tcW w:w="2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w w:val="99"/>
              </w:rPr>
              <w:t>Revenue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Q/Q %</w:t>
            </w: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Y/Y %</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4"/>
                <w:szCs w:val="14"/>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64"/>
        </w:trPr>
        <w:tc>
          <w:tcPr>
            <w:tcW w:w="4080" w:type="dxa"/>
            <w:vAlign w:val="bottom"/>
          </w:tcPr>
          <w:p>
            <w:pPr>
              <w:spacing w:after="0"/>
              <w:rPr>
                <w:sz w:val="20"/>
                <w:szCs w:val="20"/>
                <w:color w:val="auto"/>
              </w:rPr>
            </w:pPr>
            <w:r>
              <w:rPr>
                <w:rFonts w:ascii="Arial" w:cs="Arial" w:eastAsia="Arial" w:hAnsi="Arial"/>
                <w:sz w:val="14"/>
                <w:szCs w:val="14"/>
                <w:color w:val="auto"/>
              </w:rPr>
              <w:t>Converters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239,100</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49%</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4.1%</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-21.0%</w:t>
            </w:r>
          </w:p>
        </w:tc>
        <w:tc>
          <w:tcPr>
            <w:tcW w:w="280" w:type="dxa"/>
            <w:vAlign w:val="bottom"/>
          </w:tcPr>
          <w:p>
            <w:pPr>
              <w:spacing w:after="0"/>
              <w:rPr>
                <w:sz w:val="14"/>
                <w:szCs w:val="14"/>
                <w:color w:val="auto"/>
              </w:rPr>
            </w:pP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229,732</w:t>
            </w:r>
          </w:p>
        </w:tc>
        <w:tc>
          <w:tcPr>
            <w:tcW w:w="140" w:type="dxa"/>
            <w:vAlign w:val="bottom"/>
          </w:tcPr>
          <w:p>
            <w:pPr>
              <w:spacing w:after="0"/>
              <w:rPr>
                <w:sz w:val="14"/>
                <w:szCs w:val="14"/>
                <w:color w:val="auto"/>
              </w:rPr>
            </w:pPr>
          </w:p>
        </w:tc>
        <w:tc>
          <w:tcPr>
            <w:tcW w:w="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302,812</w:t>
            </w:r>
          </w:p>
        </w:tc>
        <w:tc>
          <w:tcPr>
            <w:tcW w:w="20" w:type="dxa"/>
            <w:vAlign w:val="bottom"/>
          </w:tcPr>
          <w:p>
            <w:pPr>
              <w:spacing w:after="0"/>
              <w:rPr>
                <w:sz w:val="14"/>
                <w:szCs w:val="14"/>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Amplifiers</w:t>
            </w:r>
          </w:p>
        </w:tc>
        <w:tc>
          <w:tcPr>
            <w:tcW w:w="2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119,897</w:t>
            </w: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-3.1%</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-29.7%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123,775</w:t>
            </w:r>
          </w:p>
        </w:tc>
        <w:tc>
          <w:tcPr>
            <w:tcW w:w="30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170,526</w:t>
            </w: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Other analog</w:t>
            </w:r>
          </w:p>
        </w:tc>
        <w:tc>
          <w:tcPr>
            <w:tcW w:w="2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65,211</w:t>
            </w: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20.6%</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-18.8%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54,088</w:t>
            </w:r>
          </w:p>
        </w:tc>
        <w:tc>
          <w:tcPr>
            <w:tcW w:w="30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80,352</w:t>
            </w: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424,208</w:t>
            </w: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86%</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4.1%</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-23.4%</w:t>
            </w:r>
          </w:p>
        </w:tc>
        <w:tc>
          <w:tcPr>
            <w:tcW w:w="2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407,595</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553,690</w:t>
            </w:r>
          </w:p>
        </w:tc>
        <w:tc>
          <w:tcPr>
            <w:tcW w:w="20" w:type="dxa"/>
            <w:vAlign w:val="bottom"/>
          </w:tcPr>
          <w:p>
            <w:pPr>
              <w:spacing w:after="0"/>
              <w:rPr>
                <w:sz w:val="14"/>
                <w:szCs w:val="14"/>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27,986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6%</w:t>
            </w: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-23.7%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28,198</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36,674</w:t>
            </w:r>
          </w:p>
        </w:tc>
        <w:tc>
          <w:tcPr>
            <w:tcW w:w="20" w:type="dxa"/>
            <w:vAlign w:val="bottom"/>
          </w:tcPr>
          <w:p>
            <w:pPr>
              <w:spacing w:after="0"/>
              <w:rPr>
                <w:sz w:val="14"/>
                <w:szCs w:val="14"/>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452,194</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3.8%</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-23.4%</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435,793</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590,364</w:t>
            </w:r>
          </w:p>
        </w:tc>
        <w:tc>
          <w:tcPr>
            <w:tcW w:w="20" w:type="dxa"/>
            <w:vAlign w:val="bottom"/>
          </w:tcPr>
          <w:p>
            <w:pPr>
              <w:spacing w:after="0"/>
              <w:rPr>
                <w:sz w:val="14"/>
                <w:szCs w:val="14"/>
                <w:color w:val="auto"/>
              </w:rPr>
            </w:pPr>
          </w:p>
        </w:tc>
      </w:tr>
      <w:tr>
        <w:trPr>
          <w:trHeight w:val="164"/>
        </w:trPr>
        <w:tc>
          <w:tcPr>
            <w:tcW w:w="4080" w:type="dxa"/>
            <w:vAlign w:val="bottom"/>
          </w:tcPr>
          <w:p>
            <w:pPr>
              <w:spacing w:after="0"/>
              <w:rPr>
                <w:sz w:val="20"/>
                <w:szCs w:val="20"/>
                <w:color w:val="auto"/>
              </w:rPr>
            </w:pPr>
            <w:r>
              <w:rPr>
                <w:rFonts w:ascii="Arial" w:cs="Arial" w:eastAsia="Arial" w:hAnsi="Arial"/>
                <w:sz w:val="14"/>
                <w:szCs w:val="14"/>
                <w:color w:val="auto"/>
              </w:rPr>
              <w:t>General purpose DSP</w:t>
            </w:r>
          </w:p>
        </w:tc>
        <w:tc>
          <w:tcPr>
            <w:tcW w:w="2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38,923</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1.9%</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-35.7%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38,216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60,521</w:t>
            </w:r>
          </w:p>
        </w:tc>
        <w:tc>
          <w:tcPr>
            <w:tcW w:w="20" w:type="dxa"/>
            <w:vAlign w:val="bottom"/>
          </w:tcPr>
          <w:p>
            <w:pPr>
              <w:spacing w:after="0"/>
              <w:rPr>
                <w:sz w:val="14"/>
                <w:szCs w:val="14"/>
                <w:color w:val="auto"/>
              </w:rPr>
            </w:pP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Other DSP</w:t>
            </w:r>
          </w:p>
        </w:tc>
        <w:tc>
          <w:tcPr>
            <w:tcW w:w="2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874</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18.3%</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-89.2%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739</w:t>
            </w:r>
          </w:p>
        </w:tc>
        <w:tc>
          <w:tcPr>
            <w:tcW w:w="30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8,101</w:t>
            </w:r>
          </w:p>
        </w:tc>
      </w:tr>
      <w:tr>
        <w:trPr>
          <w:trHeight w:val="169"/>
        </w:trPr>
        <w:tc>
          <w:tcPr>
            <w:tcW w:w="4080" w:type="dxa"/>
            <w:vAlign w:val="bottom"/>
          </w:tcPr>
          <w:p>
            <w:pPr>
              <w:spacing w:after="0"/>
              <w:rPr>
                <w:sz w:val="20"/>
                <w:szCs w:val="20"/>
                <w:color w:val="auto"/>
              </w:rPr>
            </w:pPr>
            <w:r>
              <w:rPr>
                <w:rFonts w:ascii="Arial" w:cs="Arial" w:eastAsia="Arial" w:hAnsi="Arial"/>
                <w:sz w:val="14"/>
                <w:szCs w:val="14"/>
                <w:b w:val="1"/>
                <w:bCs w:val="1"/>
                <w:color w:val="auto"/>
              </w:rPr>
              <w:t>Total Digital Signal Processing</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39,797</w:t>
            </w: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-42.0%</w:t>
            </w:r>
          </w:p>
        </w:tc>
        <w:tc>
          <w:tcPr>
            <w:tcW w:w="2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38,955</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68,622</w:t>
            </w:r>
          </w:p>
        </w:tc>
        <w:tc>
          <w:tcPr>
            <w:tcW w:w="20" w:type="dxa"/>
            <w:vAlign w:val="bottom"/>
          </w:tcPr>
          <w:p>
            <w:pPr>
              <w:spacing w:after="0"/>
              <w:rPr>
                <w:sz w:val="14"/>
                <w:szCs w:val="14"/>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491,991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3.6%</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-25.3%</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474,748</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658,986</w:t>
            </w:r>
          </w:p>
        </w:tc>
        <w:tc>
          <w:tcPr>
            <w:tcW w:w="2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4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40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Third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428"/>
              <w:spacing w:after="0" w:line="160" w:lineRule="exact"/>
              <w:rPr>
                <w:sz w:val="20"/>
                <w:szCs w:val="20"/>
                <w:color w:val="auto"/>
              </w:rPr>
            </w:pPr>
            <w:r>
              <w:rPr>
                <w:rFonts w:ascii="Arial" w:cs="Arial" w:eastAsia="Arial" w:hAnsi="Arial"/>
                <w:sz w:val="14"/>
                <w:szCs w:val="14"/>
                <w:b w:val="1"/>
                <w:bCs w:val="1"/>
                <w:color w:val="auto"/>
              </w:rPr>
              <w:t>3Q 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4"/>
              </w:rPr>
              <w:t>2Q 09</w:t>
            </w:r>
          </w:p>
        </w:tc>
        <w:tc>
          <w:tcPr>
            <w:tcW w:w="260" w:type="dxa"/>
            <w:vAlign w:val="bottom"/>
          </w:tcPr>
          <w:p>
            <w:pPr>
              <w:spacing w:after="0"/>
              <w:rPr>
                <w:sz w:val="13"/>
                <w:szCs w:val="13"/>
                <w:color w:val="auto"/>
              </w:rPr>
            </w:pPr>
          </w:p>
        </w:tc>
        <w:tc>
          <w:tcPr>
            <w:tcW w:w="1220" w:type="dxa"/>
            <w:vAlign w:val="bottom"/>
          </w:tcPr>
          <w:p>
            <w:pPr>
              <w:jc w:val="right"/>
              <w:ind w:right="488"/>
              <w:spacing w:after="0" w:line="160" w:lineRule="exact"/>
              <w:rPr>
                <w:sz w:val="20"/>
                <w:szCs w:val="20"/>
                <w:color w:val="auto"/>
              </w:rPr>
            </w:pPr>
            <w:r>
              <w:rPr>
                <w:rFonts w:ascii="Arial" w:cs="Arial" w:eastAsia="Arial" w:hAnsi="Arial"/>
                <w:sz w:val="14"/>
                <w:szCs w:val="14"/>
                <w:b w:val="1"/>
                <w:bCs w:val="1"/>
                <w:color w:val="auto"/>
              </w:rPr>
              <w:t>3Q 08</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 1, 2009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May 2, 2009</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Aug. 2, 2008</w:t>
            </w:r>
          </w:p>
        </w:tc>
        <w:tc>
          <w:tcPr>
            <w:tcW w:w="0" w:type="dxa"/>
            <w:vAlign w:val="bottom"/>
          </w:tcPr>
          <w:p>
            <w:pPr>
              <w:spacing w:after="0"/>
              <w:rPr>
                <w:sz w:val="1"/>
                <w:szCs w:val="1"/>
                <w:color w:val="auto"/>
              </w:rPr>
            </w:pPr>
          </w:p>
        </w:tc>
      </w:tr>
      <w:tr>
        <w:trPr>
          <w:trHeight w:val="339"/>
        </w:trPr>
        <w:tc>
          <w:tcPr>
            <w:tcW w:w="702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187,284</w:t>
            </w:r>
          </w:p>
        </w:tc>
        <w:tc>
          <w:tcPr>
            <w:tcW w:w="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203,643</w:t>
            </w:r>
          </w:p>
        </w:tc>
        <w:tc>
          <w:tcPr>
            <w:tcW w:w="1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240,604</w:t>
            </w:r>
          </w:p>
        </w:tc>
        <w:tc>
          <w:tcPr>
            <w:tcW w:w="0" w:type="dxa"/>
            <w:vAlign w:val="bottom"/>
          </w:tcPr>
          <w:p>
            <w:pPr>
              <w:spacing w:after="0"/>
              <w:rPr>
                <w:sz w:val="1"/>
                <w:szCs w:val="1"/>
                <w:color w:val="auto"/>
              </w:rPr>
            </w:pPr>
          </w:p>
        </w:tc>
      </w:tr>
      <w:tr>
        <w:trPr>
          <w:trHeight w:val="176"/>
        </w:trPr>
        <w:tc>
          <w:tcPr>
            <w:tcW w:w="70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0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42.9%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36.5%</w:t>
            </w:r>
          </w:p>
        </w:tc>
        <w:tc>
          <w:tcPr>
            <w:tcW w:w="0" w:type="dxa"/>
            <w:vAlign w:val="bottom"/>
          </w:tcPr>
          <w:p>
            <w:pPr>
              <w:spacing w:after="0"/>
              <w:rPr>
                <w:sz w:val="1"/>
                <w:szCs w:val="1"/>
                <w:color w:val="auto"/>
              </w:rPr>
            </w:pPr>
          </w:p>
        </w:tc>
      </w:tr>
      <w:tr>
        <w:trPr>
          <w:trHeight w:val="181"/>
        </w:trPr>
        <w:tc>
          <w:tcPr>
            <w:tcW w:w="70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(11,919)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187,284</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191,724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240,604</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40.4%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36.5%</w:t>
            </w:r>
          </w:p>
        </w:tc>
        <w:tc>
          <w:tcPr>
            <w:tcW w:w="0" w:type="dxa"/>
            <w:vAlign w:val="bottom"/>
          </w:tcPr>
          <w:p>
            <w:pPr>
              <w:spacing w:after="0"/>
              <w:rPr>
                <w:sz w:val="1"/>
                <w:szCs w:val="1"/>
                <w:color w:val="auto"/>
              </w:rPr>
            </w:pPr>
          </w:p>
        </w:tc>
      </w:tr>
      <w:tr>
        <w:trPr>
          <w:trHeight w:val="339"/>
        </w:trPr>
        <w:tc>
          <w:tcPr>
            <w:tcW w:w="7020" w:type="dxa"/>
            <w:vAlign w:val="bottom"/>
          </w:tcPr>
          <w:p>
            <w:pPr>
              <w:spacing w:after="0"/>
              <w:rPr>
                <w:sz w:val="20"/>
                <w:szCs w:val="20"/>
                <w:color w:val="auto"/>
              </w:rPr>
            </w:pPr>
            <w:r>
              <w:rPr>
                <w:rFonts w:ascii="Arial" w:cs="Arial" w:eastAsia="Arial" w:hAnsi="Arial"/>
                <w:sz w:val="14"/>
                <w:szCs w:val="14"/>
                <w:b w:val="1"/>
                <w:bCs w:val="1"/>
                <w:color w:val="auto"/>
              </w:rPr>
              <w:t>GAAP Operating Income From Continuing Operations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78,945</w:t>
            </w:r>
          </w:p>
        </w:tc>
        <w:tc>
          <w:tcPr>
            <w:tcW w:w="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57,909</w:t>
            </w:r>
          </w:p>
        </w:tc>
        <w:tc>
          <w:tcPr>
            <w:tcW w:w="1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161,190</w:t>
            </w:r>
          </w:p>
        </w:tc>
        <w:tc>
          <w:tcPr>
            <w:tcW w:w="0" w:type="dxa"/>
            <w:vAlign w:val="bottom"/>
          </w:tcPr>
          <w:p>
            <w:pPr>
              <w:spacing w:after="0"/>
              <w:rPr>
                <w:sz w:val="1"/>
                <w:szCs w:val="1"/>
                <w:color w:val="auto"/>
              </w:rPr>
            </w:pPr>
          </w:p>
        </w:tc>
      </w:tr>
      <w:tr>
        <w:trPr>
          <w:trHeight w:val="176"/>
        </w:trPr>
        <w:tc>
          <w:tcPr>
            <w:tcW w:w="70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Total Revenue</w:t>
            </w:r>
          </w:p>
        </w:tc>
        <w:tc>
          <w:tcPr>
            <w:tcW w:w="20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16.0%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12.2%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24.5%</w:t>
            </w:r>
          </w:p>
        </w:tc>
        <w:tc>
          <w:tcPr>
            <w:tcW w:w="0" w:type="dxa"/>
            <w:vAlign w:val="bottom"/>
          </w:tcPr>
          <w:p>
            <w:pPr>
              <w:spacing w:after="0"/>
              <w:rPr>
                <w:sz w:val="1"/>
                <w:szCs w:val="1"/>
                <w:color w:val="auto"/>
              </w:rPr>
            </w:pPr>
          </w:p>
        </w:tc>
      </w:tr>
      <w:tr>
        <w:trPr>
          <w:trHeight w:val="181"/>
        </w:trPr>
        <w:tc>
          <w:tcPr>
            <w:tcW w:w="70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11,919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b w:val="1"/>
                <w:bCs w:val="1"/>
                <w:color w:val="auto"/>
              </w:rPr>
              <w:t>Non-GAAP Operating Income From Continuing Operations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78,945</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69,828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161,190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16.0%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14.7%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24.5%</w:t>
            </w:r>
          </w:p>
        </w:tc>
        <w:tc>
          <w:tcPr>
            <w:tcW w:w="0" w:type="dxa"/>
            <w:vAlign w:val="bottom"/>
          </w:tcPr>
          <w:p>
            <w:pPr>
              <w:spacing w:after="0"/>
              <w:rPr>
                <w:sz w:val="1"/>
                <w:szCs w:val="1"/>
                <w:color w:val="auto"/>
              </w:rPr>
            </w:pPr>
          </w:p>
        </w:tc>
      </w:tr>
      <w:tr>
        <w:trPr>
          <w:trHeight w:val="339"/>
        </w:trPr>
        <w:tc>
          <w:tcPr>
            <w:tcW w:w="7020" w:type="dxa"/>
            <w:vAlign w:val="bottom"/>
          </w:tcPr>
          <w:p>
            <w:pPr>
              <w:spacing w:after="0"/>
              <w:rPr>
                <w:sz w:val="20"/>
                <w:szCs w:val="20"/>
                <w:color w:val="auto"/>
              </w:rPr>
            </w:pPr>
            <w:r>
              <w:rPr>
                <w:rFonts w:ascii="Arial" w:cs="Arial" w:eastAsia="Arial" w:hAnsi="Arial"/>
                <w:sz w:val="14"/>
                <w:szCs w:val="14"/>
                <w:b w:val="1"/>
                <w:bCs w:val="1"/>
                <w:color w:val="auto"/>
              </w:rPr>
              <w:t>GAAP Diluted EPS Including Discontinued Operations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0.22</w:t>
            </w:r>
          </w:p>
        </w:tc>
        <w:tc>
          <w:tcPr>
            <w:tcW w:w="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0.47</w:t>
            </w:r>
          </w:p>
        </w:tc>
        <w:tc>
          <w:tcPr>
            <w:tcW w:w="0" w:type="dxa"/>
            <w:vAlign w:val="bottom"/>
          </w:tcPr>
          <w:p>
            <w:pPr>
              <w:spacing w:after="0"/>
              <w:rPr>
                <w:sz w:val="1"/>
                <w:szCs w:val="1"/>
                <w:color w:val="auto"/>
              </w:rPr>
            </w:pPr>
          </w:p>
        </w:tc>
      </w:tr>
      <w:tr>
        <w:trPr>
          <w:trHeight w:val="172"/>
        </w:trPr>
        <w:tc>
          <w:tcPr>
            <w:tcW w:w="7020" w:type="dxa"/>
            <w:vAlign w:val="bottom"/>
          </w:tcPr>
          <w:p>
            <w:pPr>
              <w:ind w:left="140"/>
              <w:spacing w:after="0"/>
              <w:rPr>
                <w:sz w:val="20"/>
                <w:szCs w:val="20"/>
                <w:color w:val="auto"/>
              </w:rPr>
            </w:pPr>
            <w:r>
              <w:rPr>
                <w:rFonts w:ascii="Arial" w:cs="Arial" w:eastAsia="Arial" w:hAnsi="Arial"/>
                <w:sz w:val="14"/>
                <w:szCs w:val="14"/>
                <w:color w:val="auto"/>
              </w:rPr>
              <w:t>Diluted Loss (Earnings) Per Share from Discontinued Operations</w:t>
            </w:r>
          </w:p>
        </w:tc>
        <w:tc>
          <w:tcPr>
            <w:tcW w:w="2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0"/>
        </w:trPr>
        <w:tc>
          <w:tcPr>
            <w:tcW w:w="7020" w:type="dxa"/>
            <w:vAlign w:val="bottom"/>
          </w:tcPr>
          <w:p>
            <w:pPr>
              <w:spacing w:after="0"/>
              <w:rPr>
                <w:sz w:val="20"/>
                <w:szCs w:val="20"/>
                <w:color w:val="auto"/>
              </w:rPr>
            </w:pPr>
            <w:r>
              <w:rPr>
                <w:rFonts w:ascii="Arial" w:cs="Arial" w:eastAsia="Arial" w:hAnsi="Arial"/>
                <w:sz w:val="14"/>
                <w:szCs w:val="14"/>
                <w:b w:val="1"/>
                <w:bCs w:val="1"/>
                <w:color w:val="auto"/>
              </w:rPr>
              <w:t>GAAP Diluted EPS From Continuing Operations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0.22</w:t>
            </w:r>
          </w:p>
        </w:tc>
        <w:tc>
          <w:tcPr>
            <w:tcW w:w="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5"/>
                <w:szCs w:val="15"/>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0.44</w:t>
            </w:r>
          </w:p>
        </w:tc>
        <w:tc>
          <w:tcPr>
            <w:tcW w:w="0" w:type="dxa"/>
            <w:vAlign w:val="bottom"/>
          </w:tcPr>
          <w:p>
            <w:pPr>
              <w:spacing w:after="0"/>
              <w:rPr>
                <w:sz w:val="1"/>
                <w:szCs w:val="1"/>
                <w:color w:val="auto"/>
              </w:rPr>
            </w:pPr>
          </w:p>
        </w:tc>
      </w:tr>
      <w:tr>
        <w:trPr>
          <w:trHeight w:val="181"/>
        </w:trPr>
        <w:tc>
          <w:tcPr>
            <w:tcW w:w="70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b w:val="1"/>
                <w:bCs w:val="1"/>
                <w:color w:val="auto"/>
              </w:rPr>
              <w:t>Non-GAAP Diluted EPS From Continuing Operations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0.22</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0.21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0.44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231" w:lineRule="auto"/>
        <w:rPr>
          <w:sz w:val="20"/>
          <w:szCs w:val="20"/>
          <w:color w:val="auto"/>
        </w:rPr>
      </w:pPr>
      <w:r>
        <w:rPr>
          <w:rFonts w:ascii="Arial" w:cs="Arial" w:eastAsia="Arial" w:hAnsi="Arial"/>
          <w:sz w:val="22"/>
          <w:szCs w:val="22"/>
          <w:color w:val="auto"/>
        </w:rPr>
        <w:t>Fax: 781-461-3491</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2019-12-09T21:56:53Z</dcterms:created>
  <dcterms:modified xsi:type="dcterms:W3CDTF">2019-12-09T21:56:53Z</dcterms:modified>
</cp:coreProperties>
</file>