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May 20, 2014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May 20, 2014, Analog Devices, Inc. (the “Registrant”) announced its financial results for its fiscal second quarter ended May 3, 2014.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May 20, 2014</w:t>
            </w:r>
          </w:p>
        </w:tc>
      </w:tr>
      <w:tr>
        <w:trPr>
          <w:trHeight w:val="230"/>
        </w:trPr>
        <w:tc>
          <w:tcPr>
            <w:tcW w:w="8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96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22"/>
          <w:szCs w:val="22"/>
          <w:color w:val="auto"/>
        </w:rPr>
        <w:t>SIGNATURE</w:t>
      </w:r>
    </w:p>
    <w:p>
      <w:pPr>
        <w:spacing w:after="0" w:line="207"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20, 2014</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Finance and Chief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900"/>
          </w:cols>
          <w:pgMar w:left="240" w:top="118" w:right="7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4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6"/>
              </w:rPr>
              <w:t>Press release dated May 20, 2014</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5400"/>
        <w:spacing w:after="0" w:line="438" w:lineRule="auto"/>
        <w:rPr>
          <w:sz w:val="20"/>
          <w:szCs w:val="20"/>
          <w:color w:val="auto"/>
        </w:rPr>
      </w:pPr>
      <w:r>
        <w:rPr>
          <w:rFonts w:ascii="Arial" w:cs="Arial" w:eastAsia="Arial" w:hAnsi="Arial"/>
          <w:sz w:val="22"/>
          <w:szCs w:val="22"/>
          <w:b w:val="1"/>
          <w:bCs w:val="1"/>
          <w:color w:val="auto"/>
        </w:rPr>
        <w:t>Analog Devices Reports Second Quarter Fiscal Year 2014 Results Board declares $0.37 per share cash dividend</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NORWOOD, Mass.--(BUSINESS WIRE)--May 20, 2014--Analog Devices, Inc. (NASDAQ: ADI), a global leader in high-performance semiconductors for signal processing applications, today announced financial results for its second quarter of fiscal year 2014, which ended May 3, 2014.</w:t>
      </w:r>
    </w:p>
    <w:p>
      <w:pPr>
        <w:spacing w:after="0" w:line="186"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had a very good second quarter, with our performance ahead of expectations,” said Vincent Roche, President and CEO. “Our growth this quarter was broad-based, fueled by secular and seasonal strength, particularly in the industrial, communications infrastructure, and automotive markets, which accounted for 89% of our sales. We expect these trends to continue into the third quarter driving sequential revenue growth of 1% to 5% with strong profitability.”</w:t>
      </w:r>
    </w:p>
    <w:p>
      <w:pPr>
        <w:spacing w:after="0" w:line="174"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ADI also announced that the Board of Directors has declared a cash dividend of $0.37 per outstanding share of common stock. The dividend will be paid on June 10, 2014 to all shareholders of record at the close of business on May 30, 2014.</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for the Second Quarter of Fiscal Year 2014</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totaled $695 million, up 11% sequentially and 5%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Gross margin was 66.1%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Operating margin was 31.7%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Diluted EPS was $0.59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Cash flow from operations was $238 million, or 34%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40"/>
        <w:spacing w:after="0" w:line="252" w:lineRule="auto"/>
        <w:rPr>
          <w:sz w:val="20"/>
          <w:szCs w:val="20"/>
          <w:color w:val="auto"/>
        </w:rPr>
      </w:pPr>
      <w:r>
        <w:rPr>
          <w:rFonts w:ascii="Arial" w:cs="Arial" w:eastAsia="Arial" w:hAnsi="Arial"/>
          <w:sz w:val="21"/>
          <w:szCs w:val="21"/>
          <w:color w:val="auto"/>
        </w:rPr>
        <w:t>Please refer to the schedules provided for a summary of revenue and earnings, selected balance sheet information, and the cash flow statement for the second quarter of fiscal year 2014, as well as the immediately prior and year-ago quarters. Additional information on revenue by end market and revenue by product type is provided on Schedules D and E. A more complete table covering prior periods is available at investor.analog.com.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Outlook for the Third Quarter of Fiscal Year 2014</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estimated to increase 1% to 5%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Gross margin estimated to increase approximately 50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Operating expenses estimated to be flat to up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Tax rate estimated to be approximately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Diluted EPS estimated at $0.60 to $0.64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Conference Call Scheduled for 5:00 pm ET</w:t>
      </w:r>
    </w:p>
    <w:p>
      <w:pPr>
        <w:spacing w:after="0" w:line="21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ADI will host a conference call to discuss the second quarter results and short-term outlook today, beginning at 5:00 pm ET. Investors may join via webcast, accessible at investor.analog.com, or by telephone (call 706-634-7193 ten minutes before the call begins and provide the password "ADI").</w:t>
      </w:r>
    </w:p>
    <w:p>
      <w:pPr>
        <w:spacing w:after="0" w:line="186"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16407472, or by visiting investor.analog.com.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jc w:val="both"/>
        <w:ind w:right="480"/>
        <w:spacing w:after="0" w:line="258"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67" w:lineRule="exact"/>
        <w:rPr>
          <w:sz w:val="20"/>
          <w:szCs w:val="20"/>
          <w:color w:val="auto"/>
        </w:rPr>
      </w:pPr>
    </w:p>
    <w:p>
      <w:pPr>
        <w:ind w:right="880"/>
        <w:spacing w:after="0" w:line="435" w:lineRule="auto"/>
        <w:rPr>
          <w:sz w:val="20"/>
          <w:szCs w:val="20"/>
          <w:color w:val="auto"/>
        </w:rPr>
      </w:pPr>
      <w:r>
        <w:rPr>
          <w:rFonts w:ascii="Arial" w:cs="Arial" w:eastAsia="Arial" w:hAnsi="Arial"/>
          <w:sz w:val="22"/>
          <w:szCs w:val="22"/>
          <w:i w:val="1"/>
          <w:iCs w:val="1"/>
          <w:color w:val="auto"/>
        </w:rPr>
        <w:t xml:space="preserve">Schedule F of this press release provides the reconciliation of the Company’s non-GAAP measures to its GAAP measures. </w:t>
      </w:r>
      <w:r>
        <w:rPr>
          <w:rFonts w:ascii="Arial" w:cs="Arial" w:eastAsia="Arial" w:hAnsi="Arial"/>
          <w:sz w:val="22"/>
          <w:szCs w:val="22"/>
          <w:b w:val="1"/>
          <w:bCs w:val="1"/>
          <w:u w:val="single" w:color="auto"/>
          <w:color w:val="auto"/>
        </w:rPr>
        <w:t>Manner in Which Management Uses the Non-GAAP Financial Measures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Management uses non-GAAP operating expenses, non-GAAP operating income, non-GAAP operating margins, and non-GAAP diluted earnings per share to evaluate the Company’s operating performance from continuing operations against past periods and to budget and allocate resources in future periods. These non-GAAP measures also assist management in understanding and evaluating the Company’s operating results and trends in the Company’s business.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items excluded from the non-GAAP measures were excluded because they are of a non-recurring or non-cash nature.</w:t>
      </w:r>
    </w:p>
    <w:p>
      <w:pPr>
        <w:spacing w:after="0" w:line="212" w:lineRule="exact"/>
        <w:rPr>
          <w:sz w:val="20"/>
          <w:szCs w:val="20"/>
          <w:color w:val="auto"/>
        </w:rPr>
      </w:pPr>
    </w:p>
    <w:p>
      <w:pPr>
        <w:ind w:right="660"/>
        <w:spacing w:after="0" w:line="256" w:lineRule="auto"/>
        <w:rPr>
          <w:sz w:val="20"/>
          <w:szCs w:val="20"/>
          <w:color w:val="auto"/>
        </w:rPr>
      </w:pPr>
      <w:r>
        <w:rPr>
          <w:rFonts w:ascii="Arial" w:cs="Arial" w:eastAsia="Arial" w:hAnsi="Arial"/>
          <w:sz w:val="22"/>
          <w:szCs w:val="22"/>
          <w:b w:val="1"/>
          <w:bCs w:val="1"/>
          <w:color w:val="auto"/>
        </w:rPr>
        <w:t>The following items are excluded from our non-GAAP operating expenses, non-GAAP operating income, non-GAAP operating margin, and non-GAAP diluted earnings per share:</w:t>
      </w:r>
    </w:p>
    <w:p>
      <w:pPr>
        <w:spacing w:after="0" w:line="16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i w:val="1"/>
          <w:iCs w:val="1"/>
          <w:color w:val="auto"/>
        </w:rPr>
        <w:t xml:space="preserve">Restructuring-Related Expenses. </w:t>
      </w:r>
      <w:r>
        <w:rPr>
          <w:rFonts w:ascii="Arial" w:cs="Arial" w:eastAsia="Arial" w:hAnsi="Arial"/>
          <w:sz w:val="19"/>
          <w:szCs w:val="19"/>
          <w:color w:val="auto"/>
        </w:rPr>
        <w:t>These expenses were incurred in the first quarter of fiscal 2014 in connection with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closures, consolidation of manufacturing facilities, and other cost reduction efforts. Apart from ongoing expense savings as a result of such items, these expenses and the related tax effects have no direct correlation to the operation of our business in the future.</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i w:val="1"/>
          <w:iCs w:val="1"/>
          <w:color w:val="auto"/>
        </w:rPr>
        <w:t xml:space="preserve">Stock-based Compensation Expense. </w:t>
      </w:r>
      <w:r>
        <w:rPr>
          <w:rFonts w:ascii="Arial" w:cs="Arial" w:eastAsia="Arial" w:hAnsi="Arial"/>
          <w:sz w:val="21"/>
          <w:szCs w:val="21"/>
          <w:color w:val="auto"/>
        </w:rPr>
        <w:t>In the second quarter of fiscal 2013, following the death of the Company’s then CEO,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recorded $6.3 million of stock-based compensation expense due to the accelerated vesting of restricted stock units in accordance with the terms of his restricted stock agreement. This stock-based compensation expense and the related tax effect have no direct correlation to the operation of our business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 is excluded from our non-GAAP diluted earnings per share: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Tax-Related Item</w:t>
      </w:r>
      <w:r>
        <w:rPr>
          <w:rFonts w:ascii="Arial" w:cs="Arial" w:eastAsia="Arial" w:hAnsi="Arial"/>
          <w:sz w:val="22"/>
          <w:szCs w:val="22"/>
          <w:color w:val="auto"/>
        </w:rPr>
        <w:t>. In the second quarter of fiscal 2013, the Company recorded a $6.6 million tax benefit as a result of the reversal of</w:t>
      </w:r>
      <w:r>
        <w:rPr>
          <w:rFonts w:ascii="Arial" w:cs="Arial" w:eastAsia="Arial" w:hAnsi="Arial"/>
          <w:sz w:val="22"/>
          <w:szCs w:val="22"/>
          <w:i w:val="1"/>
          <w:iCs w:val="1"/>
          <w:color w:val="auto"/>
        </w:rPr>
        <w:t xml:space="preserve"> </w:t>
      </w:r>
      <w:r>
        <w:rPr>
          <w:rFonts w:ascii="Arial" w:cs="Arial" w:eastAsia="Arial" w:hAnsi="Arial"/>
          <w:sz w:val="22"/>
          <w:szCs w:val="22"/>
          <w:color w:val="auto"/>
        </w:rPr>
        <w:t>prior period tax liabilities. We excluded this tax-related item from our non-GAAP earnings per diluted share measure because it is not associated with the tax expense on our current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believes that the presentation of non-GAAP operating expenses, non-GAAP operating income, non-GAAP operating margins, and non-GAAP diluted EPS is useful to investors because it provides investors with the operating results that management uses to manage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Analog Devices believes that non-GAAP operating expenses, non-GAAP operating income, non-GAAP operating margins,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Management compensates for these material limitations in non-GAAP operating expenses, non-GAAP operating income, non-GAAP operating margins, and non-GAAP diluted EPS by also evaluating our GAAP results and the reconciliations of our non-GAAP measures to the most directly comparable GAAP measures. Investors should consider our non-GAAP financial measures in conjunction with the corresponding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Analog Devices is headquartered in Norwood, Massachusetts, with design and manufacturing facilities throughout the world. Analog Devices' common stock is included in the S&amp;P 500 Index.</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intended to qualify for the safe harbor from liability established by the Private Securities Litigation Reform Act of 1995. These forward-looking statements include, among other things, our statements regarding expected revenue, earnings per share, operating expenses, gross margin, tax rate, and other financial results, expected production and inventory levels, expected market trends, and expected customer demand and order rates for our products, that are based on our current expectations, beliefs, assumptions, estimates, forecasts, and projections about our business and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200" w:lineRule="exact"/>
        <w:rPr>
          <w:sz w:val="20"/>
          <w:szCs w:val="20"/>
          <w:color w:val="auto"/>
        </w:rPr>
      </w:pP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Analog Devices, Second Quarter, Fiscal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Revenue and Earnings Summary (GAAP)</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(In thousands, except per-share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center"/>
              <w:ind w:right="348"/>
              <w:spacing w:after="0" w:line="160" w:lineRule="exact"/>
              <w:rPr>
                <w:sz w:val="20"/>
                <w:szCs w:val="20"/>
                <w:color w:val="auto"/>
              </w:rPr>
            </w:pPr>
            <w:r>
              <w:rPr>
                <w:rFonts w:ascii="Arial" w:cs="Arial" w:eastAsia="Arial" w:hAnsi="Arial"/>
                <w:sz w:val="14"/>
                <w:szCs w:val="14"/>
                <w:b w:val="1"/>
                <w:bCs w:val="1"/>
                <w:color w:val="auto"/>
                <w:w w:val="94"/>
              </w:rPr>
              <w:t>2Q 14</w:t>
            </w:r>
          </w:p>
        </w:tc>
        <w:tc>
          <w:tcPr>
            <w:tcW w:w="520" w:type="dxa"/>
            <w:vAlign w:val="bottom"/>
          </w:tcPr>
          <w:p>
            <w:pPr>
              <w:spacing w:after="0"/>
              <w:rPr>
                <w:sz w:val="13"/>
                <w:szCs w:val="13"/>
                <w:color w:val="auto"/>
              </w:rPr>
            </w:pPr>
          </w:p>
        </w:tc>
        <w:tc>
          <w:tcPr>
            <w:tcW w:w="1240" w:type="dxa"/>
            <w:vAlign w:val="bottom"/>
          </w:tcPr>
          <w:p>
            <w:pPr>
              <w:jc w:val="center"/>
              <w:ind w:right="468"/>
              <w:spacing w:after="0" w:line="160" w:lineRule="exact"/>
              <w:rPr>
                <w:sz w:val="20"/>
                <w:szCs w:val="20"/>
                <w:color w:val="auto"/>
              </w:rPr>
            </w:pPr>
            <w:r>
              <w:rPr>
                <w:rFonts w:ascii="Arial" w:cs="Arial" w:eastAsia="Arial" w:hAnsi="Arial"/>
                <w:sz w:val="14"/>
                <w:szCs w:val="14"/>
                <w:b w:val="1"/>
                <w:bCs w:val="1"/>
                <w:color w:val="auto"/>
                <w:w w:val="99"/>
              </w:rPr>
              <w:t>1Q 14</w:t>
            </w:r>
          </w:p>
        </w:tc>
        <w:tc>
          <w:tcPr>
            <w:tcW w:w="420" w:type="dxa"/>
            <w:vAlign w:val="bottom"/>
          </w:tcPr>
          <w:p>
            <w:pPr>
              <w:spacing w:after="0"/>
              <w:rPr>
                <w:sz w:val="13"/>
                <w:szCs w:val="13"/>
                <w:color w:val="auto"/>
              </w:rPr>
            </w:pPr>
          </w:p>
        </w:tc>
        <w:tc>
          <w:tcPr>
            <w:tcW w:w="102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9"/>
              </w:rPr>
              <w:t>2Q 13</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May 3,</w:t>
            </w:r>
          </w:p>
        </w:tc>
        <w:tc>
          <w:tcPr>
            <w:tcW w:w="520" w:type="dxa"/>
            <w:vAlign w:val="bottom"/>
          </w:tcPr>
          <w:p>
            <w:pPr>
              <w:spacing w:after="0"/>
              <w:rPr>
                <w:sz w:val="12"/>
                <w:szCs w:val="12"/>
                <w:color w:val="auto"/>
              </w:rPr>
            </w:pP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b w:val="1"/>
                <w:bCs w:val="1"/>
                <w:color w:val="auto"/>
              </w:rPr>
              <w:t>Feb. 1,</w:t>
            </w:r>
          </w:p>
        </w:tc>
        <w:tc>
          <w:tcPr>
            <w:tcW w:w="420" w:type="dxa"/>
            <w:vAlign w:val="bottom"/>
          </w:tcPr>
          <w:p>
            <w:pPr>
              <w:spacing w:after="0"/>
              <w:rPr>
                <w:sz w:val="12"/>
                <w:szCs w:val="12"/>
                <w:color w:val="auto"/>
              </w:rPr>
            </w:pPr>
          </w:p>
        </w:tc>
        <w:tc>
          <w:tcPr>
            <w:tcW w:w="102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May 4,</w:t>
            </w:r>
          </w:p>
        </w:tc>
      </w:tr>
      <w:tr>
        <w:trPr>
          <w:trHeight w:val="185"/>
        </w:trPr>
        <w:tc>
          <w:tcPr>
            <w:tcW w:w="20" w:type="dxa"/>
            <w:vAlign w:val="bottom"/>
          </w:tcPr>
          <w:p>
            <w:pPr>
              <w:spacing w:after="0"/>
              <w:rPr>
                <w:sz w:val="16"/>
                <w:szCs w:val="16"/>
                <w:color w:val="auto"/>
              </w:rPr>
            </w:pPr>
          </w:p>
        </w:tc>
        <w:tc>
          <w:tcPr>
            <w:tcW w:w="6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164"/>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694,536</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628,238</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659,250</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30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5"/>
                <w:szCs w:val="15"/>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30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15"/>
                <w:szCs w:val="15"/>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181"/>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235,793</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219,120</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237,055</w:t>
            </w:r>
          </w:p>
        </w:tc>
      </w:tr>
      <w:tr>
        <w:trPr>
          <w:trHeight w:val="164"/>
        </w:trPr>
        <w:tc>
          <w:tcPr>
            <w:tcW w:w="682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458,743</w:t>
            </w:r>
          </w:p>
        </w:tc>
        <w:tc>
          <w:tcPr>
            <w:tcW w:w="52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409,118</w:t>
            </w:r>
          </w:p>
        </w:tc>
        <w:tc>
          <w:tcPr>
            <w:tcW w:w="4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422,195</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Gross margin percentage</w:t>
            </w:r>
          </w:p>
        </w:tc>
        <w:tc>
          <w:tcPr>
            <w:tcW w:w="30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66.1%</w:t>
            </w:r>
          </w:p>
        </w:tc>
        <w:tc>
          <w:tcPr>
            <w:tcW w:w="520" w:type="dxa"/>
            <w:vAlign w:val="bottom"/>
          </w:tcPr>
          <w:p>
            <w:pPr>
              <w:spacing w:after="0"/>
              <w:rPr>
                <w:sz w:val="15"/>
                <w:szCs w:val="15"/>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65.1%</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64.0%</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210</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240</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-120</w:t>
            </w:r>
          </w:p>
        </w:tc>
      </w:tr>
      <w:tr>
        <w:trPr>
          <w:trHeight w:val="181"/>
        </w:trPr>
        <w:tc>
          <w:tcPr>
            <w:tcW w:w="20" w:type="dxa"/>
            <w:vAlign w:val="bottom"/>
          </w:tcPr>
          <w:p>
            <w:pPr>
              <w:spacing w:after="0"/>
              <w:rPr>
                <w:sz w:val="15"/>
                <w:szCs w:val="15"/>
                <w:color w:val="auto"/>
              </w:rPr>
            </w:pPr>
          </w:p>
        </w:tc>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100</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-50</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130</w:t>
            </w:r>
          </w:p>
        </w:tc>
      </w:tr>
      <w:tr>
        <w:trPr>
          <w:trHeight w:val="164"/>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R&amp;D (1)</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136,258</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128,646</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128,110</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102,085</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98,178</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102,703</w:t>
            </w:r>
          </w:p>
        </w:tc>
      </w:tr>
      <w:tr>
        <w:trPr>
          <w:trHeight w:val="181"/>
        </w:trPr>
        <w:tc>
          <w:tcPr>
            <w:tcW w:w="20" w:type="dxa"/>
            <w:vAlign w:val="bottom"/>
          </w:tcPr>
          <w:p>
            <w:pPr>
              <w:spacing w:after="0"/>
              <w:rPr>
                <w:sz w:val="15"/>
                <w:szCs w:val="15"/>
                <w:color w:val="auto"/>
              </w:rPr>
            </w:pPr>
          </w:p>
        </w:tc>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2,685</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238,343</w:t>
            </w:r>
          </w:p>
        </w:tc>
        <w:tc>
          <w:tcPr>
            <w:tcW w:w="52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229,509</w:t>
            </w:r>
          </w:p>
        </w:tc>
        <w:tc>
          <w:tcPr>
            <w:tcW w:w="4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230,813</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Total operating expenses percentage</w:t>
            </w:r>
          </w:p>
        </w:tc>
        <w:tc>
          <w:tcPr>
            <w:tcW w:w="30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34.3%</w:t>
            </w:r>
          </w:p>
        </w:tc>
        <w:tc>
          <w:tcPr>
            <w:tcW w:w="520" w:type="dxa"/>
            <w:vAlign w:val="bottom"/>
          </w:tcPr>
          <w:p>
            <w:pPr>
              <w:spacing w:after="0"/>
              <w:rPr>
                <w:sz w:val="15"/>
                <w:szCs w:val="15"/>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36.5%</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35.0%</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-70</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-160</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130</w:t>
            </w:r>
          </w:p>
        </w:tc>
      </w:tr>
      <w:tr>
        <w:trPr>
          <w:trHeight w:val="181"/>
        </w:trPr>
        <w:tc>
          <w:tcPr>
            <w:tcW w:w="20" w:type="dxa"/>
            <w:vAlign w:val="bottom"/>
          </w:tcPr>
          <w:p>
            <w:pPr>
              <w:spacing w:after="0"/>
              <w:rPr>
                <w:sz w:val="15"/>
                <w:szCs w:val="15"/>
                <w:color w:val="auto"/>
              </w:rPr>
            </w:pPr>
          </w:p>
        </w:tc>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-220</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40</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-310</w:t>
            </w:r>
          </w:p>
        </w:tc>
      </w:tr>
      <w:tr>
        <w:trPr>
          <w:trHeight w:val="164"/>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220,400</w:t>
            </w:r>
          </w:p>
        </w:tc>
        <w:tc>
          <w:tcPr>
            <w:tcW w:w="52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179,609</w:t>
            </w:r>
          </w:p>
        </w:tc>
        <w:tc>
          <w:tcPr>
            <w:tcW w:w="4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191,382</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Operating income percentage</w:t>
            </w:r>
          </w:p>
        </w:tc>
        <w:tc>
          <w:tcPr>
            <w:tcW w:w="30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31.7%</w:t>
            </w:r>
          </w:p>
        </w:tc>
        <w:tc>
          <w:tcPr>
            <w:tcW w:w="520" w:type="dxa"/>
            <w:vAlign w:val="bottom"/>
          </w:tcPr>
          <w:p>
            <w:pPr>
              <w:spacing w:after="0"/>
              <w:rPr>
                <w:sz w:val="15"/>
                <w:szCs w:val="15"/>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28.6%</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29.0%</w:t>
            </w:r>
          </w:p>
        </w:tc>
      </w:tr>
      <w:tr>
        <w:trPr>
          <w:trHeight w:val="176"/>
        </w:trPr>
        <w:tc>
          <w:tcPr>
            <w:tcW w:w="20" w:type="dxa"/>
            <w:vAlign w:val="bottom"/>
          </w:tcPr>
          <w:p>
            <w:pPr>
              <w:spacing w:after="0"/>
              <w:rPr>
                <w:sz w:val="15"/>
                <w:szCs w:val="15"/>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270</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390</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-250</w:t>
            </w:r>
          </w:p>
        </w:tc>
      </w:tr>
      <w:tr>
        <w:trPr>
          <w:trHeight w:val="181"/>
        </w:trPr>
        <w:tc>
          <w:tcPr>
            <w:tcW w:w="20" w:type="dxa"/>
            <w:vAlign w:val="bottom"/>
          </w:tcPr>
          <w:p>
            <w:pPr>
              <w:spacing w:after="0"/>
              <w:rPr>
                <w:sz w:val="15"/>
                <w:szCs w:val="15"/>
                <w:color w:val="auto"/>
              </w:rPr>
            </w:pPr>
          </w:p>
        </w:tc>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310</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-90</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430</w:t>
            </w:r>
          </w:p>
        </w:tc>
      </w:tr>
      <w:tr>
        <w:trPr>
          <w:trHeight w:val="169"/>
        </w:trPr>
        <w:tc>
          <w:tcPr>
            <w:tcW w:w="2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expense (income)</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3,032</w:t>
            </w: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3,718</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3,721</w:t>
            </w:r>
          </w:p>
        </w:tc>
      </w:tr>
      <w:tr>
        <w:trPr>
          <w:trHeight w:val="164"/>
        </w:trPr>
        <w:tc>
          <w:tcPr>
            <w:tcW w:w="682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217,368</w:t>
            </w:r>
          </w:p>
        </w:tc>
        <w:tc>
          <w:tcPr>
            <w:tcW w:w="52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175,891</w:t>
            </w:r>
          </w:p>
        </w:tc>
        <w:tc>
          <w:tcPr>
            <w:tcW w:w="4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187,661</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29,935</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23,305</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23,189</w:t>
            </w:r>
          </w:p>
        </w:tc>
      </w:tr>
      <w:tr>
        <w:trPr>
          <w:trHeight w:val="181"/>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 percentage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13.8%</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13.2%</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r>
      <w:tr>
        <w:trPr>
          <w:trHeight w:val="169"/>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187,433</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152,586</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164,472</w:t>
            </w:r>
          </w:p>
        </w:tc>
      </w:tr>
      <w:tr>
        <w:trPr>
          <w:trHeight w:val="339"/>
        </w:trPr>
        <w:tc>
          <w:tcPr>
            <w:tcW w:w="682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300" w:type="dxa"/>
            <w:vAlign w:val="bottom"/>
          </w:tcPr>
          <w:p>
            <w:pPr>
              <w:spacing w:after="0"/>
              <w:rPr>
                <w:sz w:val="24"/>
                <w:szCs w:val="2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313,488</w:t>
            </w:r>
          </w:p>
        </w:tc>
        <w:tc>
          <w:tcPr>
            <w:tcW w:w="520" w:type="dxa"/>
            <w:vAlign w:val="bottom"/>
          </w:tcPr>
          <w:p>
            <w:pPr>
              <w:spacing w:after="0"/>
              <w:rPr>
                <w:sz w:val="24"/>
                <w:szCs w:val="2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312,286</w:t>
            </w:r>
          </w:p>
        </w:tc>
        <w:tc>
          <w:tcPr>
            <w:tcW w:w="420" w:type="dxa"/>
            <w:vAlign w:val="bottom"/>
          </w:tcPr>
          <w:p>
            <w:pPr>
              <w:spacing w:after="0"/>
              <w:rPr>
                <w:sz w:val="24"/>
                <w:szCs w:val="2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307,444</w:t>
            </w:r>
          </w:p>
        </w:tc>
      </w:tr>
      <w:tr>
        <w:trPr>
          <w:trHeight w:val="182"/>
        </w:trPr>
        <w:tc>
          <w:tcPr>
            <w:tcW w:w="682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30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318,347</w:t>
            </w:r>
          </w:p>
        </w:tc>
        <w:tc>
          <w:tcPr>
            <w:tcW w:w="52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318,017</w:t>
            </w:r>
          </w:p>
        </w:tc>
        <w:tc>
          <w:tcPr>
            <w:tcW w:w="420" w:type="dxa"/>
            <w:vAlign w:val="bottom"/>
          </w:tcPr>
          <w:p>
            <w:pPr>
              <w:spacing w:after="0"/>
              <w:rPr>
                <w:sz w:val="15"/>
                <w:szCs w:val="15"/>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313,368</w:t>
            </w:r>
          </w:p>
        </w:tc>
      </w:tr>
      <w:tr>
        <w:trPr>
          <w:trHeight w:val="344"/>
        </w:trPr>
        <w:tc>
          <w:tcPr>
            <w:tcW w:w="682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0.60</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0.49</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0.53</w:t>
            </w:r>
          </w:p>
        </w:tc>
      </w:tr>
      <w:tr>
        <w:trPr>
          <w:trHeight w:val="182"/>
        </w:trPr>
        <w:tc>
          <w:tcPr>
            <w:tcW w:w="682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0.59</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0.48</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0.52</w:t>
            </w:r>
          </w:p>
        </w:tc>
      </w:tr>
      <w:tr>
        <w:trPr>
          <w:trHeight w:val="350"/>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0.37</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0.34</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0.34</w:t>
            </w:r>
          </w:p>
        </w:tc>
      </w:tr>
      <w:tr>
        <w:trPr>
          <w:trHeight w:val="339"/>
        </w:trPr>
        <w:tc>
          <w:tcPr>
            <w:tcW w:w="682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1,417</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1,557</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1,517</w:t>
            </w:r>
          </w:p>
        </w:tc>
      </w:tr>
      <w:tr>
        <w:trPr>
          <w:trHeight w:val="176"/>
        </w:trPr>
        <w:tc>
          <w:tcPr>
            <w:tcW w:w="20" w:type="dxa"/>
            <w:vAlign w:val="bottom"/>
          </w:tcPr>
          <w:p>
            <w:pPr>
              <w:spacing w:after="0"/>
              <w:rPr>
                <w:sz w:val="15"/>
                <w:szCs w:val="15"/>
                <w:color w:val="auto"/>
              </w:rPr>
            </w:pPr>
          </w:p>
        </w:tc>
        <w:tc>
          <w:tcPr>
            <w:tcW w:w="6800" w:type="dxa"/>
            <w:vAlign w:val="bottom"/>
          </w:tcPr>
          <w:p>
            <w:pPr>
              <w:ind w:left="460"/>
              <w:spacing w:after="0"/>
              <w:rPr>
                <w:sz w:val="20"/>
                <w:szCs w:val="20"/>
                <w:color w:val="auto"/>
              </w:rPr>
            </w:pPr>
            <w:r>
              <w:rPr>
                <w:rFonts w:ascii="Arial" w:cs="Arial" w:eastAsia="Arial" w:hAnsi="Arial"/>
                <w:sz w:val="14"/>
                <w:szCs w:val="14"/>
                <w:color w:val="auto"/>
              </w:rPr>
              <w:t>R&amp;D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4,278</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4,859</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5,044</w:t>
            </w:r>
          </w:p>
        </w:tc>
      </w:tr>
      <w:tr>
        <w:trPr>
          <w:trHeight w:val="182"/>
        </w:trPr>
        <w:tc>
          <w:tcPr>
            <w:tcW w:w="20" w:type="dxa"/>
            <w:vAlign w:val="bottom"/>
          </w:tcPr>
          <w:p>
            <w:pPr>
              <w:spacing w:after="0"/>
              <w:rPr>
                <w:sz w:val="15"/>
                <w:szCs w:val="15"/>
                <w:color w:val="auto"/>
              </w:rPr>
            </w:pPr>
          </w:p>
        </w:tc>
        <w:tc>
          <w:tcPr>
            <w:tcW w:w="680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4,847</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08"/>
              <w:spacing w:after="0"/>
              <w:rPr>
                <w:sz w:val="20"/>
                <w:szCs w:val="20"/>
                <w:color w:val="auto"/>
              </w:rPr>
            </w:pPr>
            <w:r>
              <w:rPr>
                <w:rFonts w:ascii="Arial" w:cs="Arial" w:eastAsia="Arial" w:hAnsi="Arial"/>
                <w:sz w:val="14"/>
                <w:szCs w:val="14"/>
                <w:color w:val="auto"/>
              </w:rPr>
              <w:t>4,991</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11,395</w:t>
            </w:r>
          </w:p>
        </w:tc>
      </w:tr>
      <w:tr>
        <w:trPr>
          <w:trHeight w:val="485"/>
        </w:trPr>
        <w:tc>
          <w:tcPr>
            <w:tcW w:w="20" w:type="dxa"/>
            <w:vAlign w:val="bottom"/>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44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1"/>
              </w:rPr>
              <w:t>Analog Devices, Second Quarter, Fiscal 2014</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Schedule B</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44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12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w w:val="93"/>
              </w:rPr>
              <w:t>(In thousands)</w:t>
            </w: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jc w:val="center"/>
              <w:ind w:right="508"/>
              <w:spacing w:after="0"/>
              <w:rPr>
                <w:sz w:val="20"/>
                <w:szCs w:val="20"/>
                <w:color w:val="auto"/>
              </w:rPr>
            </w:pPr>
            <w:r>
              <w:rPr>
                <w:rFonts w:ascii="Arial" w:cs="Arial" w:eastAsia="Arial" w:hAnsi="Arial"/>
                <w:sz w:val="14"/>
                <w:szCs w:val="14"/>
                <w:b w:val="1"/>
                <w:bCs w:val="1"/>
                <w:color w:val="auto"/>
                <w:w w:val="99"/>
              </w:rPr>
              <w:t>2Q 14</w:t>
            </w:r>
          </w:p>
        </w:tc>
        <w:tc>
          <w:tcPr>
            <w:tcW w:w="480" w:type="dxa"/>
            <w:vAlign w:val="bottom"/>
          </w:tcPr>
          <w:p>
            <w:pPr>
              <w:spacing w:after="0"/>
              <w:rPr>
                <w:sz w:val="24"/>
                <w:szCs w:val="24"/>
                <w:color w:val="auto"/>
              </w:rPr>
            </w:pPr>
          </w:p>
        </w:tc>
        <w:tc>
          <w:tcPr>
            <w:tcW w:w="132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1Q 14</w:t>
            </w:r>
          </w:p>
        </w:tc>
        <w:tc>
          <w:tcPr>
            <w:tcW w:w="48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2Q 13</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jc w:val="right"/>
              <w:ind w:right="668"/>
              <w:spacing w:after="0" w:line="149" w:lineRule="exact"/>
              <w:rPr>
                <w:sz w:val="20"/>
                <w:szCs w:val="20"/>
                <w:color w:val="auto"/>
              </w:rPr>
            </w:pPr>
            <w:r>
              <w:rPr>
                <w:rFonts w:ascii="Arial" w:cs="Arial" w:eastAsia="Arial" w:hAnsi="Arial"/>
                <w:sz w:val="14"/>
                <w:szCs w:val="14"/>
                <w:b w:val="1"/>
                <w:bCs w:val="1"/>
                <w:color w:val="auto"/>
              </w:rPr>
              <w:t>May 3,</w:t>
            </w:r>
          </w:p>
        </w:tc>
        <w:tc>
          <w:tcPr>
            <w:tcW w:w="480" w:type="dxa"/>
            <w:vAlign w:val="bottom"/>
          </w:tcPr>
          <w:p>
            <w:pPr>
              <w:spacing w:after="0"/>
              <w:rPr>
                <w:sz w:val="12"/>
                <w:szCs w:val="12"/>
                <w:color w:val="auto"/>
              </w:rPr>
            </w:pPr>
          </w:p>
        </w:tc>
        <w:tc>
          <w:tcPr>
            <w:tcW w:w="1320" w:type="dxa"/>
            <w:vAlign w:val="bottom"/>
          </w:tcPr>
          <w:p>
            <w:pPr>
              <w:jc w:val="right"/>
              <w:ind w:right="688"/>
              <w:spacing w:after="0" w:line="149" w:lineRule="exact"/>
              <w:rPr>
                <w:sz w:val="20"/>
                <w:szCs w:val="20"/>
                <w:color w:val="auto"/>
              </w:rPr>
            </w:pPr>
            <w:r>
              <w:rPr>
                <w:rFonts w:ascii="Arial" w:cs="Arial" w:eastAsia="Arial" w:hAnsi="Arial"/>
                <w:sz w:val="14"/>
                <w:szCs w:val="14"/>
                <w:b w:val="1"/>
                <w:bCs w:val="1"/>
                <w:color w:val="auto"/>
              </w:rPr>
              <w:t>Feb. 1,</w:t>
            </w:r>
          </w:p>
        </w:tc>
        <w:tc>
          <w:tcPr>
            <w:tcW w:w="4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May 4,</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4,807,225</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4,701,109</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4,172,141</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360,847</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328,787</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333,924</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298,432</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289,935</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298,967</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171,528</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151,128</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158,180</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5,638,032</w:t>
            </w:r>
          </w:p>
        </w:tc>
        <w:tc>
          <w:tcPr>
            <w:tcW w:w="4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5,470,959</w:t>
            </w:r>
          </w:p>
        </w:tc>
        <w:tc>
          <w:tcPr>
            <w:tcW w:w="4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4,963,212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545,485</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529,010</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490,047</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30,080</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23,363</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18,678</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315,783</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311,664</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311,587</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65,571</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64,472</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57,512</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6,594,951</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6,399,468</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5,841,036</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267,933</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245,236</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244,202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303,269</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274,258</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264,960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Long-term debt, non-current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872,515</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872,378</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757,855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219,711</w:t>
            </w:r>
          </w:p>
        </w:tc>
        <w:tc>
          <w:tcPr>
            <w:tcW w:w="480" w:type="dxa"/>
            <w:vAlign w:val="bottom"/>
          </w:tcPr>
          <w:p>
            <w:pPr>
              <w:spacing w:after="0"/>
              <w:rPr>
                <w:sz w:val="15"/>
                <w:szCs w:val="15"/>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211,961</w:t>
            </w:r>
          </w:p>
        </w:tc>
        <w:tc>
          <w:tcPr>
            <w:tcW w:w="4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113,429</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Shareholders' equity</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4,931,523</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4,795,635</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4,460,590</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6,594,951</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6,399,468</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5,841,036</w:t>
            </w:r>
          </w:p>
        </w:tc>
      </w:tr>
    </w:tbl>
    <w:p>
      <w:pPr>
        <w:spacing w:after="0" w:line="170" w:lineRule="exact"/>
        <w:rPr>
          <w:sz w:val="20"/>
          <w:szCs w:val="20"/>
          <w:color w:val="auto"/>
        </w:rPr>
      </w:pPr>
    </w:p>
    <w:p>
      <w:pPr>
        <w:ind w:left="280" w:right="6840" w:hanging="272"/>
        <w:spacing w:after="0" w:line="293" w:lineRule="auto"/>
        <w:tabs>
          <w:tab w:leader="none" w:pos="21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$1,982, $2,196, and $2,123 related to stock-based compensation in 2Q14, 1Q14, and 2Q13,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Analog Devices, Second Quarter, Fiscal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center"/>
              <w:ind w:right="428"/>
              <w:spacing w:after="0" w:line="160" w:lineRule="exact"/>
              <w:rPr>
                <w:sz w:val="20"/>
                <w:szCs w:val="20"/>
                <w:color w:val="auto"/>
              </w:rPr>
            </w:pPr>
            <w:r>
              <w:rPr>
                <w:rFonts w:ascii="Arial" w:cs="Arial" w:eastAsia="Arial" w:hAnsi="Arial"/>
                <w:sz w:val="14"/>
                <w:szCs w:val="14"/>
                <w:b w:val="1"/>
                <w:bCs w:val="1"/>
                <w:color w:val="auto"/>
                <w:w w:val="99"/>
              </w:rPr>
              <w:t>2Q 14</w:t>
            </w:r>
          </w:p>
        </w:tc>
        <w:tc>
          <w:tcPr>
            <w:tcW w:w="520" w:type="dxa"/>
            <w:vAlign w:val="bottom"/>
          </w:tcPr>
          <w:p>
            <w:pPr>
              <w:spacing w:after="0"/>
              <w:rPr>
                <w:sz w:val="13"/>
                <w:szCs w:val="13"/>
                <w:color w:val="auto"/>
              </w:rPr>
            </w:pPr>
          </w:p>
        </w:tc>
        <w:tc>
          <w:tcPr>
            <w:tcW w:w="1340" w:type="dxa"/>
            <w:vAlign w:val="bottom"/>
          </w:tcPr>
          <w:p>
            <w:pPr>
              <w:jc w:val="center"/>
              <w:ind w:right="428"/>
              <w:spacing w:after="0" w:line="160" w:lineRule="exact"/>
              <w:rPr>
                <w:sz w:val="20"/>
                <w:szCs w:val="20"/>
                <w:color w:val="auto"/>
              </w:rPr>
            </w:pPr>
            <w:r>
              <w:rPr>
                <w:rFonts w:ascii="Arial" w:cs="Arial" w:eastAsia="Arial" w:hAnsi="Arial"/>
                <w:sz w:val="14"/>
                <w:szCs w:val="14"/>
                <w:b w:val="1"/>
                <w:bCs w:val="1"/>
                <w:color w:val="auto"/>
                <w:w w:val="94"/>
              </w:rPr>
              <w:t>1Q 14</w:t>
            </w:r>
          </w:p>
        </w:tc>
        <w:tc>
          <w:tcPr>
            <w:tcW w:w="540" w:type="dxa"/>
            <w:vAlign w:val="bottom"/>
          </w:tcPr>
          <w:p>
            <w:pPr>
              <w:spacing w:after="0"/>
              <w:rPr>
                <w:sz w:val="13"/>
                <w:szCs w:val="13"/>
                <w:color w:val="auto"/>
              </w:rPr>
            </w:pPr>
          </w:p>
        </w:tc>
        <w:tc>
          <w:tcPr>
            <w:tcW w:w="118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9"/>
              </w:rPr>
              <w:t>2Q 13</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May 3,</w:t>
            </w:r>
          </w:p>
        </w:tc>
        <w:tc>
          <w:tcPr>
            <w:tcW w:w="520" w:type="dxa"/>
            <w:vAlign w:val="bottom"/>
          </w:tcPr>
          <w:p>
            <w:pPr>
              <w:spacing w:after="0"/>
              <w:rPr>
                <w:sz w:val="12"/>
                <w:szCs w:val="12"/>
                <w:color w:val="auto"/>
              </w:rPr>
            </w:pPr>
          </w:p>
        </w:tc>
        <w:tc>
          <w:tcPr>
            <w:tcW w:w="1340" w:type="dxa"/>
            <w:vAlign w:val="bottom"/>
          </w:tcPr>
          <w:p>
            <w:pPr>
              <w:jc w:val="right"/>
              <w:ind w:right="648"/>
              <w:spacing w:after="0" w:line="149" w:lineRule="exact"/>
              <w:rPr>
                <w:sz w:val="20"/>
                <w:szCs w:val="20"/>
                <w:color w:val="auto"/>
              </w:rPr>
            </w:pPr>
            <w:r>
              <w:rPr>
                <w:rFonts w:ascii="Arial" w:cs="Arial" w:eastAsia="Arial" w:hAnsi="Arial"/>
                <w:sz w:val="14"/>
                <w:szCs w:val="14"/>
                <w:b w:val="1"/>
                <w:bCs w:val="1"/>
                <w:color w:val="auto"/>
              </w:rPr>
              <w:t>Feb. 1,</w:t>
            </w:r>
          </w:p>
        </w:tc>
        <w:tc>
          <w:tcPr>
            <w:tcW w:w="540" w:type="dxa"/>
            <w:vAlign w:val="bottom"/>
          </w:tcPr>
          <w:p>
            <w:pPr>
              <w:spacing w:after="0"/>
              <w:rPr>
                <w:sz w:val="12"/>
                <w:szCs w:val="12"/>
                <w:color w:val="auto"/>
              </w:rPr>
            </w:pPr>
          </w:p>
        </w:tc>
        <w:tc>
          <w:tcPr>
            <w:tcW w:w="118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May 4,</w:t>
            </w:r>
          </w:p>
        </w:tc>
      </w:tr>
      <w:tr>
        <w:trPr>
          <w:trHeight w:val="185"/>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2013</w:t>
            </w:r>
          </w:p>
        </w:tc>
      </w:tr>
      <w:tr>
        <w:trPr>
          <w:trHeight w:val="164"/>
        </w:trPr>
        <w:tc>
          <w:tcPr>
            <w:tcW w:w="62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187,433</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152,586</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164,472</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27,459</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27,335</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27,478</w:t>
            </w: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55</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55</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55</w:t>
            </w: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10,542</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11,407</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17,956</w:t>
            </w: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1,400</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1,417</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w:t>
            </w: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32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(4,423)</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(7,604)</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(2,833)</w:t>
            </w:r>
          </w:p>
        </w:tc>
      </w:tr>
      <w:tr>
        <w:trPr>
          <w:trHeight w:val="176"/>
        </w:trPr>
        <w:tc>
          <w:tcPr>
            <w:tcW w:w="2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1,068</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(2,993)</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(767)</w:t>
            </w:r>
          </w:p>
        </w:tc>
      </w:tr>
      <w:tr>
        <w:trPr>
          <w:trHeight w:val="181"/>
        </w:trPr>
        <w:tc>
          <w:tcPr>
            <w:tcW w:w="20" w:type="dxa"/>
            <w:vAlign w:val="bottom"/>
          </w:tcPr>
          <w:p>
            <w:pPr>
              <w:spacing w:after="0"/>
              <w:rPr>
                <w:sz w:val="15"/>
                <w:szCs w:val="15"/>
                <w:color w:val="auto"/>
              </w:rPr>
            </w:pPr>
          </w:p>
        </w:tc>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14,824</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(24,664)</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45,845</w:t>
            </w:r>
          </w:p>
        </w:tc>
      </w:tr>
      <w:tr>
        <w:trPr>
          <w:trHeight w:val="169"/>
        </w:trPr>
        <w:tc>
          <w:tcPr>
            <w:tcW w:w="20" w:type="dxa"/>
            <w:vAlign w:val="bottom"/>
          </w:tcPr>
          <w:p>
            <w:pPr>
              <w:spacing w:after="0"/>
              <w:rPr>
                <w:sz w:val="14"/>
                <w:szCs w:val="14"/>
                <w:color w:val="auto"/>
              </w:rPr>
            </w:pPr>
          </w:p>
        </w:tc>
        <w:tc>
          <w:tcPr>
            <w:tcW w:w="61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50,925</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4,953</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87,714</w:t>
            </w:r>
          </w:p>
        </w:tc>
      </w:tr>
      <w:tr>
        <w:trPr>
          <w:trHeight w:val="169"/>
        </w:trPr>
        <w:tc>
          <w:tcPr>
            <w:tcW w:w="20" w:type="dxa"/>
            <w:vAlign w:val="bottom"/>
          </w:tcPr>
          <w:p>
            <w:pPr>
              <w:spacing w:after="0"/>
              <w:rPr>
                <w:sz w:val="14"/>
                <w:szCs w:val="14"/>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238,358</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157,539</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252,186</w:t>
            </w:r>
          </w:p>
        </w:tc>
      </w:tr>
      <w:tr>
        <w:trPr>
          <w:trHeight w:val="169"/>
        </w:trPr>
        <w:tc>
          <w:tcPr>
            <w:tcW w:w="20" w:type="dxa"/>
            <w:vAlign w:val="bottom"/>
          </w:tcPr>
          <w:p>
            <w:pPr>
              <w:spacing w:after="0"/>
              <w:rPr>
                <w:sz w:val="14"/>
                <w:szCs w:val="14"/>
                <w:color w:val="auto"/>
              </w:rPr>
            </w:pP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34.3%</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25.1%</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w:t>
            </w:r>
          </w:p>
        </w:tc>
      </w:tr>
      <w:tr>
        <w:trPr>
          <w:trHeight w:val="339"/>
        </w:trPr>
        <w:tc>
          <w:tcPr>
            <w:tcW w:w="62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32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(2,275,241)</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(2,234,996)</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(2,203,316)</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1,966,158</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2,028,917</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1,726,488</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Sales of short-term available-for-sale investments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189,267</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212,819</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91,351</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(44,058)</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(48,123)</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(26,179)</w:t>
            </w:r>
          </w:p>
        </w:tc>
      </w:tr>
      <w:tr>
        <w:trPr>
          <w:trHeight w:val="181"/>
        </w:trPr>
        <w:tc>
          <w:tcPr>
            <w:tcW w:w="20" w:type="dxa"/>
            <w:vAlign w:val="bottom"/>
          </w:tcPr>
          <w:p>
            <w:pPr>
              <w:spacing w:after="0"/>
              <w:rPr>
                <w:sz w:val="15"/>
                <w:szCs w:val="15"/>
                <w:color w:val="auto"/>
              </w:rPr>
            </w:pPr>
          </w:p>
        </w:tc>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Increase in other assets</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(6,076)</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(3,006)</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(478)</w:t>
            </w:r>
          </w:p>
        </w:tc>
      </w:tr>
      <w:tr>
        <w:trPr>
          <w:trHeight w:val="169"/>
        </w:trPr>
        <w:tc>
          <w:tcPr>
            <w:tcW w:w="20" w:type="dxa"/>
            <w:vAlign w:val="bottom"/>
            <w:tcBorders>
              <w:bottom w:val="single" w:sz="8" w:color="auto"/>
            </w:tcBorders>
          </w:tcPr>
          <w:p>
            <w:pPr>
              <w:spacing w:after="0"/>
              <w:rPr>
                <w:sz w:val="14"/>
                <w:szCs w:val="14"/>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investing activities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(169,950)</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(44,389)</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(412,134)</w:t>
            </w:r>
          </w:p>
        </w:tc>
      </w:tr>
      <w:tr>
        <w:trPr>
          <w:trHeight w:val="339"/>
        </w:trPr>
        <w:tc>
          <w:tcPr>
            <w:tcW w:w="62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32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(115,795)</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(106,024)</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(104,415)</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(22,614)</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(88,963)</w:t>
            </w:r>
          </w:p>
        </w:tc>
        <w:tc>
          <w:tcPr>
            <w:tcW w:w="5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(4,519)</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Proceeds from employee stock plans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62,936</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79,600</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62,255</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Excess tax benefit - stock options</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4,423</w:t>
            </w:r>
          </w:p>
        </w:tc>
        <w:tc>
          <w:tcPr>
            <w:tcW w:w="520" w:type="dxa"/>
            <w:vAlign w:val="bottom"/>
          </w:tcPr>
          <w:p>
            <w:pPr>
              <w:spacing w:after="0"/>
              <w:rPr>
                <w:sz w:val="15"/>
                <w:szCs w:val="15"/>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7,604</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2,833</w:t>
            </w:r>
          </w:p>
        </w:tc>
      </w:tr>
      <w:tr>
        <w:trPr>
          <w:trHeight w:val="176"/>
        </w:trPr>
        <w:tc>
          <w:tcPr>
            <w:tcW w:w="20" w:type="dxa"/>
            <w:vAlign w:val="bottom"/>
          </w:tcPr>
          <w:p>
            <w:pPr>
              <w:spacing w:after="0"/>
              <w:rPr>
                <w:sz w:val="15"/>
                <w:szCs w:val="15"/>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Contingent consideration payment</w:t>
            </w:r>
          </w:p>
        </w:tc>
        <w:tc>
          <w:tcPr>
            <w:tcW w:w="32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(1,773)</w:t>
            </w:r>
          </w:p>
        </w:tc>
        <w:tc>
          <w:tcPr>
            <w:tcW w:w="54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(Decrease) increase in other financing activities</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(11,284)</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22,248</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4,184</w:t>
            </w:r>
          </w:p>
        </w:tc>
      </w:tr>
      <w:tr>
        <w:trPr>
          <w:trHeight w:val="169"/>
        </w:trPr>
        <w:tc>
          <w:tcPr>
            <w:tcW w:w="20" w:type="dxa"/>
            <w:vAlign w:val="bottom"/>
            <w:tcBorders>
              <w:bottom w:val="single" w:sz="8" w:color="auto"/>
            </w:tcBorders>
          </w:tcPr>
          <w:p>
            <w:pPr>
              <w:spacing w:after="0"/>
              <w:rPr>
                <w:sz w:val="14"/>
                <w:szCs w:val="14"/>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financing activities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(82,334)</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(87,308)</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(39,662)</w:t>
            </w:r>
          </w:p>
        </w:tc>
      </w:tr>
      <w:tr>
        <w:trPr>
          <w:trHeight w:val="169"/>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(511)</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(704)</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(556)</w:t>
            </w:r>
          </w:p>
        </w:tc>
      </w:tr>
      <w:tr>
        <w:trPr>
          <w:trHeight w:val="339"/>
        </w:trPr>
        <w:tc>
          <w:tcPr>
            <w:tcW w:w="6200" w:type="dxa"/>
            <w:vAlign w:val="bottom"/>
            <w:gridSpan w:val="2"/>
          </w:tcPr>
          <w:p>
            <w:pPr>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tcPr>
          <w:p>
            <w:pPr>
              <w:spacing w:after="0"/>
              <w:rPr>
                <w:sz w:val="24"/>
                <w:szCs w:val="2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(14,437)</w:t>
            </w:r>
          </w:p>
        </w:tc>
        <w:tc>
          <w:tcPr>
            <w:tcW w:w="52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25,138</w:t>
            </w:r>
          </w:p>
        </w:tc>
        <w:tc>
          <w:tcPr>
            <w:tcW w:w="54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(200,166)</w:t>
            </w:r>
          </w:p>
        </w:tc>
      </w:tr>
      <w:tr>
        <w:trPr>
          <w:trHeight w:val="181"/>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417,227</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392,089</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795,797</w:t>
            </w:r>
          </w:p>
        </w:tc>
      </w:tr>
      <w:tr>
        <w:trPr>
          <w:trHeight w:val="169"/>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402,790</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417,227</w:t>
            </w: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595,631</w:t>
            </w:r>
          </w:p>
        </w:tc>
      </w:tr>
      <w:tr>
        <w:trPr>
          <w:trHeight w:val="480"/>
        </w:trPr>
        <w:tc>
          <w:tcPr>
            <w:tcW w:w="20" w:type="dxa"/>
            <w:vAlign w:val="bottom"/>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Analog Devices, Second Quarter, Fiscal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Three Months Ended</w:t>
            </w:r>
          </w:p>
        </w:tc>
        <w:tc>
          <w:tcPr>
            <w:tcW w:w="5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2"/>
          </w:tcPr>
          <w:p>
            <w:pPr>
              <w:jc w:val="right"/>
              <w:ind w:right="748"/>
              <w:spacing w:after="0" w:line="133" w:lineRule="exact"/>
              <w:rPr>
                <w:sz w:val="20"/>
                <w:szCs w:val="20"/>
                <w:color w:val="auto"/>
              </w:rPr>
            </w:pPr>
            <w:r>
              <w:rPr>
                <w:rFonts w:ascii="Arial" w:cs="Arial" w:eastAsia="Arial" w:hAnsi="Arial"/>
                <w:sz w:val="14"/>
                <w:szCs w:val="14"/>
                <w:b w:val="1"/>
                <w:bCs w:val="1"/>
                <w:color w:val="auto"/>
              </w:rPr>
              <w:t>May 3,</w:t>
            </w: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620"/>
              <w:spacing w:after="0" w:line="133" w:lineRule="exact"/>
              <w:rPr>
                <w:sz w:val="20"/>
                <w:szCs w:val="20"/>
                <w:color w:val="auto"/>
              </w:rPr>
            </w:pPr>
            <w:r>
              <w:rPr>
                <w:rFonts w:ascii="Arial" w:cs="Arial" w:eastAsia="Arial" w:hAnsi="Arial"/>
                <w:sz w:val="14"/>
                <w:szCs w:val="14"/>
                <w:b w:val="1"/>
                <w:bCs w:val="1"/>
                <w:color w:val="auto"/>
                <w:w w:val="90"/>
              </w:rPr>
              <w:t>Feb. 1,</w:t>
            </w:r>
          </w:p>
        </w:tc>
        <w:tc>
          <w:tcPr>
            <w:tcW w:w="300" w:type="dxa"/>
            <w:vAlign w:val="bottom"/>
          </w:tcPr>
          <w:p>
            <w:pPr>
              <w:spacing w:after="0"/>
              <w:rPr>
                <w:sz w:val="11"/>
                <w:szCs w:val="11"/>
                <w:color w:val="auto"/>
              </w:rPr>
            </w:pPr>
          </w:p>
        </w:tc>
        <w:tc>
          <w:tcPr>
            <w:tcW w:w="106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98"/>
              </w:rPr>
              <w:t>May 4,</w:t>
            </w:r>
          </w:p>
        </w:tc>
        <w:tc>
          <w:tcPr>
            <w:tcW w:w="20" w:type="dxa"/>
            <w:vAlign w:val="bottom"/>
          </w:tcPr>
          <w:p>
            <w:pPr>
              <w:spacing w:after="0"/>
              <w:rPr>
                <w:sz w:val="11"/>
                <w:szCs w:val="11"/>
                <w:color w:val="auto"/>
              </w:rPr>
            </w:pPr>
          </w:p>
        </w:tc>
      </w:tr>
      <w:tr>
        <w:trPr>
          <w:trHeight w:val="185"/>
        </w:trPr>
        <w:tc>
          <w:tcPr>
            <w:tcW w:w="2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6"/>
                <w:szCs w:val="16"/>
                <w:color w:val="auto"/>
              </w:rPr>
            </w:pPr>
          </w:p>
        </w:tc>
      </w:tr>
      <w:tr>
        <w:trPr>
          <w:trHeight w:val="169"/>
        </w:trPr>
        <w:tc>
          <w:tcPr>
            <w:tcW w:w="2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Revenue</w:t>
            </w: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Q/Q %</w:t>
            </w:r>
          </w:p>
        </w:tc>
        <w:tc>
          <w:tcPr>
            <w:tcW w:w="1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Y/Y %</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Revenue</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Arial" w:cs="Arial" w:eastAsia="Arial" w:hAnsi="Arial"/>
                <w:sz w:val="14"/>
                <w:szCs w:val="14"/>
                <w:color w:val="auto"/>
              </w:rPr>
              <w:t>Industrial</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326,530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289,990</w:t>
            </w:r>
          </w:p>
        </w:tc>
        <w:tc>
          <w:tcPr>
            <w:tcW w:w="32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311,128</w:t>
            </w:r>
          </w:p>
        </w:tc>
        <w:tc>
          <w:tcPr>
            <w:tcW w:w="20" w:type="dxa"/>
            <w:vAlign w:val="bottom"/>
          </w:tcPr>
          <w:p>
            <w:pPr>
              <w:spacing w:after="0"/>
              <w:rPr>
                <w:sz w:val="14"/>
                <w:szCs w:val="14"/>
                <w:color w:val="auto"/>
              </w:rPr>
            </w:pPr>
          </w:p>
        </w:tc>
      </w:tr>
      <w:tr>
        <w:trPr>
          <w:trHeight w:val="176"/>
        </w:trPr>
        <w:tc>
          <w:tcPr>
            <w:tcW w:w="2660" w:type="dxa"/>
            <w:vAlign w:val="bottom"/>
          </w:tcPr>
          <w:p>
            <w:pPr>
              <w:spacing w:after="0"/>
              <w:rPr>
                <w:sz w:val="20"/>
                <w:szCs w:val="20"/>
                <w:color w:val="auto"/>
              </w:rPr>
            </w:pPr>
            <w:r>
              <w:rPr>
                <w:rFonts w:ascii="Arial" w:cs="Arial" w:eastAsia="Arial" w:hAnsi="Arial"/>
                <w:sz w:val="14"/>
                <w:szCs w:val="14"/>
                <w:color w:val="auto"/>
              </w:rPr>
              <w:t>Automotive</w:t>
            </w:r>
          </w:p>
        </w:tc>
        <w:tc>
          <w:tcPr>
            <w:tcW w:w="30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135,488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9%</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10%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rPr>
              <w:t>124,285</w:t>
            </w:r>
          </w:p>
        </w:tc>
        <w:tc>
          <w:tcPr>
            <w:tcW w:w="3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122,715</w:t>
            </w:r>
          </w:p>
        </w:tc>
      </w:tr>
      <w:tr>
        <w:trPr>
          <w:trHeight w:val="176"/>
        </w:trPr>
        <w:tc>
          <w:tcPr>
            <w:tcW w:w="2660" w:type="dxa"/>
            <w:vAlign w:val="bottom"/>
          </w:tcPr>
          <w:p>
            <w:pPr>
              <w:spacing w:after="0"/>
              <w:rPr>
                <w:sz w:val="20"/>
                <w:szCs w:val="20"/>
                <w:color w:val="auto"/>
              </w:rPr>
            </w:pPr>
            <w:r>
              <w:rPr>
                <w:rFonts w:ascii="Arial" w:cs="Arial" w:eastAsia="Arial" w:hAnsi="Arial"/>
                <w:sz w:val="14"/>
                <w:szCs w:val="14"/>
                <w:color w:val="auto"/>
              </w:rPr>
              <w:t>Consumer</w:t>
            </w:r>
          </w:p>
        </w:tc>
        <w:tc>
          <w:tcPr>
            <w:tcW w:w="30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77,705</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5%</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rPr>
              <w:t>74,335</w:t>
            </w:r>
          </w:p>
        </w:tc>
        <w:tc>
          <w:tcPr>
            <w:tcW w:w="3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101,233</w:t>
            </w:r>
          </w:p>
        </w:tc>
      </w:tr>
      <w:tr>
        <w:trPr>
          <w:trHeight w:val="181"/>
        </w:trPr>
        <w:tc>
          <w:tcPr>
            <w:tcW w:w="2660" w:type="dxa"/>
            <w:vAlign w:val="bottom"/>
          </w:tcPr>
          <w:p>
            <w:pPr>
              <w:spacing w:after="0"/>
              <w:rPr>
                <w:sz w:val="20"/>
                <w:szCs w:val="20"/>
                <w:color w:val="auto"/>
              </w:rPr>
            </w:pPr>
            <w:r>
              <w:rPr>
                <w:rFonts w:ascii="Arial" w:cs="Arial" w:eastAsia="Arial" w:hAnsi="Arial"/>
                <w:sz w:val="14"/>
                <w:szCs w:val="14"/>
                <w:color w:val="auto"/>
              </w:rPr>
              <w:t>Communications</w:t>
            </w:r>
          </w:p>
        </w:tc>
        <w:tc>
          <w:tcPr>
            <w:tcW w:w="30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154,813</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11%</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25%</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rPr>
              <w:t>139,628</w:t>
            </w:r>
          </w:p>
        </w:tc>
        <w:tc>
          <w:tcPr>
            <w:tcW w:w="3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124,174</w:t>
            </w:r>
          </w:p>
        </w:tc>
      </w:tr>
      <w:tr>
        <w:trPr>
          <w:trHeight w:val="169"/>
        </w:trPr>
        <w:tc>
          <w:tcPr>
            <w:tcW w:w="266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694,536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11%</w:t>
            </w: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628,238</w:t>
            </w: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659,250</w:t>
            </w:r>
          </w:p>
        </w:tc>
        <w:tc>
          <w:tcPr>
            <w:tcW w:w="20" w:type="dxa"/>
            <w:vAlign w:val="bottom"/>
          </w:tcPr>
          <w:p>
            <w:pPr>
              <w:spacing w:after="0"/>
              <w:rPr>
                <w:sz w:val="14"/>
                <w:szCs w:val="14"/>
                <w:color w:val="auto"/>
              </w:rPr>
            </w:pPr>
          </w:p>
        </w:tc>
      </w:tr>
      <w:tr>
        <w:trPr>
          <w:trHeight w:val="20"/>
        </w:trPr>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6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Second Quarter, Fiscal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16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gridSpan w:val="2"/>
          </w:tcPr>
          <w:p>
            <w:pPr>
              <w:jc w:val="center"/>
              <w:ind w:left="388"/>
              <w:spacing w:after="0" w:line="133" w:lineRule="exact"/>
              <w:rPr>
                <w:sz w:val="20"/>
                <w:szCs w:val="20"/>
                <w:color w:val="auto"/>
              </w:rPr>
            </w:pPr>
            <w:r>
              <w:rPr>
                <w:rFonts w:ascii="Arial" w:cs="Arial" w:eastAsia="Arial" w:hAnsi="Arial"/>
                <w:sz w:val="14"/>
                <w:szCs w:val="14"/>
                <w:b w:val="1"/>
                <w:bCs w:val="1"/>
                <w:color w:val="auto"/>
                <w:w w:val="98"/>
              </w:rPr>
              <w:t>May 3,</w:t>
            </w: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Feb. 1,</w:t>
            </w: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May 4,</w:t>
            </w:r>
          </w:p>
        </w:tc>
        <w:tc>
          <w:tcPr>
            <w:tcW w:w="20" w:type="dxa"/>
            <w:vAlign w:val="bottom"/>
          </w:tcPr>
          <w:p>
            <w:pPr>
              <w:spacing w:after="0"/>
              <w:rPr>
                <w:sz w:val="11"/>
                <w:szCs w:val="11"/>
                <w:color w:val="auto"/>
              </w:rPr>
            </w:pPr>
          </w:p>
        </w:tc>
      </w:tr>
      <w:tr>
        <w:trPr>
          <w:trHeight w:val="185"/>
        </w:trPr>
        <w:tc>
          <w:tcPr>
            <w:tcW w:w="4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Arial" w:cs="Arial" w:eastAsia="Arial" w:hAnsi="Arial"/>
                <w:sz w:val="14"/>
                <w:szCs w:val="14"/>
                <w:b w:val="1"/>
                <w:bCs w:val="1"/>
                <w:color w:val="auto"/>
              </w:rPr>
              <w:t>Revenue</w:t>
            </w: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Q/Q %</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Y/Y %</w:t>
            </w:r>
          </w:p>
        </w:tc>
        <w:tc>
          <w:tcPr>
            <w:tcW w:w="2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r>
      <w:tr>
        <w:trPr>
          <w:trHeight w:val="164"/>
        </w:trPr>
        <w:tc>
          <w:tcPr>
            <w:tcW w:w="4200" w:type="dxa"/>
            <w:vAlign w:val="bottom"/>
          </w:tcPr>
          <w:p>
            <w:pPr>
              <w:spacing w:after="0"/>
              <w:rPr>
                <w:sz w:val="20"/>
                <w:szCs w:val="20"/>
                <w:color w:val="auto"/>
              </w:rPr>
            </w:pPr>
            <w:r>
              <w:rPr>
                <w:rFonts w:ascii="Arial" w:cs="Arial" w:eastAsia="Arial" w:hAnsi="Arial"/>
                <w:sz w:val="14"/>
                <w:szCs w:val="14"/>
                <w:color w:val="auto"/>
              </w:rPr>
              <w:t>Converters</w:t>
            </w:r>
          </w:p>
        </w:tc>
        <w:tc>
          <w:tcPr>
            <w:tcW w:w="13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$ 317,915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$ 290,551</w:t>
            </w:r>
          </w:p>
        </w:tc>
        <w:tc>
          <w:tcPr>
            <w:tcW w:w="28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$ 295,459</w:t>
            </w:r>
          </w:p>
        </w:tc>
        <w:tc>
          <w:tcPr>
            <w:tcW w:w="20" w:type="dxa"/>
            <w:vAlign w:val="bottom"/>
          </w:tcPr>
          <w:p>
            <w:pPr>
              <w:spacing w:after="0"/>
              <w:rPr>
                <w:sz w:val="14"/>
                <w:szCs w:val="14"/>
                <w:color w:val="auto"/>
              </w:rPr>
            </w:pPr>
          </w:p>
        </w:tc>
      </w:tr>
      <w:tr>
        <w:trPr>
          <w:trHeight w:val="176"/>
        </w:trPr>
        <w:tc>
          <w:tcPr>
            <w:tcW w:w="4200" w:type="dxa"/>
            <w:vAlign w:val="bottom"/>
          </w:tcPr>
          <w:p>
            <w:pPr>
              <w:spacing w:after="0"/>
              <w:rPr>
                <w:sz w:val="20"/>
                <w:szCs w:val="20"/>
                <w:color w:val="auto"/>
              </w:rPr>
            </w:pPr>
            <w:r>
              <w:rPr>
                <w:rFonts w:ascii="Arial" w:cs="Arial" w:eastAsia="Arial" w:hAnsi="Arial"/>
                <w:sz w:val="14"/>
                <w:szCs w:val="14"/>
                <w:color w:val="auto"/>
              </w:rPr>
              <w:t>Amplifiers / Radio Frequency</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186,287</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38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9%</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164,714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170,793</w:t>
            </w:r>
          </w:p>
        </w:tc>
      </w:tr>
      <w:tr>
        <w:trPr>
          <w:trHeight w:val="181"/>
        </w:trPr>
        <w:tc>
          <w:tcPr>
            <w:tcW w:w="4200" w:type="dxa"/>
            <w:vAlign w:val="bottom"/>
          </w:tcPr>
          <w:p>
            <w:pPr>
              <w:spacing w:after="0"/>
              <w:rPr>
                <w:sz w:val="20"/>
                <w:szCs w:val="20"/>
                <w:color w:val="auto"/>
              </w:rPr>
            </w:pPr>
            <w:r>
              <w:rPr>
                <w:rFonts w:ascii="Arial" w:cs="Arial" w:eastAsia="Arial" w:hAnsi="Arial"/>
                <w:sz w:val="14"/>
                <w:szCs w:val="14"/>
                <w:color w:val="auto"/>
              </w:rPr>
              <w:t>Other analog</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88,103</w:t>
            </w: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79,419</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92,441</w:t>
            </w: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1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592,305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534,684</w:t>
            </w:r>
          </w:p>
        </w:tc>
        <w:tc>
          <w:tcPr>
            <w:tcW w:w="2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558,693</w:t>
            </w:r>
          </w:p>
        </w:tc>
        <w:tc>
          <w:tcPr>
            <w:tcW w:w="20" w:type="dxa"/>
            <w:vAlign w:val="bottom"/>
          </w:tcPr>
          <w:p>
            <w:pPr>
              <w:spacing w:after="0"/>
              <w:rPr>
                <w:sz w:val="14"/>
                <w:szCs w:val="14"/>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43,138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38,710</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43,701</w:t>
            </w:r>
          </w:p>
        </w:tc>
        <w:tc>
          <w:tcPr>
            <w:tcW w:w="20" w:type="dxa"/>
            <w:vAlign w:val="bottom"/>
          </w:tcPr>
          <w:p>
            <w:pPr>
              <w:spacing w:after="0"/>
              <w:rPr>
                <w:sz w:val="14"/>
                <w:szCs w:val="14"/>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$ 635,443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$ 573,394</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$ 602,394</w:t>
            </w:r>
          </w:p>
        </w:tc>
        <w:tc>
          <w:tcPr>
            <w:tcW w:w="20" w:type="dxa"/>
            <w:vAlign w:val="bottom"/>
          </w:tcPr>
          <w:p>
            <w:pPr>
              <w:spacing w:after="0"/>
              <w:rPr>
                <w:sz w:val="14"/>
                <w:szCs w:val="14"/>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Digital Signal Processing</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59,093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54,844</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56,856</w:t>
            </w:r>
          </w:p>
        </w:tc>
        <w:tc>
          <w:tcPr>
            <w:tcW w:w="20" w:type="dxa"/>
            <w:vAlign w:val="bottom"/>
          </w:tcPr>
          <w:p>
            <w:pPr>
              <w:spacing w:after="0"/>
              <w:rPr>
                <w:sz w:val="14"/>
                <w:szCs w:val="14"/>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$ 694,536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$ 628,238</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$ 659,250</w:t>
            </w:r>
          </w:p>
        </w:tc>
        <w:tc>
          <w:tcPr>
            <w:tcW w:w="2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Second Quarter, Fiscal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right="168"/>
              <w:spacing w:after="0" w:line="160" w:lineRule="exact"/>
              <w:rPr>
                <w:sz w:val="20"/>
                <w:szCs w:val="20"/>
                <w:color w:val="auto"/>
              </w:rPr>
            </w:pPr>
            <w:r>
              <w:rPr>
                <w:rFonts w:ascii="Arial" w:cs="Arial" w:eastAsia="Arial" w:hAnsi="Arial"/>
                <w:sz w:val="14"/>
                <w:szCs w:val="14"/>
                <w:b w:val="1"/>
                <w:bCs w:val="1"/>
                <w:color w:val="auto"/>
                <w:w w:val="94"/>
              </w:rPr>
              <w:t>2Q 14</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center"/>
              <w:ind w:right="620"/>
              <w:spacing w:after="0" w:line="160" w:lineRule="exact"/>
              <w:rPr>
                <w:sz w:val="20"/>
                <w:szCs w:val="20"/>
                <w:color w:val="auto"/>
              </w:rPr>
            </w:pPr>
            <w:r>
              <w:rPr>
                <w:rFonts w:ascii="Arial" w:cs="Arial" w:eastAsia="Arial" w:hAnsi="Arial"/>
                <w:sz w:val="14"/>
                <w:szCs w:val="14"/>
                <w:b w:val="1"/>
                <w:bCs w:val="1"/>
                <w:color w:val="auto"/>
                <w:w w:val="99"/>
              </w:rPr>
              <w:t>1Q 14</w:t>
            </w:r>
          </w:p>
        </w:tc>
        <w:tc>
          <w:tcPr>
            <w:tcW w:w="420" w:type="dxa"/>
            <w:vAlign w:val="bottom"/>
          </w:tcPr>
          <w:p>
            <w:pPr>
              <w:spacing w:after="0"/>
              <w:rPr>
                <w:sz w:val="13"/>
                <w:szCs w:val="13"/>
                <w:color w:val="auto"/>
              </w:rPr>
            </w:pPr>
          </w:p>
        </w:tc>
        <w:tc>
          <w:tcPr>
            <w:tcW w:w="110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2Q 13</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May 3,</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Feb. 1,</w:t>
            </w:r>
          </w:p>
        </w:tc>
        <w:tc>
          <w:tcPr>
            <w:tcW w:w="420" w:type="dxa"/>
            <w:vAlign w:val="bottom"/>
          </w:tcPr>
          <w:p>
            <w:pPr>
              <w:spacing w:after="0"/>
              <w:rPr>
                <w:sz w:val="12"/>
                <w:szCs w:val="12"/>
                <w:color w:val="auto"/>
              </w:rPr>
            </w:pPr>
          </w:p>
        </w:tc>
        <w:tc>
          <w:tcPr>
            <w:tcW w:w="110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238,343</w:t>
            </w:r>
          </w:p>
        </w:tc>
        <w:tc>
          <w:tcPr>
            <w:tcW w:w="72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229,509</w:t>
            </w:r>
          </w:p>
        </w:tc>
        <w:tc>
          <w:tcPr>
            <w:tcW w:w="340" w:type="dxa"/>
            <w:vAlign w:val="bottom"/>
          </w:tcPr>
          <w:p>
            <w:pPr>
              <w:spacing w:after="0"/>
              <w:rPr>
                <w:sz w:val="24"/>
                <w:szCs w:val="2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230,813</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34.3%</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36.5%</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35.0%</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(2,685)</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(6,273)</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238,343</w:t>
            </w:r>
          </w:p>
        </w:tc>
        <w:tc>
          <w:tcPr>
            <w:tcW w:w="340" w:type="dxa"/>
            <w:vAlign w:val="bottom"/>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226,824</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224,540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34.3%</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36.1%</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34.1%</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Operating Income/Margin</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220,400</w:t>
            </w:r>
          </w:p>
        </w:tc>
        <w:tc>
          <w:tcPr>
            <w:tcW w:w="72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179,609</w:t>
            </w:r>
          </w:p>
        </w:tc>
        <w:tc>
          <w:tcPr>
            <w:tcW w:w="340" w:type="dxa"/>
            <w:vAlign w:val="bottom"/>
          </w:tcPr>
          <w:p>
            <w:pPr>
              <w:spacing w:after="0"/>
              <w:rPr>
                <w:sz w:val="24"/>
                <w:szCs w:val="2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191,382</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31.7%</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28.6%</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29.0%</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2,685</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6,273</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Operating Income/Margin</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220,400</w:t>
            </w:r>
          </w:p>
        </w:tc>
        <w:tc>
          <w:tcPr>
            <w:tcW w:w="340" w:type="dxa"/>
            <w:vAlign w:val="bottom"/>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182,294</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197,655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31.7%</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29.0%</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30.0%</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Diluted EPS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0.59</w:t>
            </w:r>
          </w:p>
        </w:tc>
        <w:tc>
          <w:tcPr>
            <w:tcW w:w="72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0.48</w:t>
            </w:r>
          </w:p>
        </w:tc>
        <w:tc>
          <w:tcPr>
            <w:tcW w:w="340" w:type="dxa"/>
            <w:vAlign w:val="bottom"/>
          </w:tcPr>
          <w:p>
            <w:pPr>
              <w:spacing w:after="0"/>
              <w:rPr>
                <w:sz w:val="24"/>
                <w:szCs w:val="2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0.01</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Impact of the Reversal of Prior Period Tax Liabilities</w:t>
            </w:r>
          </w:p>
        </w:tc>
        <w:tc>
          <w:tcPr>
            <w:tcW w:w="2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Diluted EPS (1)</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0.59</w:t>
            </w:r>
          </w:p>
        </w:tc>
        <w:tc>
          <w:tcPr>
            <w:tcW w:w="340" w:type="dxa"/>
            <w:vAlign w:val="bottom"/>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0.49</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The sum of the individual per share amounts may not equal the total due to rounding.</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For more information, please contact:</w:t>
      </w:r>
    </w:p>
    <w:p>
      <w:pPr>
        <w:spacing w:after="0" w:line="230" w:lineRule="auto"/>
        <w:rPr>
          <w:sz w:val="20"/>
          <w:szCs w:val="20"/>
          <w:color w:val="auto"/>
        </w:rPr>
      </w:pPr>
      <w:r>
        <w:rPr>
          <w:rFonts w:ascii="Arial" w:cs="Arial" w:eastAsia="Arial" w:hAnsi="Arial"/>
          <w:sz w:val="22"/>
          <w:szCs w:val="22"/>
          <w:color w:val="auto"/>
        </w:rPr>
        <w:t>Analog Devices, Inc.</w:t>
      </w:r>
    </w:p>
    <w:p>
      <w:pPr>
        <w:spacing w:after="0" w:line="231" w:lineRule="auto"/>
        <w:rPr>
          <w:sz w:val="20"/>
          <w:szCs w:val="20"/>
          <w:color w:val="auto"/>
        </w:rPr>
      </w:pPr>
      <w:r>
        <w:rPr>
          <w:rFonts w:ascii="Arial" w:cs="Arial" w:eastAsia="Arial" w:hAnsi="Arial"/>
          <w:sz w:val="22"/>
          <w:szCs w:val="22"/>
          <w:color w:val="auto"/>
        </w:rPr>
        <w:t>Mr. Ali Husain, 781-461-3282 (phone);</w:t>
      </w:r>
    </w:p>
    <w:p>
      <w:pPr>
        <w:spacing w:after="0" w:line="231" w:lineRule="auto"/>
        <w:rPr>
          <w:sz w:val="20"/>
          <w:szCs w:val="20"/>
          <w:color w:val="auto"/>
        </w:rPr>
      </w:pPr>
      <w:r>
        <w:rPr>
          <w:rFonts w:ascii="Arial" w:cs="Arial" w:eastAsia="Arial" w:hAnsi="Arial"/>
          <w:sz w:val="22"/>
          <w:szCs w:val="22"/>
          <w:color w:val="auto"/>
        </w:rPr>
        <w:t>781-461-3491 (fax);</w:t>
      </w:r>
    </w:p>
    <w:p>
      <w:pPr>
        <w:spacing w:after="0" w:line="230" w:lineRule="auto"/>
        <w:rPr>
          <w:sz w:val="20"/>
          <w:szCs w:val="20"/>
          <w:color w:val="auto"/>
        </w:rPr>
      </w:pPr>
      <w:r>
        <w:rPr>
          <w:rFonts w:ascii="Arial" w:cs="Arial" w:eastAsia="Arial" w:hAnsi="Arial"/>
          <w:sz w:val="22"/>
          <w:szCs w:val="22"/>
          <w:color w:val="auto"/>
        </w:rPr>
        <w:t>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2019-12-05T02:48:29Z</dcterms:created>
  <dcterms:modified xsi:type="dcterms:W3CDTF">2019-12-05T02:48:29Z</dcterms:modified>
</cp:coreProperties>
</file>