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May 19, 2009</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Massachusetts</w:t>
            </w:r>
          </w:p>
        </w:tc>
        <w:tc>
          <w:tcPr>
            <w:tcW w:w="226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89"/>
              </w:rPr>
              <w:t>1-7819</w:t>
            </w:r>
          </w:p>
        </w:tc>
        <w:tc>
          <w:tcPr>
            <w:tcW w:w="1160" w:type="dxa"/>
            <w:vAlign w:val="bottom"/>
          </w:tcPr>
          <w:p>
            <w:pPr>
              <w:spacing w:after="0"/>
              <w:rPr>
                <w:sz w:val="20"/>
                <w:szCs w:val="20"/>
                <w:color w:val="auto"/>
              </w:rPr>
            </w:pP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04-2348234</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2"/>
          </w:tcPr>
          <w:p>
            <w:pPr>
              <w:jc w:val="center"/>
              <w:ind w:right="1160"/>
              <w:spacing w:after="0"/>
              <w:rPr>
                <w:sz w:val="20"/>
                <w:szCs w:val="20"/>
                <w:color w:val="auto"/>
              </w:rPr>
            </w:pPr>
            <w:r>
              <w:rPr>
                <w:rFonts w:ascii="Arial" w:cs="Arial" w:eastAsia="Arial" w:hAnsi="Arial"/>
                <w:sz w:val="18"/>
                <w:szCs w:val="18"/>
                <w:color w:val="auto"/>
                <w:w w:val="91"/>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020" w:type="dxa"/>
            <w:vAlign w:val="bottom"/>
            <w:gridSpan w:val="2"/>
          </w:tcPr>
          <w:p>
            <w:pPr>
              <w:jc w:val="center"/>
              <w:ind w:right="600"/>
              <w:spacing w:after="0"/>
              <w:rPr>
                <w:sz w:val="20"/>
                <w:szCs w:val="20"/>
                <w:color w:val="auto"/>
              </w:rPr>
            </w:pPr>
            <w:r>
              <w:rPr>
                <w:rFonts w:ascii="Arial" w:cs="Arial" w:eastAsia="Arial" w:hAnsi="Arial"/>
                <w:sz w:val="18"/>
                <w:szCs w:val="18"/>
                <w:color w:val="auto"/>
                <w:w w:val="93"/>
              </w:rPr>
              <w:t>of incorporation)</w:t>
            </w:r>
          </w:p>
        </w:tc>
        <w:tc>
          <w:tcPr>
            <w:tcW w:w="1140" w:type="dxa"/>
            <w:vAlign w:val="bottom"/>
          </w:tcPr>
          <w:p>
            <w:pPr>
              <w:spacing w:after="0"/>
              <w:rPr>
                <w:sz w:val="20"/>
                <w:szCs w:val="20"/>
                <w:color w:val="auto"/>
              </w:rPr>
            </w:pPr>
          </w:p>
        </w:tc>
        <w:tc>
          <w:tcPr>
            <w:tcW w:w="2280" w:type="dxa"/>
            <w:vAlign w:val="bottom"/>
            <w:gridSpan w:val="2"/>
          </w:tcPr>
          <w:p>
            <w:pPr>
              <w:jc w:val="center"/>
              <w:ind w:right="1160"/>
              <w:spacing w:after="0"/>
              <w:rPr>
                <w:sz w:val="20"/>
                <w:szCs w:val="20"/>
                <w:color w:val="auto"/>
              </w:rPr>
            </w:pPr>
            <w:r>
              <w:rPr>
                <w:rFonts w:ascii="Arial" w:cs="Arial" w:eastAsia="Arial" w:hAnsi="Arial"/>
                <w:sz w:val="18"/>
                <w:szCs w:val="18"/>
                <w:color w:val="auto"/>
                <w:w w:val="92"/>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5"/>
        </w:trPr>
        <w:tc>
          <w:tcPr>
            <w:tcW w:w="40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b w:val="1"/>
                <w:bCs w:val="1"/>
                <w:color w:val="auto"/>
                <w:w w:val="91"/>
              </w:rPr>
              <w:t>One Technology Way, Norwood, MA</w:t>
            </w:r>
          </w:p>
        </w:tc>
        <w:tc>
          <w:tcPr>
            <w:tcW w:w="1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250"/>
              <w:spacing w:after="0"/>
              <w:rPr>
                <w:sz w:val="20"/>
                <w:szCs w:val="20"/>
                <w:color w:val="auto"/>
              </w:rPr>
            </w:pPr>
            <w:r>
              <w:rPr>
                <w:rFonts w:ascii="Arial" w:cs="Arial" w:eastAsia="Arial" w:hAnsi="Arial"/>
                <w:sz w:val="18"/>
                <w:szCs w:val="18"/>
                <w:b w:val="1"/>
                <w:bCs w:val="1"/>
                <w:color w:val="auto"/>
              </w:rPr>
              <w:t>02062</w:t>
            </w:r>
          </w:p>
        </w:tc>
      </w:tr>
      <w:tr>
        <w:trPr>
          <w:trHeight w:val="230"/>
        </w:trPr>
        <w:tc>
          <w:tcPr>
            <w:tcW w:w="4020" w:type="dxa"/>
            <w:vAlign w:val="bottom"/>
            <w:gridSpan w:val="2"/>
          </w:tcPr>
          <w:p>
            <w:pPr>
              <w:ind w:left="114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65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(781) 329-4700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May 19, 2009, Analog Devices, Inc. (the “Registrant”) announced its financial results for its fiscal second quarter ended May 2, 2009. The full text of the press release issued by the Registrant concerning the foregoing results is furnished herewith as Exhibit 99.1.</w:t>
      </w:r>
    </w:p>
    <w:p>
      <w:pPr>
        <w:spacing w:after="0" w:line="13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240" w:type="dxa"/>
            <w:vAlign w:val="bottom"/>
            <w:gridSpan w:val="3"/>
          </w:tcPr>
          <w:p>
            <w:pPr>
              <w:ind w:left="320"/>
              <w:spacing w:after="0"/>
              <w:rPr>
                <w:sz w:val="20"/>
                <w:szCs w:val="20"/>
                <w:color w:val="auto"/>
              </w:rPr>
            </w:pPr>
            <w:r>
              <w:rPr>
                <w:rFonts w:ascii="Arial" w:cs="Arial" w:eastAsia="Arial" w:hAnsi="Arial"/>
                <w:sz w:val="18"/>
                <w:szCs w:val="18"/>
                <w:color w:val="auto"/>
              </w:rPr>
              <w:t>Press release dated May 19, 2009</w:t>
            </w:r>
          </w:p>
        </w:tc>
      </w:tr>
      <w:tr>
        <w:trPr>
          <w:trHeight w:val="149"/>
        </w:trPr>
        <w:tc>
          <w:tcPr>
            <w:tcW w:w="8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080" w:type="dxa"/>
            <w:vAlign w:val="bottom"/>
            <w:tcBorders>
              <w:bottom w:val="single" w:sz="8" w:color="9A9A9A"/>
            </w:tcBorders>
          </w:tcPr>
          <w:p>
            <w:pPr>
              <w:spacing w:after="0"/>
              <w:rPr>
                <w:sz w:val="12"/>
                <w:szCs w:val="12"/>
                <w:color w:val="auto"/>
              </w:rPr>
            </w:pPr>
          </w:p>
        </w:tc>
      </w:tr>
      <w:tr>
        <w:trPr>
          <w:trHeight w:val="21"/>
        </w:trPr>
        <w:tc>
          <w:tcPr>
            <w:tcW w:w="8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90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19, 2009</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A. Zinsner</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Finance and Chief</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720" w:type="dxa"/>
            <w:vAlign w:val="bottom"/>
            <w:gridSpan w:val="3"/>
          </w:tcPr>
          <w:p>
            <w:pPr>
              <w:ind w:left="3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2720" w:type="dxa"/>
            <w:vAlign w:val="bottom"/>
            <w:gridSpan w:val="3"/>
          </w:tcPr>
          <w:p>
            <w:pPr>
              <w:ind w:left="320"/>
              <w:spacing w:after="0"/>
              <w:rPr>
                <w:sz w:val="20"/>
                <w:szCs w:val="20"/>
                <w:color w:val="auto"/>
              </w:rPr>
            </w:pPr>
            <w:r>
              <w:rPr>
                <w:rFonts w:ascii="Arial" w:cs="Arial" w:eastAsia="Arial" w:hAnsi="Arial"/>
                <w:sz w:val="18"/>
                <w:szCs w:val="18"/>
                <w:color w:val="auto"/>
                <w:w w:val="86"/>
              </w:rPr>
              <w:t>Press release dated May 19, 2009</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Analog Devices Announces Financial Results for the Second Quarter of Fiscal Year 2009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NORWOOD, Mass.--(BUSINESS WIRE)--May 19, 2009--Analog Devices, Inc. (NYSE: ADI)</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Revenue was $475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Gross margin was 55.1%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4900"/>
        <w:spacing w:after="0" w:line="251" w:lineRule="auto"/>
        <w:rPr>
          <w:sz w:val="20"/>
          <w:szCs w:val="20"/>
          <w:color w:val="auto"/>
        </w:rPr>
      </w:pPr>
      <w:r>
        <w:rPr>
          <w:rFonts w:ascii="Arial" w:cs="Arial" w:eastAsia="Arial" w:hAnsi="Arial"/>
          <w:sz w:val="22"/>
          <w:szCs w:val="22"/>
          <w:i w:val="1"/>
          <w:iCs w:val="1"/>
          <w:color w:val="auto"/>
        </w:rPr>
        <w:t>Diluted EPS from continuing operations was $0.18, which includes a $0.03 per share impact from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Cash and short-term investments at the end of 2Q09 totaled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Board of Directors declared a cash dividend of $0.20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i w:val="1"/>
          <w:iCs w:val="1"/>
          <w:color w:val="auto"/>
        </w:rPr>
        <w:t>Financial results will be discussed via conference call today at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Analog Devices, Inc. (NYSE: ADI), a global leader in high-performance semiconductors for signal processing applications, today announced financial results for the second quarter of fiscal 2009, which ended May 2, 2009.</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for the Second Quarter of Fiscal 2009</w:t>
      </w:r>
    </w:p>
    <w:p>
      <w:pPr>
        <w:spacing w:after="0" w:line="21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i w:val="1"/>
          <w:iCs w:val="1"/>
          <w:color w:val="auto"/>
        </w:rPr>
        <w:t>The table reconciling the Company’s non-GAAP financial results to GAAP financial results is provided in this release on Schedule F.</w:t>
      </w:r>
    </w:p>
    <w:p>
      <w:pPr>
        <w:spacing w:after="0" w:line="167" w:lineRule="exact"/>
        <w:rPr>
          <w:sz w:val="20"/>
          <w:szCs w:val="20"/>
          <w:color w:val="auto"/>
        </w:rPr>
      </w:pPr>
    </w:p>
    <w:p>
      <w:pPr>
        <w:ind w:left="540" w:right="120"/>
        <w:spacing w:after="0" w:line="254" w:lineRule="auto"/>
        <w:rPr>
          <w:sz w:val="20"/>
          <w:szCs w:val="20"/>
          <w:color w:val="auto"/>
        </w:rPr>
      </w:pPr>
      <w:r>
        <w:rPr>
          <w:rFonts w:ascii="Arial" w:cs="Arial" w:eastAsia="Arial" w:hAnsi="Arial"/>
          <w:sz w:val="21"/>
          <w:szCs w:val="21"/>
          <w:b w:val="1"/>
          <w:bCs w:val="1"/>
          <w:color w:val="auto"/>
        </w:rPr>
        <w:t xml:space="preserve">Revenue </w:t>
      </w:r>
      <w:r>
        <w:rPr>
          <w:rFonts w:ascii="Arial" w:cs="Arial" w:eastAsia="Arial" w:hAnsi="Arial"/>
          <w:sz w:val="21"/>
          <w:szCs w:val="21"/>
          <w:color w:val="auto"/>
        </w:rPr>
        <w:t>was $475 million, approximately flat with the immediately prior quarter and a decrease of 27% from the same</w:t>
      </w:r>
      <w:r>
        <w:rPr>
          <w:rFonts w:ascii="Arial" w:cs="Arial" w:eastAsia="Arial" w:hAnsi="Arial"/>
          <w:sz w:val="21"/>
          <w:szCs w:val="21"/>
          <w:b w:val="1"/>
          <w:bCs w:val="1"/>
          <w:color w:val="auto"/>
        </w:rPr>
        <w:t xml:space="preserve"> </w:t>
      </w:r>
      <w:r>
        <w:rPr>
          <w:rFonts w:ascii="Arial" w:cs="Arial" w:eastAsia="Arial" w:hAnsi="Arial"/>
          <w:sz w:val="21"/>
          <w:szCs w:val="21"/>
          <w:color w:val="auto"/>
        </w:rPr>
        <w:t>period one year ago. For more information regarding the breakout of revenue by end market and product type for the second quarter of fiscal 2009, please see Schedules D and E of this document. In addition, a more complete table covering prior periods is available on the Analog Devices Investor Relations web site at: investor.analog.com.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-583565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5" w:lineRule="exact"/>
        <w:rPr>
          <w:sz w:val="20"/>
          <w:szCs w:val="20"/>
          <w:color w:val="auto"/>
        </w:rPr>
      </w:pPr>
    </w:p>
    <w:p>
      <w:pPr>
        <w:jc w:val="both"/>
        <w:ind w:left="540" w:right="40"/>
        <w:spacing w:after="0" w:line="243" w:lineRule="auto"/>
        <w:rPr>
          <w:sz w:val="20"/>
          <w:szCs w:val="20"/>
          <w:color w:val="auto"/>
        </w:rPr>
      </w:pPr>
      <w:r>
        <w:rPr>
          <w:rFonts w:ascii="Arial" w:cs="Arial" w:eastAsia="Arial" w:hAnsi="Arial"/>
          <w:sz w:val="22"/>
          <w:szCs w:val="22"/>
          <w:b w:val="1"/>
          <w:bCs w:val="1"/>
          <w:color w:val="auto"/>
        </w:rPr>
        <w:t xml:space="preserve">Gross margin </w:t>
      </w:r>
      <w:r>
        <w:rPr>
          <w:rFonts w:ascii="Arial" w:cs="Arial" w:eastAsia="Arial" w:hAnsi="Arial"/>
          <w:sz w:val="22"/>
          <w:szCs w:val="22"/>
          <w:color w:val="auto"/>
        </w:rPr>
        <w:t>was 55.1% of revenue, compared to 56.4% of revenue in the immediately prior quarter, and 61.0% of revenue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year-ago period. The sequential decrease in gross margin was primarily due to lower manufacturing utilization and end market revenue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680"/>
        <w:spacing w:after="0" w:line="256" w:lineRule="auto"/>
        <w:rPr>
          <w:sz w:val="20"/>
          <w:szCs w:val="20"/>
          <w:color w:val="auto"/>
        </w:rPr>
      </w:pPr>
      <w:r>
        <w:rPr>
          <w:rFonts w:ascii="Arial" w:cs="Arial" w:eastAsia="Arial" w:hAnsi="Arial"/>
          <w:sz w:val="22"/>
          <w:szCs w:val="22"/>
          <w:b w:val="1"/>
          <w:bCs w:val="1"/>
          <w:color w:val="auto"/>
        </w:rPr>
        <w:t xml:space="preserve">Restructuring charges </w:t>
      </w:r>
      <w:r>
        <w:rPr>
          <w:rFonts w:ascii="Arial" w:cs="Arial" w:eastAsia="Arial" w:hAnsi="Arial"/>
          <w:sz w:val="22"/>
          <w:szCs w:val="22"/>
          <w:color w:val="auto"/>
        </w:rPr>
        <w:t>of $12 million were recorded in the second quarter of fiscal 2009 as part of the plan to reduce</w:t>
      </w:r>
      <w:r>
        <w:rPr>
          <w:rFonts w:ascii="Arial" w:cs="Arial" w:eastAsia="Arial" w:hAnsi="Arial"/>
          <w:sz w:val="22"/>
          <w:szCs w:val="22"/>
          <w:b w:val="1"/>
          <w:bCs w:val="1"/>
          <w:color w:val="auto"/>
        </w:rPr>
        <w:t xml:space="preserve"> </w:t>
      </w:r>
      <w:r>
        <w:rPr>
          <w:rFonts w:ascii="Arial" w:cs="Arial" w:eastAsia="Arial" w:hAnsi="Arial"/>
          <w:sz w:val="22"/>
          <w:szCs w:val="22"/>
          <w:color w:val="auto"/>
        </w:rPr>
        <w:t>infrastructure expenses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720"/>
        <w:spacing w:after="0" w:line="256"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were $204 million, a decrease of $46 million, or 18%, from the immediately prior quarter, and a</w:t>
      </w:r>
      <w:r>
        <w:rPr>
          <w:rFonts w:ascii="Arial" w:cs="Arial" w:eastAsia="Arial" w:hAnsi="Arial"/>
          <w:sz w:val="22"/>
          <w:szCs w:val="22"/>
          <w:b w:val="1"/>
          <w:bCs w:val="1"/>
          <w:color w:val="auto"/>
        </w:rPr>
        <w:t xml:space="preserve"> </w:t>
      </w:r>
      <w:r>
        <w:rPr>
          <w:rFonts w:ascii="Arial" w:cs="Arial" w:eastAsia="Arial" w:hAnsi="Arial"/>
          <w:sz w:val="22"/>
          <w:szCs w:val="22"/>
          <w:color w:val="auto"/>
        </w:rPr>
        <w:t>decrease of $35 million, or 15%, from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line="335" w:lineRule="auto"/>
        <w:rPr>
          <w:sz w:val="20"/>
          <w:szCs w:val="20"/>
          <w:color w:val="auto"/>
        </w:rPr>
      </w:pPr>
      <w:r>
        <w:rPr>
          <w:rFonts w:ascii="Arial" w:cs="Arial" w:eastAsia="Arial" w:hAnsi="Arial"/>
          <w:sz w:val="19"/>
          <w:szCs w:val="19"/>
          <w:b w:val="1"/>
          <w:bCs w:val="1"/>
          <w:color w:val="auto"/>
        </w:rPr>
        <w:t xml:space="preserve">Excluding restructuring charges, non-GAAP operating expenses </w:t>
      </w:r>
      <w:r>
        <w:rPr>
          <w:rFonts w:ascii="Arial" w:cs="Arial" w:eastAsia="Arial" w:hAnsi="Arial"/>
          <w:sz w:val="19"/>
          <w:szCs w:val="19"/>
          <w:color w:val="auto"/>
        </w:rPr>
        <w:t>were $192 million, a decrease of $16 million, or 8%,</w:t>
      </w:r>
      <w:r>
        <w:rPr>
          <w:rFonts w:ascii="Arial" w:cs="Arial" w:eastAsia="Arial" w:hAnsi="Arial"/>
          <w:sz w:val="19"/>
          <w:szCs w:val="19"/>
          <w:b w:val="1"/>
          <w:bCs w:val="1"/>
          <w:color w:val="auto"/>
        </w:rPr>
        <w:t xml:space="preserve"> </w:t>
      </w:r>
      <w:r>
        <w:rPr>
          <w:rFonts w:ascii="Arial" w:cs="Arial" w:eastAsia="Arial" w:hAnsi="Arial"/>
          <w:sz w:val="19"/>
          <w:szCs w:val="19"/>
          <w:color w:val="auto"/>
        </w:rPr>
        <w:t>compared to the immediately prior quarter, and a decrease of $47 million, or 20%, compared to the same period one year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-321945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0"/>
        <w:spacing w:after="0" w:line="280" w:lineRule="auto"/>
        <w:rPr>
          <w:sz w:val="20"/>
          <w:szCs w:val="20"/>
          <w:color w:val="auto"/>
        </w:rPr>
      </w:pPr>
      <w:r>
        <w:rPr>
          <w:rFonts w:ascii="Arial" w:cs="Arial" w:eastAsia="Arial" w:hAnsi="Arial"/>
          <w:sz w:val="21"/>
          <w:szCs w:val="21"/>
          <w:b w:val="1"/>
          <w:bCs w:val="1"/>
          <w:color w:val="auto"/>
        </w:rPr>
        <w:t xml:space="preserve">Operating income from continuing operations </w:t>
      </w:r>
      <w:r>
        <w:rPr>
          <w:rFonts w:ascii="Arial" w:cs="Arial" w:eastAsia="Arial" w:hAnsi="Arial"/>
          <w:sz w:val="21"/>
          <w:szCs w:val="21"/>
          <w:color w:val="auto"/>
        </w:rPr>
        <w:t>was $58 million, or 12.2% of revenue, compared to $20 million, or 4.1% of</w:t>
      </w:r>
      <w:r>
        <w:rPr>
          <w:rFonts w:ascii="Arial" w:cs="Arial" w:eastAsia="Arial" w:hAnsi="Arial"/>
          <w:sz w:val="21"/>
          <w:szCs w:val="21"/>
          <w:b w:val="1"/>
          <w:bCs w:val="1"/>
          <w:color w:val="auto"/>
        </w:rPr>
        <w:t xml:space="preserve"> </w:t>
      </w:r>
      <w:r>
        <w:rPr>
          <w:rFonts w:ascii="Arial" w:cs="Arial" w:eastAsia="Arial" w:hAnsi="Arial"/>
          <w:sz w:val="21"/>
          <w:szCs w:val="21"/>
          <w:color w:val="auto"/>
        </w:rPr>
        <w:t>revenue, in the immediately prior quarter, and $157 million, or 24.2% of revenue,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-292100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8" w:lineRule="exact"/>
        <w:rPr>
          <w:sz w:val="20"/>
          <w:szCs w:val="20"/>
          <w:color w:val="auto"/>
        </w:rPr>
      </w:pPr>
    </w:p>
    <w:p>
      <w:pPr>
        <w:jc w:val="both"/>
        <w:ind w:left="540" w:right="180"/>
        <w:spacing w:after="0" w:line="243" w:lineRule="auto"/>
        <w:rPr>
          <w:sz w:val="20"/>
          <w:szCs w:val="20"/>
          <w:color w:val="auto"/>
        </w:rPr>
      </w:pPr>
      <w:r>
        <w:rPr>
          <w:rFonts w:ascii="Arial" w:cs="Arial" w:eastAsia="Arial" w:hAnsi="Arial"/>
          <w:sz w:val="22"/>
          <w:szCs w:val="22"/>
          <w:b w:val="1"/>
          <w:bCs w:val="1"/>
          <w:color w:val="auto"/>
        </w:rPr>
        <w:t xml:space="preserve">Excluding restructuring charges, non-GAAP operating income from continuing operations </w:t>
      </w:r>
      <w:r>
        <w:rPr>
          <w:rFonts w:ascii="Arial" w:cs="Arial" w:eastAsia="Arial" w:hAnsi="Arial"/>
          <w:sz w:val="22"/>
          <w:szCs w:val="22"/>
          <w:color w:val="auto"/>
        </w:rPr>
        <w:t>was $70 million, or 14.7%</w:t>
      </w:r>
      <w:r>
        <w:rPr>
          <w:rFonts w:ascii="Arial" w:cs="Arial" w:eastAsia="Arial" w:hAnsi="Arial"/>
          <w:sz w:val="22"/>
          <w:szCs w:val="22"/>
          <w:b w:val="1"/>
          <w:bCs w:val="1"/>
          <w:color w:val="auto"/>
        </w:rPr>
        <w:t xml:space="preserve"> </w:t>
      </w:r>
      <w:r>
        <w:rPr>
          <w:rFonts w:ascii="Arial" w:cs="Arial" w:eastAsia="Arial" w:hAnsi="Arial"/>
          <w:sz w:val="22"/>
          <w:szCs w:val="22"/>
          <w:color w:val="auto"/>
        </w:rPr>
        <w:t>of revenue, compared to $61 million, or 12.9% of revenue, in the immediately prior quarter, and $157 million, or 24.2% of revenue,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460"/>
        <w:spacing w:after="0" w:line="256" w:lineRule="auto"/>
        <w:rPr>
          <w:sz w:val="20"/>
          <w:szCs w:val="20"/>
          <w:color w:val="auto"/>
        </w:rPr>
      </w:pPr>
      <w:r>
        <w:rPr>
          <w:rFonts w:ascii="Arial" w:cs="Arial" w:eastAsia="Arial" w:hAnsi="Arial"/>
          <w:sz w:val="22"/>
          <w:szCs w:val="22"/>
          <w:b w:val="1"/>
          <w:bCs w:val="1"/>
          <w:color w:val="auto"/>
        </w:rPr>
        <w:t xml:space="preserve">Diluted earnings per share (EPS) from continuing operations </w:t>
      </w:r>
      <w:r>
        <w:rPr>
          <w:rFonts w:ascii="Arial" w:cs="Arial" w:eastAsia="Arial" w:hAnsi="Arial"/>
          <w:sz w:val="22"/>
          <w:szCs w:val="22"/>
          <w:color w:val="auto"/>
        </w:rPr>
        <w:t>was $0.18, compared to $0.08 in the immediately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and $0.44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 xml:space="preserve">Excluding restructuring charges, non-GAAP diluted EPS from continuing operations </w:t>
      </w:r>
      <w:r>
        <w:rPr>
          <w:rFonts w:ascii="Arial" w:cs="Arial" w:eastAsia="Arial" w:hAnsi="Arial"/>
          <w:sz w:val="22"/>
          <w:szCs w:val="22"/>
          <w:color w:val="auto"/>
        </w:rPr>
        <w:t>was $0.21, compared to $0.18 in</w:t>
      </w:r>
      <w:r>
        <w:rPr>
          <w:rFonts w:ascii="Arial" w:cs="Arial" w:eastAsia="Arial" w:hAnsi="Arial"/>
          <w:sz w:val="22"/>
          <w:szCs w:val="22"/>
          <w:b w:val="1"/>
          <w:bCs w:val="1"/>
          <w:color w:val="auto"/>
        </w:rPr>
        <w:t xml:space="preserve"> </w:t>
      </w:r>
      <w:r>
        <w:rPr>
          <w:rFonts w:ascii="Arial" w:cs="Arial" w:eastAsia="Arial" w:hAnsi="Arial"/>
          <w:sz w:val="22"/>
          <w:szCs w:val="22"/>
          <w:color w:val="auto"/>
        </w:rPr>
        <w:t>the immediately prior quarter, and $0.44 in the year-ago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20"/>
        <w:spacing w:after="0" w:line="256" w:lineRule="auto"/>
        <w:rPr>
          <w:sz w:val="20"/>
          <w:szCs w:val="20"/>
          <w:color w:val="auto"/>
        </w:rPr>
      </w:pPr>
      <w:r>
        <w:rPr>
          <w:rFonts w:ascii="Arial" w:cs="Arial" w:eastAsia="Arial" w:hAnsi="Arial"/>
          <w:sz w:val="22"/>
          <w:szCs w:val="22"/>
          <w:b w:val="1"/>
          <w:bCs w:val="1"/>
          <w:color w:val="auto"/>
        </w:rPr>
        <w:t xml:space="preserve">Net cash provided by operating activities </w:t>
      </w:r>
      <w:r>
        <w:rPr>
          <w:rFonts w:ascii="Arial" w:cs="Arial" w:eastAsia="Arial" w:hAnsi="Arial"/>
          <w:sz w:val="22"/>
          <w:szCs w:val="22"/>
          <w:color w:val="auto"/>
        </w:rPr>
        <w:t>was $76 million. Capital expenditures were $12 million and cash dividends of</w:t>
      </w:r>
      <w:r>
        <w:rPr>
          <w:rFonts w:ascii="Arial" w:cs="Arial" w:eastAsia="Arial" w:hAnsi="Arial"/>
          <w:sz w:val="22"/>
          <w:szCs w:val="22"/>
          <w:b w:val="1"/>
          <w:bCs w:val="1"/>
          <w:color w:val="auto"/>
        </w:rPr>
        <w:t xml:space="preserve"> </w:t>
      </w:r>
      <w:r>
        <w:rPr>
          <w:rFonts w:ascii="Arial" w:cs="Arial" w:eastAsia="Arial" w:hAnsi="Arial"/>
          <w:sz w:val="22"/>
          <w:szCs w:val="22"/>
          <w:color w:val="auto"/>
        </w:rPr>
        <w:t>$58 million were paid during the second quarter of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 xml:space="preserve">Cash and short-term investments </w:t>
      </w:r>
      <w:r>
        <w:rPr>
          <w:rFonts w:ascii="Arial" w:cs="Arial" w:eastAsia="Arial" w:hAnsi="Arial"/>
          <w:sz w:val="21"/>
          <w:szCs w:val="21"/>
          <w:color w:val="auto"/>
        </w:rPr>
        <w:t>at the end of the second quarter of fiscal 2009 totaled approximately $1.3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-87630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ind w:left="540"/>
        <w:spacing w:after="0" w:line="243" w:lineRule="auto"/>
        <w:rPr>
          <w:sz w:val="20"/>
          <w:szCs w:val="20"/>
          <w:color w:val="auto"/>
        </w:rPr>
      </w:pPr>
      <w:r>
        <w:rPr>
          <w:rFonts w:ascii="Arial" w:cs="Arial" w:eastAsia="Arial" w:hAnsi="Arial"/>
          <w:sz w:val="22"/>
          <w:szCs w:val="22"/>
          <w:b w:val="1"/>
          <w:bCs w:val="1"/>
          <w:color w:val="auto"/>
        </w:rPr>
        <w:t xml:space="preserve">Accounts receivable </w:t>
      </w:r>
      <w:r>
        <w:rPr>
          <w:rFonts w:ascii="Arial" w:cs="Arial" w:eastAsia="Arial" w:hAnsi="Arial"/>
          <w:sz w:val="22"/>
          <w:szCs w:val="22"/>
          <w:color w:val="auto"/>
        </w:rPr>
        <w:t>at the end of the second quarter of fiscal 2009 decreased by approximately $7 million, or 3%, compared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the immediately prior quarter. </w:t>
      </w:r>
      <w:r>
        <w:rPr>
          <w:rFonts w:ascii="Arial" w:cs="Arial" w:eastAsia="Arial" w:hAnsi="Arial"/>
          <w:sz w:val="22"/>
          <w:szCs w:val="22"/>
          <w:b w:val="1"/>
          <w:bCs w:val="1"/>
          <w:color w:val="auto"/>
        </w:rPr>
        <w:t>Days sales outstanding</w:t>
      </w:r>
      <w:r>
        <w:rPr>
          <w:rFonts w:ascii="Arial" w:cs="Arial" w:eastAsia="Arial" w:hAnsi="Arial"/>
          <w:sz w:val="22"/>
          <w:szCs w:val="22"/>
          <w:color w:val="auto"/>
        </w:rPr>
        <w:t xml:space="preserve"> in the second quarter of fiscal 2009 was 44 days, compared to 45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100"/>
        <w:spacing w:after="0" w:line="243" w:lineRule="auto"/>
        <w:rPr>
          <w:sz w:val="20"/>
          <w:szCs w:val="20"/>
          <w:color w:val="auto"/>
        </w:rPr>
      </w:pPr>
      <w:r>
        <w:rPr>
          <w:rFonts w:ascii="Arial" w:cs="Arial" w:eastAsia="Arial" w:hAnsi="Arial"/>
          <w:sz w:val="22"/>
          <w:szCs w:val="22"/>
          <w:b w:val="1"/>
          <w:bCs w:val="1"/>
          <w:color w:val="auto"/>
        </w:rPr>
        <w:t xml:space="preserve">Inventory </w:t>
      </w:r>
      <w:r>
        <w:rPr>
          <w:rFonts w:ascii="Arial" w:cs="Arial" w:eastAsia="Arial" w:hAnsi="Arial"/>
          <w:sz w:val="22"/>
          <w:szCs w:val="22"/>
          <w:color w:val="auto"/>
        </w:rPr>
        <w:t>at the end of the second quarter of fiscal 2009 decreased by approximately $16 million, or 5%, compared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immediately prior quarter. </w:t>
      </w:r>
      <w:r>
        <w:rPr>
          <w:rFonts w:ascii="Arial" w:cs="Arial" w:eastAsia="Arial" w:hAnsi="Arial"/>
          <w:sz w:val="22"/>
          <w:szCs w:val="22"/>
          <w:b w:val="1"/>
          <w:bCs w:val="1"/>
          <w:color w:val="auto"/>
        </w:rPr>
        <w:t>Days in inventory</w:t>
      </w:r>
      <w:r>
        <w:rPr>
          <w:rFonts w:ascii="Arial" w:cs="Arial" w:eastAsia="Arial" w:hAnsi="Arial"/>
          <w:sz w:val="22"/>
          <w:szCs w:val="22"/>
          <w:color w:val="auto"/>
        </w:rPr>
        <w:t xml:space="preserve"> decreased to 130 days at the end of the second quarter of fiscal 2009 from 141 days at the end of the immediately prior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20"/>
        <w:spacing w:after="0" w:line="256" w:lineRule="auto"/>
        <w:rPr>
          <w:sz w:val="20"/>
          <w:szCs w:val="20"/>
          <w:color w:val="auto"/>
        </w:rPr>
      </w:pPr>
      <w:r>
        <w:rPr>
          <w:rFonts w:ascii="Arial" w:cs="Arial" w:eastAsia="Arial" w:hAnsi="Arial"/>
          <w:sz w:val="22"/>
          <w:szCs w:val="22"/>
          <w:b w:val="1"/>
          <w:bCs w:val="1"/>
          <w:color w:val="auto"/>
        </w:rPr>
        <w:t xml:space="preserve">The Board of Directors declared a cash dividend of $0.20 per outstanding share of common stock </w:t>
      </w:r>
      <w:r>
        <w:rPr>
          <w:rFonts w:ascii="Arial" w:cs="Arial" w:eastAsia="Arial" w:hAnsi="Arial"/>
          <w:sz w:val="22"/>
          <w:szCs w:val="22"/>
          <w:color w:val="auto"/>
        </w:rPr>
        <w:t>which will be paid on</w:t>
      </w:r>
      <w:r>
        <w:rPr>
          <w:rFonts w:ascii="Arial" w:cs="Arial" w:eastAsia="Arial" w:hAnsi="Arial"/>
          <w:sz w:val="22"/>
          <w:szCs w:val="22"/>
          <w:b w:val="1"/>
          <w:bCs w:val="1"/>
          <w:color w:val="auto"/>
        </w:rPr>
        <w:t xml:space="preserve"> </w:t>
      </w:r>
      <w:r>
        <w:rPr>
          <w:rFonts w:ascii="Arial" w:cs="Arial" w:eastAsia="Arial" w:hAnsi="Arial"/>
          <w:sz w:val="22"/>
          <w:szCs w:val="22"/>
          <w:color w:val="auto"/>
        </w:rPr>
        <w:t>June 17, 2009 to all shareholders of record at the close of business on May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7202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496" w:gutter="0" w:footer="0" w:header="0"/>
        </w:sectPr>
      </w:pPr>
    </w:p>
    <w:bookmarkStart w:id="5" w:name="page6"/>
    <w:bookmarkEnd w:id="5"/>
    <w:p>
      <w:pPr>
        <w:ind w:right="100"/>
        <w:spacing w:after="0" w:line="279" w:lineRule="auto"/>
        <w:rPr>
          <w:sz w:val="20"/>
          <w:szCs w:val="20"/>
          <w:color w:val="auto"/>
        </w:rPr>
      </w:pPr>
      <w:r>
        <w:rPr>
          <w:rFonts w:ascii="Arial" w:cs="Arial" w:eastAsia="Arial" w:hAnsi="Arial"/>
          <w:sz w:val="19"/>
          <w:szCs w:val="19"/>
          <w:color w:val="auto"/>
        </w:rPr>
        <w:t>“ADI’s second quarter results were better than planned as we benefited from increased sales to communications infrastructure and consumer customers and a general abatement of inventory reductions by our customers. In addition, our second quarter expenses were significantly lower than originally planned as we aggressively reduced spending in response to ongoing economic uncertainty,” said President and CEO Jerald G. Fishman. “Despite the challenging environment, our business model continues to allow us to generate solid profits and cash flow as it has done for many years, giving us the flexibility to execute the strategic investment and cost reduction initiatives that we expect will drive significant operating leverage when demand recovers.”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 for the Third Quarter of Fiscal 2009</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i w:val="1"/>
          <w:iCs w:val="1"/>
          <w:color w:val="auto"/>
        </w:rPr>
        <w:t>The following statements are based on current expectations. These statements are forward looking and actual results may differ materially, including as a result of the important factors discussed at the end of this release. These statements supersede all prior statements regarding business outlook set forth in prior ADI news releases.</w:t>
      </w:r>
    </w:p>
    <w:p>
      <w:pPr>
        <w:spacing w:after="0" w:line="186"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Regarding the outlook for the third quarter of fiscal 2009, Mr. Fishman stated, “Orders to ADI and our distributors recovered significantly in the second quarter, as customer inventory reductions subsided. Our book-to-bill ratio for the second quarter, as measured by end customer bookings, was slightly above one for the first time since the third quarter of fiscal 2008, and our third quarter opening backlog was up from last quarter. In addition, order levels were stable throughout the second quarter and have remained at these levels through the first two weeks of May. Nevertheless, our lead times remain short and we are still receiving a significant portion of new orders as turns orders, thereby limiting visibility.”</w:t>
      </w:r>
    </w:p>
    <w:p>
      <w:pPr>
        <w:spacing w:after="0" w:line="151"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Mr. Fishman continued, “Given these factors, we’re planning for our third quarter revenue to be approximately flat on a sequential basis. We plan to continue to reduce inventories in the third quarter, and to keep very tight control over operating expenses. As a result, we expect gross margins to be approximately 54% to 55%, depending on end market revenue mix and factory utilization, and are planning for operating expenses to remain approximately flat sequentially. In addition, we expect our tax rate to be approximately 21% for the remainder of the fiscal year. As a result, we are planning for diluted EPS from continuing operations for the third quarter to be approximately $0.17 to $0.19.”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113665</wp:posOffset>
            </wp:positionV>
            <wp:extent cx="727202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Conference Call Scheduled for 5:00 pm ET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Mr. Fishman will discuss the second fiscal quarter’s results and short-term outlook via webcast, accessible at investor.analog.com, today, beginning at 5:00 pm ET. Investors who prefer to join by telephone may call 706-634-7193 ten minutes before the call begins and provide the password "ADI."</w:t>
      </w:r>
    </w:p>
    <w:p>
      <w:pPr>
        <w:spacing w:after="0" w:line="186"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 replay will be available almost immediately after the call. The replay may be accessed for up to one week by dialing 800-642-1687 (replay only) and providing the conference ID: 98539131, or by visiting investor.analog.com.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This release includes non-GAAP financial measures for prior periods that are not in accordance with, nor an alternative to, generally accepted accounting principles and may be different from non-GAAP measures used by other companies. In addition, these non-GAAP measures are not based on any comprehensive set of accounting rules or principles. A table reconciling the Company’s non-GAAP measures to GAAP measures is provided in this release.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Manner in Which Management Uses the Non-GAAP Financial Measures</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Management uses non-GAAP operating expenses, non-GAAP operating income, and non-GAAP diluted earnings per share to evaluate the Company’s operating performance against past periods and to budget and allocate resources in future periods. These non-GAAP measures also assist management in understanding and evaluating the underlying baseline operating results and trends in the Company’s business.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Economic Substance Behind Management’s Decision to Use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The items excluded from the non-GAAP measures were excluded because they are of a non-recurring or non-cash nature.</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item is excluded from our non-GAAP operating expenses, our non-GAAP operating income, and our non-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GAAP diluted earnings per share:</w:t>
      </w:r>
    </w:p>
    <w:p>
      <w:pPr>
        <w:spacing w:after="0" w:line="188"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i w:val="1"/>
          <w:iCs w:val="1"/>
          <w:color w:val="auto"/>
        </w:rPr>
        <w:t xml:space="preserve">Restructuring-Related Expenses. </w:t>
      </w:r>
      <w:r>
        <w:rPr>
          <w:rFonts w:ascii="Arial" w:cs="Arial" w:eastAsia="Arial" w:hAnsi="Arial"/>
          <w:sz w:val="21"/>
          <w:szCs w:val="21"/>
          <w:color w:val="auto"/>
        </w:rPr>
        <w:t>These expenses are incurred in connection with facility closures, consolidation of manufacturing</w:t>
      </w:r>
      <w:r>
        <w:rPr>
          <w:rFonts w:ascii="Arial" w:cs="Arial" w:eastAsia="Arial" w:hAnsi="Arial"/>
          <w:sz w:val="21"/>
          <w:szCs w:val="21"/>
          <w:i w:val="1"/>
          <w:iCs w:val="1"/>
          <w:color w:val="auto"/>
        </w:rPr>
        <w:t xml:space="preserve"> </w:t>
      </w:r>
      <w:r>
        <w:rPr>
          <w:rFonts w:ascii="Arial" w:cs="Arial" w:eastAsia="Arial" w:hAnsi="Arial"/>
          <w:sz w:val="21"/>
          <w:szCs w:val="21"/>
          <w:color w:val="auto"/>
        </w:rPr>
        <w:t>facilities, and other cost reduction efforts. Apart from ongoing expense savings as a result of such items, these expenses and the related tax effects have no direct correlation to the operation of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27202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11" w:right="3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Why Management Believes the Non-GAAP Financial Measures Provide Useful Information to Investors</w:t>
      </w:r>
    </w:p>
    <w:p>
      <w:pPr>
        <w:spacing w:after="0" w:line="213" w:lineRule="exact"/>
        <w:rPr>
          <w:sz w:val="20"/>
          <w:szCs w:val="20"/>
          <w:color w:val="auto"/>
        </w:rPr>
      </w:pPr>
    </w:p>
    <w:p>
      <w:pPr>
        <w:jc w:val="both"/>
        <w:ind w:right="540"/>
        <w:spacing w:after="0"/>
        <w:rPr>
          <w:sz w:val="20"/>
          <w:szCs w:val="20"/>
          <w:color w:val="auto"/>
        </w:rPr>
      </w:pPr>
      <w:r>
        <w:rPr>
          <w:rFonts w:ascii="Arial" w:cs="Arial" w:eastAsia="Arial" w:hAnsi="Arial"/>
          <w:sz w:val="22"/>
          <w:szCs w:val="22"/>
          <w:color w:val="auto"/>
        </w:rPr>
        <w:t>Management believes that the presentation of non-GAAP operating expenses, non-GAAP operating income, and non-GAAP diluted EPS is useful to investors because it provides investors with the operating results that management uses to manage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Material Limitations Associated with Use of the Non-GAAP Financial Measures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Analog Devices believes that non-GAAP operating expenses, non-GAAP operating income, and non-GAAP diluted EPS have material limitations in that they do not reflect all of the amounts associated with our results of operations as determined in accordance with GAAP and that these measures should only be used to evaluate our results of operations in conjunction with the corresponding GAAP measures. In addition, our non-GAAP measures may not be comparable to the non-GAAP measures reported by other companies. The Company’s use of non-GAAP measures, and the underlying methodology in excluding certain items, is not necessarily an indication of the results of operations that may be expected in the future, or that the Company will not, in fact, record such items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Compensation for Limitations of Non-GAAP Financial Measures</w:t>
      </w:r>
    </w:p>
    <w:p>
      <w:pPr>
        <w:spacing w:after="0" w:line="21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Management compensates for these material limitations in non-GAAP operating expenses, non-GAAP operating income, and non-GAAP diluted EPS by also evaluating our GAAP results and the reconciliations of our non-GAAP measures to the most directly comparable GAAP measures. Investors should consider our non-GAAP financial measures in conjunction with the corresponding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Analog Devices, Inc.</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Celebrating over 40 years as a leading global manufacturer of high-performance integrated circuits used in analog and digital signal processing applications, Analog Devices is headquartered in Norwood, Massachusetts, with design and manufacturing facilities throughout the world. Analog Devices' common stock is listed on the New York Stock Exchange under the ticker “ADI” and is included in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9"/>
          <w:szCs w:val="19"/>
          <w:i w:val="1"/>
          <w:iCs w:val="1"/>
          <w:color w:val="auto"/>
        </w:rPr>
        <w:t>This release may be deemed to contain forward-looking statements which include, among other things, our statements regarding expected revenue, earnings, operating expenses, gross margins, restructuring charges, and other financial results, expected customer demand for our products, and expected results of our ongoing expense reduction efforts, that are based on our current expectations, beliefs, assumptions, estimates, forecasts, and projections about the industry and markets in which Analog Devices operates. The statements contained in this release are not guarantees of future performance, are inherently uncertain, involve certain risks, uncertainties, and assumptions that are difficult to predict, and do not give effect to the potential impact of any mergers, acquisitions, divestitures, or business combinations that may be announced or closed after the date hereof. Therefore, actual outcomes and results may differ materially from what is expressed in such forward-looking statements, and such statements should not be relied upon as representing Analog Devices’ expectations or beliefs as of any date subsequent to the date of this press release. We do not undertake any obligation to update forward-looking statements made by us. Important factors that may affect future operating results include: continuing adversity in economic conditions in the United States and internationally as a result of the ongoing crisis in global credit and financial markets, further erosion of consumer confidence and further declines in customer spending, the effects of declines in customer demand for our products and for end products that incorporate our products, competitive pricing pressures, unavailability of raw materials or wafer fabrication, assembly and test capacity, any delay or cancellation of significant customer orders, changes in geographic, product or customer mix, adverse results in litigation matters, and other risk factors described in our most recent filings with the Securities and Exchange Commission. Our results of operations for the periods presented in this release are not necessarily indicative of our operating results for any future periods. Any projections in this release are based on limited information currently available to Analog Devices, which is subject to change. Although any such projections and the factors influencing them will likely change, we will not necessarily update the information, as we will only provide guidance at certain points during the year. Such information speaks only as of the original issuance date of this release.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 The use of the word partner does not imply a partnership relationship between Analog Devices and any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Analog Devices, Second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Sales/Earnings Summary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4"/>
              </w:rPr>
              <w:t>2Q 09</w:t>
            </w:r>
          </w:p>
        </w:tc>
        <w:tc>
          <w:tcPr>
            <w:tcW w:w="400" w:type="dxa"/>
            <w:vAlign w:val="bottom"/>
          </w:tcPr>
          <w:p>
            <w:pPr>
              <w:spacing w:after="0"/>
              <w:rPr>
                <w:sz w:val="13"/>
                <w:szCs w:val="13"/>
                <w:color w:val="auto"/>
              </w:rPr>
            </w:pPr>
          </w:p>
        </w:tc>
        <w:tc>
          <w:tcPr>
            <w:tcW w:w="1160" w:type="dxa"/>
            <w:vAlign w:val="bottom"/>
          </w:tcPr>
          <w:p>
            <w:pPr>
              <w:jc w:val="center"/>
              <w:ind w:right="328"/>
              <w:spacing w:after="0" w:line="160" w:lineRule="exact"/>
              <w:rPr>
                <w:sz w:val="20"/>
                <w:szCs w:val="20"/>
                <w:color w:val="auto"/>
              </w:rPr>
            </w:pPr>
            <w:r>
              <w:rPr>
                <w:rFonts w:ascii="Arial" w:cs="Arial" w:eastAsia="Arial" w:hAnsi="Arial"/>
                <w:sz w:val="14"/>
                <w:szCs w:val="14"/>
                <w:b w:val="1"/>
                <w:bCs w:val="1"/>
                <w:color w:val="auto"/>
                <w:w w:val="94"/>
              </w:rPr>
              <w:t>1Q 09</w:t>
            </w:r>
          </w:p>
        </w:tc>
        <w:tc>
          <w:tcPr>
            <w:tcW w:w="360" w:type="dxa"/>
            <w:vAlign w:val="bottom"/>
          </w:tcPr>
          <w:p>
            <w:pPr>
              <w:spacing w:after="0"/>
              <w:rPr>
                <w:sz w:val="13"/>
                <w:szCs w:val="13"/>
                <w:color w:val="auto"/>
              </w:rPr>
            </w:pPr>
          </w:p>
        </w:tc>
        <w:tc>
          <w:tcPr>
            <w:tcW w:w="1060" w:type="dxa"/>
            <w:vAlign w:val="bottom"/>
          </w:tcPr>
          <w:p>
            <w:pPr>
              <w:jc w:val="center"/>
              <w:ind w:right="268"/>
              <w:spacing w:after="0" w:line="160" w:lineRule="exact"/>
              <w:rPr>
                <w:sz w:val="20"/>
                <w:szCs w:val="20"/>
                <w:color w:val="auto"/>
              </w:rPr>
            </w:pPr>
            <w:r>
              <w:rPr>
                <w:rFonts w:ascii="Arial" w:cs="Arial" w:eastAsia="Arial" w:hAnsi="Arial"/>
                <w:sz w:val="14"/>
                <w:szCs w:val="14"/>
                <w:b w:val="1"/>
                <w:bCs w:val="1"/>
                <w:color w:val="auto"/>
                <w:w w:val="94"/>
              </w:rPr>
              <w:t>2Q 08</w:t>
            </w:r>
          </w:p>
        </w:tc>
      </w:tr>
      <w:tr>
        <w:trPr>
          <w:trHeight w:val="176"/>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May 2,</w:t>
            </w:r>
          </w:p>
        </w:tc>
        <w:tc>
          <w:tcPr>
            <w:tcW w:w="400" w:type="dxa"/>
            <w:vAlign w:val="bottom"/>
          </w:tcPr>
          <w:p>
            <w:pPr>
              <w:spacing w:after="0"/>
              <w:rPr>
                <w:sz w:val="15"/>
                <w:szCs w:val="15"/>
                <w:color w:val="auto"/>
              </w:rPr>
            </w:pPr>
          </w:p>
        </w:tc>
        <w:tc>
          <w:tcPr>
            <w:tcW w:w="116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Jan. 31,</w:t>
            </w:r>
          </w:p>
        </w:tc>
        <w:tc>
          <w:tcPr>
            <w:tcW w:w="360" w:type="dxa"/>
            <w:vAlign w:val="bottom"/>
          </w:tcPr>
          <w:p>
            <w:pPr>
              <w:spacing w:after="0"/>
              <w:rPr>
                <w:sz w:val="15"/>
                <w:szCs w:val="15"/>
                <w:color w:val="auto"/>
              </w:rPr>
            </w:pPr>
          </w:p>
        </w:tc>
        <w:tc>
          <w:tcPr>
            <w:tcW w:w="106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May 3,</w:t>
            </w:r>
          </w:p>
        </w:tc>
      </w:tr>
      <w:tr>
        <w:trPr>
          <w:trHeight w:val="185"/>
        </w:trPr>
        <w:tc>
          <w:tcPr>
            <w:tcW w:w="20" w:type="dxa"/>
            <w:vAlign w:val="bottom"/>
          </w:tcPr>
          <w:p>
            <w:pPr>
              <w:spacing w:after="0"/>
              <w:rPr>
                <w:sz w:val="16"/>
                <w:szCs w:val="16"/>
                <w:color w:val="auto"/>
              </w:rPr>
            </w:pPr>
          </w:p>
        </w:tc>
        <w:tc>
          <w:tcPr>
            <w:tcW w:w="7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2009</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6"/>
              </w:rPr>
              <w:t>2008</w:t>
            </w:r>
          </w:p>
        </w:tc>
      </w:tr>
      <w:tr>
        <w:trPr>
          <w:trHeight w:val="164"/>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474,748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476,569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649,340</w:t>
            </w:r>
          </w:p>
        </w:tc>
      </w:tr>
      <w:tr>
        <w:trPr>
          <w:trHeight w:val="176"/>
        </w:trPr>
        <w:tc>
          <w:tcPr>
            <w:tcW w:w="20" w:type="dxa"/>
            <w:vAlign w:val="bottom"/>
          </w:tcPr>
          <w:p>
            <w:pPr>
              <w:spacing w:after="0"/>
              <w:rPr>
                <w:sz w:val="15"/>
                <w:szCs w:val="15"/>
                <w:color w:val="auto"/>
              </w:rPr>
            </w:pPr>
          </w:p>
        </w:tc>
        <w:tc>
          <w:tcPr>
            <w:tcW w:w="7040" w:type="dxa"/>
            <w:vAlign w:val="bottom"/>
          </w:tcPr>
          <w:p>
            <w:pPr>
              <w:ind w:left="200"/>
              <w:spacing w:after="0"/>
              <w:rPr>
                <w:sz w:val="20"/>
                <w:szCs w:val="20"/>
                <w:color w:val="auto"/>
              </w:rPr>
            </w:pPr>
            <w:r>
              <w:rPr>
                <w:rFonts w:ascii="Arial" w:cs="Arial" w:eastAsia="Arial" w:hAnsi="Arial"/>
                <w:sz w:val="14"/>
                <w:szCs w:val="14"/>
                <w:color w:val="auto"/>
              </w:rPr>
              <w:t>Year-to-year growth</w:t>
            </w:r>
          </w:p>
        </w:tc>
        <w:tc>
          <w:tcPr>
            <w:tcW w:w="3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-26.9%</w:t>
            </w:r>
          </w:p>
        </w:tc>
        <w:tc>
          <w:tcPr>
            <w:tcW w:w="400" w:type="dxa"/>
            <w:vAlign w:val="bottom"/>
          </w:tcPr>
          <w:p>
            <w:pPr>
              <w:spacing w:after="0"/>
              <w:rPr>
                <w:sz w:val="15"/>
                <w:szCs w:val="15"/>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-22.4%</w:t>
            </w: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8.7%</w:t>
            </w:r>
          </w:p>
        </w:tc>
      </w:tr>
      <w:tr>
        <w:trPr>
          <w:trHeight w:val="176"/>
        </w:trPr>
        <w:tc>
          <w:tcPr>
            <w:tcW w:w="20" w:type="dxa"/>
            <w:vAlign w:val="bottom"/>
          </w:tcPr>
          <w:p>
            <w:pPr>
              <w:spacing w:after="0"/>
              <w:rPr>
                <w:sz w:val="15"/>
                <w:szCs w:val="15"/>
                <w:color w:val="auto"/>
              </w:rPr>
            </w:pPr>
          </w:p>
        </w:tc>
        <w:tc>
          <w:tcPr>
            <w:tcW w:w="7040" w:type="dxa"/>
            <w:vAlign w:val="bottom"/>
          </w:tcPr>
          <w:p>
            <w:pPr>
              <w:ind w:left="200"/>
              <w:spacing w:after="0"/>
              <w:rPr>
                <w:sz w:val="20"/>
                <w:szCs w:val="20"/>
                <w:color w:val="auto"/>
              </w:rPr>
            </w:pPr>
            <w:r>
              <w:rPr>
                <w:rFonts w:ascii="Arial" w:cs="Arial" w:eastAsia="Arial" w:hAnsi="Arial"/>
                <w:sz w:val="14"/>
                <w:szCs w:val="14"/>
                <w:color w:val="auto"/>
              </w:rPr>
              <w:t>Quarter-to-quarter change</w:t>
            </w:r>
          </w:p>
        </w:tc>
        <w:tc>
          <w:tcPr>
            <w:tcW w:w="30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400" w:type="dxa"/>
            <w:vAlign w:val="bottom"/>
          </w:tcPr>
          <w:p>
            <w:pPr>
              <w:spacing w:after="0"/>
              <w:rPr>
                <w:sz w:val="15"/>
                <w:szCs w:val="15"/>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-27.9%</w:t>
            </w:r>
          </w:p>
        </w:tc>
        <w:tc>
          <w:tcPr>
            <w:tcW w:w="36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5.8%</w:t>
            </w:r>
          </w:p>
        </w:tc>
      </w:tr>
      <w:tr>
        <w:trPr>
          <w:trHeight w:val="18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Cost of sales (1)</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213,196</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207,567</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253,319</w:t>
            </w:r>
          </w:p>
        </w:tc>
      </w:tr>
      <w:tr>
        <w:trPr>
          <w:trHeight w:val="164"/>
        </w:trPr>
        <w:tc>
          <w:tcPr>
            <w:tcW w:w="7060" w:type="dxa"/>
            <w:vAlign w:val="bottom"/>
            <w:gridSpan w:val="2"/>
          </w:tcPr>
          <w:p>
            <w:pPr>
              <w:spacing w:after="0"/>
              <w:rPr>
                <w:sz w:val="20"/>
                <w:szCs w:val="20"/>
                <w:color w:val="auto"/>
              </w:rPr>
            </w:pPr>
            <w:r>
              <w:rPr>
                <w:rFonts w:ascii="Arial" w:cs="Arial" w:eastAsia="Arial" w:hAnsi="Arial"/>
                <w:sz w:val="14"/>
                <w:szCs w:val="14"/>
                <w:color w:val="auto"/>
              </w:rPr>
              <w:t>Gross margin</w:t>
            </w:r>
          </w:p>
        </w:tc>
        <w:tc>
          <w:tcPr>
            <w:tcW w:w="3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261,552</w:t>
            </w:r>
          </w:p>
        </w:tc>
        <w:tc>
          <w:tcPr>
            <w:tcW w:w="4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269,002</w:t>
            </w: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396,021</w:t>
            </w:r>
          </w:p>
        </w:tc>
      </w:tr>
      <w:tr>
        <w:trPr>
          <w:trHeight w:val="18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Gross margin percentage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55.1%</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56.4%</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61.0%</w:t>
            </w:r>
          </w:p>
        </w:tc>
      </w:tr>
      <w:tr>
        <w:trPr>
          <w:trHeight w:val="164"/>
        </w:trPr>
        <w:tc>
          <w:tcPr>
            <w:tcW w:w="70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40" w:type="dxa"/>
            <w:vAlign w:val="bottom"/>
          </w:tcPr>
          <w:p>
            <w:pPr>
              <w:ind w:left="200"/>
              <w:spacing w:after="0"/>
              <w:rPr>
                <w:sz w:val="20"/>
                <w:szCs w:val="20"/>
                <w:color w:val="auto"/>
              </w:rPr>
            </w:pPr>
            <w:r>
              <w:rPr>
                <w:rFonts w:ascii="Arial" w:cs="Arial" w:eastAsia="Arial" w:hAnsi="Arial"/>
                <w:sz w:val="14"/>
                <w:szCs w:val="14"/>
                <w:color w:val="auto"/>
              </w:rPr>
              <w:t>R&amp;D (1)</w:t>
            </w:r>
          </w:p>
        </w:tc>
        <w:tc>
          <w:tcPr>
            <w:tcW w:w="30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109,448</w:t>
            </w:r>
          </w:p>
        </w:tc>
        <w:tc>
          <w:tcPr>
            <w:tcW w:w="40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119,828</w:t>
            </w:r>
          </w:p>
        </w:tc>
        <w:tc>
          <w:tcPr>
            <w:tcW w:w="36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134,653</w:t>
            </w:r>
          </w:p>
        </w:tc>
      </w:tr>
      <w:tr>
        <w:trPr>
          <w:trHeight w:val="176"/>
        </w:trPr>
        <w:tc>
          <w:tcPr>
            <w:tcW w:w="20" w:type="dxa"/>
            <w:vAlign w:val="bottom"/>
          </w:tcPr>
          <w:p>
            <w:pPr>
              <w:spacing w:after="0"/>
              <w:rPr>
                <w:sz w:val="15"/>
                <w:szCs w:val="15"/>
                <w:color w:val="auto"/>
              </w:rPr>
            </w:pPr>
          </w:p>
        </w:tc>
        <w:tc>
          <w:tcPr>
            <w:tcW w:w="7040" w:type="dxa"/>
            <w:vAlign w:val="bottom"/>
          </w:tcPr>
          <w:p>
            <w:pPr>
              <w:ind w:left="200"/>
              <w:spacing w:after="0"/>
              <w:rPr>
                <w:sz w:val="20"/>
                <w:szCs w:val="20"/>
                <w:color w:val="auto"/>
              </w:rPr>
            </w:pPr>
            <w:r>
              <w:rPr>
                <w:rFonts w:ascii="Arial" w:cs="Arial" w:eastAsia="Arial" w:hAnsi="Arial"/>
                <w:sz w:val="14"/>
                <w:szCs w:val="14"/>
                <w:color w:val="auto"/>
              </w:rPr>
              <w:t>Selling, marketing and G&amp;A (1)</w:t>
            </w:r>
          </w:p>
        </w:tc>
        <w:tc>
          <w:tcPr>
            <w:tcW w:w="30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82,276</w:t>
            </w:r>
          </w:p>
        </w:tc>
        <w:tc>
          <w:tcPr>
            <w:tcW w:w="40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87,846</w:t>
            </w:r>
          </w:p>
        </w:tc>
        <w:tc>
          <w:tcPr>
            <w:tcW w:w="36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104,183</w:t>
            </w:r>
          </w:p>
        </w:tc>
      </w:tr>
      <w:tr>
        <w:trPr>
          <w:trHeight w:val="181"/>
        </w:trPr>
        <w:tc>
          <w:tcPr>
            <w:tcW w:w="20" w:type="dxa"/>
            <w:vAlign w:val="bottom"/>
          </w:tcPr>
          <w:p>
            <w:pPr>
              <w:spacing w:after="0"/>
              <w:rPr>
                <w:sz w:val="15"/>
                <w:szCs w:val="15"/>
                <w:color w:val="auto"/>
              </w:rPr>
            </w:pPr>
          </w:p>
        </w:tc>
        <w:tc>
          <w:tcPr>
            <w:tcW w:w="7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Special charges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11,919</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41,737</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r>
      <w:tr>
        <w:trPr>
          <w:trHeight w:val="164"/>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Arial" w:cs="Arial" w:eastAsia="Arial" w:hAnsi="Arial"/>
                <w:sz w:val="14"/>
                <w:szCs w:val="14"/>
                <w:color w:val="auto"/>
              </w:rPr>
              <w:t>Operating income from continuing operations</w:t>
            </w:r>
          </w:p>
        </w:tc>
        <w:tc>
          <w:tcPr>
            <w:tcW w:w="3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57,909</w:t>
            </w:r>
          </w:p>
        </w:tc>
        <w:tc>
          <w:tcPr>
            <w:tcW w:w="4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19,591</w:t>
            </w: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157,185</w:t>
            </w:r>
          </w:p>
        </w:tc>
      </w:tr>
      <w:tr>
        <w:trPr>
          <w:trHeight w:val="18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(4,324)</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(8,367)</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(10,555)</w:t>
            </w:r>
          </w:p>
        </w:tc>
      </w:tr>
      <w:tr>
        <w:trPr>
          <w:trHeight w:val="164"/>
        </w:trPr>
        <w:tc>
          <w:tcPr>
            <w:tcW w:w="7060" w:type="dxa"/>
            <w:vAlign w:val="bottom"/>
            <w:gridSpan w:val="2"/>
          </w:tcPr>
          <w:p>
            <w:pPr>
              <w:spacing w:after="0"/>
              <w:rPr>
                <w:sz w:val="20"/>
                <w:szCs w:val="20"/>
                <w:color w:val="auto"/>
              </w:rPr>
            </w:pPr>
            <w:r>
              <w:rPr>
                <w:rFonts w:ascii="Arial" w:cs="Arial" w:eastAsia="Arial" w:hAnsi="Arial"/>
                <w:sz w:val="14"/>
                <w:szCs w:val="14"/>
                <w:color w:val="auto"/>
              </w:rPr>
              <w:t>Income from continuing operations before income tax</w:t>
            </w:r>
          </w:p>
        </w:tc>
        <w:tc>
          <w:tcPr>
            <w:tcW w:w="3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62,233</w:t>
            </w:r>
          </w:p>
        </w:tc>
        <w:tc>
          <w:tcPr>
            <w:tcW w:w="4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27,958</w:t>
            </w: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167,740</w:t>
            </w:r>
          </w:p>
        </w:tc>
      </w:tr>
      <w:tr>
        <w:trPr>
          <w:trHeight w:val="18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10,479</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3,373</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37,848</w:t>
            </w:r>
          </w:p>
        </w:tc>
      </w:tr>
      <w:tr>
        <w:trPr>
          <w:trHeight w:val="164"/>
        </w:trPr>
        <w:tc>
          <w:tcPr>
            <w:tcW w:w="7060" w:type="dxa"/>
            <w:vAlign w:val="bottom"/>
            <w:gridSpan w:val="2"/>
          </w:tcPr>
          <w:p>
            <w:pPr>
              <w:spacing w:after="0"/>
              <w:rPr>
                <w:sz w:val="20"/>
                <w:szCs w:val="20"/>
                <w:color w:val="auto"/>
              </w:rPr>
            </w:pPr>
            <w:r>
              <w:rPr>
                <w:rFonts w:ascii="Arial" w:cs="Arial" w:eastAsia="Arial" w:hAnsi="Arial"/>
                <w:sz w:val="14"/>
                <w:szCs w:val="14"/>
                <w:color w:val="auto"/>
              </w:rPr>
              <w:t>Income from continuing operations, net of tax</w:t>
            </w:r>
          </w:p>
        </w:tc>
        <w:tc>
          <w:tcPr>
            <w:tcW w:w="3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51,754</w:t>
            </w:r>
          </w:p>
        </w:tc>
        <w:tc>
          <w:tcPr>
            <w:tcW w:w="40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24,585</w:t>
            </w:r>
          </w:p>
        </w:tc>
        <w:tc>
          <w:tcPr>
            <w:tcW w:w="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129,892</w:t>
            </w:r>
          </w:p>
        </w:tc>
      </w:tr>
      <w:tr>
        <w:trPr>
          <w:trHeight w:val="18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Income from discontinued operations, net of tax</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364</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3,194</w:t>
            </w:r>
          </w:p>
        </w:tc>
      </w:tr>
      <w:tr>
        <w:trPr>
          <w:trHeight w:val="169"/>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51,754</w:t>
            </w: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24,949</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133,086</w:t>
            </w:r>
          </w:p>
        </w:tc>
      </w:tr>
      <w:tr>
        <w:trPr>
          <w:trHeight w:val="339"/>
        </w:trPr>
        <w:tc>
          <w:tcPr>
            <w:tcW w:w="7060" w:type="dxa"/>
            <w:vAlign w:val="bottom"/>
            <w:gridSpan w:val="2"/>
          </w:tcPr>
          <w:p>
            <w:pPr>
              <w:spacing w:after="0"/>
              <w:rPr>
                <w:sz w:val="20"/>
                <w:szCs w:val="20"/>
                <w:color w:val="auto"/>
              </w:rPr>
            </w:pPr>
            <w:r>
              <w:rPr>
                <w:rFonts w:ascii="Arial" w:cs="Arial" w:eastAsia="Arial" w:hAnsi="Arial"/>
                <w:sz w:val="14"/>
                <w:szCs w:val="14"/>
                <w:color w:val="auto"/>
              </w:rPr>
              <w:t>Shares used for EPS - basic</w:t>
            </w:r>
          </w:p>
        </w:tc>
        <w:tc>
          <w:tcPr>
            <w:tcW w:w="300" w:type="dxa"/>
            <w:vAlign w:val="bottom"/>
          </w:tcPr>
          <w:p>
            <w:pPr>
              <w:spacing w:after="0"/>
              <w:rPr>
                <w:sz w:val="24"/>
                <w:szCs w:val="2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291,227</w:t>
            </w:r>
          </w:p>
        </w:tc>
        <w:tc>
          <w:tcPr>
            <w:tcW w:w="400" w:type="dxa"/>
            <w:vAlign w:val="bottom"/>
          </w:tcPr>
          <w:p>
            <w:pPr>
              <w:spacing w:after="0"/>
              <w:rPr>
                <w:sz w:val="24"/>
                <w:szCs w:val="24"/>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291,187</w:t>
            </w:r>
          </w:p>
        </w:tc>
        <w:tc>
          <w:tcPr>
            <w:tcW w:w="360" w:type="dxa"/>
            <w:vAlign w:val="bottom"/>
          </w:tcPr>
          <w:p>
            <w:pPr>
              <w:spacing w:after="0"/>
              <w:rPr>
                <w:sz w:val="24"/>
                <w:szCs w:val="24"/>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290,389</w:t>
            </w:r>
          </w:p>
        </w:tc>
      </w:tr>
      <w:tr>
        <w:trPr>
          <w:trHeight w:val="182"/>
        </w:trPr>
        <w:tc>
          <w:tcPr>
            <w:tcW w:w="7060" w:type="dxa"/>
            <w:vAlign w:val="bottom"/>
            <w:gridSpan w:val="2"/>
          </w:tcPr>
          <w:p>
            <w:pPr>
              <w:spacing w:after="0"/>
              <w:rPr>
                <w:sz w:val="20"/>
                <w:szCs w:val="20"/>
                <w:color w:val="auto"/>
              </w:rPr>
            </w:pPr>
            <w:r>
              <w:rPr>
                <w:rFonts w:ascii="Arial" w:cs="Arial" w:eastAsia="Arial" w:hAnsi="Arial"/>
                <w:sz w:val="14"/>
                <w:szCs w:val="14"/>
                <w:color w:val="auto"/>
              </w:rPr>
              <w:t>Shares used for EPS - diluted</w:t>
            </w:r>
          </w:p>
        </w:tc>
        <w:tc>
          <w:tcPr>
            <w:tcW w:w="300" w:type="dxa"/>
            <w:vAlign w:val="bottom"/>
          </w:tcPr>
          <w:p>
            <w:pPr>
              <w:spacing w:after="0"/>
              <w:rPr>
                <w:sz w:val="15"/>
                <w:szCs w:val="15"/>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292,446</w:t>
            </w:r>
          </w:p>
        </w:tc>
        <w:tc>
          <w:tcPr>
            <w:tcW w:w="400" w:type="dxa"/>
            <w:vAlign w:val="bottom"/>
          </w:tcPr>
          <w:p>
            <w:pPr>
              <w:spacing w:after="0"/>
              <w:rPr>
                <w:sz w:val="15"/>
                <w:szCs w:val="15"/>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291,248</w:t>
            </w:r>
          </w:p>
        </w:tc>
        <w:tc>
          <w:tcPr>
            <w:tcW w:w="360" w:type="dxa"/>
            <w:vAlign w:val="bottom"/>
          </w:tcPr>
          <w:p>
            <w:pPr>
              <w:spacing w:after="0"/>
              <w:rPr>
                <w:sz w:val="15"/>
                <w:szCs w:val="15"/>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295,360</w:t>
            </w:r>
          </w:p>
        </w:tc>
      </w:tr>
      <w:tr>
        <w:trPr>
          <w:trHeight w:val="344"/>
        </w:trPr>
        <w:tc>
          <w:tcPr>
            <w:tcW w:w="706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0.08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0.45</w:t>
            </w:r>
          </w:p>
        </w:tc>
      </w:tr>
      <w:tr>
        <w:trPr>
          <w:trHeight w:val="182"/>
        </w:trPr>
        <w:tc>
          <w:tcPr>
            <w:tcW w:w="7060" w:type="dxa"/>
            <w:vAlign w:val="bottom"/>
            <w:gridSpan w:val="2"/>
          </w:tcPr>
          <w:p>
            <w:pPr>
              <w:spacing w:after="0"/>
              <w:rPr>
                <w:sz w:val="20"/>
                <w:szCs w:val="20"/>
                <w:color w:val="auto"/>
              </w:rPr>
            </w:pPr>
            <w:r>
              <w:rPr>
                <w:rFonts w:ascii="Arial" w:cs="Arial" w:eastAsia="Arial" w:hAnsi="Arial"/>
                <w:sz w:val="14"/>
                <w:szCs w:val="14"/>
                <w:color w:val="auto"/>
              </w:rPr>
              <w:t>Earnings per share from continuing operations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0.08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0.44</w:t>
            </w:r>
          </w:p>
        </w:tc>
      </w:tr>
      <w:tr>
        <w:trPr>
          <w:trHeight w:val="344"/>
        </w:trPr>
        <w:tc>
          <w:tcPr>
            <w:tcW w:w="7060" w:type="dxa"/>
            <w:vAlign w:val="bottom"/>
            <w:gridSpan w:val="2"/>
          </w:tcPr>
          <w:p>
            <w:pPr>
              <w:spacing w:after="0"/>
              <w:rPr>
                <w:sz w:val="20"/>
                <w:szCs w:val="20"/>
                <w:color w:val="auto"/>
              </w:rPr>
            </w:pPr>
            <w:r>
              <w:rPr>
                <w:rFonts w:ascii="Arial" w:cs="Arial" w:eastAsia="Arial" w:hAnsi="Arial"/>
                <w:sz w:val="14"/>
                <w:szCs w:val="14"/>
                <w:color w:val="auto"/>
              </w:rPr>
              <w:t>Earnings per share - basic</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0.09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0.46</w:t>
            </w:r>
          </w:p>
        </w:tc>
      </w:tr>
      <w:tr>
        <w:trPr>
          <w:trHeight w:val="182"/>
        </w:trPr>
        <w:tc>
          <w:tcPr>
            <w:tcW w:w="7060" w:type="dxa"/>
            <w:vAlign w:val="bottom"/>
            <w:gridSpan w:val="2"/>
          </w:tcPr>
          <w:p>
            <w:pPr>
              <w:spacing w:after="0"/>
              <w:rPr>
                <w:sz w:val="20"/>
                <w:szCs w:val="20"/>
                <w:color w:val="auto"/>
              </w:rPr>
            </w:pPr>
            <w:r>
              <w:rPr>
                <w:rFonts w:ascii="Arial" w:cs="Arial" w:eastAsia="Arial" w:hAnsi="Arial"/>
                <w:sz w:val="14"/>
                <w:szCs w:val="14"/>
                <w:color w:val="auto"/>
              </w:rPr>
              <w:t>Earnings per share - diluted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0.18</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0.09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0.45</w:t>
            </w:r>
          </w:p>
        </w:tc>
      </w:tr>
      <w:tr>
        <w:trPr>
          <w:trHeight w:val="350"/>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Dividends paid per share</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0.20</w:t>
            </w: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0.20</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0.18</w:t>
            </w:r>
          </w:p>
        </w:tc>
      </w:tr>
      <w:tr>
        <w:trPr>
          <w:trHeight w:val="339"/>
        </w:trPr>
        <w:tc>
          <w:tcPr>
            <w:tcW w:w="7060" w:type="dxa"/>
            <w:vAlign w:val="bottom"/>
            <w:gridSpan w:val="2"/>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40" w:type="dxa"/>
            <w:vAlign w:val="bottom"/>
          </w:tcPr>
          <w:p>
            <w:pPr>
              <w:ind w:left="460"/>
              <w:spacing w:after="0"/>
              <w:rPr>
                <w:sz w:val="20"/>
                <w:szCs w:val="20"/>
                <w:color w:val="auto"/>
              </w:rPr>
            </w:pPr>
            <w:r>
              <w:rPr>
                <w:rFonts w:ascii="Arial" w:cs="Arial" w:eastAsia="Arial" w:hAnsi="Arial"/>
                <w:sz w:val="14"/>
                <w:szCs w:val="14"/>
                <w:color w:val="auto"/>
              </w:rPr>
              <w:t>Cost of sales</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1,812</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1,580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1,906</w:t>
            </w:r>
          </w:p>
        </w:tc>
      </w:tr>
      <w:tr>
        <w:trPr>
          <w:trHeight w:val="176"/>
        </w:trPr>
        <w:tc>
          <w:tcPr>
            <w:tcW w:w="20" w:type="dxa"/>
            <w:vAlign w:val="bottom"/>
          </w:tcPr>
          <w:p>
            <w:pPr>
              <w:spacing w:after="0"/>
              <w:rPr>
                <w:sz w:val="15"/>
                <w:szCs w:val="15"/>
                <w:color w:val="auto"/>
              </w:rPr>
            </w:pPr>
          </w:p>
        </w:tc>
        <w:tc>
          <w:tcPr>
            <w:tcW w:w="7040" w:type="dxa"/>
            <w:vAlign w:val="bottom"/>
          </w:tcPr>
          <w:p>
            <w:pPr>
              <w:ind w:left="460"/>
              <w:spacing w:after="0"/>
              <w:rPr>
                <w:sz w:val="20"/>
                <w:szCs w:val="20"/>
                <w:color w:val="auto"/>
              </w:rPr>
            </w:pPr>
            <w:r>
              <w:rPr>
                <w:rFonts w:ascii="Arial" w:cs="Arial" w:eastAsia="Arial" w:hAnsi="Arial"/>
                <w:sz w:val="14"/>
                <w:szCs w:val="14"/>
                <w:color w:val="auto"/>
              </w:rPr>
              <w:t>R&amp;D</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6,051</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5,321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6,108</w:t>
            </w:r>
          </w:p>
        </w:tc>
      </w:tr>
      <w:tr>
        <w:trPr>
          <w:trHeight w:val="182"/>
        </w:trPr>
        <w:tc>
          <w:tcPr>
            <w:tcW w:w="20" w:type="dxa"/>
            <w:vAlign w:val="bottom"/>
          </w:tcPr>
          <w:p>
            <w:pPr>
              <w:spacing w:after="0"/>
              <w:rPr>
                <w:sz w:val="15"/>
                <w:szCs w:val="15"/>
                <w:color w:val="auto"/>
              </w:rPr>
            </w:pPr>
          </w:p>
        </w:tc>
        <w:tc>
          <w:tcPr>
            <w:tcW w:w="7040" w:type="dxa"/>
            <w:vAlign w:val="bottom"/>
          </w:tcPr>
          <w:p>
            <w:pPr>
              <w:ind w:left="460"/>
              <w:spacing w:after="0"/>
              <w:rPr>
                <w:sz w:val="20"/>
                <w:szCs w:val="20"/>
                <w:color w:val="auto"/>
              </w:rPr>
            </w:pPr>
            <w:r>
              <w:rPr>
                <w:rFonts w:ascii="Arial" w:cs="Arial" w:eastAsia="Arial" w:hAnsi="Arial"/>
                <w:sz w:val="14"/>
                <w:szCs w:val="14"/>
                <w:color w:val="auto"/>
              </w:rPr>
              <w:t>Selling, marketing and G&amp;A</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4,703</w:t>
            </w:r>
          </w:p>
        </w:tc>
        <w:tc>
          <w:tcPr>
            <w:tcW w:w="4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4,510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4,713</w:t>
            </w:r>
          </w:p>
        </w:tc>
      </w:tr>
      <w:tr>
        <w:trPr>
          <w:trHeight w:val="134"/>
        </w:trPr>
        <w:tc>
          <w:tcPr>
            <w:tcW w:w="20" w:type="dxa"/>
            <w:vAlign w:val="bottom"/>
          </w:tcPr>
          <w:p>
            <w:pPr>
              <w:spacing w:after="0"/>
              <w:rPr>
                <w:sz w:val="11"/>
                <w:szCs w:val="11"/>
                <w:color w:val="auto"/>
              </w:rPr>
            </w:pPr>
          </w:p>
        </w:tc>
        <w:tc>
          <w:tcPr>
            <w:tcW w:w="704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70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1"/>
              </w:rPr>
              <w:t>Analog Devices, Second Quarter, Fiscal 2009</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Schedule B</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3"/>
              </w:rPr>
              <w:t>Selected Balance Sheet Information (GAAP)</w:t>
            </w: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58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center"/>
              <w:ind w:right="428"/>
              <w:spacing w:after="0"/>
              <w:rPr>
                <w:sz w:val="20"/>
                <w:szCs w:val="20"/>
                <w:color w:val="auto"/>
              </w:rPr>
            </w:pPr>
            <w:r>
              <w:rPr>
                <w:rFonts w:ascii="Arial" w:cs="Arial" w:eastAsia="Arial" w:hAnsi="Arial"/>
                <w:sz w:val="14"/>
                <w:szCs w:val="14"/>
                <w:b w:val="1"/>
                <w:bCs w:val="1"/>
                <w:color w:val="auto"/>
                <w:w w:val="94"/>
              </w:rPr>
              <w:t>2Q 09</w:t>
            </w:r>
          </w:p>
        </w:tc>
        <w:tc>
          <w:tcPr>
            <w:tcW w:w="300" w:type="dxa"/>
            <w:vAlign w:val="bottom"/>
          </w:tcPr>
          <w:p>
            <w:pPr>
              <w:spacing w:after="0"/>
              <w:rPr>
                <w:sz w:val="24"/>
                <w:szCs w:val="24"/>
                <w:color w:val="auto"/>
              </w:rPr>
            </w:pPr>
          </w:p>
        </w:tc>
        <w:tc>
          <w:tcPr>
            <w:tcW w:w="1240" w:type="dxa"/>
            <w:vAlign w:val="bottom"/>
          </w:tcPr>
          <w:p>
            <w:pPr>
              <w:jc w:val="center"/>
              <w:ind w:right="328"/>
              <w:spacing w:after="0"/>
              <w:rPr>
                <w:sz w:val="20"/>
                <w:szCs w:val="20"/>
                <w:color w:val="auto"/>
              </w:rPr>
            </w:pPr>
            <w:r>
              <w:rPr>
                <w:rFonts w:ascii="Arial" w:cs="Arial" w:eastAsia="Arial" w:hAnsi="Arial"/>
                <w:sz w:val="14"/>
                <w:szCs w:val="14"/>
                <w:b w:val="1"/>
                <w:bCs w:val="1"/>
                <w:color w:val="auto"/>
                <w:w w:val="94"/>
              </w:rPr>
              <w:t>1Q 09</w:t>
            </w:r>
          </w:p>
        </w:tc>
        <w:tc>
          <w:tcPr>
            <w:tcW w:w="34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2Q 08</w:t>
            </w:r>
          </w:p>
        </w:tc>
      </w:tr>
      <w:tr>
        <w:trPr>
          <w:trHeight w:val="176"/>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center"/>
              <w:ind w:right="408"/>
              <w:spacing w:after="0"/>
              <w:rPr>
                <w:sz w:val="20"/>
                <w:szCs w:val="20"/>
                <w:color w:val="auto"/>
              </w:rPr>
            </w:pPr>
            <w:r>
              <w:rPr>
                <w:rFonts w:ascii="Arial" w:cs="Arial" w:eastAsia="Arial" w:hAnsi="Arial"/>
                <w:sz w:val="14"/>
                <w:szCs w:val="14"/>
                <w:b w:val="1"/>
                <w:bCs w:val="1"/>
                <w:color w:val="auto"/>
                <w:w w:val="98"/>
              </w:rPr>
              <w:t>May 2,</w:t>
            </w:r>
          </w:p>
        </w:tc>
        <w:tc>
          <w:tcPr>
            <w:tcW w:w="300" w:type="dxa"/>
            <w:vAlign w:val="bottom"/>
          </w:tcPr>
          <w:p>
            <w:pPr>
              <w:spacing w:after="0"/>
              <w:rPr>
                <w:sz w:val="15"/>
                <w:szCs w:val="15"/>
                <w:color w:val="auto"/>
              </w:rPr>
            </w:pPr>
          </w:p>
        </w:tc>
        <w:tc>
          <w:tcPr>
            <w:tcW w:w="124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Jan. 31,</w:t>
            </w:r>
          </w:p>
        </w:tc>
        <w:tc>
          <w:tcPr>
            <w:tcW w:w="340" w:type="dxa"/>
            <w:vAlign w:val="bottom"/>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May 3,</w:t>
            </w:r>
          </w:p>
        </w:tc>
      </w:tr>
      <w:tr>
        <w:trPr>
          <w:trHeight w:val="185"/>
        </w:trPr>
        <w:tc>
          <w:tcPr>
            <w:tcW w:w="2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9"/>
              </w:rPr>
              <w:t>2009</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6"/>
                <w:szCs w:val="16"/>
                <w:color w:val="auto"/>
              </w:rPr>
            </w:pPr>
          </w:p>
        </w:tc>
      </w:tr>
      <w:tr>
        <w:trPr>
          <w:trHeight w:val="164"/>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Cash &amp; short-term investments</w:t>
            </w:r>
          </w:p>
        </w:tc>
        <w:tc>
          <w:tcPr>
            <w:tcW w:w="3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1,285,478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1,283,131</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1,185,179</w:t>
            </w:r>
          </w:p>
        </w:tc>
        <w:tc>
          <w:tcPr>
            <w:tcW w:w="20" w:type="dxa"/>
            <w:vAlign w:val="bottom"/>
          </w:tcPr>
          <w:p>
            <w:pPr>
              <w:spacing w:after="0"/>
              <w:rPr>
                <w:sz w:val="14"/>
                <w:szCs w:val="14"/>
                <w:color w:val="auto"/>
              </w:rPr>
            </w:pP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Accounts receivable,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228,520</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235,352</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332,288</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Inventories (1)</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304,834</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320,967</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319,421</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assets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11,122</w:t>
            </w:r>
          </w:p>
        </w:tc>
      </w:tr>
      <w:tr>
        <w:trPr>
          <w:trHeight w:val="181"/>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123,381</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134,892</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140,359</w:t>
            </w:r>
          </w:p>
        </w:tc>
      </w:tr>
      <w:tr>
        <w:trPr>
          <w:trHeight w:val="164"/>
        </w:trPr>
        <w:tc>
          <w:tcPr>
            <w:tcW w:w="20" w:type="dxa"/>
            <w:vAlign w:val="bottom"/>
          </w:tcPr>
          <w:p>
            <w:pPr>
              <w:spacing w:after="0"/>
              <w:rPr>
                <w:sz w:val="14"/>
                <w:szCs w:val="14"/>
                <w:color w:val="auto"/>
              </w:rPr>
            </w:pPr>
          </w:p>
        </w:tc>
        <w:tc>
          <w:tcPr>
            <w:tcW w:w="358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Total current assets</w:t>
            </w:r>
          </w:p>
        </w:tc>
        <w:tc>
          <w:tcPr>
            <w:tcW w:w="1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1,942,213</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1,974,342</w:t>
            </w: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1,988,369</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PP&amp;E, net</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515,937</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537,198</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555,430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Investments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8,698</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7,578</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37,920</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Goodwill and intangible assets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251,803</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244,712</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277,215</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94,651</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93,323</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95,216</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Non-current assets of discontinued operations</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62,037</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62,037</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62,037</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3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2,875,339</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2,919,190</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3,016,187</w:t>
            </w:r>
          </w:p>
        </w:tc>
      </w:tr>
      <w:tr>
        <w:trPr>
          <w:trHeight w:val="339"/>
        </w:trPr>
        <w:tc>
          <w:tcPr>
            <w:tcW w:w="3600" w:type="dxa"/>
            <w:vAlign w:val="bottom"/>
            <w:gridSpan w:val="2"/>
          </w:tcPr>
          <w:p>
            <w:pPr>
              <w:spacing w:after="0"/>
              <w:rPr>
                <w:sz w:val="20"/>
                <w:szCs w:val="20"/>
                <w:color w:val="auto"/>
              </w:rPr>
            </w:pPr>
            <w:r>
              <w:rPr>
                <w:rFonts w:ascii="Arial" w:cs="Arial" w:eastAsia="Arial" w:hAnsi="Arial"/>
                <w:sz w:val="14"/>
                <w:szCs w:val="14"/>
                <w:color w:val="auto"/>
              </w:rPr>
              <w:t>Deferred income on shipments to distributors, net</w:t>
            </w:r>
          </w:p>
        </w:tc>
        <w:tc>
          <w:tcPr>
            <w:tcW w:w="35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124,792</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151,147</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174,349</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Current liabilities of discontinued operations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5,305</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6,676</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105,601</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234,951</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282,431</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343,007</w:t>
            </w:r>
          </w:p>
        </w:tc>
      </w:tr>
      <w:tr>
        <w:trPr>
          <w:trHeight w:val="176"/>
        </w:trPr>
        <w:tc>
          <w:tcPr>
            <w:tcW w:w="360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1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90,040</w:t>
            </w: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76,871</w:t>
            </w:r>
          </w:p>
        </w:tc>
        <w:tc>
          <w:tcPr>
            <w:tcW w:w="34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89,348</w:t>
            </w:r>
          </w:p>
        </w:tc>
      </w:tr>
      <w:tr>
        <w:trPr>
          <w:trHeight w:val="181"/>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Stockholders' equity</w:t>
            </w:r>
          </w:p>
        </w:tc>
        <w:tc>
          <w:tcPr>
            <w:tcW w:w="17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2,420,251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2,402,065</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2,303,882</w:t>
            </w:r>
          </w:p>
        </w:tc>
      </w:tr>
      <w:tr>
        <w:trPr>
          <w:trHeight w:val="169"/>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liabilities &amp; equity</w:t>
            </w:r>
          </w:p>
        </w:tc>
        <w:tc>
          <w:tcPr>
            <w:tcW w:w="3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2,875,339</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2,919,190</w:t>
            </w: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3,016,187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Includes $2,261, $2,390 and $2,563 related to stock-based compensation in 2Q09, 1Q09 and 2Q08,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Analog Devices, Second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Cash Flow Statement (GAAP)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2Q 09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center"/>
              <w:ind w:right="228"/>
              <w:spacing w:after="0" w:line="160" w:lineRule="exact"/>
              <w:rPr>
                <w:sz w:val="20"/>
                <w:szCs w:val="20"/>
                <w:color w:val="auto"/>
              </w:rPr>
            </w:pPr>
            <w:r>
              <w:rPr>
                <w:rFonts w:ascii="Arial" w:cs="Arial" w:eastAsia="Arial" w:hAnsi="Arial"/>
                <w:sz w:val="14"/>
                <w:szCs w:val="14"/>
                <w:b w:val="1"/>
                <w:bCs w:val="1"/>
                <w:color w:val="auto"/>
                <w:w w:val="94"/>
              </w:rPr>
              <w:t>1Q 09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2Q 08</w:t>
            </w:r>
          </w:p>
        </w:tc>
      </w:tr>
      <w:tr>
        <w:trPr>
          <w:trHeight w:val="176"/>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248"/>
              <w:spacing w:after="0"/>
              <w:rPr>
                <w:sz w:val="20"/>
                <w:szCs w:val="20"/>
                <w:color w:val="auto"/>
              </w:rPr>
            </w:pPr>
            <w:r>
              <w:rPr>
                <w:rFonts w:ascii="Arial" w:cs="Arial" w:eastAsia="Arial" w:hAnsi="Arial"/>
                <w:sz w:val="14"/>
                <w:szCs w:val="14"/>
                <w:b w:val="1"/>
                <w:bCs w:val="1"/>
                <w:color w:val="auto"/>
              </w:rPr>
              <w:t>May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28"/>
              <w:spacing w:after="0"/>
              <w:rPr>
                <w:sz w:val="20"/>
                <w:szCs w:val="20"/>
                <w:color w:val="auto"/>
              </w:rPr>
            </w:pPr>
            <w:r>
              <w:rPr>
                <w:rFonts w:ascii="Arial" w:cs="Arial" w:eastAsia="Arial" w:hAnsi="Arial"/>
                <w:sz w:val="14"/>
                <w:szCs w:val="14"/>
                <w:b w:val="1"/>
                <w:bCs w:val="1"/>
                <w:color w:val="auto"/>
                <w:w w:val="93"/>
              </w:rPr>
              <w:t>Jan. 31,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May 3,</w:t>
            </w:r>
          </w:p>
        </w:tc>
      </w:tr>
      <w:tr>
        <w:trPr>
          <w:trHeight w:val="185"/>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2008</w:t>
            </w:r>
          </w:p>
        </w:tc>
      </w:tr>
      <w:tr>
        <w:trPr>
          <w:trHeight w:val="164"/>
        </w:trPr>
        <w:tc>
          <w:tcPr>
            <w:tcW w:w="7100" w:type="dxa"/>
            <w:vAlign w:val="bottom"/>
            <w:gridSpan w:val="2"/>
          </w:tcPr>
          <w:p>
            <w:pPr>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51,754</w:t>
            </w:r>
          </w:p>
        </w:tc>
        <w:tc>
          <w:tcPr>
            <w:tcW w:w="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24,949</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133,086</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Adjustments to reconcile net income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320"/>
              <w:spacing w:after="0"/>
              <w:rPr>
                <w:sz w:val="20"/>
                <w:szCs w:val="20"/>
                <w:color w:val="auto"/>
              </w:rPr>
            </w:pPr>
            <w:r>
              <w:rPr>
                <w:rFonts w:ascii="Arial" w:cs="Arial" w:eastAsia="Arial" w:hAnsi="Arial"/>
                <w:sz w:val="14"/>
                <w:szCs w:val="14"/>
                <w:color w:val="auto"/>
              </w:rPr>
              <w:t>to net cash provided by operations: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33,440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38,755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36,266</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Amortization of intangibles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2,615</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12,566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11,411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12,727</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Excess tax benefit - stock options</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(3,174)</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Non-cash portion of special charges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13,693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Other non-cash activity</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227</w:t>
            </w: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13,991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(15,925)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(2,865)</w:t>
            </w:r>
          </w:p>
        </w:tc>
      </w:tr>
      <w:tr>
        <w:trPr>
          <w:trHeight w:val="176"/>
        </w:trPr>
        <w:tc>
          <w:tcPr>
            <w:tcW w:w="710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460"/>
              <w:spacing w:after="0"/>
              <w:rPr>
                <w:sz w:val="20"/>
                <w:szCs w:val="20"/>
                <w:color w:val="auto"/>
              </w:rPr>
            </w:pPr>
            <w:r>
              <w:rPr>
                <w:rFonts w:ascii="Arial" w:cs="Arial" w:eastAsia="Arial" w:hAnsi="Arial"/>
                <w:sz w:val="14"/>
                <w:szCs w:val="14"/>
                <w:color w:val="auto"/>
              </w:rPr>
              <w:t>Income tax payments related to gain on sale of businesses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(67,283)</w:t>
            </w:r>
          </w:p>
        </w:tc>
      </w:tr>
      <w:tr>
        <w:trPr>
          <w:trHeight w:val="181"/>
        </w:trPr>
        <w:tc>
          <w:tcPr>
            <w:tcW w:w="20" w:type="dxa"/>
            <w:vAlign w:val="bottom"/>
          </w:tcPr>
          <w:p>
            <w:pPr>
              <w:spacing w:after="0"/>
              <w:rPr>
                <w:sz w:val="15"/>
                <w:szCs w:val="15"/>
                <w:color w:val="auto"/>
              </w:rPr>
            </w:pPr>
          </w:p>
        </w:tc>
        <w:tc>
          <w:tcPr>
            <w:tcW w:w="70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Changes in other operating assets and liabilities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(37,738)</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(15,137)</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41,944</w:t>
            </w:r>
          </w:p>
        </w:tc>
      </w:tr>
      <w:tr>
        <w:trPr>
          <w:trHeight w:val="169"/>
        </w:trPr>
        <w:tc>
          <w:tcPr>
            <w:tcW w:w="20" w:type="dxa"/>
            <w:vAlign w:val="bottom"/>
          </w:tcPr>
          <w:p>
            <w:pPr>
              <w:spacing w:after="0"/>
              <w:rPr>
                <w:sz w:val="14"/>
                <w:szCs w:val="14"/>
                <w:color w:val="auto"/>
              </w:rPr>
            </w:pPr>
          </w:p>
        </w:tc>
        <w:tc>
          <w:tcPr>
            <w:tcW w:w="70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24,242</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34,961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20,457</w:t>
            </w:r>
          </w:p>
        </w:tc>
      </w:tr>
      <w:tr>
        <w:trPr>
          <w:trHeight w:val="169"/>
        </w:trPr>
        <w:tc>
          <w:tcPr>
            <w:tcW w:w="20" w:type="dxa"/>
            <w:vAlign w:val="bottom"/>
          </w:tcPr>
          <w:p>
            <w:pPr>
              <w:spacing w:after="0"/>
              <w:rPr>
                <w:sz w:val="14"/>
                <w:szCs w:val="14"/>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75,996</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59,910</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153,543</w:t>
            </w:r>
          </w:p>
        </w:tc>
      </w:tr>
      <w:tr>
        <w:trPr>
          <w:trHeight w:val="169"/>
        </w:trPr>
        <w:tc>
          <w:tcPr>
            <w:tcW w:w="20" w:type="dxa"/>
            <w:vAlign w:val="bottom"/>
          </w:tcPr>
          <w:p>
            <w:pPr>
              <w:spacing w:after="0"/>
              <w:rPr>
                <w:sz w:val="14"/>
                <w:szCs w:val="14"/>
                <w:color w:val="auto"/>
              </w:rPr>
            </w:pPr>
          </w:p>
        </w:tc>
        <w:tc>
          <w:tcPr>
            <w:tcW w:w="70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Percent of total revenue</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r>
      <w:tr>
        <w:trPr>
          <w:trHeight w:val="339"/>
        </w:trPr>
        <w:tc>
          <w:tcPr>
            <w:tcW w:w="7100" w:type="dxa"/>
            <w:vAlign w:val="bottom"/>
            <w:gridSpan w:val="2"/>
          </w:tcPr>
          <w:p>
            <w:pPr>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(12,046)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(22,235)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(30,535)</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Purchases of short-term available-for-sale investments</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(583,677)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(263,906)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(572,983)</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Maturities of short-term available-for-sale investments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488,043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464,197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439,520</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Net expenditures related to sale of businesses</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(7,074)</w:t>
            </w:r>
          </w:p>
        </w:tc>
      </w:tr>
      <w:tr>
        <w:trPr>
          <w:trHeight w:val="181"/>
        </w:trPr>
        <w:tc>
          <w:tcPr>
            <w:tcW w:w="20" w:type="dxa"/>
            <w:vAlign w:val="bottom"/>
          </w:tcPr>
          <w:p>
            <w:pPr>
              <w:spacing w:after="0"/>
              <w:rPr>
                <w:sz w:val="15"/>
                <w:szCs w:val="15"/>
                <w:color w:val="auto"/>
              </w:rPr>
            </w:pPr>
          </w:p>
        </w:tc>
        <w:tc>
          <w:tcPr>
            <w:tcW w:w="70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(Increase) decrease in other assets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(2,206)</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(2,063)</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592</w:t>
            </w:r>
          </w:p>
        </w:tc>
      </w:tr>
      <w:tr>
        <w:trPr>
          <w:trHeight w:val="169"/>
        </w:trPr>
        <w:tc>
          <w:tcPr>
            <w:tcW w:w="20" w:type="dxa"/>
            <w:vAlign w:val="bottom"/>
            <w:tcBorders>
              <w:bottom w:val="single" w:sz="8" w:color="auto"/>
            </w:tcBorders>
          </w:tcPr>
          <w:p>
            <w:pPr>
              <w:spacing w:after="0"/>
              <w:rPr>
                <w:sz w:val="14"/>
                <w:szCs w:val="14"/>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provided for investing activities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(111,226)</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175,993</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(170,480)</w:t>
            </w:r>
          </w:p>
        </w:tc>
      </w:tr>
      <w:tr>
        <w:trPr>
          <w:trHeight w:val="339"/>
        </w:trPr>
        <w:tc>
          <w:tcPr>
            <w:tcW w:w="7100" w:type="dxa"/>
            <w:vAlign w:val="bottom"/>
            <w:gridSpan w:val="2"/>
          </w:tcPr>
          <w:p>
            <w:pPr>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(58,164)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(58,238)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(52,511)</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(3,091)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(165,426)</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Increase in liability for common stock repurchases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(24,374)</w:t>
            </w:r>
          </w:p>
        </w:tc>
      </w:tr>
      <w:tr>
        <w:trPr>
          <w:trHeight w:val="176"/>
        </w:trPr>
        <w:tc>
          <w:tcPr>
            <w:tcW w:w="20" w:type="dxa"/>
            <w:vAlign w:val="bottom"/>
          </w:tcPr>
          <w:p>
            <w:pPr>
              <w:spacing w:after="0"/>
              <w:rPr>
                <w:sz w:val="15"/>
                <w:szCs w:val="15"/>
                <w:color w:val="auto"/>
              </w:rPr>
            </w:pPr>
          </w:p>
        </w:tc>
        <w:tc>
          <w:tcPr>
            <w:tcW w:w="7080" w:type="dxa"/>
            <w:vAlign w:val="bottom"/>
          </w:tcPr>
          <w:p>
            <w:pPr>
              <w:ind w:left="120"/>
              <w:spacing w:after="0"/>
              <w:rPr>
                <w:sz w:val="20"/>
                <w:szCs w:val="20"/>
                <w:color w:val="auto"/>
              </w:rPr>
            </w:pPr>
            <w:r>
              <w:rPr>
                <w:rFonts w:ascii="Arial" w:cs="Arial" w:eastAsia="Arial" w:hAnsi="Arial"/>
                <w:sz w:val="14"/>
                <w:szCs w:val="14"/>
                <w:color w:val="auto"/>
              </w:rPr>
              <w:t>Net proceeds from employee stock plans</w:t>
            </w:r>
          </w:p>
        </w:tc>
        <w:tc>
          <w:tcPr>
            <w:tcW w:w="30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2,152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37,623</w:t>
            </w:r>
          </w:p>
        </w:tc>
      </w:tr>
      <w:tr>
        <w:trPr>
          <w:trHeight w:val="181"/>
        </w:trPr>
        <w:tc>
          <w:tcPr>
            <w:tcW w:w="20" w:type="dxa"/>
            <w:vAlign w:val="bottom"/>
          </w:tcPr>
          <w:p>
            <w:pPr>
              <w:spacing w:after="0"/>
              <w:rPr>
                <w:sz w:val="15"/>
                <w:szCs w:val="15"/>
                <w:color w:val="auto"/>
              </w:rPr>
            </w:pPr>
          </w:p>
        </w:tc>
        <w:tc>
          <w:tcPr>
            <w:tcW w:w="70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Excess tax benefit - stock options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3,174</w:t>
            </w:r>
          </w:p>
        </w:tc>
      </w:tr>
      <w:tr>
        <w:trPr>
          <w:trHeight w:val="169"/>
        </w:trPr>
        <w:tc>
          <w:tcPr>
            <w:tcW w:w="20" w:type="dxa"/>
            <w:vAlign w:val="bottom"/>
            <w:tcBorders>
              <w:bottom w:val="single" w:sz="8" w:color="auto"/>
            </w:tcBorders>
          </w:tcPr>
          <w:p>
            <w:pPr>
              <w:spacing w:after="0"/>
              <w:rPr>
                <w:sz w:val="14"/>
                <w:szCs w:val="14"/>
                <w:color w:val="auto"/>
              </w:rPr>
            </w:pPr>
          </w:p>
        </w:tc>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cash used for financing activities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(59,098)</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(57,959)</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(201,514)</w:t>
            </w:r>
          </w:p>
        </w:tc>
      </w:tr>
      <w:tr>
        <w:trPr>
          <w:trHeight w:val="169"/>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1,494</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(277)</w:t>
            </w:r>
          </w:p>
        </w:tc>
      </w:tr>
      <w:tr>
        <w:trPr>
          <w:trHeight w:val="339"/>
        </w:trPr>
        <w:tc>
          <w:tcPr>
            <w:tcW w:w="7100" w:type="dxa"/>
            <w:vAlign w:val="bottom"/>
            <w:gridSpan w:val="2"/>
          </w:tcPr>
          <w:p>
            <w:pPr>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(92,834)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176,114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(218,728)</w:t>
            </w:r>
          </w:p>
        </w:tc>
      </w:tr>
      <w:tr>
        <w:trPr>
          <w:trHeight w:val="181"/>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769,713</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593,599</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633,089</w:t>
            </w:r>
          </w:p>
        </w:tc>
      </w:tr>
      <w:tr>
        <w:trPr>
          <w:trHeight w:val="169"/>
        </w:trPr>
        <w:tc>
          <w:tcPr>
            <w:tcW w:w="7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676,879</w:t>
            </w:r>
          </w:p>
        </w:tc>
        <w:tc>
          <w:tcPr>
            <w:tcW w:w="4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769,713</w:t>
            </w:r>
          </w:p>
        </w:tc>
        <w:tc>
          <w:tcPr>
            <w:tcW w:w="4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414,361</w:t>
            </w:r>
          </w:p>
        </w:tc>
      </w:tr>
      <w:tr>
        <w:trPr>
          <w:trHeight w:val="129"/>
        </w:trPr>
        <w:tc>
          <w:tcPr>
            <w:tcW w:w="20" w:type="dxa"/>
            <w:vAlign w:val="bottom"/>
          </w:tcPr>
          <w:p>
            <w:pPr>
              <w:spacing w:after="0"/>
              <w:rPr>
                <w:sz w:val="11"/>
                <w:szCs w:val="11"/>
                <w:color w:val="auto"/>
              </w:rPr>
            </w:pPr>
          </w:p>
        </w:tc>
        <w:tc>
          <w:tcPr>
            <w:tcW w:w="708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70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Analog Devices, Second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End Market</w:t>
      </w:r>
    </w:p>
    <w:p>
      <w:pPr>
        <w:spacing w:after="0" w:line="15"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5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80" w:type="dxa"/>
            <w:vAlign w:val="bottom"/>
            <w:gridSpan w:val="2"/>
          </w:tcPr>
          <w:p>
            <w:pPr>
              <w:jc w:val="right"/>
              <w:ind w:right="828"/>
              <w:spacing w:after="0" w:line="160" w:lineRule="exact"/>
              <w:rPr>
                <w:sz w:val="20"/>
                <w:szCs w:val="20"/>
                <w:color w:val="auto"/>
              </w:rPr>
            </w:pPr>
            <w:r>
              <w:rPr>
                <w:rFonts w:ascii="Arial" w:cs="Arial" w:eastAsia="Arial" w:hAnsi="Arial"/>
                <w:sz w:val="14"/>
                <w:szCs w:val="14"/>
                <w:b w:val="1"/>
                <w:bCs w:val="1"/>
                <w:color w:val="auto"/>
              </w:rPr>
              <w:t>May 2,</w:t>
            </w:r>
          </w:p>
        </w:tc>
        <w:tc>
          <w:tcPr>
            <w:tcW w:w="1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jc w:val="center"/>
              <w:ind w:right="500"/>
              <w:spacing w:after="0" w:line="160" w:lineRule="exact"/>
              <w:rPr>
                <w:sz w:val="20"/>
                <w:szCs w:val="20"/>
                <w:color w:val="auto"/>
              </w:rPr>
            </w:pPr>
            <w:r>
              <w:rPr>
                <w:rFonts w:ascii="Arial" w:cs="Arial" w:eastAsia="Arial" w:hAnsi="Arial"/>
                <w:sz w:val="14"/>
                <w:szCs w:val="14"/>
                <w:b w:val="1"/>
                <w:bCs w:val="1"/>
                <w:color w:val="auto"/>
                <w:w w:val="89"/>
              </w:rPr>
              <w:t>Jan. 31,</w:t>
            </w:r>
          </w:p>
        </w:tc>
        <w:tc>
          <w:tcPr>
            <w:tcW w:w="360" w:type="dxa"/>
            <w:vAlign w:val="bottom"/>
          </w:tcPr>
          <w:p>
            <w:pPr>
              <w:spacing w:after="0"/>
              <w:rPr>
                <w:sz w:val="13"/>
                <w:szCs w:val="13"/>
                <w:color w:val="auto"/>
              </w:rPr>
            </w:pPr>
          </w:p>
        </w:tc>
        <w:tc>
          <w:tcPr>
            <w:tcW w:w="1220" w:type="dxa"/>
            <w:vAlign w:val="bottom"/>
          </w:tcPr>
          <w:p>
            <w:pPr>
              <w:jc w:val="center"/>
              <w:ind w:right="288"/>
              <w:spacing w:after="0" w:line="160" w:lineRule="exact"/>
              <w:rPr>
                <w:sz w:val="20"/>
                <w:szCs w:val="20"/>
                <w:color w:val="auto"/>
              </w:rPr>
            </w:pPr>
            <w:r>
              <w:rPr>
                <w:rFonts w:ascii="Arial" w:cs="Arial" w:eastAsia="Arial" w:hAnsi="Arial"/>
                <w:sz w:val="14"/>
                <w:szCs w:val="14"/>
                <w:b w:val="1"/>
                <w:bCs w:val="1"/>
                <w:color w:val="auto"/>
                <w:w w:val="98"/>
              </w:rPr>
              <w:t>May 3,</w:t>
            </w:r>
          </w:p>
        </w:tc>
        <w:tc>
          <w:tcPr>
            <w:tcW w:w="20" w:type="dxa"/>
            <w:vAlign w:val="bottom"/>
          </w:tcPr>
          <w:p>
            <w:pPr>
              <w:spacing w:after="0"/>
              <w:rPr>
                <w:sz w:val="13"/>
                <w:szCs w:val="13"/>
                <w:color w:val="auto"/>
              </w:rPr>
            </w:pPr>
          </w:p>
        </w:tc>
      </w:tr>
      <w:tr>
        <w:trPr>
          <w:trHeight w:val="185"/>
        </w:trPr>
        <w:tc>
          <w:tcPr>
            <w:tcW w:w="2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2009</w:t>
            </w:r>
          </w:p>
        </w:tc>
        <w:tc>
          <w:tcPr>
            <w:tcW w:w="146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6"/>
                <w:szCs w:val="16"/>
                <w:color w:val="auto"/>
              </w:rPr>
            </w:pPr>
          </w:p>
        </w:tc>
      </w:tr>
      <w:tr>
        <w:trPr>
          <w:trHeight w:val="169"/>
        </w:trPr>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Revenue</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b w:val="1"/>
                <w:bCs w:val="1"/>
                <w:color w:val="auto"/>
              </w:rPr>
              <w:t>Q/Q %</w:t>
            </w: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Y/Y %</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Revenue</w:t>
            </w:r>
          </w:p>
        </w:tc>
        <w:tc>
          <w:tcPr>
            <w:tcW w:w="360" w:type="dxa"/>
            <w:vAlign w:val="bottom"/>
          </w:tcPr>
          <w:p>
            <w:pPr>
              <w:spacing w:after="0"/>
              <w:rPr>
                <w:sz w:val="14"/>
                <w:szCs w:val="14"/>
                <w:color w:val="auto"/>
              </w:rPr>
            </w:pPr>
          </w:p>
        </w:tc>
        <w:tc>
          <w:tcPr>
            <w:tcW w:w="1220" w:type="dxa"/>
            <w:vAlign w:val="bottom"/>
          </w:tcPr>
          <w:p>
            <w:pPr>
              <w:jc w:val="center"/>
              <w:ind w:right="30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2560" w:type="dxa"/>
            <w:vAlign w:val="bottom"/>
          </w:tcPr>
          <w:p>
            <w:pPr>
              <w:spacing w:after="0"/>
              <w:rPr>
                <w:sz w:val="20"/>
                <w:szCs w:val="20"/>
                <w:color w:val="auto"/>
              </w:rPr>
            </w:pPr>
            <w:r>
              <w:rPr>
                <w:rFonts w:ascii="Arial" w:cs="Arial" w:eastAsia="Arial" w:hAnsi="Arial"/>
                <w:sz w:val="14"/>
                <w:szCs w:val="14"/>
                <w:color w:val="auto"/>
              </w:rPr>
              <w:t>Industrial</w:t>
            </w:r>
          </w:p>
        </w:tc>
        <w:tc>
          <w:tcPr>
            <w:tcW w:w="3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245,329</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13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-4.8%</w:t>
            </w:r>
          </w:p>
        </w:tc>
        <w:tc>
          <w:tcPr>
            <w:tcW w:w="14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-31.1%</w:t>
            </w:r>
          </w:p>
        </w:tc>
        <w:tc>
          <w:tcPr>
            <w:tcW w:w="500" w:type="dxa"/>
            <w:vAlign w:val="bottom"/>
          </w:tcPr>
          <w:p>
            <w:pPr>
              <w:spacing w:after="0"/>
              <w:rPr>
                <w:sz w:val="14"/>
                <w:szCs w:val="14"/>
                <w:color w:val="auto"/>
              </w:rPr>
            </w:pPr>
          </w:p>
        </w:tc>
        <w:tc>
          <w:tcPr>
            <w:tcW w:w="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257,669</w:t>
            </w:r>
          </w:p>
        </w:tc>
        <w:tc>
          <w:tcPr>
            <w:tcW w:w="160" w:type="dxa"/>
            <w:vAlign w:val="bottom"/>
          </w:tcPr>
          <w:p>
            <w:pPr>
              <w:spacing w:after="0"/>
              <w:rPr>
                <w:sz w:val="14"/>
                <w:szCs w:val="14"/>
                <w:color w:val="auto"/>
              </w:rPr>
            </w:pPr>
          </w:p>
        </w:tc>
        <w:tc>
          <w:tcPr>
            <w:tcW w:w="3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355,908</w:t>
            </w:r>
          </w:p>
        </w:tc>
        <w:tc>
          <w:tcPr>
            <w:tcW w:w="20" w:type="dxa"/>
            <w:vAlign w:val="bottom"/>
          </w:tcPr>
          <w:p>
            <w:pPr>
              <w:spacing w:after="0"/>
              <w:rPr>
                <w:sz w:val="14"/>
                <w:szCs w:val="14"/>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Communications</w:t>
            </w:r>
          </w:p>
        </w:tc>
        <w:tc>
          <w:tcPr>
            <w:tcW w:w="360" w:type="dxa"/>
            <w:vAlign w:val="bottom"/>
          </w:tcPr>
          <w:p>
            <w:pPr>
              <w:spacing w:after="0"/>
              <w:rPr>
                <w:sz w:val="15"/>
                <w:szCs w:val="15"/>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137,270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7.6%</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-6.6%</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127,520</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146,953</w:t>
            </w: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Consumer</w:t>
            </w:r>
          </w:p>
        </w:tc>
        <w:tc>
          <w:tcPr>
            <w:tcW w:w="360" w:type="dxa"/>
            <w:vAlign w:val="bottom"/>
          </w:tcPr>
          <w:p>
            <w:pPr>
              <w:spacing w:after="0"/>
              <w:rPr>
                <w:sz w:val="15"/>
                <w:szCs w:val="15"/>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78,928</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4.5%</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-35.8%</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75,526</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122,956</w:t>
            </w:r>
          </w:p>
        </w:tc>
      </w:tr>
      <w:tr>
        <w:trPr>
          <w:trHeight w:val="181"/>
        </w:trPr>
        <w:tc>
          <w:tcPr>
            <w:tcW w:w="2560" w:type="dxa"/>
            <w:vAlign w:val="bottom"/>
          </w:tcPr>
          <w:p>
            <w:pPr>
              <w:spacing w:after="0"/>
              <w:rPr>
                <w:sz w:val="20"/>
                <w:szCs w:val="20"/>
                <w:color w:val="auto"/>
              </w:rPr>
            </w:pPr>
            <w:r>
              <w:rPr>
                <w:rFonts w:ascii="Arial" w:cs="Arial" w:eastAsia="Arial" w:hAnsi="Arial"/>
                <w:sz w:val="14"/>
                <w:szCs w:val="14"/>
                <w:color w:val="auto"/>
              </w:rPr>
              <w:t>Computer</w:t>
            </w:r>
          </w:p>
        </w:tc>
        <w:tc>
          <w:tcPr>
            <w:tcW w:w="360" w:type="dxa"/>
            <w:vAlign w:val="bottom"/>
          </w:tcPr>
          <w:p>
            <w:pPr>
              <w:spacing w:after="0"/>
              <w:rPr>
                <w:sz w:val="15"/>
                <w:szCs w:val="15"/>
                <w:color w:val="auto"/>
              </w:rPr>
            </w:pPr>
          </w:p>
        </w:tc>
        <w:tc>
          <w:tcPr>
            <w:tcW w:w="1280" w:type="dxa"/>
            <w:vAlign w:val="bottom"/>
          </w:tcPr>
          <w:p>
            <w:pPr>
              <w:jc w:val="right"/>
              <w:ind w:right="168"/>
              <w:spacing w:after="0"/>
              <w:rPr>
                <w:sz w:val="20"/>
                <w:szCs w:val="20"/>
                <w:color w:val="auto"/>
              </w:rPr>
            </w:pPr>
            <w:r>
              <w:rPr>
                <w:rFonts w:ascii="Arial" w:cs="Arial" w:eastAsia="Arial" w:hAnsi="Arial"/>
                <w:sz w:val="14"/>
                <w:szCs w:val="14"/>
                <w:color w:val="auto"/>
              </w:rPr>
              <w:t>13,221</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380" w:type="dxa"/>
            <w:vAlign w:val="bottom"/>
            <w:gridSpan w:val="2"/>
          </w:tcPr>
          <w:p>
            <w:pPr>
              <w:jc w:val="right"/>
              <w:ind w:right="48"/>
              <w:spacing w:after="0"/>
              <w:rPr>
                <w:sz w:val="20"/>
                <w:szCs w:val="20"/>
                <w:color w:val="auto"/>
              </w:rPr>
            </w:pPr>
            <w:r>
              <w:rPr>
                <w:rFonts w:ascii="Arial" w:cs="Arial" w:eastAsia="Arial" w:hAnsi="Arial"/>
                <w:sz w:val="14"/>
                <w:szCs w:val="14"/>
                <w:color w:val="auto"/>
              </w:rPr>
              <w:t>-16.6%</w:t>
            </w:r>
          </w:p>
        </w:tc>
        <w:tc>
          <w:tcPr>
            <w:tcW w:w="1460" w:type="dxa"/>
            <w:vAlign w:val="bottom"/>
          </w:tcPr>
          <w:p>
            <w:pPr>
              <w:jc w:val="right"/>
              <w:ind w:right="168"/>
              <w:spacing w:after="0"/>
              <w:rPr>
                <w:sz w:val="20"/>
                <w:szCs w:val="20"/>
                <w:color w:val="auto"/>
              </w:rPr>
            </w:pPr>
            <w:r>
              <w:rPr>
                <w:rFonts w:ascii="Arial" w:cs="Arial" w:eastAsia="Arial" w:hAnsi="Arial"/>
                <w:sz w:val="14"/>
                <w:szCs w:val="14"/>
                <w:color w:val="auto"/>
              </w:rPr>
              <w:t>-43.8%</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15,854</w:t>
            </w:r>
          </w:p>
        </w:tc>
        <w:tc>
          <w:tcPr>
            <w:tcW w:w="36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23,523</w:t>
            </w:r>
          </w:p>
        </w:tc>
      </w:tr>
      <w:tr>
        <w:trPr>
          <w:trHeight w:val="169"/>
        </w:trPr>
        <w:tc>
          <w:tcPr>
            <w:tcW w:w="256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3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474,748</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80" w:type="dxa"/>
            <w:vAlign w:val="bottom"/>
            <w:tcBorders>
              <w:top w:val="single" w:sz="8" w:color="auto"/>
              <w:bottom w:val="single" w:sz="8" w:color="auto"/>
            </w:tcBorders>
          </w:tcPr>
          <w:p>
            <w:pPr>
              <w:spacing w:after="0"/>
              <w:rPr>
                <w:sz w:val="14"/>
                <w:szCs w:val="1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-0.4%</w:t>
            </w: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rPr>
              <w:t>-26.9%</w:t>
            </w:r>
          </w:p>
        </w:tc>
        <w:tc>
          <w:tcPr>
            <w:tcW w:w="5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476,569</w:t>
            </w:r>
          </w:p>
        </w:tc>
        <w:tc>
          <w:tcPr>
            <w:tcW w:w="16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649,340</w:t>
            </w:r>
          </w:p>
        </w:tc>
        <w:tc>
          <w:tcPr>
            <w:tcW w:w="20" w:type="dxa"/>
            <w:vAlign w:val="bottom"/>
          </w:tcPr>
          <w:p>
            <w:pPr>
              <w:spacing w:after="0"/>
              <w:rPr>
                <w:sz w:val="14"/>
                <w:szCs w:val="14"/>
                <w:color w:val="auto"/>
              </w:rPr>
            </w:pPr>
          </w:p>
        </w:tc>
      </w:tr>
      <w:tr>
        <w:trPr>
          <w:trHeight w:val="20"/>
        </w:trPr>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Analog Devices, Second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Revenue Trends by Product Type</w:t>
      </w:r>
    </w:p>
    <w:p>
      <w:pPr>
        <w:spacing w:after="0" w:line="1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20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6"/>
              </w:rPr>
              <w:t>Three Months Ended</w:t>
            </w:r>
          </w:p>
        </w:tc>
        <w:tc>
          <w:tcPr>
            <w:tcW w:w="2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0"/>
        </w:trPr>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tcPr>
          <w:p>
            <w:pPr>
              <w:jc w:val="right"/>
              <w:ind w:right="848"/>
              <w:spacing w:after="0" w:line="160" w:lineRule="exact"/>
              <w:rPr>
                <w:sz w:val="20"/>
                <w:szCs w:val="20"/>
                <w:color w:val="auto"/>
              </w:rPr>
            </w:pPr>
            <w:r>
              <w:rPr>
                <w:rFonts w:ascii="Arial" w:cs="Arial" w:eastAsia="Arial" w:hAnsi="Arial"/>
                <w:sz w:val="14"/>
                <w:szCs w:val="14"/>
                <w:b w:val="1"/>
                <w:bCs w:val="1"/>
                <w:color w:val="auto"/>
                <w:w w:val="98"/>
              </w:rPr>
              <w:t>May 2,</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3"/>
              </w:rPr>
              <w:t>Jan. 31,</w:t>
            </w:r>
          </w:p>
        </w:tc>
        <w:tc>
          <w:tcPr>
            <w:tcW w:w="260" w:type="dxa"/>
            <w:vAlign w:val="bottom"/>
          </w:tcPr>
          <w:p>
            <w:pPr>
              <w:spacing w:after="0"/>
              <w:rPr>
                <w:sz w:val="13"/>
                <w:szCs w:val="13"/>
                <w:color w:val="auto"/>
              </w:rPr>
            </w:pPr>
          </w:p>
        </w:tc>
        <w:tc>
          <w:tcPr>
            <w:tcW w:w="96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13"/>
                <w:szCs w:val="13"/>
                <w:color w:val="auto"/>
              </w:rPr>
            </w:pPr>
          </w:p>
        </w:tc>
      </w:tr>
      <w:tr>
        <w:trPr>
          <w:trHeight w:val="185"/>
        </w:trPr>
        <w:tc>
          <w:tcPr>
            <w:tcW w:w="4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2009</w:t>
            </w: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w w:val="99"/>
              </w:rPr>
              <w:t>Revenue</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Q/Q %</w:t>
            </w: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Y/Y %</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4"/>
                <w:szCs w:val="14"/>
                <w:color w:val="auto"/>
              </w:rPr>
            </w:pPr>
          </w:p>
        </w:tc>
      </w:tr>
      <w:tr>
        <w:trPr>
          <w:trHeight w:val="164"/>
        </w:trPr>
        <w:tc>
          <w:tcPr>
            <w:tcW w:w="4380" w:type="dxa"/>
            <w:vAlign w:val="bottom"/>
          </w:tcPr>
          <w:p>
            <w:pPr>
              <w:spacing w:after="0"/>
              <w:rPr>
                <w:sz w:val="20"/>
                <w:szCs w:val="20"/>
                <w:color w:val="auto"/>
              </w:rPr>
            </w:pPr>
            <w:r>
              <w:rPr>
                <w:rFonts w:ascii="Arial" w:cs="Arial" w:eastAsia="Arial" w:hAnsi="Arial"/>
                <w:sz w:val="14"/>
                <w:szCs w:val="14"/>
                <w:color w:val="auto"/>
              </w:rPr>
              <w:t>Converters</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229,665</w:t>
            </w:r>
          </w:p>
        </w:tc>
        <w:tc>
          <w:tcPr>
            <w:tcW w:w="540" w:type="dxa"/>
            <w:vAlign w:val="bottom"/>
          </w:tcPr>
          <w:p>
            <w:pPr>
              <w:jc w:val="right"/>
              <w:spacing w:after="0"/>
              <w:rPr>
                <w:sz w:val="20"/>
                <w:szCs w:val="20"/>
                <w:color w:val="auto"/>
              </w:rPr>
            </w:pPr>
            <w:r>
              <w:rPr>
                <w:rFonts w:ascii="Arial" w:cs="Arial" w:eastAsia="Arial" w:hAnsi="Arial"/>
                <w:sz w:val="14"/>
                <w:szCs w:val="14"/>
                <w:color w:val="auto"/>
              </w:rPr>
              <w:t>48%</w:t>
            </w:r>
          </w:p>
        </w:tc>
        <w:tc>
          <w:tcPr>
            <w:tcW w:w="1360" w:type="dxa"/>
            <w:vAlign w:val="bottom"/>
            <w:gridSpan w:val="2"/>
          </w:tcPr>
          <w:p>
            <w:pPr>
              <w:jc w:val="right"/>
              <w:ind w:right="228"/>
              <w:spacing w:after="0"/>
              <w:rPr>
                <w:sz w:val="20"/>
                <w:szCs w:val="20"/>
                <w:color w:val="auto"/>
              </w:rPr>
            </w:pPr>
            <w:r>
              <w:rPr>
                <w:rFonts w:ascii="Arial" w:cs="Arial" w:eastAsia="Arial" w:hAnsi="Arial"/>
                <w:sz w:val="14"/>
                <w:szCs w:val="14"/>
                <w:color w:val="auto"/>
              </w:rPr>
              <w:t>1.6%</w:t>
            </w:r>
          </w:p>
        </w:tc>
        <w:tc>
          <w:tcPr>
            <w:tcW w:w="980" w:type="dxa"/>
            <w:vAlign w:val="bottom"/>
          </w:tcPr>
          <w:p>
            <w:pPr>
              <w:ind w:left="360"/>
              <w:spacing w:after="0"/>
              <w:rPr>
                <w:sz w:val="20"/>
                <w:szCs w:val="20"/>
                <w:color w:val="auto"/>
              </w:rPr>
            </w:pPr>
            <w:r>
              <w:rPr>
                <w:rFonts w:ascii="Arial" w:cs="Arial" w:eastAsia="Arial" w:hAnsi="Arial"/>
                <w:sz w:val="14"/>
                <w:szCs w:val="14"/>
                <w:color w:val="auto"/>
              </w:rPr>
              <w:t>-22.8%</w:t>
            </w:r>
          </w:p>
        </w:tc>
        <w:tc>
          <w:tcPr>
            <w:tcW w:w="2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226,021</w:t>
            </w:r>
          </w:p>
        </w:tc>
        <w:tc>
          <w:tcPr>
            <w:tcW w:w="14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297,646</w:t>
            </w:r>
          </w:p>
        </w:tc>
        <w:tc>
          <w:tcPr>
            <w:tcW w:w="20" w:type="dxa"/>
            <w:vAlign w:val="bottom"/>
          </w:tcPr>
          <w:p>
            <w:pPr>
              <w:spacing w:after="0"/>
              <w:rPr>
                <w:sz w:val="14"/>
                <w:szCs w:val="14"/>
                <w:color w:val="auto"/>
              </w:rPr>
            </w:pPr>
          </w:p>
        </w:tc>
      </w:tr>
      <w:tr>
        <w:trPr>
          <w:trHeight w:val="176"/>
        </w:trPr>
        <w:tc>
          <w:tcPr>
            <w:tcW w:w="4380" w:type="dxa"/>
            <w:vAlign w:val="bottom"/>
          </w:tcPr>
          <w:p>
            <w:pPr>
              <w:spacing w:after="0"/>
              <w:rPr>
                <w:sz w:val="20"/>
                <w:szCs w:val="20"/>
                <w:color w:val="auto"/>
              </w:rPr>
            </w:pPr>
            <w:r>
              <w:rPr>
                <w:rFonts w:ascii="Arial" w:cs="Arial" w:eastAsia="Arial" w:hAnsi="Arial"/>
                <w:sz w:val="14"/>
                <w:szCs w:val="14"/>
                <w:color w:val="auto"/>
              </w:rPr>
              <w:t>Amplifiers</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123,666</w:t>
            </w:r>
          </w:p>
        </w:tc>
        <w:tc>
          <w:tcPr>
            <w:tcW w:w="540" w:type="dxa"/>
            <w:vAlign w:val="bottom"/>
          </w:tcPr>
          <w:p>
            <w:pPr>
              <w:jc w:val="right"/>
              <w:spacing w:after="0"/>
              <w:rPr>
                <w:sz w:val="20"/>
                <w:szCs w:val="20"/>
                <w:color w:val="auto"/>
              </w:rPr>
            </w:pPr>
            <w:r>
              <w:rPr>
                <w:rFonts w:ascii="Arial" w:cs="Arial" w:eastAsia="Arial" w:hAnsi="Arial"/>
                <w:sz w:val="14"/>
                <w:szCs w:val="14"/>
                <w:color w:val="auto"/>
              </w:rPr>
              <w:t>26%</w:t>
            </w:r>
          </w:p>
        </w:tc>
        <w:tc>
          <w:tcPr>
            <w:tcW w:w="1360" w:type="dxa"/>
            <w:vAlign w:val="bottom"/>
            <w:gridSpan w:val="2"/>
          </w:tcPr>
          <w:p>
            <w:pPr>
              <w:jc w:val="right"/>
              <w:ind w:right="228"/>
              <w:spacing w:after="0"/>
              <w:rPr>
                <w:sz w:val="20"/>
                <w:szCs w:val="20"/>
                <w:color w:val="auto"/>
              </w:rPr>
            </w:pPr>
            <w:r>
              <w:rPr>
                <w:rFonts w:ascii="Arial" w:cs="Arial" w:eastAsia="Arial" w:hAnsi="Arial"/>
                <w:sz w:val="14"/>
                <w:szCs w:val="14"/>
                <w:color w:val="auto"/>
              </w:rPr>
              <w:t>-4.9%</w:t>
            </w:r>
          </w:p>
        </w:tc>
        <w:tc>
          <w:tcPr>
            <w:tcW w:w="980" w:type="dxa"/>
            <w:vAlign w:val="bottom"/>
          </w:tcPr>
          <w:p>
            <w:pPr>
              <w:ind w:left="360"/>
              <w:spacing w:after="0"/>
              <w:rPr>
                <w:sz w:val="20"/>
                <w:szCs w:val="20"/>
                <w:color w:val="auto"/>
              </w:rPr>
            </w:pPr>
            <w:r>
              <w:rPr>
                <w:rFonts w:ascii="Arial" w:cs="Arial" w:eastAsia="Arial" w:hAnsi="Arial"/>
                <w:sz w:val="14"/>
                <w:szCs w:val="14"/>
                <w:color w:val="auto"/>
              </w:rPr>
              <w:t>-27.5%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129,974</w:t>
            </w:r>
          </w:p>
        </w:tc>
        <w:tc>
          <w:tcPr>
            <w:tcW w:w="2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170,561</w:t>
            </w: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Other analog</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54,279</w:t>
            </w: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1360" w:type="dxa"/>
            <w:vAlign w:val="bottom"/>
            <w:gridSpan w:val="2"/>
          </w:tcPr>
          <w:p>
            <w:pPr>
              <w:jc w:val="right"/>
              <w:ind w:right="228"/>
              <w:spacing w:after="0"/>
              <w:rPr>
                <w:sz w:val="20"/>
                <w:szCs w:val="20"/>
                <w:color w:val="auto"/>
              </w:rPr>
            </w:pPr>
            <w:r>
              <w:rPr>
                <w:rFonts w:ascii="Arial" w:cs="Arial" w:eastAsia="Arial" w:hAnsi="Arial"/>
                <w:sz w:val="14"/>
                <w:szCs w:val="14"/>
                <w:color w:val="auto"/>
              </w:rPr>
              <w:t>6.4%</w:t>
            </w:r>
          </w:p>
        </w:tc>
        <w:tc>
          <w:tcPr>
            <w:tcW w:w="980" w:type="dxa"/>
            <w:vAlign w:val="bottom"/>
          </w:tcPr>
          <w:p>
            <w:pPr>
              <w:ind w:left="360"/>
              <w:spacing w:after="0"/>
              <w:rPr>
                <w:sz w:val="20"/>
                <w:szCs w:val="20"/>
                <w:color w:val="auto"/>
              </w:rPr>
            </w:pPr>
            <w:r>
              <w:rPr>
                <w:rFonts w:ascii="Arial" w:cs="Arial" w:eastAsia="Arial" w:hAnsi="Arial"/>
                <w:sz w:val="14"/>
                <w:szCs w:val="14"/>
                <w:color w:val="auto"/>
              </w:rPr>
              <w:t>-33.7%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51,005</w:t>
            </w:r>
          </w:p>
        </w:tc>
        <w:tc>
          <w:tcPr>
            <w:tcW w:w="2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81,818</w:t>
            </w:r>
          </w:p>
        </w:tc>
      </w:tr>
      <w:tr>
        <w:trPr>
          <w:trHeight w:val="169"/>
        </w:trPr>
        <w:tc>
          <w:tcPr>
            <w:tcW w:w="4380" w:type="dxa"/>
            <w:vAlign w:val="bottom"/>
          </w:tcPr>
          <w:p>
            <w:pPr>
              <w:spacing w:after="0"/>
              <w:rPr>
                <w:sz w:val="20"/>
                <w:szCs w:val="20"/>
                <w:color w:val="auto"/>
              </w:rPr>
            </w:pPr>
            <w:r>
              <w:rPr>
                <w:rFonts w:ascii="Arial" w:cs="Arial" w:eastAsia="Arial" w:hAnsi="Arial"/>
                <w:sz w:val="14"/>
                <w:szCs w:val="14"/>
                <w:color w:val="auto"/>
              </w:rPr>
              <w:t>Subtotal Analog Signal Processing</w:t>
            </w: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407,610</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0.1%</w:t>
            </w:r>
          </w:p>
        </w:tc>
        <w:tc>
          <w:tcPr>
            <w:tcW w:w="980" w:type="dxa"/>
            <w:vAlign w:val="bottom"/>
          </w:tcPr>
          <w:p>
            <w:pPr>
              <w:ind w:left="360"/>
              <w:spacing w:after="0"/>
              <w:rPr>
                <w:sz w:val="20"/>
                <w:szCs w:val="20"/>
                <w:color w:val="auto"/>
              </w:rPr>
            </w:pPr>
            <w:r>
              <w:rPr>
                <w:rFonts w:ascii="Arial" w:cs="Arial" w:eastAsia="Arial" w:hAnsi="Arial"/>
                <w:sz w:val="14"/>
                <w:szCs w:val="14"/>
                <w:color w:val="auto"/>
              </w:rPr>
              <w:t>-25.9%</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407,000</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550,025</w:t>
            </w:r>
          </w:p>
        </w:tc>
        <w:tc>
          <w:tcPr>
            <w:tcW w:w="20" w:type="dxa"/>
            <w:vAlign w:val="bottom"/>
          </w:tcPr>
          <w:p>
            <w:pPr>
              <w:spacing w:after="0"/>
              <w:rPr>
                <w:sz w:val="14"/>
                <w:szCs w:val="14"/>
                <w:color w:val="auto"/>
              </w:rPr>
            </w:pPr>
          </w:p>
        </w:tc>
      </w:tr>
      <w:tr>
        <w:trPr>
          <w:trHeight w:val="169"/>
        </w:trPr>
        <w:tc>
          <w:tcPr>
            <w:tcW w:w="4380" w:type="dxa"/>
            <w:vAlign w:val="bottom"/>
          </w:tcPr>
          <w:p>
            <w:pPr>
              <w:spacing w:after="0"/>
              <w:rPr>
                <w:sz w:val="20"/>
                <w:szCs w:val="20"/>
                <w:color w:val="auto"/>
              </w:rPr>
            </w:pPr>
            <w:r>
              <w:rPr>
                <w:rFonts w:ascii="Arial" w:cs="Arial" w:eastAsia="Arial" w:hAnsi="Arial"/>
                <w:sz w:val="14"/>
                <w:szCs w:val="14"/>
                <w:color w:val="auto"/>
              </w:rPr>
              <w:t>Power management &amp; reference</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28,189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auto"/>
            </w:tcBorders>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7.9%</w:t>
            </w:r>
          </w:p>
        </w:tc>
        <w:tc>
          <w:tcPr>
            <w:tcW w:w="980" w:type="dxa"/>
            <w:vAlign w:val="bottom"/>
          </w:tcPr>
          <w:p>
            <w:pPr>
              <w:ind w:left="360"/>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26,135</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34,701</w:t>
            </w:r>
          </w:p>
        </w:tc>
        <w:tc>
          <w:tcPr>
            <w:tcW w:w="20" w:type="dxa"/>
            <w:vAlign w:val="bottom"/>
          </w:tcPr>
          <w:p>
            <w:pPr>
              <w:spacing w:after="0"/>
              <w:rPr>
                <w:sz w:val="14"/>
                <w:szCs w:val="14"/>
                <w:color w:val="auto"/>
              </w:rPr>
            </w:pPr>
          </w:p>
        </w:tc>
      </w:tr>
      <w:tr>
        <w:trPr>
          <w:trHeight w:val="169"/>
        </w:trPr>
        <w:tc>
          <w:tcPr>
            <w:tcW w:w="4380" w:type="dxa"/>
            <w:vAlign w:val="bottom"/>
          </w:tcPr>
          <w:p>
            <w:pPr>
              <w:spacing w:after="0"/>
              <w:rPr>
                <w:sz w:val="20"/>
                <w:szCs w:val="20"/>
                <w:color w:val="auto"/>
              </w:rPr>
            </w:pPr>
            <w:r>
              <w:rPr>
                <w:rFonts w:ascii="Arial" w:cs="Arial" w:eastAsia="Arial" w:hAnsi="Arial"/>
                <w:sz w:val="14"/>
                <w:szCs w:val="14"/>
                <w:b w:val="1"/>
                <w:bCs w:val="1"/>
                <w:color w:val="auto"/>
              </w:rPr>
              <w:t>Total Analog Products</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435,799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w:t>
            </w:r>
          </w:p>
        </w:tc>
        <w:tc>
          <w:tcPr>
            <w:tcW w:w="140" w:type="dxa"/>
            <w:vAlign w:val="bottom"/>
            <w:tcBorders>
              <w:bottom w:val="single" w:sz="8" w:color="auto"/>
            </w:tcBorders>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0.6%</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-25.5%</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433,135</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584,726</w:t>
            </w:r>
          </w:p>
        </w:tc>
        <w:tc>
          <w:tcPr>
            <w:tcW w:w="20" w:type="dxa"/>
            <w:vAlign w:val="bottom"/>
          </w:tcPr>
          <w:p>
            <w:pPr>
              <w:spacing w:after="0"/>
              <w:rPr>
                <w:sz w:val="14"/>
                <w:szCs w:val="14"/>
                <w:color w:val="auto"/>
              </w:rPr>
            </w:pPr>
          </w:p>
        </w:tc>
      </w:tr>
      <w:tr>
        <w:trPr>
          <w:trHeight w:val="164"/>
        </w:trPr>
        <w:tc>
          <w:tcPr>
            <w:tcW w:w="4380" w:type="dxa"/>
            <w:vAlign w:val="bottom"/>
          </w:tcPr>
          <w:p>
            <w:pPr>
              <w:spacing w:after="0"/>
              <w:rPr>
                <w:sz w:val="20"/>
                <w:szCs w:val="20"/>
                <w:color w:val="auto"/>
              </w:rPr>
            </w:pPr>
            <w:r>
              <w:rPr>
                <w:rFonts w:ascii="Arial" w:cs="Arial" w:eastAsia="Arial" w:hAnsi="Arial"/>
                <w:sz w:val="14"/>
                <w:szCs w:val="14"/>
                <w:color w:val="auto"/>
              </w:rPr>
              <w:t>General purpose DSP</w:t>
            </w:r>
          </w:p>
        </w:tc>
        <w:tc>
          <w:tcPr>
            <w:tcW w:w="24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38,210</w:t>
            </w:r>
          </w:p>
        </w:tc>
        <w:tc>
          <w:tcPr>
            <w:tcW w:w="54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color w:val="auto"/>
              </w:rPr>
              <w:t>-4.7%</w:t>
            </w:r>
          </w:p>
        </w:tc>
        <w:tc>
          <w:tcPr>
            <w:tcW w:w="980" w:type="dxa"/>
            <w:vAlign w:val="bottom"/>
          </w:tcPr>
          <w:p>
            <w:pPr>
              <w:ind w:left="360"/>
              <w:spacing w:after="0"/>
              <w:rPr>
                <w:sz w:val="20"/>
                <w:szCs w:val="20"/>
                <w:color w:val="auto"/>
              </w:rPr>
            </w:pPr>
            <w:r>
              <w:rPr>
                <w:rFonts w:ascii="Arial" w:cs="Arial" w:eastAsia="Arial" w:hAnsi="Arial"/>
                <w:sz w:val="14"/>
                <w:szCs w:val="14"/>
                <w:color w:val="auto"/>
              </w:rPr>
              <w:t>-34.4%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40,110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58,281</w:t>
            </w:r>
          </w:p>
        </w:tc>
        <w:tc>
          <w:tcPr>
            <w:tcW w:w="20" w:type="dxa"/>
            <w:vAlign w:val="bottom"/>
          </w:tcPr>
          <w:p>
            <w:pPr>
              <w:spacing w:after="0"/>
              <w:rPr>
                <w:sz w:val="14"/>
                <w:szCs w:val="14"/>
                <w:color w:val="auto"/>
              </w:rPr>
            </w:pPr>
          </w:p>
        </w:tc>
      </w:tr>
      <w:tr>
        <w:trPr>
          <w:trHeight w:val="181"/>
        </w:trPr>
        <w:tc>
          <w:tcPr>
            <w:tcW w:w="4380" w:type="dxa"/>
            <w:vAlign w:val="bottom"/>
          </w:tcPr>
          <w:p>
            <w:pPr>
              <w:spacing w:after="0"/>
              <w:rPr>
                <w:sz w:val="20"/>
                <w:szCs w:val="20"/>
                <w:color w:val="auto"/>
              </w:rPr>
            </w:pPr>
            <w:r>
              <w:rPr>
                <w:rFonts w:ascii="Arial" w:cs="Arial" w:eastAsia="Arial" w:hAnsi="Arial"/>
                <w:sz w:val="14"/>
                <w:szCs w:val="14"/>
                <w:color w:val="auto"/>
              </w:rPr>
              <w:t>Other DSP</w:t>
            </w:r>
          </w:p>
        </w:tc>
        <w:tc>
          <w:tcPr>
            <w:tcW w:w="240" w:type="dxa"/>
            <w:vAlign w:val="bottom"/>
          </w:tcPr>
          <w:p>
            <w:pPr>
              <w:spacing w:after="0"/>
              <w:rPr>
                <w:sz w:val="15"/>
                <w:szCs w:val="15"/>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739</w:t>
            </w:r>
          </w:p>
        </w:tc>
        <w:tc>
          <w:tcPr>
            <w:tcW w:w="54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gridSpan w:val="2"/>
          </w:tcPr>
          <w:p>
            <w:pPr>
              <w:jc w:val="right"/>
              <w:ind w:right="228"/>
              <w:spacing w:after="0"/>
              <w:rPr>
                <w:sz w:val="20"/>
                <w:szCs w:val="20"/>
                <w:color w:val="auto"/>
              </w:rPr>
            </w:pPr>
            <w:r>
              <w:rPr>
                <w:rFonts w:ascii="Arial" w:cs="Arial" w:eastAsia="Arial" w:hAnsi="Arial"/>
                <w:sz w:val="14"/>
                <w:szCs w:val="14"/>
                <w:color w:val="auto"/>
              </w:rPr>
              <w:t>-77.8%</w:t>
            </w:r>
          </w:p>
        </w:tc>
        <w:tc>
          <w:tcPr>
            <w:tcW w:w="980" w:type="dxa"/>
            <w:vAlign w:val="bottom"/>
          </w:tcPr>
          <w:p>
            <w:pPr>
              <w:ind w:left="360"/>
              <w:spacing w:after="0"/>
              <w:rPr>
                <w:sz w:val="20"/>
                <w:szCs w:val="20"/>
                <w:color w:val="auto"/>
              </w:rPr>
            </w:pPr>
            <w:r>
              <w:rPr>
                <w:rFonts w:ascii="Arial" w:cs="Arial" w:eastAsia="Arial" w:hAnsi="Arial"/>
                <w:sz w:val="14"/>
                <w:szCs w:val="14"/>
                <w:color w:val="auto"/>
              </w:rPr>
              <w:t>-88.3%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3,324</w:t>
            </w:r>
          </w:p>
        </w:tc>
        <w:tc>
          <w:tcPr>
            <w:tcW w:w="2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6,333</w:t>
            </w:r>
          </w:p>
        </w:tc>
      </w:tr>
      <w:tr>
        <w:trPr>
          <w:trHeight w:val="169"/>
        </w:trPr>
        <w:tc>
          <w:tcPr>
            <w:tcW w:w="4380" w:type="dxa"/>
            <w:vAlign w:val="bottom"/>
          </w:tcPr>
          <w:p>
            <w:pPr>
              <w:spacing w:after="0"/>
              <w:rPr>
                <w:sz w:val="20"/>
                <w:szCs w:val="20"/>
                <w:color w:val="auto"/>
              </w:rPr>
            </w:pPr>
            <w:r>
              <w:rPr>
                <w:rFonts w:ascii="Arial" w:cs="Arial" w:eastAsia="Arial" w:hAnsi="Arial"/>
                <w:sz w:val="14"/>
                <w:szCs w:val="14"/>
                <w:b w:val="1"/>
                <w:bCs w:val="1"/>
                <w:color w:val="auto"/>
              </w:rPr>
              <w:t>Total Digital Signal Processing</w:t>
            </w: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38,949</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-10.3%</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-39.7%</w:t>
            </w:r>
          </w:p>
        </w:tc>
        <w:tc>
          <w:tcPr>
            <w:tcW w:w="26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43,434</w:t>
            </w: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64,614</w:t>
            </w:r>
          </w:p>
        </w:tc>
        <w:tc>
          <w:tcPr>
            <w:tcW w:w="20" w:type="dxa"/>
            <w:vAlign w:val="bottom"/>
          </w:tcPr>
          <w:p>
            <w:pPr>
              <w:spacing w:after="0"/>
              <w:rPr>
                <w:sz w:val="14"/>
                <w:szCs w:val="14"/>
                <w:color w:val="auto"/>
              </w:rPr>
            </w:pPr>
          </w:p>
        </w:tc>
      </w:tr>
      <w:tr>
        <w:trPr>
          <w:trHeight w:val="169"/>
        </w:trPr>
        <w:tc>
          <w:tcPr>
            <w:tcW w:w="438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474,748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40" w:type="dxa"/>
            <w:vAlign w:val="bottom"/>
            <w:tcBorders>
              <w:bottom w:val="single" w:sz="8" w:color="auto"/>
            </w:tcBorders>
          </w:tcPr>
          <w:p>
            <w:pPr>
              <w:spacing w:after="0"/>
              <w:rPr>
                <w:sz w:val="14"/>
                <w:szCs w:val="14"/>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-0.4%</w:t>
            </w:r>
          </w:p>
        </w:tc>
        <w:tc>
          <w:tcPr>
            <w:tcW w:w="980" w:type="dxa"/>
            <w:vAlign w:val="bottom"/>
          </w:tcPr>
          <w:p>
            <w:pPr>
              <w:ind w:left="360"/>
              <w:spacing w:after="0"/>
              <w:rPr>
                <w:sz w:val="20"/>
                <w:szCs w:val="20"/>
                <w:color w:val="auto"/>
              </w:rPr>
            </w:pPr>
            <w:r>
              <w:rPr>
                <w:rFonts w:ascii="Arial" w:cs="Arial" w:eastAsia="Arial" w:hAnsi="Arial"/>
                <w:sz w:val="14"/>
                <w:szCs w:val="14"/>
                <w:b w:val="1"/>
                <w:bCs w:val="1"/>
                <w:color w:val="auto"/>
              </w:rPr>
              <w:t>-26.9%</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476,569</w:t>
            </w:r>
          </w:p>
        </w:tc>
        <w:tc>
          <w:tcPr>
            <w:tcW w:w="140" w:type="dxa"/>
            <w:vAlign w:val="bottom"/>
          </w:tcPr>
          <w:p>
            <w:pPr>
              <w:spacing w:after="0"/>
              <w:rPr>
                <w:sz w:val="14"/>
                <w:szCs w:val="14"/>
                <w:color w:val="auto"/>
              </w:rPr>
            </w:pP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649,340</w:t>
            </w:r>
          </w:p>
        </w:tc>
        <w:tc>
          <w:tcPr>
            <w:tcW w:w="20" w:type="dxa"/>
            <w:vAlign w:val="bottom"/>
          </w:tcPr>
          <w:p>
            <w:pPr>
              <w:spacing w:after="0"/>
              <w:rPr>
                <w:sz w:val="14"/>
                <w:szCs w:val="14"/>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7202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Analog Devices, Second Quarter, Fiscal 2009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Schedule 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from Non-GAAP to GAAP Data (In thousands, except per-share amounts)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See "Non-GAAP Financial Information" in this press release for a description of the items excluded from our non-GAAP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center"/>
              <w:ind w:right="208"/>
              <w:spacing w:after="0" w:line="160" w:lineRule="exact"/>
              <w:rPr>
                <w:sz w:val="20"/>
                <w:szCs w:val="20"/>
                <w:color w:val="auto"/>
              </w:rPr>
            </w:pPr>
            <w:r>
              <w:rPr>
                <w:rFonts w:ascii="Arial" w:cs="Arial" w:eastAsia="Arial" w:hAnsi="Arial"/>
                <w:sz w:val="14"/>
                <w:szCs w:val="14"/>
                <w:b w:val="1"/>
                <w:bCs w:val="1"/>
                <w:color w:val="auto"/>
                <w:w w:val="94"/>
              </w:rPr>
              <w:t>2Q 09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4"/>
              </w:rPr>
              <w:t>1Q 09</w:t>
            </w:r>
          </w:p>
        </w:tc>
        <w:tc>
          <w:tcPr>
            <w:tcW w:w="320" w:type="dxa"/>
            <w:vAlign w:val="bottom"/>
          </w:tcPr>
          <w:p>
            <w:pPr>
              <w:spacing w:after="0"/>
              <w:rPr>
                <w:sz w:val="13"/>
                <w:szCs w:val="13"/>
                <w:color w:val="auto"/>
              </w:rPr>
            </w:pPr>
          </w:p>
        </w:tc>
        <w:tc>
          <w:tcPr>
            <w:tcW w:w="1040" w:type="dxa"/>
            <w:vAlign w:val="bottom"/>
          </w:tcPr>
          <w:p>
            <w:pPr>
              <w:jc w:val="center"/>
              <w:ind w:right="248"/>
              <w:spacing w:after="0" w:line="160" w:lineRule="exact"/>
              <w:rPr>
                <w:sz w:val="20"/>
                <w:szCs w:val="20"/>
                <w:color w:val="auto"/>
              </w:rPr>
            </w:pPr>
            <w:r>
              <w:rPr>
                <w:rFonts w:ascii="Arial" w:cs="Arial" w:eastAsia="Arial" w:hAnsi="Arial"/>
                <w:sz w:val="14"/>
                <w:szCs w:val="14"/>
                <w:b w:val="1"/>
                <w:bCs w:val="1"/>
                <w:color w:val="auto"/>
                <w:w w:val="94"/>
              </w:rPr>
              <w:t>2Q 08</w:t>
            </w:r>
          </w:p>
        </w:tc>
        <w:tc>
          <w:tcPr>
            <w:tcW w:w="0" w:type="dxa"/>
            <w:vAlign w:val="bottom"/>
          </w:tcPr>
          <w:p>
            <w:pPr>
              <w:spacing w:after="0"/>
              <w:rPr>
                <w:sz w:val="1"/>
                <w:szCs w:val="1"/>
                <w:color w:val="auto"/>
              </w:rPr>
            </w:pPr>
          </w:p>
        </w:tc>
      </w:tr>
      <w:tr>
        <w:trPr>
          <w:trHeight w:val="176"/>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May 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Jan. 31,</w:t>
            </w:r>
          </w:p>
        </w:tc>
        <w:tc>
          <w:tcPr>
            <w:tcW w:w="320" w:type="dxa"/>
            <w:vAlign w:val="bottom"/>
          </w:tcPr>
          <w:p>
            <w:pPr>
              <w:spacing w:after="0"/>
              <w:rPr>
                <w:sz w:val="15"/>
                <w:szCs w:val="15"/>
                <w:color w:val="auto"/>
              </w:rPr>
            </w:pPr>
          </w:p>
        </w:tc>
        <w:tc>
          <w:tcPr>
            <w:tcW w:w="104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May 3,</w:t>
            </w: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Operating Expenses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203,643</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249,411</w:t>
            </w:r>
          </w:p>
        </w:tc>
        <w:tc>
          <w:tcPr>
            <w:tcW w:w="100" w:type="dxa"/>
            <w:vAlign w:val="bottom"/>
          </w:tcPr>
          <w:p>
            <w:pPr>
              <w:spacing w:after="0"/>
              <w:rPr>
                <w:sz w:val="24"/>
                <w:szCs w:val="24"/>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238,836</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42.9%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52.3%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36.8%</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(41,737)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Operating Expenses</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191,724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207,674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238,836</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40.4%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43.6%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36.8%</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Operating Income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57,909</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19,591</w:t>
            </w:r>
          </w:p>
        </w:tc>
        <w:tc>
          <w:tcPr>
            <w:tcW w:w="100" w:type="dxa"/>
            <w:vAlign w:val="bottom"/>
          </w:tcPr>
          <w:p>
            <w:pPr>
              <w:spacing w:after="0"/>
              <w:rPr>
                <w:sz w:val="24"/>
                <w:szCs w:val="24"/>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157,185</w:t>
            </w:r>
          </w:p>
        </w:tc>
        <w:tc>
          <w:tcPr>
            <w:tcW w:w="0" w:type="dxa"/>
            <w:vAlign w:val="bottom"/>
          </w:tcPr>
          <w:p>
            <w:pPr>
              <w:spacing w:after="0"/>
              <w:rPr>
                <w:sz w:val="1"/>
                <w:szCs w:val="1"/>
                <w:color w:val="auto"/>
              </w:rPr>
            </w:pPr>
          </w:p>
        </w:tc>
      </w:tr>
      <w:tr>
        <w:trPr>
          <w:trHeight w:val="176"/>
        </w:trPr>
        <w:tc>
          <w:tcPr>
            <w:tcW w:w="7360" w:type="dxa"/>
            <w:vAlign w:val="bottom"/>
          </w:tcPr>
          <w:p>
            <w:pPr>
              <w:ind w:left="140"/>
              <w:spacing w:after="0"/>
              <w:rPr>
                <w:sz w:val="20"/>
                <w:szCs w:val="20"/>
                <w:color w:val="auto"/>
              </w:rPr>
            </w:pPr>
            <w:r>
              <w:rPr>
                <w:rFonts w:ascii="Arial" w:cs="Arial" w:eastAsia="Arial" w:hAnsi="Arial"/>
                <w:sz w:val="14"/>
                <w:szCs w:val="14"/>
                <w:b w:val="1"/>
                <w:bCs w:val="1"/>
                <w:i w:val="1"/>
                <w:iCs w:val="1"/>
                <w:color w:val="auto"/>
              </w:rPr>
              <w:t>Percent of Total Revenue</w:t>
            </w:r>
          </w:p>
        </w:tc>
        <w:tc>
          <w:tcPr>
            <w:tcW w:w="26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12.2%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24.2%</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11,919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41,737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Operating Income From Continuing Operations</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69,828</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61,328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157,185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4"/>
                <w:szCs w:val="14"/>
                <w:b w:val="1"/>
                <w:bCs w:val="1"/>
                <w:i w:val="1"/>
                <w:iCs w:val="1"/>
                <w:color w:val="auto"/>
              </w:rPr>
              <w:t>Percent of Product Revenue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14.7%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i w:val="1"/>
                <w:iCs w:val="1"/>
                <w:color w:val="auto"/>
              </w:rPr>
              <w:t>12.9%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24.2%</w:t>
            </w:r>
          </w:p>
        </w:tc>
        <w:tc>
          <w:tcPr>
            <w:tcW w:w="0" w:type="dxa"/>
            <w:vAlign w:val="bottom"/>
          </w:tcPr>
          <w:p>
            <w:pPr>
              <w:spacing w:after="0"/>
              <w:rPr>
                <w:sz w:val="1"/>
                <w:szCs w:val="1"/>
                <w:color w:val="auto"/>
              </w:rPr>
            </w:pPr>
          </w:p>
        </w:tc>
      </w:tr>
      <w:tr>
        <w:trPr>
          <w:trHeight w:val="339"/>
        </w:trPr>
        <w:tc>
          <w:tcPr>
            <w:tcW w:w="7360" w:type="dxa"/>
            <w:vAlign w:val="bottom"/>
          </w:tcPr>
          <w:p>
            <w:pPr>
              <w:spacing w:after="0"/>
              <w:rPr>
                <w:sz w:val="20"/>
                <w:szCs w:val="20"/>
                <w:color w:val="auto"/>
              </w:rPr>
            </w:pPr>
            <w:r>
              <w:rPr>
                <w:rFonts w:ascii="Arial" w:cs="Arial" w:eastAsia="Arial" w:hAnsi="Arial"/>
                <w:sz w:val="14"/>
                <w:szCs w:val="14"/>
                <w:b w:val="1"/>
                <w:bCs w:val="1"/>
                <w:color w:val="auto"/>
              </w:rPr>
              <w:t>GAAP Diluted EPS Including Discontinued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0.18</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0.09</w:t>
            </w:r>
          </w:p>
        </w:tc>
        <w:tc>
          <w:tcPr>
            <w:tcW w:w="100" w:type="dxa"/>
            <w:vAlign w:val="bottom"/>
          </w:tcPr>
          <w:p>
            <w:pPr>
              <w:spacing w:after="0"/>
              <w:rPr>
                <w:sz w:val="24"/>
                <w:szCs w:val="24"/>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0.45</w:t>
            </w:r>
          </w:p>
        </w:tc>
        <w:tc>
          <w:tcPr>
            <w:tcW w:w="0" w:type="dxa"/>
            <w:vAlign w:val="bottom"/>
          </w:tcPr>
          <w:p>
            <w:pPr>
              <w:spacing w:after="0"/>
              <w:rPr>
                <w:sz w:val="1"/>
                <w:szCs w:val="1"/>
                <w:color w:val="auto"/>
              </w:rPr>
            </w:pPr>
          </w:p>
        </w:tc>
      </w:tr>
      <w:tr>
        <w:trPr>
          <w:trHeight w:val="172"/>
        </w:trPr>
        <w:tc>
          <w:tcPr>
            <w:tcW w:w="7360" w:type="dxa"/>
            <w:vAlign w:val="bottom"/>
          </w:tcPr>
          <w:p>
            <w:pPr>
              <w:ind w:left="140"/>
              <w:spacing w:after="0"/>
              <w:rPr>
                <w:sz w:val="20"/>
                <w:szCs w:val="20"/>
                <w:color w:val="auto"/>
              </w:rPr>
            </w:pPr>
            <w:r>
              <w:rPr>
                <w:rFonts w:ascii="Arial" w:cs="Arial" w:eastAsia="Arial" w:hAnsi="Arial"/>
                <w:sz w:val="14"/>
                <w:szCs w:val="14"/>
                <w:color w:val="auto"/>
              </w:rPr>
              <w:t>Diluted Loss (Earnings) Per Share from Discontinued Operations</w:t>
            </w:r>
          </w:p>
        </w:tc>
        <w:tc>
          <w:tcPr>
            <w:tcW w:w="2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80"/>
        </w:trPr>
        <w:tc>
          <w:tcPr>
            <w:tcW w:w="7360" w:type="dxa"/>
            <w:vAlign w:val="bottom"/>
          </w:tcPr>
          <w:p>
            <w:pPr>
              <w:spacing w:after="0"/>
              <w:rPr>
                <w:sz w:val="20"/>
                <w:szCs w:val="20"/>
                <w:color w:val="auto"/>
              </w:rPr>
            </w:pPr>
            <w:r>
              <w:rPr>
                <w:rFonts w:ascii="Arial" w:cs="Arial" w:eastAsia="Arial" w:hAnsi="Arial"/>
                <w:sz w:val="14"/>
                <w:szCs w:val="14"/>
                <w:b w:val="1"/>
                <w:bCs w:val="1"/>
                <w:color w:val="auto"/>
              </w:rPr>
              <w:t>GAAP Diluted EPS From Continuing Operations (1)</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0.18</w:t>
            </w:r>
          </w:p>
        </w:tc>
        <w:tc>
          <w:tcPr>
            <w:tcW w:w="3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0.08</w:t>
            </w:r>
          </w:p>
        </w:tc>
        <w:tc>
          <w:tcPr>
            <w:tcW w:w="100" w:type="dxa"/>
            <w:vAlign w:val="bottom"/>
          </w:tcPr>
          <w:p>
            <w:pPr>
              <w:spacing w:after="0"/>
              <w:rPr>
                <w:sz w:val="15"/>
                <w:szCs w:val="15"/>
                <w:color w:val="auto"/>
              </w:rPr>
            </w:pP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0.44</w:t>
            </w:r>
          </w:p>
        </w:tc>
        <w:tc>
          <w:tcPr>
            <w:tcW w:w="0" w:type="dxa"/>
            <w:vAlign w:val="bottom"/>
          </w:tcPr>
          <w:p>
            <w:pPr>
              <w:spacing w:after="0"/>
              <w:rPr>
                <w:sz w:val="1"/>
                <w:szCs w:val="1"/>
                <w:color w:val="auto"/>
              </w:rPr>
            </w:pPr>
          </w:p>
        </w:tc>
      </w:tr>
      <w:tr>
        <w:trPr>
          <w:trHeight w:val="181"/>
        </w:trPr>
        <w:tc>
          <w:tcPr>
            <w:tcW w:w="7360" w:type="dxa"/>
            <w:vAlign w:val="bottom"/>
          </w:tcPr>
          <w:p>
            <w:pPr>
              <w:ind w:left="420"/>
              <w:spacing w:after="0"/>
              <w:rPr>
                <w:sz w:val="20"/>
                <w:szCs w:val="20"/>
                <w:color w:val="auto"/>
              </w:rPr>
            </w:pPr>
            <w:r>
              <w:rPr>
                <w:rFonts w:ascii="Arial" w:cs="Arial" w:eastAsia="Arial" w:hAnsi="Arial"/>
                <w:sz w:val="14"/>
                <w:szCs w:val="14"/>
                <w:color w:val="auto"/>
              </w:rPr>
              <w:t>Restructuring-Related Expense</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20"/>
                <w:szCs w:val="20"/>
                <w:color w:val="auto"/>
              </w:rPr>
            </w:pPr>
            <w:r>
              <w:rPr>
                <w:rFonts w:ascii="Arial" w:cs="Arial" w:eastAsia="Arial" w:hAnsi="Arial"/>
                <w:sz w:val="14"/>
                <w:szCs w:val="14"/>
                <w:b w:val="1"/>
                <w:bCs w:val="1"/>
                <w:color w:val="auto"/>
              </w:rPr>
              <w:t>Non-GAAP Diluted EPS From Continuing Operations</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0.21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0.18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0.44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(1) The sum of the individual per share amounts may not equal the total due to rounding.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Analog Devices, Inc.</w:t>
      </w:r>
    </w:p>
    <w:p>
      <w:pPr>
        <w:spacing w:after="0" w:line="230" w:lineRule="auto"/>
        <w:rPr>
          <w:sz w:val="20"/>
          <w:szCs w:val="20"/>
          <w:color w:val="auto"/>
        </w:rPr>
      </w:pPr>
      <w:r>
        <w:rPr>
          <w:rFonts w:ascii="Arial" w:cs="Arial" w:eastAsia="Arial" w:hAnsi="Arial"/>
          <w:sz w:val="22"/>
          <w:szCs w:val="22"/>
          <w:color w:val="auto"/>
        </w:rPr>
        <w:t>Mindy Kohl, 781-461-3282</w:t>
      </w:r>
    </w:p>
    <w:p>
      <w:pPr>
        <w:spacing w:after="0" w:line="231" w:lineRule="auto"/>
        <w:rPr>
          <w:sz w:val="20"/>
          <w:szCs w:val="20"/>
          <w:color w:val="auto"/>
        </w:rPr>
      </w:pPr>
      <w:r>
        <w:rPr>
          <w:rFonts w:ascii="Arial" w:cs="Arial" w:eastAsia="Arial" w:hAnsi="Arial"/>
          <w:sz w:val="22"/>
          <w:szCs w:val="22"/>
          <w:color w:val="auto"/>
        </w:rPr>
        <w:t>Director of Investor Relations</w:t>
      </w:r>
    </w:p>
    <w:p>
      <w:pPr>
        <w:spacing w:after="0" w:line="231" w:lineRule="auto"/>
        <w:rPr>
          <w:sz w:val="20"/>
          <w:szCs w:val="20"/>
          <w:color w:val="auto"/>
        </w:rPr>
      </w:pPr>
      <w:r>
        <w:rPr>
          <w:rFonts w:ascii="Arial" w:cs="Arial" w:eastAsia="Arial" w:hAnsi="Arial"/>
          <w:sz w:val="22"/>
          <w:szCs w:val="22"/>
          <w:color w:val="auto"/>
        </w:rPr>
        <w:t>781-461-3491 (fax)</w:t>
      </w:r>
    </w:p>
    <w:p>
      <w:pPr>
        <w:spacing w:after="0"/>
        <w:rPr>
          <w:sz w:val="20"/>
          <w:szCs w:val="20"/>
          <w:color w:val="auto"/>
        </w:rPr>
      </w:pPr>
      <w:r>
        <w:rPr>
          <w:rFonts w:ascii="Arial" w:cs="Arial" w:eastAsia="Arial" w:hAnsi="Arial"/>
          <w:sz w:val="22"/>
          <w:szCs w:val="22"/>
          <w:u w:val="single" w:color="auto"/>
          <w:color w:val="auto"/>
        </w:rPr>
        <w:t>investor.relations@analog.com</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2019-12-09T21:57:48Z</dcterms:created>
  <dcterms:modified xsi:type="dcterms:W3CDTF">2019-12-09T21:57:48Z</dcterms:modified>
</cp:coreProperties>
</file>