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62"/>
              <w:spacing w:after="0"/>
              <w:rPr>
                <w:sz w:val="20"/>
                <w:szCs w:val="20"/>
                <w:color w:val="auto"/>
              </w:rPr>
            </w:pPr>
            <w:r>
              <w:rPr>
                <w:rFonts w:ascii="Arial" w:cs="Arial" w:eastAsia="Arial" w:hAnsi="Arial"/>
                <w:sz w:val="25"/>
                <w:szCs w:val="25"/>
                <w:b w:val="1"/>
                <w:bCs w:val="1"/>
                <w:color w:val="auto"/>
              </w:rPr>
              <w:t>SECURITIES AND EXCHANGE COMMISSION</w:t>
            </w:r>
          </w:p>
        </w:tc>
      </w:tr>
      <w:tr>
        <w:trPr>
          <w:trHeight w:val="488"/>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62"/>
              <w:spacing w:after="0"/>
              <w:rPr>
                <w:sz w:val="20"/>
                <w:szCs w:val="20"/>
                <w:color w:val="auto"/>
              </w:rPr>
            </w:pPr>
            <w:r>
              <w:rPr>
                <w:rFonts w:ascii="Arial" w:cs="Arial" w:eastAsia="Arial" w:hAnsi="Arial"/>
                <w:sz w:val="22"/>
                <w:szCs w:val="22"/>
                <w:b w:val="1"/>
                <w:bCs w:val="1"/>
                <w:color w:val="auto"/>
                <w:w w:val="94"/>
              </w:rPr>
              <w:t>WASHINGTON, D.C. 20549</w:t>
            </w:r>
          </w:p>
        </w:tc>
      </w:tr>
      <w:tr>
        <w:trPr>
          <w:trHeight w:val="694"/>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42"/>
              <w:spacing w:after="0"/>
              <w:rPr>
                <w:sz w:val="20"/>
                <w:szCs w:val="20"/>
                <w:color w:val="auto"/>
              </w:rPr>
            </w:pPr>
            <w:r>
              <w:rPr>
                <w:rFonts w:ascii="Arial" w:cs="Arial" w:eastAsia="Arial" w:hAnsi="Arial"/>
                <w:sz w:val="32"/>
                <w:szCs w:val="32"/>
                <w:b w:val="1"/>
                <w:bCs w:val="1"/>
                <w:color w:val="auto"/>
                <w:w w:val="96"/>
              </w:rPr>
              <w:t>Form 11-K</w:t>
            </w:r>
          </w:p>
        </w:tc>
      </w:tr>
      <w:tr>
        <w:trPr>
          <w:trHeight w:val="655"/>
        </w:trPr>
        <w:tc>
          <w:tcPr>
            <w:tcW w:w="1380" w:type="dxa"/>
            <w:vAlign w:val="bottom"/>
            <w:gridSpan w:val="5"/>
          </w:tcPr>
          <w:p>
            <w:pPr>
              <w:jc w:val="center"/>
              <w:ind w:left="288"/>
              <w:spacing w:after="0"/>
              <w:rPr>
                <w:sz w:val="20"/>
                <w:szCs w:val="20"/>
                <w:color w:val="auto"/>
              </w:rPr>
            </w:pPr>
            <w:r>
              <w:rPr>
                <w:rFonts w:ascii="Arial" w:cs="Arial" w:eastAsia="Arial" w:hAnsi="Arial"/>
                <w:sz w:val="14"/>
                <w:szCs w:val="14"/>
                <w:b w:val="1"/>
                <w:bCs w:val="1"/>
                <w:color w:val="auto"/>
              </w:rPr>
              <w:t>(Mark One)</w:t>
            </w:r>
          </w:p>
        </w:tc>
        <w:tc>
          <w:tcPr>
            <w:tcW w:w="10040" w:type="dxa"/>
            <w:vAlign w:val="bottom"/>
          </w:tcPr>
          <w:p>
            <w:pPr>
              <w:spacing w:after="0"/>
              <w:rPr>
                <w:sz w:val="24"/>
                <w:szCs w:val="24"/>
                <w:color w:val="auto"/>
              </w:rPr>
            </w:pPr>
          </w:p>
        </w:tc>
      </w:tr>
      <w:tr>
        <w:trPr>
          <w:trHeight w:val="194"/>
        </w:trPr>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tcPr>
          <w:p>
            <w:pPr>
              <w:jc w:val="center"/>
              <w:ind w:right="400"/>
              <w:spacing w:after="0" w:line="194" w:lineRule="exact"/>
              <w:rPr>
                <w:sz w:val="20"/>
                <w:szCs w:val="20"/>
                <w:color w:val="auto"/>
              </w:rPr>
            </w:pPr>
            <w:r>
              <w:rPr>
                <w:rFonts w:ascii="Arial" w:cs="Arial" w:eastAsia="Arial" w:hAnsi="Arial"/>
                <w:sz w:val="18"/>
                <w:szCs w:val="18"/>
                <w:b w:val="1"/>
                <w:bCs w:val="1"/>
                <w:color w:val="auto"/>
              </w:rPr>
              <w:t>X</w:t>
            </w:r>
          </w:p>
        </w:tc>
        <w:tc>
          <w:tcPr>
            <w:tcW w:w="10040" w:type="dxa"/>
            <w:vAlign w:val="bottom"/>
          </w:tcPr>
          <w:p>
            <w:pPr>
              <w:ind w:left="920"/>
              <w:spacing w:after="0" w:line="194" w:lineRule="exact"/>
              <w:rPr>
                <w:sz w:val="20"/>
                <w:szCs w:val="20"/>
                <w:color w:val="auto"/>
              </w:rPr>
            </w:pPr>
            <w:r>
              <w:rPr>
                <w:rFonts w:ascii="Arial" w:cs="Arial" w:eastAsia="Arial" w:hAnsi="Arial"/>
                <w:sz w:val="18"/>
                <w:szCs w:val="18"/>
                <w:color w:val="auto"/>
              </w:rPr>
              <w:t>ANNUAL REPORT PURSUANT TO SECTION 15 (d) OF THE SECURITIES EXCHANGE ACT OF 1934 (NO FEE</w:t>
            </w:r>
          </w:p>
        </w:tc>
      </w:tr>
      <w:tr>
        <w:trPr>
          <w:trHeight w:val="237"/>
        </w:trPr>
        <w:tc>
          <w:tcPr>
            <w:tcW w:w="7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rPr>
              <w:t>REQUIRED)</w:t>
            </w:r>
          </w:p>
        </w:tc>
      </w:tr>
      <w:tr>
        <w:trPr>
          <w:trHeight w:val="405"/>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42"/>
              <w:spacing w:after="0"/>
              <w:rPr>
                <w:sz w:val="20"/>
                <w:szCs w:val="20"/>
                <w:color w:val="auto"/>
              </w:rPr>
            </w:pPr>
            <w:r>
              <w:rPr>
                <w:rFonts w:ascii="Arial" w:cs="Arial" w:eastAsia="Arial" w:hAnsi="Arial"/>
                <w:sz w:val="18"/>
                <w:szCs w:val="18"/>
                <w:color w:val="auto"/>
                <w:w w:val="89"/>
              </w:rPr>
              <w:t>For the fiscal year ended December 31, 2003</w:t>
            </w:r>
          </w:p>
        </w:tc>
      </w:tr>
      <w:tr>
        <w:trPr>
          <w:trHeight w:val="392"/>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62"/>
              <w:spacing w:after="0"/>
              <w:rPr>
                <w:sz w:val="20"/>
                <w:szCs w:val="20"/>
                <w:color w:val="auto"/>
              </w:rPr>
            </w:pPr>
            <w:r>
              <w:rPr>
                <w:rFonts w:ascii="Arial" w:cs="Arial" w:eastAsia="Arial" w:hAnsi="Arial"/>
                <w:sz w:val="18"/>
                <w:szCs w:val="18"/>
                <w:color w:val="auto"/>
                <w:w w:val="96"/>
              </w:rPr>
              <w:t>OR</w:t>
            </w:r>
          </w:p>
        </w:tc>
      </w:tr>
      <w:tr>
        <w:trPr>
          <w:trHeight w:val="567"/>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w w:val="96"/>
              </w:rPr>
              <w:t>TRANSITION REPORT PURSUANT TO SECTION 15 (d) OF THE SECURITIES EXCHANGE ACT OF 1934 (NO FEE</w:t>
            </w:r>
          </w:p>
        </w:tc>
      </w:tr>
      <w:tr>
        <w:trPr>
          <w:trHeight w:val="237"/>
        </w:trPr>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rPr>
              <w:t>REQUIRED)</w:t>
            </w:r>
          </w:p>
        </w:tc>
      </w:tr>
      <w:tr>
        <w:trPr>
          <w:trHeight w:val="405"/>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42"/>
              <w:spacing w:after="0"/>
              <w:rPr>
                <w:sz w:val="20"/>
                <w:szCs w:val="20"/>
                <w:color w:val="auto"/>
              </w:rPr>
            </w:pPr>
            <w:r>
              <w:rPr>
                <w:rFonts w:ascii="Arial" w:cs="Arial" w:eastAsia="Arial" w:hAnsi="Arial"/>
                <w:sz w:val="18"/>
                <w:szCs w:val="18"/>
                <w:color w:val="auto"/>
                <w:w w:val="91"/>
              </w:rPr>
              <w:t>For the transition period from_______________ to ________________</w:t>
            </w:r>
          </w:p>
        </w:tc>
      </w:tr>
      <w:tr>
        <w:trPr>
          <w:trHeight w:val="392"/>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62"/>
              <w:spacing w:after="0"/>
              <w:rPr>
                <w:sz w:val="20"/>
                <w:szCs w:val="20"/>
                <w:color w:val="auto"/>
              </w:rPr>
            </w:pPr>
            <w:r>
              <w:rPr>
                <w:rFonts w:ascii="Arial" w:cs="Arial" w:eastAsia="Arial" w:hAnsi="Arial"/>
                <w:sz w:val="18"/>
                <w:szCs w:val="18"/>
                <w:color w:val="auto"/>
                <w:w w:val="92"/>
              </w:rPr>
              <w:t>Commission file number 1-7819</w:t>
            </w:r>
          </w:p>
        </w:tc>
      </w:tr>
      <w:tr>
        <w:trPr>
          <w:trHeight w:val="888"/>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42"/>
              <w:spacing w:after="0"/>
              <w:rPr>
                <w:sz w:val="20"/>
                <w:szCs w:val="20"/>
                <w:color w:val="auto"/>
              </w:rPr>
            </w:pPr>
            <w:r>
              <w:rPr>
                <w:rFonts w:ascii="Arial" w:cs="Arial" w:eastAsia="Arial" w:hAnsi="Arial"/>
                <w:sz w:val="43"/>
                <w:szCs w:val="43"/>
                <w:b w:val="1"/>
                <w:bCs w:val="1"/>
                <w:color w:val="auto"/>
              </w:rPr>
              <w:t>ANALOG DEVICES, INC.</w:t>
            </w:r>
          </w:p>
        </w:tc>
      </w:tr>
      <w:tr>
        <w:trPr>
          <w:trHeight w:val="565"/>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62"/>
              <w:spacing w:after="0"/>
              <w:rPr>
                <w:sz w:val="20"/>
                <w:szCs w:val="20"/>
                <w:color w:val="auto"/>
              </w:rPr>
            </w:pPr>
            <w:r>
              <w:rPr>
                <w:rFonts w:ascii="Arial" w:cs="Arial" w:eastAsia="Arial" w:hAnsi="Arial"/>
                <w:sz w:val="43"/>
                <w:szCs w:val="43"/>
                <w:b w:val="1"/>
                <w:bCs w:val="1"/>
                <w:color w:val="auto"/>
              </w:rPr>
              <w:t>THE INVESTMENT PARTNERSHIP PLAN</w:t>
            </w:r>
          </w:p>
        </w:tc>
      </w:tr>
      <w:tr>
        <w:trPr>
          <w:trHeight w:val="626"/>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62"/>
              <w:spacing w:after="0"/>
              <w:rPr>
                <w:sz w:val="20"/>
                <w:szCs w:val="20"/>
                <w:color w:val="auto"/>
              </w:rPr>
            </w:pPr>
            <w:r>
              <w:rPr>
                <w:rFonts w:ascii="Arial" w:cs="Arial" w:eastAsia="Arial" w:hAnsi="Arial"/>
                <w:sz w:val="18"/>
                <w:szCs w:val="18"/>
                <w:i w:val="1"/>
                <w:iCs w:val="1"/>
                <w:color w:val="auto"/>
                <w:w w:val="91"/>
              </w:rPr>
              <w:t>(Full title of the plan and the address of the plan, if different from that of the issuer named below)</w:t>
            </w:r>
          </w:p>
        </w:tc>
      </w:tr>
      <w:tr>
        <w:trPr>
          <w:trHeight w:val="954"/>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42"/>
              <w:spacing w:after="0"/>
              <w:rPr>
                <w:sz w:val="20"/>
                <w:szCs w:val="20"/>
                <w:color w:val="auto"/>
              </w:rPr>
            </w:pPr>
            <w:r>
              <w:rPr>
                <w:rFonts w:ascii="Arial" w:cs="Arial" w:eastAsia="Arial" w:hAnsi="Arial"/>
                <w:sz w:val="43"/>
                <w:szCs w:val="43"/>
                <w:b w:val="1"/>
                <w:bCs w:val="1"/>
                <w:color w:val="auto"/>
              </w:rPr>
              <w:t>ANALOG DEVICES, INC.</w:t>
            </w:r>
          </w:p>
        </w:tc>
      </w:tr>
      <w:tr>
        <w:trPr>
          <w:trHeight w:val="626"/>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42"/>
              <w:spacing w:after="0"/>
              <w:rPr>
                <w:sz w:val="20"/>
                <w:szCs w:val="20"/>
                <w:color w:val="auto"/>
              </w:rPr>
            </w:pPr>
            <w:r>
              <w:rPr>
                <w:rFonts w:ascii="Arial" w:cs="Arial" w:eastAsia="Arial" w:hAnsi="Arial"/>
                <w:sz w:val="18"/>
                <w:szCs w:val="18"/>
                <w:i w:val="1"/>
                <w:iCs w:val="1"/>
                <w:color w:val="auto"/>
                <w:w w:val="90"/>
              </w:rPr>
              <w:t>(Name of issuer of the securities held pursuant to the plan and the address of its principal executive office)</w:t>
            </w:r>
          </w:p>
        </w:tc>
      </w:tr>
      <w:tr>
        <w:trPr>
          <w:trHeight w:val="377"/>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tcPr>
          <w:p>
            <w:pPr>
              <w:jc w:val="center"/>
              <w:ind w:right="1242"/>
              <w:spacing w:after="0"/>
              <w:rPr>
                <w:sz w:val="20"/>
                <w:szCs w:val="20"/>
                <w:color w:val="auto"/>
              </w:rPr>
            </w:pPr>
            <w:r>
              <w:rPr>
                <w:rFonts w:ascii="Arial" w:cs="Arial" w:eastAsia="Arial" w:hAnsi="Arial"/>
                <w:sz w:val="18"/>
                <w:szCs w:val="18"/>
                <w:color w:val="auto"/>
                <w:w w:val="90"/>
              </w:rPr>
              <w:t>One Technology Way</w:t>
            </w:r>
          </w:p>
        </w:tc>
      </w:tr>
      <w:tr>
        <w:trPr>
          <w:trHeight w:val="230"/>
        </w:trPr>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40" w:type="dxa"/>
            <w:vAlign w:val="bottom"/>
          </w:tcPr>
          <w:p>
            <w:pPr>
              <w:jc w:val="center"/>
              <w:ind w:right="1242"/>
              <w:spacing w:after="0"/>
              <w:rPr>
                <w:sz w:val="20"/>
                <w:szCs w:val="20"/>
                <w:color w:val="auto"/>
              </w:rPr>
            </w:pPr>
            <w:r>
              <w:rPr>
                <w:rFonts w:ascii="Arial" w:cs="Arial" w:eastAsia="Arial" w:hAnsi="Arial"/>
                <w:sz w:val="18"/>
                <w:szCs w:val="18"/>
                <w:color w:val="auto"/>
                <w:w w:val="89"/>
              </w:rPr>
              <w:t>Norwood, Massachusetts 02062-9106</w:t>
            </w:r>
          </w:p>
        </w:tc>
      </w:tr>
      <w:tr>
        <w:trPr>
          <w:trHeight w:val="172"/>
        </w:trPr>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40" w:type="dxa"/>
            <w:vAlign w:val="bottom"/>
          </w:tcPr>
          <w:p>
            <w:pPr>
              <w:spacing w:after="0"/>
              <w:rPr>
                <w:sz w:val="14"/>
                <w:szCs w:val="14"/>
                <w:color w:val="auto"/>
              </w:rPr>
            </w:pPr>
          </w:p>
        </w:tc>
      </w:tr>
      <w:tr>
        <w:trPr>
          <w:trHeight w:val="61"/>
        </w:trPr>
        <w:tc>
          <w:tcPr>
            <w:tcW w:w="7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040" w:type="dxa"/>
            <w:vAlign w:val="bottom"/>
            <w:shd w:val="clear" w:color="auto" w:fill="000000"/>
          </w:tcPr>
          <w:p>
            <w:pPr>
              <w:spacing w:after="0"/>
              <w:rPr>
                <w:sz w:val="5"/>
                <w:szCs w:val="5"/>
                <w:color w:val="auto"/>
              </w:rPr>
            </w:pPr>
          </w:p>
        </w:tc>
      </w:tr>
      <w:tr>
        <w:trPr>
          <w:trHeight w:val="628"/>
        </w:trPr>
        <w:tc>
          <w:tcPr>
            <w:tcW w:w="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right="2499"/>
        <w:spacing w:after="0" w:line="234"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Report of Ernst &amp; Young LLP, Independent Registered Public Accounting Firm</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STATEMENTS OF NET ASSETS AVAILABLE FOR BENEFITS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STATEMENTS OF CHANGES IN NET ASSETS AVAILABLE FOR BENEFITS</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NOTES TO FINANCIAL STATEMENTS</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SUPPLEMENTAL SCHEDULE</w:t>
        </w:r>
      </w:hyperlink>
    </w:p>
    <w:p>
      <w:pPr>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SIGNATURES</w:t>
        </w:r>
      </w:hyperlink>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Ex-23.1 Consent of Ind. Registered Public Acc Firm</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INVESTMENT PARTNERSHIP PLAN</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220" w:hanging="167"/>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Audited Statements of Net Assets Available for Benefits as of December 31, 2003 and 2002.</w:t>
      </w:r>
    </w:p>
    <w:p>
      <w:pPr>
        <w:spacing w:after="0" w:line="225" w:lineRule="exact"/>
        <w:rPr>
          <w:rFonts w:ascii="Arial" w:cs="Arial" w:eastAsia="Arial" w:hAnsi="Arial"/>
          <w:sz w:val="18"/>
          <w:szCs w:val="18"/>
          <w:color w:val="auto"/>
        </w:rPr>
      </w:pPr>
    </w:p>
    <w:p>
      <w:pPr>
        <w:ind w:left="4860" w:right="1399" w:hanging="4807"/>
        <w:spacing w:after="0" w:line="501" w:lineRule="auto"/>
        <w:tabs>
          <w:tab w:leader="none" w:pos="217"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Audited Statements of Changes in Net Assets Available for Benefits for the Years Ended December 31, 2003 and 2002. Supplemental Schedule</w:t>
      </w:r>
    </w:p>
    <w:p>
      <w:pPr>
        <w:ind w:left="220" w:hanging="167"/>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Schedule H-Line 4i — Schedule of Assets (Held at End of Year)</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660" w:right="4459" w:hanging="5607"/>
        <w:spacing w:after="0" w:line="432"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 filed herewith.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Report of Ernst &amp; Young LLP,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Administration Committee and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Partnership Plan</w:t>
      </w: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Analog Devices, Inc. The Investment Partnership Plan as of December 31, 2003 and 2002,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0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2003 and 2002, and the changes in its net assets available for benefits for the years then ended, in conformity with U.S. generally accepted accounting principles.</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2003,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36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12, 2004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December 31, 2003 and 2002</w:t>
      </w:r>
    </w:p>
    <w:p>
      <w:pPr>
        <w:spacing w:after="0" w:line="392"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4300" w:type="dxa"/>
            <w:vAlign w:val="bottom"/>
          </w:tcPr>
          <w:p>
            <w:pPr>
              <w:ind w:left="1880"/>
              <w:spacing w:after="0"/>
              <w:rPr>
                <w:sz w:val="20"/>
                <w:szCs w:val="20"/>
                <w:color w:val="auto"/>
              </w:rPr>
            </w:pPr>
            <w:r>
              <w:rPr>
                <w:rFonts w:ascii="Arial" w:cs="Arial" w:eastAsia="Arial" w:hAnsi="Arial"/>
                <w:sz w:val="14"/>
                <w:szCs w:val="14"/>
                <w:b w:val="1"/>
                <w:bCs w:val="1"/>
                <w:color w:val="auto"/>
              </w:rPr>
              <w:t>ASSETS</w:t>
            </w:r>
          </w:p>
        </w:tc>
        <w:tc>
          <w:tcPr>
            <w:tcW w:w="166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2003</w:t>
            </w:r>
          </w:p>
        </w:tc>
        <w:tc>
          <w:tcPr>
            <w:tcW w:w="460" w:type="dxa"/>
            <w:vAlign w:val="bottom"/>
          </w:tcPr>
          <w:p>
            <w:pPr>
              <w:spacing w:after="0"/>
              <w:rPr>
                <w:sz w:val="16"/>
                <w:szCs w:val="16"/>
                <w:color w:val="auto"/>
              </w:rPr>
            </w:pPr>
          </w:p>
        </w:tc>
        <w:tc>
          <w:tcPr>
            <w:tcW w:w="16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3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Investments, at fair value</w:t>
            </w:r>
          </w:p>
        </w:tc>
        <w:tc>
          <w:tcPr>
            <w:tcW w:w="1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$654,423,308</w:t>
            </w:r>
          </w:p>
        </w:tc>
        <w:tc>
          <w:tcPr>
            <w:tcW w:w="460" w:type="dxa"/>
            <w:vAlign w:val="bottom"/>
            <w:shd w:val="clear" w:color="auto" w:fill="EEEEEE"/>
          </w:tcPr>
          <w:p>
            <w:pPr>
              <w:spacing w:after="0"/>
              <w:rPr>
                <w:sz w:val="18"/>
                <w:szCs w:val="18"/>
                <w:color w:val="auto"/>
              </w:rPr>
            </w:pPr>
          </w:p>
        </w:tc>
        <w:tc>
          <w:tcPr>
            <w:tcW w:w="16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$465,303,388</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Accrued interest and dividends</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233,660</w:t>
            </w:r>
          </w:p>
        </w:tc>
        <w:tc>
          <w:tcPr>
            <w:tcW w:w="46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178,603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Contributions receivable</w:t>
            </w:r>
          </w:p>
        </w:tc>
        <w:tc>
          <w:tcPr>
            <w:tcW w:w="1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1,078,634</w:t>
            </w:r>
          </w:p>
        </w:tc>
        <w:tc>
          <w:tcPr>
            <w:tcW w:w="460" w:type="dxa"/>
            <w:vAlign w:val="bottom"/>
            <w:shd w:val="clear" w:color="auto" w:fill="EEEEEE"/>
          </w:tcPr>
          <w:p>
            <w:pPr>
              <w:spacing w:after="0"/>
              <w:rPr>
                <w:sz w:val="18"/>
                <w:szCs w:val="18"/>
                <w:color w:val="auto"/>
              </w:rPr>
            </w:pPr>
          </w:p>
        </w:tc>
        <w:tc>
          <w:tcPr>
            <w:tcW w:w="16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586,707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Participant loans receivable</w:t>
            </w:r>
          </w:p>
        </w:tc>
        <w:tc>
          <w:tcPr>
            <w:tcW w:w="760" w:type="dxa"/>
            <w:vAlign w:val="bottom"/>
            <w:gridSpan w:val="2"/>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8,554,700</w:t>
            </w:r>
          </w:p>
        </w:tc>
        <w:tc>
          <w:tcPr>
            <w:tcW w:w="46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8,677,811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1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664,290,302</w:t>
            </w:r>
          </w:p>
        </w:tc>
        <w:tc>
          <w:tcPr>
            <w:tcW w:w="460" w:type="dxa"/>
            <w:vAlign w:val="bottom"/>
            <w:shd w:val="clear" w:color="auto" w:fill="EEEEEE"/>
          </w:tcPr>
          <w:p>
            <w:pPr>
              <w:spacing w:after="0"/>
              <w:rPr>
                <w:sz w:val="18"/>
                <w:szCs w:val="18"/>
                <w:color w:val="auto"/>
              </w:rPr>
            </w:pPr>
          </w:p>
        </w:tc>
        <w:tc>
          <w:tcPr>
            <w:tcW w:w="16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474,746,509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164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EEEEEE"/>
          </w:tcPr>
          <w:p>
            <w:pPr>
              <w:spacing w:after="0"/>
              <w:rPr>
                <w:sz w:val="20"/>
                <w:szCs w:val="20"/>
                <w:color w:val="auto"/>
              </w:rPr>
            </w:pPr>
            <w:r>
              <w:rPr>
                <w:rFonts w:ascii="Arial" w:cs="Arial" w:eastAsia="Arial" w:hAnsi="Arial"/>
                <w:sz w:val="18"/>
                <w:szCs w:val="18"/>
                <w:color w:val="auto"/>
              </w:rPr>
              <w:t>Payables – Pending investment transactions</w:t>
            </w:r>
          </w:p>
        </w:tc>
        <w:tc>
          <w:tcPr>
            <w:tcW w:w="212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(431,180)</w:t>
            </w:r>
          </w:p>
        </w:tc>
        <w:tc>
          <w:tcPr>
            <w:tcW w:w="212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(682,291)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663,859,122</w:t>
            </w:r>
          </w:p>
        </w:tc>
        <w:tc>
          <w:tcPr>
            <w:tcW w:w="4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474,064,218</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4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left="1100" w:right="1880"/>
        <w:spacing w:after="0" w:line="467" w:lineRule="auto"/>
        <w:rPr>
          <w:sz w:val="20"/>
          <w:szCs w:val="20"/>
          <w:color w:val="auto"/>
        </w:rPr>
      </w:pPr>
      <w:r>
        <w:rPr>
          <w:rFonts w:ascii="Arial" w:cs="Arial" w:eastAsia="Arial" w:hAnsi="Arial"/>
          <w:sz w:val="18"/>
          <w:szCs w:val="18"/>
          <w:color w:val="auto"/>
        </w:rPr>
        <w:t>THE INVESTMENT PARTNERSHIP PLAN STATEMENTS OF CHANGES IN NET ASSETS AVAILABLE FOR BENEFITS Years ended December 31, 2003 and 2002</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231"/>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ind w:right="211"/>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28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Investment income (loss):</w:t>
            </w:r>
          </w:p>
        </w:tc>
        <w:tc>
          <w:tcPr>
            <w:tcW w:w="5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458,062</w:t>
            </w:r>
          </w:p>
        </w:tc>
        <w:tc>
          <w:tcPr>
            <w:tcW w:w="5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756,662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appreciation (depreciation) in fair value of investments</w:t>
            </w:r>
          </w:p>
        </w:tc>
        <w:tc>
          <w:tcPr>
            <w:tcW w:w="5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165,242,968</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w w:val="89"/>
              </w:rPr>
              <w:t>(151,692,973)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Dividend income and capital gains distributions</w:t>
            </w:r>
          </w:p>
        </w:tc>
        <w:tc>
          <w:tcPr>
            <w:tcW w:w="560" w:type="dxa"/>
            <w:vAlign w:val="bottom"/>
          </w:tcPr>
          <w:p>
            <w:pPr>
              <w:spacing w:after="0"/>
              <w:rPr>
                <w:sz w:val="18"/>
                <w:szCs w:val="18"/>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5,766,251</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5,235,525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investment income (loss)</w:t>
            </w:r>
          </w:p>
        </w:tc>
        <w:tc>
          <w:tcPr>
            <w:tcW w:w="5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171,467,281</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w w:val="89"/>
              </w:rPr>
              <w:t>(145,700,786)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Contributions:</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Employer</w:t>
            </w:r>
          </w:p>
        </w:tc>
        <w:tc>
          <w:tcPr>
            <w:tcW w:w="5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21,245,921</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20,999,276</w:t>
            </w:r>
          </w:p>
        </w:tc>
        <w:tc>
          <w:tcPr>
            <w:tcW w:w="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Employee</w:t>
            </w:r>
          </w:p>
        </w:tc>
        <w:tc>
          <w:tcPr>
            <w:tcW w:w="560" w:type="dxa"/>
            <w:vAlign w:val="bottom"/>
          </w:tcPr>
          <w:p>
            <w:pPr>
              <w:spacing w:after="0"/>
              <w:rPr>
                <w:sz w:val="18"/>
                <w:szCs w:val="18"/>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7"/>
              </w:rPr>
              <w:t>24,190,194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24,423,999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contributions</w:t>
            </w:r>
          </w:p>
        </w:tc>
        <w:tc>
          <w:tcPr>
            <w:tcW w:w="5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45,436,115</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45,423,275</w:t>
            </w:r>
          </w:p>
        </w:tc>
        <w:tc>
          <w:tcPr>
            <w:tcW w:w="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Participant withdrawals</w:t>
            </w:r>
          </w:p>
        </w:tc>
        <w:tc>
          <w:tcPr>
            <w:tcW w:w="56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(27,108,492)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w w:val="97"/>
              </w:rPr>
              <w:t>(33,021,735)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increase (decrease) in net assets available for benefits</w:t>
            </w:r>
          </w:p>
        </w:tc>
        <w:tc>
          <w:tcPr>
            <w:tcW w:w="5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189,794,904</w:t>
            </w: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560"/>
              <w:spacing w:after="0"/>
              <w:rPr>
                <w:sz w:val="20"/>
                <w:szCs w:val="20"/>
                <w:color w:val="auto"/>
              </w:rPr>
            </w:pPr>
            <w:r>
              <w:rPr>
                <w:rFonts w:ascii="Arial" w:cs="Arial" w:eastAsia="Arial" w:hAnsi="Arial"/>
                <w:sz w:val="18"/>
                <w:szCs w:val="18"/>
                <w:color w:val="auto"/>
                <w:w w:val="89"/>
              </w:rPr>
              <w:t>(133,299,246)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560" w:type="dxa"/>
            <w:vAlign w:val="bottom"/>
          </w:tcPr>
          <w:p>
            <w:pPr>
              <w:spacing w:after="0"/>
              <w:rPr>
                <w:sz w:val="18"/>
                <w:szCs w:val="18"/>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474,064,218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3"/>
              </w:rPr>
              <w:t>607,363,464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52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assets available for benefits at end of year</w:t>
            </w:r>
          </w:p>
        </w:tc>
        <w:tc>
          <w:tcPr>
            <w:tcW w:w="56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663,859,122</w:t>
            </w:r>
          </w:p>
        </w:tc>
        <w:tc>
          <w:tcPr>
            <w:tcW w:w="560" w:type="dxa"/>
            <w:vAlign w:val="bottom"/>
            <w:tcBorders>
              <w:bottom w:val="single" w:sz="8" w:color="EEEEEE"/>
            </w:tcBorders>
            <w:shd w:val="clear" w:color="auto" w:fill="EEEEEE"/>
          </w:tcPr>
          <w:p>
            <w:pPr>
              <w:spacing w:after="0"/>
              <w:rPr>
                <w:sz w:val="22"/>
                <w:szCs w:val="22"/>
                <w:color w:val="auto"/>
              </w:rPr>
            </w:pPr>
          </w:p>
        </w:tc>
        <w:tc>
          <w:tcPr>
            <w:tcW w:w="800" w:type="dxa"/>
            <w:vAlign w:val="bottom"/>
            <w:tcBorders>
              <w:bottom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3"/>
              </w:rPr>
              <w:t>474,064,218</w:t>
            </w:r>
          </w:p>
        </w:tc>
        <w:tc>
          <w:tcPr>
            <w:tcW w:w="20" w:type="dxa"/>
            <w:vAlign w:val="bottom"/>
            <w:tcBorders>
              <w:bottom w:val="single" w:sz="8" w:color="808080"/>
            </w:tcBorders>
            <w:shd w:val="clear" w:color="auto" w:fill="EEEEEE"/>
          </w:tcPr>
          <w:p>
            <w:pPr>
              <w:spacing w:after="0"/>
              <w:rPr>
                <w:sz w:val="22"/>
                <w:szCs w:val="22"/>
                <w:color w:val="auto"/>
              </w:rPr>
            </w:pPr>
          </w:p>
        </w:tc>
        <w:tc>
          <w:tcPr>
            <w:tcW w:w="6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Years ended December 31, 2003 and 2002</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Plan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description of the Analog Devices, Inc. (the “Company”) The Investment Partnership Plan (the “Plan”) provides only general information.</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Participants should refer to the Plan agreement for a more complete description of the Plan’s provisions.</w:t>
      </w:r>
    </w:p>
    <w:p>
      <w:pPr>
        <w:spacing w:after="0" w:line="184" w:lineRule="exact"/>
        <w:rPr>
          <w:sz w:val="20"/>
          <w:szCs w:val="20"/>
          <w:color w:val="auto"/>
        </w:rPr>
      </w:pPr>
    </w:p>
    <w:p>
      <w:pPr>
        <w:ind w:left="360" w:right="540" w:hanging="10"/>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Plan is a contributory defined contribution plan sponsored and administered by the Company. It is subject to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Retirement Income Security Act of 1974 (“ERISA”).</w:t>
      </w:r>
    </w:p>
    <w:p>
      <w:pPr>
        <w:spacing w:after="0" w:line="129" w:lineRule="exact"/>
        <w:rPr>
          <w:rFonts w:ascii="Arial" w:cs="Arial" w:eastAsia="Arial" w:hAnsi="Arial"/>
          <w:sz w:val="18"/>
          <w:szCs w:val="18"/>
          <w:color w:val="auto"/>
        </w:rPr>
      </w:pPr>
    </w:p>
    <w:p>
      <w:pPr>
        <w:ind w:left="360" w:right="20" w:hanging="10"/>
        <w:spacing w:after="0" w:line="26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Effective January 1, 2003 domestic employees of the Company are eligible to participate in the Plan on the first day of employment.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contributions are effective on the first day following one year of service. For eligibility purposes, a year of service is a 12-month period during which an employee completes at least 1,000 hours of service.</w:t>
      </w:r>
    </w:p>
    <w:p>
      <w:pPr>
        <w:spacing w:after="0" w:line="140" w:lineRule="exact"/>
        <w:rPr>
          <w:rFonts w:ascii="Arial" w:cs="Arial" w:eastAsia="Arial" w:hAnsi="Arial"/>
          <w:sz w:val="18"/>
          <w:szCs w:val="18"/>
          <w:color w:val="auto"/>
        </w:rPr>
      </w:pPr>
    </w:p>
    <w:p>
      <w:pPr>
        <w:ind w:left="360" w:right="20" w:hanging="10"/>
        <w:spacing w:after="0" w:line="273"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The Company makes an annual basic contribution to the Plan equal to 5% of each participant’s total eligible compensation.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Revenue Service defined total eligible compensation as an amount not to exceed $200,000 for 2003 and 2002. For 2004, this amount will increase to $205,000. The Company also matches each participant’s pre-tax contribution, if any, by contributing an amount not to exceed 3% (for all participants, except those eligible to participate in the Deferred Compensation Plan) of such participant’s total eligible compensation. A participant may voluntarily contribute to the Plan up to 50% of his or her pre-tax total eligible compensation; however, pre-tax contributions could not exceed $12,000 in 2003 and $11,000 in 2002. This amount will increase to $13,000 for 2004.</w:t>
      </w:r>
    </w:p>
    <w:p>
      <w:pPr>
        <w:spacing w:after="0" w:line="151" w:lineRule="exact"/>
        <w:rPr>
          <w:sz w:val="20"/>
          <w:szCs w:val="20"/>
          <w:color w:val="auto"/>
        </w:rPr>
      </w:pPr>
    </w:p>
    <w:p>
      <w:pPr>
        <w:ind w:left="360" w:right="200"/>
        <w:spacing w:after="0" w:line="277" w:lineRule="auto"/>
        <w:rPr>
          <w:sz w:val="20"/>
          <w:szCs w:val="20"/>
          <w:color w:val="auto"/>
        </w:rPr>
      </w:pPr>
      <w:r>
        <w:rPr>
          <w:rFonts w:ascii="Arial" w:cs="Arial" w:eastAsia="Arial" w:hAnsi="Arial"/>
          <w:sz w:val="18"/>
          <w:szCs w:val="18"/>
          <w:color w:val="auto"/>
        </w:rPr>
        <w:t>Effective January 1, 2003, the Plan was amended such that basic contributions will be made at sole discretion of the Company. For 2003 the Company decided to make the annual basic contribution at 5% of each participant’s total eligible compensation.</w:t>
      </w:r>
    </w:p>
    <w:p>
      <w:pPr>
        <w:spacing w:after="0" w:line="130" w:lineRule="exact"/>
        <w:rPr>
          <w:sz w:val="20"/>
          <w:szCs w:val="20"/>
          <w:color w:val="auto"/>
        </w:rPr>
      </w:pPr>
    </w:p>
    <w:p>
      <w:pPr>
        <w:ind w:left="360" w:right="40"/>
        <w:spacing w:after="0" w:line="277" w:lineRule="auto"/>
        <w:rPr>
          <w:sz w:val="20"/>
          <w:szCs w:val="20"/>
          <w:color w:val="auto"/>
        </w:rPr>
      </w:pPr>
      <w:r>
        <w:rPr>
          <w:rFonts w:ascii="Arial" w:cs="Arial" w:eastAsia="Arial" w:hAnsi="Arial"/>
          <w:sz w:val="18"/>
          <w:szCs w:val="18"/>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Investment Options</w:t>
      </w:r>
      <w:r>
        <w:rPr>
          <w:rFonts w:ascii="Arial" w:cs="Arial" w:eastAsia="Arial" w:hAnsi="Arial"/>
          <w:sz w:val="18"/>
          <w:szCs w:val="18"/>
          <w:color w:val="auto"/>
        </w:rPr>
        <w:t>. The investment options of the Plan are listed below.</w:t>
      </w:r>
    </w:p>
    <w:p>
      <w:pPr>
        <w:spacing w:after="0" w:line="200" w:lineRule="exact"/>
        <w:rPr>
          <w:sz w:val="20"/>
          <w:szCs w:val="20"/>
          <w:color w:val="auto"/>
        </w:rPr>
      </w:pPr>
    </w:p>
    <w:p>
      <w:pPr>
        <w:spacing w:after="0" w:line="24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Income Fund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Equity Income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Magellan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Growth Company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Analog Devices, Inc. Common Stock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U.S. Bond Index Fund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 — (Continued)</w:t>
      </w:r>
    </w:p>
    <w:p>
      <w:pPr>
        <w:spacing w:after="0" w:line="200" w:lineRule="exact"/>
        <w:rPr>
          <w:sz w:val="20"/>
          <w:szCs w:val="20"/>
          <w:color w:val="auto"/>
        </w:rPr>
      </w:pPr>
    </w:p>
    <w:p>
      <w:pPr>
        <w:spacing w:after="0" w:line="20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Growth &amp; Income Portfolio</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U.S. Equity Index Commingled Pool</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Low-Priced Stock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Templeton Foreign Fund I</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Income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2000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2010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2020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2030 Fund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Fidelity Freedom 2040 Fund</w:t>
      </w:r>
    </w:p>
    <w:p>
      <w:pPr>
        <w:spacing w:after="0" w:line="184" w:lineRule="exact"/>
        <w:rPr>
          <w:sz w:val="20"/>
          <w:szCs w:val="20"/>
          <w:color w:val="auto"/>
        </w:rPr>
      </w:pPr>
    </w:p>
    <w:p>
      <w:pPr>
        <w:ind w:left="360" w:right="300"/>
        <w:spacing w:after="0" w:line="308" w:lineRule="auto"/>
        <w:rPr>
          <w:sz w:val="20"/>
          <w:szCs w:val="20"/>
          <w:color w:val="auto"/>
        </w:rPr>
      </w:pPr>
      <w:r>
        <w:rPr>
          <w:rFonts w:ascii="Arial" w:cs="Arial" w:eastAsia="Arial" w:hAnsi="Arial"/>
          <w:sz w:val="17"/>
          <w:szCs w:val="17"/>
          <w:color w:val="auto"/>
        </w:rPr>
        <w:t>Additionally, participants have the option to invest vested assets in Fidelity and non-Fidelity funds, which are not offered in the Plan, through a self-directed brokerage service that allows participants access to a wide variety of stocks, bonds, short-term securities and mutual funds.</w:t>
      </w:r>
    </w:p>
    <w:p>
      <w:pPr>
        <w:spacing w:after="0" w:line="106" w:lineRule="exact"/>
        <w:rPr>
          <w:sz w:val="20"/>
          <w:szCs w:val="20"/>
          <w:color w:val="auto"/>
        </w:rPr>
      </w:pPr>
    </w:p>
    <w:p>
      <w:pPr>
        <w:ind w:left="360" w:right="80" w:hanging="10"/>
        <w:spacing w:after="0" w:line="25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Employee contributions are immediately 100% vested and nonforfeitable at the time they are deducted from the participants’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on employee contributions vests as earned. Company match contributions made thereon and investment earnings become 100% vested after three years of service. Company contributions (both basic and pre-2002 match) and investment earnings thereon become fully vested upon the first to occur of (i) completion of five years of service with the Company, (ii) after reaching age 65 or (iii) upon death or permanent disability while employed by the Company.</w:t>
      </w:r>
    </w:p>
    <w:p>
      <w:pPr>
        <w:spacing w:after="0" w:line="147" w:lineRule="exact"/>
        <w:rPr>
          <w:rFonts w:ascii="Arial" w:cs="Arial" w:eastAsia="Arial" w:hAnsi="Arial"/>
          <w:sz w:val="18"/>
          <w:szCs w:val="18"/>
          <w:color w:val="auto"/>
        </w:rPr>
      </w:pPr>
    </w:p>
    <w:p>
      <w:pPr>
        <w:jc w:val="both"/>
        <w:ind w:left="360" w:hanging="10"/>
        <w:spacing w:after="0" w:line="297"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Upon normal retirement at age 65, death, permanent disability or termination of employment, the participant’s vested benefits are paid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$5,000 for 2003 and 2002, upon termination of employment, distribution will be made in the form of a lump-sum payment within one year following termination of employment. Participants may request an in-service withdrawal for any reason after he or she attains age 59 1/2.</w:t>
      </w:r>
    </w:p>
    <w:p>
      <w:pPr>
        <w:spacing w:after="0" w:line="131" w:lineRule="exact"/>
        <w:rPr>
          <w:rFonts w:ascii="Arial" w:cs="Arial" w:eastAsia="Arial" w:hAnsi="Arial"/>
          <w:sz w:val="16"/>
          <w:szCs w:val="16"/>
          <w:color w:val="auto"/>
        </w:rPr>
      </w:pPr>
    </w:p>
    <w:p>
      <w:pPr>
        <w:ind w:left="360" w:right="120" w:hanging="10"/>
        <w:spacing w:after="0" w:line="279" w:lineRule="auto"/>
        <w:tabs>
          <w:tab w:leader="none" w:pos="5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Loans</w:t>
      </w:r>
      <w:r>
        <w:rPr>
          <w:rFonts w:ascii="Arial" w:cs="Arial" w:eastAsia="Arial" w:hAnsi="Arial"/>
          <w:sz w:val="17"/>
          <w:szCs w:val="17"/>
          <w:color w:val="auto"/>
        </w:rPr>
        <w:t>. Participants may borrow the lesser of 50% of their vested account balance or $50,000, as defined by the Plan. Participants repay loans plus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to their accounts through payroll deductions generally over a five-year period unless for the purchase of a primary residence, in which case the repayment period may be extended up to twenty years. The interest rate on loans, which is announced quarterly, is tied to the interest rate of Treasury Bonds with 3- and 10-year maturities. Once determined, the interest rate is fixed for the duration of the loan.</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 — (Continued)</w:t>
      </w:r>
    </w:p>
    <w:p>
      <w:pPr>
        <w:spacing w:after="0" w:line="185" w:lineRule="exact"/>
        <w:rPr>
          <w:sz w:val="20"/>
          <w:szCs w:val="20"/>
          <w:color w:val="auto"/>
        </w:rPr>
      </w:pPr>
    </w:p>
    <w:p>
      <w:pPr>
        <w:ind w:left="360" w:right="100" w:hanging="10"/>
        <w:spacing w:after="0" w:line="25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Accounting</w:t>
      </w:r>
      <w:r>
        <w:rPr>
          <w:rFonts w:ascii="Arial" w:cs="Arial" w:eastAsia="Arial" w:hAnsi="Arial"/>
          <w:sz w:val="18"/>
          <w:szCs w:val="18"/>
          <w:color w:val="auto"/>
        </w:rPr>
        <w:t>. A separate account is maintained for each participant. Account balances are adjusted periodically for employee and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withdrawals and a pro rata share of net investment income (loss). Forfeitures that arise when participants terminate employment with the Company prior to vesting are used to offset future Company contributions and administrative expenses of the Plan. If an employee who had terminated after December 31, 1984 returns to the employment of the Company within five years, any amount that had been forfeited will be reinstated by the Company.</w:t>
      </w:r>
    </w:p>
    <w:p>
      <w:pPr>
        <w:spacing w:after="0" w:line="161" w:lineRule="exact"/>
        <w:rPr>
          <w:sz w:val="20"/>
          <w:szCs w:val="20"/>
          <w:color w:val="auto"/>
        </w:rPr>
      </w:pPr>
    </w:p>
    <w:p>
      <w:pPr>
        <w:ind w:left="360" w:right="60"/>
        <w:spacing w:after="0" w:line="264" w:lineRule="auto"/>
        <w:rPr>
          <w:sz w:val="20"/>
          <w:szCs w:val="20"/>
          <w:color w:val="auto"/>
        </w:rPr>
      </w:pPr>
      <w:r>
        <w:rPr>
          <w:rFonts w:ascii="Arial" w:cs="Arial" w:eastAsia="Arial" w:hAnsi="Arial"/>
          <w:sz w:val="18"/>
          <w:szCs w:val="18"/>
          <w:color w:val="auto"/>
        </w:rPr>
        <w:t>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141" w:lineRule="exact"/>
        <w:rPr>
          <w:sz w:val="20"/>
          <w:szCs w:val="20"/>
          <w:color w:val="auto"/>
        </w:rPr>
      </w:pPr>
    </w:p>
    <w:p>
      <w:pPr>
        <w:ind w:left="360" w:hanging="10"/>
        <w:spacing w:after="0" w:line="264"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Investment allocation</w:t>
      </w:r>
      <w:r>
        <w:rPr>
          <w:rFonts w:ascii="Arial" w:cs="Arial" w:eastAsia="Arial" w:hAnsi="Arial"/>
          <w:sz w:val="18"/>
          <w:szCs w:val="18"/>
          <w:color w:val="auto"/>
        </w:rPr>
        <w:t>. The vested and nonvested share of a participant’s account balance is invested in one or more of the funds depending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instructions of the participant. In the absence of such allocation instructions, all amounts accruing to the participant are invested in the Income Fund.</w:t>
      </w:r>
    </w:p>
    <w:p>
      <w:pPr>
        <w:spacing w:after="0" w:line="140" w:lineRule="exact"/>
        <w:rPr>
          <w:rFonts w:ascii="Arial" w:cs="Arial" w:eastAsia="Arial" w:hAnsi="Arial"/>
          <w:sz w:val="18"/>
          <w:szCs w:val="18"/>
          <w:color w:val="auto"/>
        </w:rPr>
      </w:pPr>
    </w:p>
    <w:p>
      <w:pPr>
        <w:ind w:left="360" w:right="200" w:hanging="10"/>
        <w:spacing w:after="0" w:line="342" w:lineRule="auto"/>
        <w:tabs>
          <w:tab w:leader="none" w:pos="63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Continuation of the Plan</w:t>
      </w:r>
      <w:r>
        <w:rPr>
          <w:rFonts w:ascii="Arial" w:cs="Arial" w:eastAsia="Arial" w:hAnsi="Arial"/>
          <w:sz w:val="16"/>
          <w:szCs w:val="16"/>
          <w:color w:val="auto"/>
        </w:rPr>
        <w:t>. While the Company has not expressed any intent to terminate the Plan or suspend contributions, it is free to do so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In the event of such termination or suspension, each participant would have a nonforfeitable right to all monies in his or her account.</w:t>
      </w:r>
    </w:p>
    <w:p>
      <w:pPr>
        <w:spacing w:after="0" w:line="119" w:lineRule="exact"/>
        <w:rPr>
          <w:rFonts w:ascii="Arial" w:cs="Arial" w:eastAsia="Arial" w:hAnsi="Arial"/>
          <w:sz w:val="16"/>
          <w:szCs w:val="16"/>
          <w:color w:val="auto"/>
        </w:rPr>
      </w:pPr>
    </w:p>
    <w:p>
      <w:pPr>
        <w:ind w:left="300" w:hanging="281"/>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540" w:hanging="190"/>
        <w:spacing w:after="0"/>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financial statements have been prepared on an accrual basis of accounting.</w:t>
      </w:r>
    </w:p>
    <w:p>
      <w:pPr>
        <w:spacing w:after="0" w:line="198" w:lineRule="exact"/>
        <w:rPr>
          <w:rFonts w:ascii="Arial" w:cs="Arial" w:eastAsia="Arial" w:hAnsi="Arial"/>
          <w:sz w:val="18"/>
          <w:szCs w:val="18"/>
          <w:color w:val="auto"/>
        </w:rPr>
      </w:pPr>
    </w:p>
    <w:p>
      <w:pPr>
        <w:ind w:left="360" w:right="180" w:hanging="10"/>
        <w:spacing w:after="0" w:line="277"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Investments are valued at quoted market prices. Participant loans are valued at their outstanding carrying balance, which approximates</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w:t>
      </w:r>
    </w:p>
    <w:p>
      <w:pPr>
        <w:spacing w:after="0" w:line="129" w:lineRule="exact"/>
        <w:rPr>
          <w:rFonts w:ascii="Arial" w:cs="Arial" w:eastAsia="Arial" w:hAnsi="Arial"/>
          <w:sz w:val="18"/>
          <w:szCs w:val="18"/>
          <w:color w:val="auto"/>
        </w:rPr>
      </w:pPr>
    </w:p>
    <w:p>
      <w:pPr>
        <w:ind w:left="360" w:right="820" w:hanging="10"/>
        <w:spacing w:after="0" w:line="342" w:lineRule="auto"/>
        <w:tabs>
          <w:tab w:leader="none" w:pos="54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Contributions. </w:t>
      </w:r>
      <w:r>
        <w:rPr>
          <w:rFonts w:ascii="Arial" w:cs="Arial" w:eastAsia="Arial" w:hAnsi="Arial"/>
          <w:sz w:val="16"/>
          <w:szCs w:val="16"/>
          <w:color w:val="auto"/>
        </w:rPr>
        <w:t>Contributions from employees are recorded when the Company makes payroll deductions from plan participants.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are accrued at the end of the period in which they become obligations of the Company based upon the terms of the Plan.</w:t>
      </w:r>
    </w:p>
    <w:p>
      <w:pPr>
        <w:spacing w:after="0" w:line="83" w:lineRule="exact"/>
        <w:rPr>
          <w:rFonts w:ascii="Arial" w:cs="Arial" w:eastAsia="Arial" w:hAnsi="Arial"/>
          <w:sz w:val="16"/>
          <w:szCs w:val="16"/>
          <w:color w:val="auto"/>
        </w:rPr>
      </w:pPr>
    </w:p>
    <w:p>
      <w:pPr>
        <w:ind w:left="360" w:right="120" w:hanging="10"/>
        <w:spacing w:after="0" w:line="264" w:lineRule="auto"/>
        <w:tabs>
          <w:tab w:leader="none" w:pos="54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Investment income (loss)</w:t>
      </w:r>
      <w:r>
        <w:rPr>
          <w:rFonts w:ascii="Arial" w:cs="Arial" w:eastAsia="Arial" w:hAnsi="Arial"/>
          <w:sz w:val="18"/>
          <w:szCs w:val="18"/>
          <w:color w:val="auto"/>
        </w:rPr>
        <w:t>. Net investment income (loss) consists of interest income, dividends and capital gain/loss distributions from the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mutual funds, realized gains or losses on sales of investments and the change in net unrealized appreciation (depreciation) between the cost and market value of investments at the beginning and end of the period.</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All interest, dividends and capital gains distributions are reinvested in the respective funds and are recorded as earned on an accrual basis.</w:t>
      </w:r>
    </w:p>
    <w:p>
      <w:pPr>
        <w:spacing w:after="0" w:line="19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 (Continued)</w:t>
      </w:r>
    </w:p>
    <w:p>
      <w:pPr>
        <w:spacing w:after="0" w:line="185" w:lineRule="exact"/>
        <w:rPr>
          <w:sz w:val="20"/>
          <w:szCs w:val="20"/>
          <w:color w:val="auto"/>
        </w:rPr>
      </w:pPr>
    </w:p>
    <w:p>
      <w:pPr>
        <w:ind w:left="360" w:right="40" w:hanging="10"/>
        <w:spacing w:after="0" w:line="279" w:lineRule="auto"/>
        <w:tabs>
          <w:tab w:leader="none" w:pos="540" w:val="left"/>
        </w:tabs>
        <w:numPr>
          <w:ilvl w:val="1"/>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Income tax status. </w:t>
      </w:r>
      <w:r>
        <w:rPr>
          <w:rFonts w:ascii="Arial" w:cs="Arial" w:eastAsia="Arial" w:hAnsi="Arial"/>
          <w:sz w:val="17"/>
          <w:szCs w:val="17"/>
          <w:color w:val="auto"/>
        </w:rPr>
        <w:t>The Plan has received a determination letter from the Internal Revenue Service dated May 1, 2003, stating that the Plan is 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401(a) of the Internal Revenue Code (the “Code”) and, therefore, the related trust is exempt from taxation. Once qualified, the Plan is required to operate in conformity with the Code to maintain its qualification. The Plan Committee believes the Plan is being operated in compliance with the applicable requirements of the Code and, therefore, that the Plan is qualified and the related trust is tax exempt.</w:t>
      </w:r>
    </w:p>
    <w:p>
      <w:pPr>
        <w:spacing w:after="0" w:line="144" w:lineRule="exact"/>
        <w:rPr>
          <w:rFonts w:ascii="Arial" w:cs="Arial" w:eastAsia="Arial" w:hAnsi="Arial"/>
          <w:sz w:val="17"/>
          <w:szCs w:val="17"/>
          <w:i w:val="1"/>
          <w:iCs w:val="1"/>
          <w:color w:val="auto"/>
        </w:rPr>
      </w:pPr>
    </w:p>
    <w:p>
      <w:pPr>
        <w:ind w:left="540" w:hanging="190"/>
        <w:spacing w:after="0"/>
        <w:tabs>
          <w:tab w:leader="none" w:pos="540" w:val="left"/>
        </w:tabs>
        <w:numPr>
          <w:ilvl w:val="1"/>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Administrative expenses</w:t>
      </w:r>
      <w:r>
        <w:rPr>
          <w:rFonts w:ascii="Arial" w:cs="Arial" w:eastAsia="Arial" w:hAnsi="Arial"/>
          <w:sz w:val="16"/>
          <w:szCs w:val="16"/>
          <w:color w:val="auto"/>
        </w:rPr>
        <w:t>. For the years ended December 31, 2003 and 2002, the Company elected to pay the administrative expenses of the Plan</w:t>
      </w:r>
      <w:r>
        <w:rPr>
          <w:rFonts w:ascii="Arial" w:cs="Arial" w:eastAsia="Arial" w:hAnsi="Arial"/>
          <w:sz w:val="16"/>
          <w:szCs w:val="16"/>
          <w:i w:val="1"/>
          <w:iCs w:val="1"/>
          <w:color w:val="auto"/>
        </w:rPr>
        <w:t>.</w:t>
      </w:r>
    </w:p>
    <w:p>
      <w:pPr>
        <w:spacing w:after="0" w:line="207" w:lineRule="exact"/>
        <w:rPr>
          <w:rFonts w:ascii="Arial" w:cs="Arial" w:eastAsia="Arial" w:hAnsi="Arial"/>
          <w:sz w:val="16"/>
          <w:szCs w:val="16"/>
          <w:i w:val="1"/>
          <w:iCs w:val="1"/>
          <w:color w:val="auto"/>
        </w:rPr>
      </w:pPr>
    </w:p>
    <w:p>
      <w:pPr>
        <w:ind w:left="360" w:right="80" w:hanging="10"/>
        <w:spacing w:after="0" w:line="286" w:lineRule="auto"/>
        <w:tabs>
          <w:tab w:leader="none" w:pos="540" w:val="left"/>
        </w:tabs>
        <w:numPr>
          <w:ilvl w:val="1"/>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generally accepted accounting principles requires management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estimates that affect the reported amounts of assets and liabilities at the date of the financial statements and the reported amounts of changes in net assets available for benefits during the reporting period. Actual results could differ from those estimates</w:t>
      </w:r>
      <w:r>
        <w:rPr>
          <w:rFonts w:ascii="Arial" w:cs="Arial" w:eastAsia="Arial" w:hAnsi="Arial"/>
          <w:sz w:val="17"/>
          <w:szCs w:val="17"/>
          <w:i w:val="1"/>
          <w:iCs w:val="1"/>
          <w:color w:val="auto"/>
        </w:rPr>
        <w:t>.</w:t>
      </w:r>
    </w:p>
    <w:p>
      <w:pPr>
        <w:spacing w:after="0" w:line="125" w:lineRule="exact"/>
        <w:rPr>
          <w:rFonts w:ascii="Arial" w:cs="Arial" w:eastAsia="Arial" w:hAnsi="Arial"/>
          <w:sz w:val="17"/>
          <w:szCs w:val="17"/>
          <w:i w:val="1"/>
          <w:iCs w:val="1"/>
          <w:color w:val="auto"/>
        </w:rPr>
      </w:pPr>
    </w:p>
    <w:p>
      <w:pPr>
        <w:jc w:val="both"/>
        <w:ind w:left="360" w:right="160" w:hanging="10"/>
        <w:spacing w:after="0" w:line="259" w:lineRule="auto"/>
        <w:tabs>
          <w:tab w:leader="none" w:pos="540" w:val="left"/>
        </w:tabs>
        <w:numPr>
          <w:ilvl w:val="1"/>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The Plan and its participants invest in various securities. Investment securities are exposed to various risks such as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82" w:lineRule="exact"/>
        <w:rPr>
          <w:rFonts w:ascii="Arial" w:cs="Arial" w:eastAsia="Arial" w:hAnsi="Arial"/>
          <w:sz w:val="18"/>
          <w:szCs w:val="18"/>
          <w:i w:val="1"/>
          <w:iCs w:val="1"/>
          <w:color w:val="auto"/>
        </w:rPr>
      </w:pPr>
    </w:p>
    <w:p>
      <w:pPr>
        <w:ind w:left="300" w:hanging="291"/>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Trustee and Plan Recordkeeper</w:t>
      </w:r>
    </w:p>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Fidelity Management Trust Company and Fidelity Institutional Retirement Services Company serve as trustee and recordkeeper, respectively, to the Plan.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Investments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investments represent 5 percent or more of the Plan’s net assets.</w:t>
      </w:r>
    </w:p>
    <w:p>
      <w:pPr>
        <w:spacing w:after="0" w:line="39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500" w:type="dxa"/>
            <w:vAlign w:val="bottom"/>
            <w:gridSpan w:val="3"/>
          </w:tcPr>
          <w:p>
            <w:pPr>
              <w:jc w:val="right"/>
              <w:ind w:right="1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60" w:type="dxa"/>
            <w:vAlign w:val="bottom"/>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8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46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25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60" w:type="dxa"/>
            <w:vAlign w:val="bottom"/>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8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8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EEEEEE"/>
          </w:tcPr>
          <w:p>
            <w:pPr>
              <w:spacing w:after="0"/>
              <w:rPr>
                <w:sz w:val="20"/>
                <w:szCs w:val="20"/>
                <w:color w:val="auto"/>
              </w:rPr>
            </w:pPr>
            <w:r>
              <w:rPr>
                <w:rFonts w:ascii="Arial" w:cs="Arial" w:eastAsia="Arial" w:hAnsi="Arial"/>
                <w:sz w:val="18"/>
                <w:szCs w:val="18"/>
                <w:color w:val="auto"/>
              </w:rPr>
              <w:t>Analog Devices, Inc. Common Stock</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$211,390,497</w:t>
            </w:r>
          </w:p>
        </w:tc>
        <w:tc>
          <w:tcPr>
            <w:tcW w:w="250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$113,868,350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Fidelity Institutional Cash Portfolios-U.S. Government Portfolio</w:t>
            </w:r>
          </w:p>
        </w:tc>
        <w:tc>
          <w:tcPr>
            <w:tcW w:w="1460" w:type="dxa"/>
            <w:vAlign w:val="bottom"/>
          </w:tcPr>
          <w:p>
            <w:pPr>
              <w:jc w:val="right"/>
              <w:spacing w:after="0"/>
              <w:rPr>
                <w:sz w:val="20"/>
                <w:szCs w:val="20"/>
                <w:color w:val="auto"/>
              </w:rPr>
            </w:pPr>
            <w:r>
              <w:rPr>
                <w:rFonts w:ascii="Arial" w:cs="Arial" w:eastAsia="Arial" w:hAnsi="Arial"/>
                <w:sz w:val="18"/>
                <w:szCs w:val="18"/>
                <w:color w:val="auto"/>
              </w:rPr>
              <w:t>112,372,314</w:t>
            </w:r>
          </w:p>
        </w:tc>
        <w:tc>
          <w:tcPr>
            <w:tcW w:w="2500" w:type="dxa"/>
            <w:vAlign w:val="bottom"/>
            <w:gridSpan w:val="3"/>
          </w:tcPr>
          <w:p>
            <w:pPr>
              <w:jc w:val="right"/>
              <w:ind w:right="460"/>
              <w:spacing w:after="0"/>
              <w:rPr>
                <w:sz w:val="20"/>
                <w:szCs w:val="20"/>
                <w:color w:val="auto"/>
              </w:rPr>
            </w:pPr>
            <w:r>
              <w:rPr>
                <w:rFonts w:ascii="Arial" w:cs="Arial" w:eastAsia="Arial" w:hAnsi="Arial"/>
                <w:sz w:val="18"/>
                <w:szCs w:val="18"/>
                <w:color w:val="auto"/>
              </w:rPr>
              <w:t>111,189,657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EEEEEE"/>
          </w:tcPr>
          <w:p>
            <w:pPr>
              <w:spacing w:after="0"/>
              <w:rPr>
                <w:sz w:val="20"/>
                <w:szCs w:val="20"/>
                <w:color w:val="auto"/>
              </w:rPr>
            </w:pPr>
            <w:r>
              <w:rPr>
                <w:rFonts w:ascii="Arial" w:cs="Arial" w:eastAsia="Arial" w:hAnsi="Arial"/>
                <w:sz w:val="18"/>
                <w:szCs w:val="18"/>
                <w:color w:val="auto"/>
              </w:rPr>
              <w:t>Fidelity Magellan Fund</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55,146,220</w:t>
            </w:r>
          </w:p>
        </w:tc>
        <w:tc>
          <w:tcPr>
            <w:tcW w:w="250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42,801,356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Fidelity Equity Income Fund</w:t>
            </w:r>
          </w:p>
        </w:tc>
        <w:tc>
          <w:tcPr>
            <w:tcW w:w="1460" w:type="dxa"/>
            <w:vAlign w:val="bottom"/>
          </w:tcPr>
          <w:p>
            <w:pPr>
              <w:jc w:val="right"/>
              <w:spacing w:after="0"/>
              <w:rPr>
                <w:sz w:val="20"/>
                <w:szCs w:val="20"/>
                <w:color w:val="auto"/>
              </w:rPr>
            </w:pPr>
            <w:r>
              <w:rPr>
                <w:rFonts w:ascii="Arial" w:cs="Arial" w:eastAsia="Arial" w:hAnsi="Arial"/>
                <w:sz w:val="18"/>
                <w:szCs w:val="18"/>
                <w:color w:val="auto"/>
              </w:rPr>
              <w:t>39,344,041</w:t>
            </w:r>
          </w:p>
        </w:tc>
        <w:tc>
          <w:tcPr>
            <w:tcW w:w="2500" w:type="dxa"/>
            <w:vAlign w:val="bottom"/>
            <w:gridSpan w:val="3"/>
          </w:tcPr>
          <w:p>
            <w:pPr>
              <w:jc w:val="right"/>
              <w:ind w:right="460"/>
              <w:spacing w:after="0"/>
              <w:rPr>
                <w:sz w:val="20"/>
                <w:szCs w:val="20"/>
                <w:color w:val="auto"/>
              </w:rPr>
            </w:pPr>
            <w:r>
              <w:rPr>
                <w:rFonts w:ascii="Arial" w:cs="Arial" w:eastAsia="Arial" w:hAnsi="Arial"/>
                <w:sz w:val="18"/>
                <w:szCs w:val="18"/>
                <w:color w:val="auto"/>
              </w:rPr>
              <w:t>28,432,001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EEEEEE"/>
          </w:tcPr>
          <w:p>
            <w:pPr>
              <w:spacing w:after="0"/>
              <w:rPr>
                <w:sz w:val="20"/>
                <w:szCs w:val="20"/>
                <w:color w:val="auto"/>
              </w:rPr>
            </w:pPr>
            <w:r>
              <w:rPr>
                <w:rFonts w:ascii="Arial" w:cs="Arial" w:eastAsia="Arial" w:hAnsi="Arial"/>
                <w:sz w:val="18"/>
                <w:szCs w:val="18"/>
                <w:color w:val="auto"/>
              </w:rPr>
              <w:t>Fidelity Institutional Cash Portfolios-Money Market Portfolio</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500" w:type="dxa"/>
            <w:vAlign w:val="bottom"/>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29,205,469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Fidelity Growth Company Fund</w:t>
            </w:r>
          </w:p>
        </w:tc>
        <w:tc>
          <w:tcPr>
            <w:tcW w:w="1460" w:type="dxa"/>
            <w:vAlign w:val="bottom"/>
          </w:tcPr>
          <w:p>
            <w:pPr>
              <w:jc w:val="right"/>
              <w:spacing w:after="0"/>
              <w:rPr>
                <w:sz w:val="20"/>
                <w:szCs w:val="20"/>
                <w:color w:val="auto"/>
              </w:rPr>
            </w:pPr>
            <w:r>
              <w:rPr>
                <w:rFonts w:ascii="Arial" w:cs="Arial" w:eastAsia="Arial" w:hAnsi="Arial"/>
                <w:sz w:val="18"/>
                <w:szCs w:val="18"/>
                <w:color w:val="auto"/>
              </w:rPr>
              <w:t>40,162,339</w:t>
            </w:r>
          </w:p>
        </w:tc>
        <w:tc>
          <w:tcPr>
            <w:tcW w:w="2500" w:type="dxa"/>
            <w:vAlign w:val="bottom"/>
            <w:gridSpan w:val="3"/>
          </w:tcPr>
          <w:p>
            <w:pPr>
              <w:jc w:val="right"/>
              <w:ind w:right="460"/>
              <w:spacing w:after="0"/>
              <w:rPr>
                <w:sz w:val="20"/>
                <w:szCs w:val="20"/>
                <w:color w:val="auto"/>
              </w:rPr>
            </w:pPr>
            <w:r>
              <w:rPr>
                <w:rFonts w:ascii="Arial" w:cs="Arial" w:eastAsia="Arial" w:hAnsi="Arial"/>
                <w:sz w:val="18"/>
                <w:szCs w:val="18"/>
                <w:color w:val="auto"/>
              </w:rPr>
              <w:t>25,721,692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60" w:right="60"/>
        <w:spacing w:after="0" w:line="277" w:lineRule="auto"/>
        <w:rPr>
          <w:sz w:val="20"/>
          <w:szCs w:val="20"/>
          <w:color w:val="auto"/>
        </w:rPr>
      </w:pPr>
      <w:r>
        <w:rPr>
          <w:rFonts w:ascii="Arial" w:cs="Arial" w:eastAsia="Arial" w:hAnsi="Arial"/>
          <w:sz w:val="18"/>
          <w:szCs w:val="18"/>
          <w:color w:val="auto"/>
        </w:rPr>
        <w:t>The Plan’s investments (including gains and losses on investments bought and sold, as well as held during the year) appreciated (depreciated) in value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4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4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6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6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2002</w:t>
            </w: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4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6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vMerge w:val="restart"/>
          </w:tcPr>
          <w:p>
            <w:pPr>
              <w:spacing w:after="0"/>
              <w:rPr>
                <w:sz w:val="6"/>
                <w:szCs w:val="6"/>
                <w:color w:val="auto"/>
              </w:rPr>
            </w:pPr>
          </w:p>
        </w:tc>
        <w:tc>
          <w:tcPr>
            <w:tcW w:w="4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Common stock</w:t>
            </w:r>
          </w:p>
        </w:tc>
        <w:tc>
          <w:tcPr>
            <w:tcW w:w="2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$116,374,355</w:t>
            </w: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2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$(104,504,606)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Mutual funds</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48,688,069</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(46,928,010)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Bonds</w:t>
            </w:r>
          </w:p>
        </w:tc>
        <w:tc>
          <w:tcPr>
            <w:tcW w:w="300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rPr>
              <w:t>(4,826)</w:t>
            </w:r>
          </w:p>
        </w:tc>
        <w:tc>
          <w:tcPr>
            <w:tcW w:w="500" w:type="dxa"/>
            <w:vAlign w:val="bottom"/>
            <w:shd w:val="clear" w:color="auto" w:fill="EEEEEE"/>
          </w:tcPr>
          <w:p>
            <w:pPr>
              <w:spacing w:after="0"/>
              <w:rPr>
                <w:sz w:val="18"/>
                <w:szCs w:val="18"/>
                <w:color w:val="auto"/>
              </w:rPr>
            </w:pPr>
          </w:p>
        </w:tc>
        <w:tc>
          <w:tcPr>
            <w:tcW w:w="202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(210,458)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Others</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185,370</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(49,899)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Borders>
              <w:top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808080"/>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80" w:type="dxa"/>
            <w:vAlign w:val="bottom"/>
            <w:vMerge w:val="continue"/>
          </w:tcPr>
          <w:p>
            <w:pPr>
              <w:spacing w:after="0"/>
              <w:rPr>
                <w:sz w:val="17"/>
                <w:szCs w:val="17"/>
                <w:color w:val="auto"/>
              </w:rPr>
            </w:pPr>
          </w:p>
        </w:tc>
        <w:tc>
          <w:tcPr>
            <w:tcW w:w="40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appreciation (depreciation) in fair value of</w:t>
            </w:r>
          </w:p>
        </w:tc>
        <w:tc>
          <w:tcPr>
            <w:tcW w:w="7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3"/>
                <w:szCs w:val="23"/>
                <w:color w:val="auto"/>
              </w:rPr>
            </w:pPr>
          </w:p>
        </w:tc>
        <w:tc>
          <w:tcPr>
            <w:tcW w:w="4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investments</w:t>
            </w:r>
          </w:p>
        </w:tc>
        <w:tc>
          <w:tcPr>
            <w:tcW w:w="2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$165,242,968</w:t>
            </w:r>
          </w:p>
        </w:tc>
        <w:tc>
          <w:tcPr>
            <w:tcW w:w="540" w:type="dxa"/>
            <w:vAlign w:val="bottom"/>
            <w:shd w:val="clear" w:color="auto" w:fill="EEEEEE"/>
          </w:tcPr>
          <w:p>
            <w:pPr>
              <w:spacing w:after="0"/>
              <w:rPr>
                <w:sz w:val="23"/>
                <w:szCs w:val="23"/>
                <w:color w:val="auto"/>
              </w:rPr>
            </w:pPr>
          </w:p>
        </w:tc>
        <w:tc>
          <w:tcPr>
            <w:tcW w:w="500" w:type="dxa"/>
            <w:vAlign w:val="bottom"/>
            <w:shd w:val="clear" w:color="auto" w:fill="EEEEEE"/>
          </w:tcPr>
          <w:p>
            <w:pPr>
              <w:spacing w:after="0"/>
              <w:rPr>
                <w:sz w:val="23"/>
                <w:szCs w:val="23"/>
                <w:color w:val="auto"/>
              </w:rPr>
            </w:pPr>
          </w:p>
        </w:tc>
        <w:tc>
          <w:tcPr>
            <w:tcW w:w="202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$(151,692,973)</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5"/>
        </w:trPr>
        <w:tc>
          <w:tcPr>
            <w:tcW w:w="880" w:type="dxa"/>
            <w:vAlign w:val="bottom"/>
          </w:tcPr>
          <w:p>
            <w:pPr>
              <w:spacing w:after="0"/>
              <w:rPr>
                <w:sz w:val="24"/>
                <w:szCs w:val="24"/>
                <w:color w:val="auto"/>
              </w:rPr>
            </w:pPr>
          </w:p>
        </w:tc>
        <w:tc>
          <w:tcPr>
            <w:tcW w:w="4040" w:type="dxa"/>
            <w:vAlign w:val="bottom"/>
            <w:tcBorders>
              <w:top w:val="single" w:sz="8" w:color="EEEEEE"/>
            </w:tcBorders>
          </w:tcPr>
          <w:p>
            <w:pPr>
              <w:spacing w:after="0"/>
              <w:rPr>
                <w:sz w:val="24"/>
                <w:szCs w:val="24"/>
                <w:color w:val="auto"/>
              </w:rPr>
            </w:pPr>
          </w:p>
        </w:tc>
        <w:tc>
          <w:tcPr>
            <w:tcW w:w="1560" w:type="dxa"/>
            <w:vAlign w:val="bottom"/>
            <w:tcBorders>
              <w:top w:val="single" w:sz="8" w:color="EEEEEE"/>
            </w:tcBorders>
            <w:gridSpan w:val="2"/>
          </w:tcPr>
          <w:p>
            <w:pPr>
              <w:jc w:val="right"/>
              <w:ind w:right="680"/>
              <w:spacing w:after="0"/>
              <w:rPr>
                <w:sz w:val="20"/>
                <w:szCs w:val="20"/>
                <w:color w:val="auto"/>
              </w:rPr>
            </w:pPr>
            <w:r>
              <w:rPr>
                <w:rFonts w:ascii="Arial" w:cs="Arial" w:eastAsia="Arial" w:hAnsi="Arial"/>
                <w:sz w:val="18"/>
                <w:szCs w:val="18"/>
                <w:color w:val="auto"/>
              </w:rPr>
              <w:t>10</w:t>
            </w:r>
          </w:p>
        </w:tc>
        <w:tc>
          <w:tcPr>
            <w:tcW w:w="900" w:type="dxa"/>
            <w:vAlign w:val="bottom"/>
            <w:tcBorders>
              <w:top w:val="single" w:sz="8" w:color="808080"/>
            </w:tcBorders>
          </w:tcPr>
          <w:p>
            <w:pPr>
              <w:spacing w:after="0"/>
              <w:rPr>
                <w:sz w:val="24"/>
                <w:szCs w:val="24"/>
                <w:color w:val="auto"/>
              </w:rPr>
            </w:pPr>
          </w:p>
        </w:tc>
        <w:tc>
          <w:tcPr>
            <w:tcW w:w="540" w:type="dxa"/>
            <w:vAlign w:val="bottom"/>
            <w:tcBorders>
              <w:top w:val="single" w:sz="8" w:color="EEEEEE"/>
            </w:tcBorders>
          </w:tcPr>
          <w:p>
            <w:pPr>
              <w:spacing w:after="0"/>
              <w:rPr>
                <w:sz w:val="24"/>
                <w:szCs w:val="24"/>
                <w:color w:val="auto"/>
              </w:rPr>
            </w:pPr>
          </w:p>
        </w:tc>
        <w:tc>
          <w:tcPr>
            <w:tcW w:w="500" w:type="dxa"/>
            <w:vAlign w:val="bottom"/>
            <w:tcBorders>
              <w:top w:val="single" w:sz="8" w:color="EEEEEE"/>
            </w:tcBorders>
          </w:tcPr>
          <w:p>
            <w:pPr>
              <w:spacing w:after="0"/>
              <w:rPr>
                <w:sz w:val="24"/>
                <w:szCs w:val="24"/>
                <w:color w:val="auto"/>
              </w:rPr>
            </w:pPr>
          </w:p>
        </w:tc>
        <w:tc>
          <w:tcPr>
            <w:tcW w:w="360" w:type="dxa"/>
            <w:vAlign w:val="bottom"/>
            <w:tcBorders>
              <w:top w:val="single" w:sz="8" w:color="EEEEEE"/>
            </w:tcBorders>
          </w:tcPr>
          <w:p>
            <w:pPr>
              <w:spacing w:after="0"/>
              <w:rPr>
                <w:sz w:val="24"/>
                <w:szCs w:val="24"/>
                <w:color w:val="auto"/>
              </w:rPr>
            </w:pPr>
          </w:p>
        </w:tc>
        <w:tc>
          <w:tcPr>
            <w:tcW w:w="980" w:type="dxa"/>
            <w:vAlign w:val="bottom"/>
            <w:tcBorders>
              <w:top w:val="single" w:sz="8" w:color="808080"/>
            </w:tcBorders>
          </w:tcPr>
          <w:p>
            <w:pPr>
              <w:spacing w:after="0"/>
              <w:rPr>
                <w:sz w:val="24"/>
                <w:szCs w:val="24"/>
                <w:color w:val="auto"/>
              </w:rPr>
            </w:pPr>
          </w:p>
        </w:tc>
        <w:tc>
          <w:tcPr>
            <w:tcW w:w="680" w:type="dxa"/>
            <w:vAlign w:val="bottom"/>
            <w:tcBorders>
              <w:top w:val="single" w:sz="8" w:color="EEEEEE"/>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ANALOG DEVICES, INC.</w:t>
      </w:r>
    </w:p>
    <w:p>
      <w:pPr>
        <w:spacing w:after="0" w:line="198"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THE INVESTMENT PARTNERSHIP PLAN</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SUPPLEMENTAL SCHEDULE</w:t>
      </w:r>
    </w:p>
    <w:p>
      <w:pPr>
        <w:spacing w:after="0" w:line="18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31, 2003</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EIN NO: 04-2348234 PLAN NO: 003</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SCHED. H-LN 4i — SCHEDULE OF ASSETS (HELD AT END OF YEAR)</w:t>
      </w:r>
    </w:p>
    <w:p>
      <w:pPr>
        <w:spacing w:after="0" w:line="18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December 31, 2003</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40" w:type="dxa"/>
            <w:vAlign w:val="bottom"/>
            <w:vMerge w:val="restart"/>
          </w:tcPr>
          <w:p>
            <w:pPr>
              <w:jc w:val="right"/>
              <w:ind w:right="691"/>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280" w:type="dxa"/>
            <w:vAlign w:val="bottom"/>
          </w:tcPr>
          <w:p>
            <w:pPr>
              <w:spacing w:after="0"/>
              <w:rPr>
                <w:sz w:val="4"/>
                <w:szCs w:val="4"/>
                <w:color w:val="auto"/>
              </w:rPr>
            </w:pPr>
          </w:p>
        </w:tc>
        <w:tc>
          <w:tcPr>
            <w:tcW w:w="194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vMerge w:val="restart"/>
          </w:tcPr>
          <w:p>
            <w:pPr>
              <w:spacing w:after="0"/>
              <w:rPr>
                <w:sz w:val="6"/>
                <w:szCs w:val="6"/>
                <w:color w:val="auto"/>
              </w:rPr>
            </w:pPr>
          </w:p>
        </w:tc>
        <w:tc>
          <w:tcPr>
            <w:tcW w:w="1200" w:type="dxa"/>
            <w:vAlign w:val="bottom"/>
          </w:tcPr>
          <w:p>
            <w:pPr>
              <w:spacing w:after="0"/>
              <w:rPr>
                <w:sz w:val="6"/>
                <w:szCs w:val="6"/>
                <w:color w:val="auto"/>
              </w:rPr>
            </w:pPr>
          </w:p>
        </w:tc>
        <w:tc>
          <w:tcPr>
            <w:tcW w:w="42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Description of Investment:</w:t>
            </w:r>
          </w:p>
        </w:tc>
        <w:tc>
          <w:tcPr>
            <w:tcW w:w="1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tcPr>
          <w:p>
            <w:pPr>
              <w:ind w:left="120"/>
              <w:spacing w:after="0" w:line="256" w:lineRule="exact"/>
              <w:rPr>
                <w:sz w:val="20"/>
                <w:szCs w:val="20"/>
                <w:color w:val="auto"/>
              </w:rPr>
            </w:pPr>
            <w:r>
              <w:rPr>
                <w:rFonts w:ascii="Arial" w:cs="Arial" w:eastAsia="Arial" w:hAnsi="Arial"/>
                <w:sz w:val="18"/>
                <w:szCs w:val="18"/>
                <w:color w:val="auto"/>
                <w:w w:val="99"/>
              </w:rPr>
              <w:t xml:space="preserve">Fidelity </w:t>
            </w:r>
            <w:r>
              <w:rPr>
                <w:rFonts w:ascii="Arial" w:cs="Arial" w:eastAsia="Arial" w:hAnsi="Arial"/>
                <w:sz w:val="29"/>
                <w:szCs w:val="29"/>
                <w:color w:val="auto"/>
                <w:w w:val="99"/>
                <w:vertAlign w:val="superscript"/>
              </w:rPr>
              <w:t>(1)</w:t>
            </w:r>
            <w:r>
              <w:rPr>
                <w:rFonts w:ascii="Arial" w:cs="Arial" w:eastAsia="Arial" w:hAnsi="Arial"/>
                <w:sz w:val="18"/>
                <w:szCs w:val="18"/>
                <w:color w:val="auto"/>
                <w:w w:val="99"/>
              </w:rPr>
              <w:t xml:space="preserve"> Institutional Cash Portfolios - U.S. Government Portfolio</w:t>
            </w:r>
          </w:p>
        </w:tc>
        <w:tc>
          <w:tcPr>
            <w:tcW w:w="1940" w:type="dxa"/>
            <w:vAlign w:val="bottom"/>
          </w:tcPr>
          <w:p>
            <w:pPr>
              <w:jc w:val="right"/>
              <w:ind w:right="471"/>
              <w:spacing w:after="0"/>
              <w:rPr>
                <w:sz w:val="20"/>
                <w:szCs w:val="20"/>
                <w:color w:val="auto"/>
              </w:rPr>
            </w:pPr>
            <w:r>
              <w:rPr>
                <w:rFonts w:ascii="Arial" w:cs="Arial" w:eastAsia="Arial" w:hAnsi="Arial"/>
                <w:sz w:val="18"/>
                <w:szCs w:val="18"/>
                <w:color w:val="auto"/>
              </w:rPr>
              <w:t>112,372,314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112,372,314</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shd w:val="clear" w:color="auto" w:fill="EEEEEE"/>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Institutional Cash Portfolios — Money Market Portfolio</w:t>
            </w:r>
          </w:p>
        </w:tc>
        <w:tc>
          <w:tcPr>
            <w:tcW w:w="1940" w:type="dxa"/>
            <w:vAlign w:val="bottom"/>
            <w:shd w:val="clear" w:color="auto" w:fill="EEEEEE"/>
          </w:tcPr>
          <w:p>
            <w:pPr>
              <w:jc w:val="right"/>
              <w:ind w:right="471"/>
              <w:spacing w:after="0"/>
              <w:rPr>
                <w:sz w:val="20"/>
                <w:szCs w:val="20"/>
                <w:color w:val="auto"/>
              </w:rPr>
            </w:pPr>
            <w:r>
              <w:rPr>
                <w:rFonts w:ascii="Arial" w:cs="Arial" w:eastAsia="Arial" w:hAnsi="Arial"/>
                <w:sz w:val="18"/>
                <w:szCs w:val="18"/>
                <w:color w:val="auto"/>
              </w:rPr>
              <w:t>28,136,881</w:t>
            </w:r>
          </w:p>
        </w:tc>
        <w:tc>
          <w:tcPr>
            <w:tcW w:w="240" w:type="dxa"/>
            <w:vAlign w:val="bottom"/>
            <w:shd w:val="clear" w:color="auto" w:fill="EEEEEE"/>
          </w:tcPr>
          <w:p>
            <w:pPr>
              <w:spacing w:after="0"/>
              <w:rPr>
                <w:sz w:val="22"/>
                <w:szCs w:val="22"/>
                <w:color w:val="auto"/>
              </w:rPr>
            </w:pPr>
          </w:p>
        </w:tc>
        <w:tc>
          <w:tcPr>
            <w:tcW w:w="580" w:type="dxa"/>
            <w:vAlign w:val="bottom"/>
            <w:tcBorders>
              <w:right w:val="single" w:sz="8" w:color="EEEEEE"/>
            </w:tcBorders>
            <w:shd w:val="clear" w:color="auto" w:fill="EEEEEE"/>
          </w:tcPr>
          <w:p>
            <w:pPr>
              <w:spacing w:after="0"/>
              <w:rPr>
                <w:sz w:val="22"/>
                <w:szCs w:val="22"/>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28,136,881</w:t>
            </w:r>
          </w:p>
        </w:tc>
        <w:tc>
          <w:tcPr>
            <w:tcW w:w="5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Magellan Fund</w:t>
            </w:r>
          </w:p>
        </w:tc>
        <w:tc>
          <w:tcPr>
            <w:tcW w:w="1940" w:type="dxa"/>
            <w:vAlign w:val="bottom"/>
          </w:tcPr>
          <w:p>
            <w:pPr>
              <w:jc w:val="right"/>
              <w:ind w:right="471"/>
              <w:spacing w:after="0"/>
              <w:rPr>
                <w:sz w:val="20"/>
                <w:szCs w:val="20"/>
                <w:color w:val="auto"/>
              </w:rPr>
            </w:pPr>
            <w:r>
              <w:rPr>
                <w:rFonts w:ascii="Arial" w:cs="Arial" w:eastAsia="Arial" w:hAnsi="Arial"/>
                <w:sz w:val="18"/>
                <w:szCs w:val="18"/>
                <w:color w:val="auto"/>
              </w:rPr>
              <w:t>564,213</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55,146,220</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shd w:val="clear" w:color="auto" w:fill="EEEEEE"/>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Equity Income Fund</w:t>
            </w:r>
          </w:p>
        </w:tc>
        <w:tc>
          <w:tcPr>
            <w:tcW w:w="1940" w:type="dxa"/>
            <w:vAlign w:val="bottom"/>
            <w:shd w:val="clear" w:color="auto" w:fill="EEEEEE"/>
          </w:tcPr>
          <w:p>
            <w:pPr>
              <w:jc w:val="right"/>
              <w:ind w:right="471"/>
              <w:spacing w:after="0"/>
              <w:rPr>
                <w:sz w:val="20"/>
                <w:szCs w:val="20"/>
                <w:color w:val="auto"/>
              </w:rPr>
            </w:pPr>
            <w:r>
              <w:rPr>
                <w:rFonts w:ascii="Arial" w:cs="Arial" w:eastAsia="Arial" w:hAnsi="Arial"/>
                <w:sz w:val="18"/>
                <w:szCs w:val="18"/>
                <w:color w:val="auto"/>
              </w:rPr>
              <w:t>790,835</w:t>
            </w:r>
          </w:p>
        </w:tc>
        <w:tc>
          <w:tcPr>
            <w:tcW w:w="240" w:type="dxa"/>
            <w:vAlign w:val="bottom"/>
            <w:shd w:val="clear" w:color="auto" w:fill="EEEEEE"/>
          </w:tcPr>
          <w:p>
            <w:pPr>
              <w:spacing w:after="0"/>
              <w:rPr>
                <w:sz w:val="22"/>
                <w:szCs w:val="22"/>
                <w:color w:val="auto"/>
              </w:rPr>
            </w:pPr>
          </w:p>
        </w:tc>
        <w:tc>
          <w:tcPr>
            <w:tcW w:w="580" w:type="dxa"/>
            <w:vAlign w:val="bottom"/>
            <w:tcBorders>
              <w:right w:val="single" w:sz="8" w:color="EEEEEE"/>
            </w:tcBorders>
            <w:shd w:val="clear" w:color="auto" w:fill="EEEEEE"/>
          </w:tcPr>
          <w:p>
            <w:pPr>
              <w:spacing w:after="0"/>
              <w:rPr>
                <w:sz w:val="22"/>
                <w:szCs w:val="22"/>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39,344,041</w:t>
            </w:r>
          </w:p>
        </w:tc>
        <w:tc>
          <w:tcPr>
            <w:tcW w:w="5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Growth Company Fund</w:t>
            </w:r>
          </w:p>
        </w:tc>
        <w:tc>
          <w:tcPr>
            <w:tcW w:w="1940" w:type="dxa"/>
            <w:vAlign w:val="bottom"/>
          </w:tcPr>
          <w:p>
            <w:pPr>
              <w:jc w:val="right"/>
              <w:ind w:right="471"/>
              <w:spacing w:after="0"/>
              <w:rPr>
                <w:sz w:val="20"/>
                <w:szCs w:val="20"/>
                <w:color w:val="auto"/>
              </w:rPr>
            </w:pPr>
            <w:r>
              <w:rPr>
                <w:rFonts w:ascii="Arial" w:cs="Arial" w:eastAsia="Arial" w:hAnsi="Arial"/>
                <w:sz w:val="18"/>
                <w:szCs w:val="18"/>
                <w:color w:val="auto"/>
              </w:rPr>
              <w:t>802,123</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40,162,339</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shd w:val="clear" w:color="auto" w:fill="EEEEEE"/>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U.S. Bond Index Fund</w:t>
            </w:r>
          </w:p>
        </w:tc>
        <w:tc>
          <w:tcPr>
            <w:tcW w:w="1940" w:type="dxa"/>
            <w:vAlign w:val="bottom"/>
            <w:shd w:val="clear" w:color="auto" w:fill="EEEEEE"/>
          </w:tcPr>
          <w:p>
            <w:pPr>
              <w:jc w:val="right"/>
              <w:ind w:right="471"/>
              <w:spacing w:after="0"/>
              <w:rPr>
                <w:sz w:val="20"/>
                <w:szCs w:val="20"/>
                <w:color w:val="auto"/>
              </w:rPr>
            </w:pPr>
            <w:r>
              <w:rPr>
                <w:rFonts w:ascii="Arial" w:cs="Arial" w:eastAsia="Arial" w:hAnsi="Arial"/>
                <w:sz w:val="18"/>
                <w:szCs w:val="18"/>
                <w:color w:val="auto"/>
              </w:rPr>
              <w:t>1,640,895</w:t>
            </w:r>
          </w:p>
        </w:tc>
        <w:tc>
          <w:tcPr>
            <w:tcW w:w="240" w:type="dxa"/>
            <w:vAlign w:val="bottom"/>
            <w:shd w:val="clear" w:color="auto" w:fill="EEEEEE"/>
          </w:tcPr>
          <w:p>
            <w:pPr>
              <w:spacing w:after="0"/>
              <w:rPr>
                <w:sz w:val="22"/>
                <w:szCs w:val="22"/>
                <w:color w:val="auto"/>
              </w:rPr>
            </w:pPr>
          </w:p>
        </w:tc>
        <w:tc>
          <w:tcPr>
            <w:tcW w:w="580" w:type="dxa"/>
            <w:vAlign w:val="bottom"/>
            <w:tcBorders>
              <w:right w:val="single" w:sz="8" w:color="EEEEEE"/>
            </w:tcBorders>
            <w:shd w:val="clear" w:color="auto" w:fill="EEEEEE"/>
          </w:tcPr>
          <w:p>
            <w:pPr>
              <w:spacing w:after="0"/>
              <w:rPr>
                <w:sz w:val="22"/>
                <w:szCs w:val="22"/>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18,361,610</w:t>
            </w:r>
          </w:p>
        </w:tc>
        <w:tc>
          <w:tcPr>
            <w:tcW w:w="5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Low-Priced Stock Fund</w:t>
            </w:r>
          </w:p>
        </w:tc>
        <w:tc>
          <w:tcPr>
            <w:tcW w:w="1940" w:type="dxa"/>
            <w:vAlign w:val="bottom"/>
          </w:tcPr>
          <w:p>
            <w:pPr>
              <w:jc w:val="right"/>
              <w:ind w:right="471"/>
              <w:spacing w:after="0"/>
              <w:rPr>
                <w:sz w:val="20"/>
                <w:szCs w:val="20"/>
                <w:color w:val="auto"/>
              </w:rPr>
            </w:pPr>
            <w:r>
              <w:rPr>
                <w:rFonts w:ascii="Arial" w:cs="Arial" w:eastAsia="Arial" w:hAnsi="Arial"/>
                <w:sz w:val="18"/>
                <w:szCs w:val="18"/>
                <w:color w:val="auto"/>
              </w:rPr>
              <w:t>811,124</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28,373,119</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shd w:val="clear" w:color="auto" w:fill="EEEEEE"/>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Growth &amp; Income Portfolio</w:t>
            </w:r>
          </w:p>
        </w:tc>
        <w:tc>
          <w:tcPr>
            <w:tcW w:w="1940" w:type="dxa"/>
            <w:vAlign w:val="bottom"/>
            <w:shd w:val="clear" w:color="auto" w:fill="EEEEEE"/>
          </w:tcPr>
          <w:p>
            <w:pPr>
              <w:jc w:val="right"/>
              <w:ind w:right="471"/>
              <w:spacing w:after="0"/>
              <w:rPr>
                <w:sz w:val="20"/>
                <w:szCs w:val="20"/>
                <w:color w:val="auto"/>
              </w:rPr>
            </w:pPr>
            <w:r>
              <w:rPr>
                <w:rFonts w:ascii="Arial" w:cs="Arial" w:eastAsia="Arial" w:hAnsi="Arial"/>
                <w:sz w:val="18"/>
                <w:szCs w:val="18"/>
                <w:color w:val="auto"/>
              </w:rPr>
              <w:t>374,798</w:t>
            </w:r>
          </w:p>
        </w:tc>
        <w:tc>
          <w:tcPr>
            <w:tcW w:w="240" w:type="dxa"/>
            <w:vAlign w:val="bottom"/>
            <w:shd w:val="clear" w:color="auto" w:fill="EEEEEE"/>
          </w:tcPr>
          <w:p>
            <w:pPr>
              <w:spacing w:after="0"/>
              <w:rPr>
                <w:sz w:val="22"/>
                <w:szCs w:val="22"/>
                <w:color w:val="auto"/>
              </w:rPr>
            </w:pPr>
          </w:p>
        </w:tc>
        <w:tc>
          <w:tcPr>
            <w:tcW w:w="580" w:type="dxa"/>
            <w:vAlign w:val="bottom"/>
            <w:tcBorders>
              <w:right w:val="single" w:sz="8" w:color="EEEEEE"/>
            </w:tcBorders>
            <w:shd w:val="clear" w:color="auto" w:fill="EEEEEE"/>
          </w:tcPr>
          <w:p>
            <w:pPr>
              <w:spacing w:after="0"/>
              <w:rPr>
                <w:sz w:val="22"/>
                <w:szCs w:val="22"/>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13,354,058</w:t>
            </w:r>
          </w:p>
        </w:tc>
        <w:tc>
          <w:tcPr>
            <w:tcW w:w="5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U.S. Equity Index Commingled Pool</w:t>
            </w:r>
          </w:p>
        </w:tc>
        <w:tc>
          <w:tcPr>
            <w:tcW w:w="1940" w:type="dxa"/>
            <w:vAlign w:val="bottom"/>
          </w:tcPr>
          <w:p>
            <w:pPr>
              <w:jc w:val="right"/>
              <w:ind w:right="471"/>
              <w:spacing w:after="0"/>
              <w:rPr>
                <w:sz w:val="20"/>
                <w:szCs w:val="20"/>
                <w:color w:val="auto"/>
              </w:rPr>
            </w:pPr>
            <w:r>
              <w:rPr>
                <w:rFonts w:ascii="Arial" w:cs="Arial" w:eastAsia="Arial" w:hAnsi="Arial"/>
                <w:sz w:val="18"/>
                <w:szCs w:val="18"/>
                <w:color w:val="auto"/>
              </w:rPr>
              <w:t>308,856</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10,430,073</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shd w:val="clear" w:color="auto" w:fill="EEEEEE"/>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Income Fund</w:t>
            </w:r>
          </w:p>
        </w:tc>
        <w:tc>
          <w:tcPr>
            <w:tcW w:w="1940" w:type="dxa"/>
            <w:vAlign w:val="bottom"/>
            <w:shd w:val="clear" w:color="auto" w:fill="EEEEEE"/>
          </w:tcPr>
          <w:p>
            <w:pPr>
              <w:jc w:val="right"/>
              <w:ind w:right="471"/>
              <w:spacing w:after="0"/>
              <w:rPr>
                <w:sz w:val="20"/>
                <w:szCs w:val="20"/>
                <w:color w:val="auto"/>
              </w:rPr>
            </w:pPr>
            <w:r>
              <w:rPr>
                <w:rFonts w:ascii="Arial" w:cs="Arial" w:eastAsia="Arial" w:hAnsi="Arial"/>
                <w:sz w:val="18"/>
                <w:szCs w:val="18"/>
                <w:color w:val="auto"/>
              </w:rPr>
              <w:t>194,491</w:t>
            </w:r>
          </w:p>
        </w:tc>
        <w:tc>
          <w:tcPr>
            <w:tcW w:w="240" w:type="dxa"/>
            <w:vAlign w:val="bottom"/>
            <w:shd w:val="clear" w:color="auto" w:fill="EEEEEE"/>
          </w:tcPr>
          <w:p>
            <w:pPr>
              <w:spacing w:after="0"/>
              <w:rPr>
                <w:sz w:val="22"/>
                <w:szCs w:val="22"/>
                <w:color w:val="auto"/>
              </w:rPr>
            </w:pPr>
          </w:p>
        </w:tc>
        <w:tc>
          <w:tcPr>
            <w:tcW w:w="580" w:type="dxa"/>
            <w:vAlign w:val="bottom"/>
            <w:tcBorders>
              <w:right w:val="single" w:sz="8" w:color="EEEEEE"/>
            </w:tcBorders>
            <w:shd w:val="clear" w:color="auto" w:fill="EEEEEE"/>
          </w:tcPr>
          <w:p>
            <w:pPr>
              <w:spacing w:after="0"/>
              <w:rPr>
                <w:sz w:val="22"/>
                <w:szCs w:val="22"/>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2,156,903</w:t>
            </w:r>
          </w:p>
        </w:tc>
        <w:tc>
          <w:tcPr>
            <w:tcW w:w="5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2000 Fund</w:t>
            </w:r>
          </w:p>
        </w:tc>
        <w:tc>
          <w:tcPr>
            <w:tcW w:w="1940" w:type="dxa"/>
            <w:vAlign w:val="bottom"/>
          </w:tcPr>
          <w:p>
            <w:pPr>
              <w:jc w:val="right"/>
              <w:ind w:right="471"/>
              <w:spacing w:after="0"/>
              <w:rPr>
                <w:sz w:val="20"/>
                <w:szCs w:val="20"/>
                <w:color w:val="auto"/>
              </w:rPr>
            </w:pPr>
            <w:r>
              <w:rPr>
                <w:rFonts w:ascii="Arial" w:cs="Arial" w:eastAsia="Arial" w:hAnsi="Arial"/>
                <w:sz w:val="18"/>
                <w:szCs w:val="18"/>
                <w:color w:val="auto"/>
              </w:rPr>
              <w:t>176,067</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2,074,071</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shd w:val="clear" w:color="auto" w:fill="EEEEEE"/>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2010 Fund</w:t>
            </w:r>
          </w:p>
        </w:tc>
        <w:tc>
          <w:tcPr>
            <w:tcW w:w="1940" w:type="dxa"/>
            <w:vAlign w:val="bottom"/>
            <w:shd w:val="clear" w:color="auto" w:fill="EEEEEE"/>
          </w:tcPr>
          <w:p>
            <w:pPr>
              <w:jc w:val="right"/>
              <w:ind w:right="471"/>
              <w:spacing w:after="0"/>
              <w:rPr>
                <w:sz w:val="20"/>
                <w:szCs w:val="20"/>
                <w:color w:val="auto"/>
              </w:rPr>
            </w:pPr>
            <w:r>
              <w:rPr>
                <w:rFonts w:ascii="Arial" w:cs="Arial" w:eastAsia="Arial" w:hAnsi="Arial"/>
                <w:sz w:val="18"/>
                <w:szCs w:val="18"/>
                <w:color w:val="auto"/>
              </w:rPr>
              <w:t>571,634</w:t>
            </w:r>
          </w:p>
        </w:tc>
        <w:tc>
          <w:tcPr>
            <w:tcW w:w="240" w:type="dxa"/>
            <w:vAlign w:val="bottom"/>
            <w:shd w:val="clear" w:color="auto" w:fill="EEEEEE"/>
          </w:tcPr>
          <w:p>
            <w:pPr>
              <w:spacing w:after="0"/>
              <w:rPr>
                <w:sz w:val="22"/>
                <w:szCs w:val="22"/>
                <w:color w:val="auto"/>
              </w:rPr>
            </w:pPr>
          </w:p>
        </w:tc>
        <w:tc>
          <w:tcPr>
            <w:tcW w:w="580" w:type="dxa"/>
            <w:vAlign w:val="bottom"/>
            <w:tcBorders>
              <w:right w:val="single" w:sz="8" w:color="EEEEEE"/>
            </w:tcBorders>
            <w:shd w:val="clear" w:color="auto" w:fill="EEEEEE"/>
          </w:tcPr>
          <w:p>
            <w:pPr>
              <w:spacing w:after="0"/>
              <w:rPr>
                <w:sz w:val="22"/>
                <w:szCs w:val="22"/>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7,442,678</w:t>
            </w:r>
          </w:p>
        </w:tc>
        <w:tc>
          <w:tcPr>
            <w:tcW w:w="5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2020 Fund</w:t>
            </w:r>
          </w:p>
        </w:tc>
        <w:tc>
          <w:tcPr>
            <w:tcW w:w="1940" w:type="dxa"/>
            <w:vAlign w:val="bottom"/>
          </w:tcPr>
          <w:p>
            <w:pPr>
              <w:jc w:val="right"/>
              <w:ind w:right="471"/>
              <w:spacing w:after="0"/>
              <w:rPr>
                <w:sz w:val="20"/>
                <w:szCs w:val="20"/>
                <w:color w:val="auto"/>
              </w:rPr>
            </w:pPr>
            <w:r>
              <w:rPr>
                <w:rFonts w:ascii="Arial" w:cs="Arial" w:eastAsia="Arial" w:hAnsi="Arial"/>
                <w:sz w:val="18"/>
                <w:szCs w:val="18"/>
                <w:color w:val="auto"/>
              </w:rPr>
              <w:t>561,519</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7,310,982</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shd w:val="clear" w:color="auto" w:fill="EEEEEE"/>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2030 Fund</w:t>
            </w:r>
          </w:p>
        </w:tc>
        <w:tc>
          <w:tcPr>
            <w:tcW w:w="1940" w:type="dxa"/>
            <w:vAlign w:val="bottom"/>
            <w:shd w:val="clear" w:color="auto" w:fill="EEEEEE"/>
          </w:tcPr>
          <w:p>
            <w:pPr>
              <w:jc w:val="right"/>
              <w:ind w:right="471"/>
              <w:spacing w:after="0"/>
              <w:rPr>
                <w:sz w:val="20"/>
                <w:szCs w:val="20"/>
                <w:color w:val="auto"/>
              </w:rPr>
            </w:pPr>
            <w:r>
              <w:rPr>
                <w:rFonts w:ascii="Arial" w:cs="Arial" w:eastAsia="Arial" w:hAnsi="Arial"/>
                <w:sz w:val="18"/>
                <w:szCs w:val="18"/>
                <w:color w:val="auto"/>
              </w:rPr>
              <w:t>799,384</w:t>
            </w:r>
          </w:p>
        </w:tc>
        <w:tc>
          <w:tcPr>
            <w:tcW w:w="240" w:type="dxa"/>
            <w:vAlign w:val="bottom"/>
            <w:shd w:val="clear" w:color="auto" w:fill="EEEEEE"/>
          </w:tcPr>
          <w:p>
            <w:pPr>
              <w:spacing w:after="0"/>
              <w:rPr>
                <w:sz w:val="22"/>
                <w:szCs w:val="22"/>
                <w:color w:val="auto"/>
              </w:rPr>
            </w:pPr>
          </w:p>
        </w:tc>
        <w:tc>
          <w:tcPr>
            <w:tcW w:w="580" w:type="dxa"/>
            <w:vAlign w:val="bottom"/>
            <w:tcBorders>
              <w:right w:val="single" w:sz="8" w:color="EEEEEE"/>
            </w:tcBorders>
            <w:shd w:val="clear" w:color="auto" w:fill="EEEEEE"/>
          </w:tcPr>
          <w:p>
            <w:pPr>
              <w:spacing w:after="0"/>
              <w:rPr>
                <w:sz w:val="22"/>
                <w:szCs w:val="22"/>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10,352,028</w:t>
            </w:r>
          </w:p>
        </w:tc>
        <w:tc>
          <w:tcPr>
            <w:tcW w:w="5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xml:space="preserve">Fidelity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Freedom 2040 Fund</w:t>
            </w:r>
          </w:p>
        </w:tc>
        <w:tc>
          <w:tcPr>
            <w:tcW w:w="1940" w:type="dxa"/>
            <w:vAlign w:val="bottom"/>
          </w:tcPr>
          <w:p>
            <w:pPr>
              <w:jc w:val="right"/>
              <w:ind w:right="471"/>
              <w:spacing w:after="0"/>
              <w:rPr>
                <w:sz w:val="20"/>
                <w:szCs w:val="20"/>
                <w:color w:val="auto"/>
              </w:rPr>
            </w:pPr>
            <w:r>
              <w:rPr>
                <w:rFonts w:ascii="Arial" w:cs="Arial" w:eastAsia="Arial" w:hAnsi="Arial"/>
                <w:sz w:val="18"/>
                <w:szCs w:val="18"/>
                <w:color w:val="auto"/>
              </w:rPr>
              <w:t>142,053</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1,073,921</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Templeton Foreign Fund I</w:t>
            </w:r>
          </w:p>
        </w:tc>
        <w:tc>
          <w:tcPr>
            <w:tcW w:w="1940" w:type="dxa"/>
            <w:vAlign w:val="bottom"/>
            <w:shd w:val="clear" w:color="auto" w:fill="EEEEEE"/>
          </w:tcPr>
          <w:p>
            <w:pPr>
              <w:jc w:val="right"/>
              <w:ind w:right="471"/>
              <w:spacing w:after="0"/>
              <w:rPr>
                <w:sz w:val="20"/>
                <w:szCs w:val="20"/>
                <w:color w:val="auto"/>
              </w:rPr>
            </w:pPr>
            <w:r>
              <w:rPr>
                <w:rFonts w:ascii="Arial" w:cs="Arial" w:eastAsia="Arial" w:hAnsi="Arial"/>
                <w:sz w:val="18"/>
                <w:szCs w:val="18"/>
                <w:color w:val="auto"/>
              </w:rPr>
              <w:t>1,042,993</w:t>
            </w:r>
          </w:p>
        </w:tc>
        <w:tc>
          <w:tcPr>
            <w:tcW w:w="24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11,097,441</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480" w:type="dxa"/>
            <w:vAlign w:val="bottom"/>
            <w:gridSpan w:val="2"/>
          </w:tcPr>
          <w:p>
            <w:pPr>
              <w:ind w:left="120"/>
              <w:spacing w:after="0" w:line="256" w:lineRule="exact"/>
              <w:rPr>
                <w:sz w:val="20"/>
                <w:szCs w:val="20"/>
                <w:color w:val="auto"/>
              </w:rPr>
            </w:pPr>
            <w:r>
              <w:rPr>
                <w:rFonts w:ascii="Arial" w:cs="Arial" w:eastAsia="Arial" w:hAnsi="Arial"/>
                <w:sz w:val="18"/>
                <w:szCs w:val="18"/>
                <w:color w:val="auto"/>
              </w:rPr>
              <w:t xml:space="preserve">Analog Devices, Inc. </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Common Stock</w:t>
            </w:r>
          </w:p>
        </w:tc>
        <w:tc>
          <w:tcPr>
            <w:tcW w:w="1940" w:type="dxa"/>
            <w:vAlign w:val="bottom"/>
          </w:tcPr>
          <w:p>
            <w:pPr>
              <w:jc w:val="right"/>
              <w:ind w:right="471"/>
              <w:spacing w:after="0"/>
              <w:rPr>
                <w:sz w:val="20"/>
                <w:szCs w:val="20"/>
                <w:color w:val="auto"/>
              </w:rPr>
            </w:pPr>
            <w:r>
              <w:rPr>
                <w:rFonts w:ascii="Arial" w:cs="Arial" w:eastAsia="Arial" w:hAnsi="Arial"/>
                <w:sz w:val="18"/>
                <w:szCs w:val="18"/>
                <w:color w:val="auto"/>
              </w:rPr>
              <w:t>4,630,679</w:t>
            </w: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5"/>
              </w:rPr>
              <w:t>211,390,497</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Participants Self-Directed Brokerage Accounts</w:t>
            </w:r>
          </w:p>
        </w:tc>
        <w:tc>
          <w:tcPr>
            <w:tcW w:w="1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55,844,132</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5"/>
              </w:rPr>
              <w:t>654,423,308</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2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Borders>
              <w:right w:val="single" w:sz="8" w:color="808080"/>
            </w:tcBorders>
          </w:tcPr>
          <w:p>
            <w:pPr>
              <w:spacing w:after="0"/>
              <w:rPr>
                <w:sz w:val="6"/>
                <w:szCs w:val="6"/>
                <w:color w:val="auto"/>
              </w:rPr>
            </w:pPr>
          </w:p>
        </w:tc>
        <w:tc>
          <w:tcPr>
            <w:tcW w:w="900" w:type="dxa"/>
            <w:vAlign w:val="bottom"/>
            <w:shd w:val="clear" w:color="auto" w:fill="808080"/>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880" w:type="dxa"/>
            <w:vAlign w:val="bottom"/>
          </w:tcPr>
          <w:p>
            <w:pPr>
              <w:spacing w:after="0"/>
              <w:rPr>
                <w:sz w:val="23"/>
                <w:szCs w:val="23"/>
                <w:color w:val="auto"/>
              </w:rPr>
            </w:pPr>
          </w:p>
        </w:tc>
        <w:tc>
          <w:tcPr>
            <w:tcW w:w="5480" w:type="dxa"/>
            <w:vAlign w:val="bottom"/>
            <w:gridSpan w:val="2"/>
            <w:shd w:val="clear" w:color="auto" w:fill="EEEEEE"/>
          </w:tcPr>
          <w:p>
            <w:pPr>
              <w:ind w:left="120"/>
              <w:spacing w:after="0" w:line="262" w:lineRule="exact"/>
              <w:rPr>
                <w:sz w:val="20"/>
                <w:szCs w:val="20"/>
                <w:color w:val="auto"/>
              </w:rPr>
            </w:pPr>
            <w:r>
              <w:rPr>
                <w:rFonts w:ascii="Arial" w:cs="Arial" w:eastAsia="Arial" w:hAnsi="Arial"/>
                <w:sz w:val="18"/>
                <w:szCs w:val="18"/>
                <w:color w:val="auto"/>
              </w:rPr>
              <w:t xml:space="preserve">Participant Loans Receivable </w:t>
            </w:r>
            <w:r>
              <w:rPr>
                <w:rFonts w:ascii="Arial" w:cs="Arial" w:eastAsia="Arial" w:hAnsi="Arial"/>
                <w:sz w:val="30"/>
                <w:szCs w:val="30"/>
                <w:color w:val="auto"/>
                <w:vertAlign w:val="superscript"/>
              </w:rPr>
              <w:t>(1)(2)</w:t>
            </w:r>
          </w:p>
        </w:tc>
        <w:tc>
          <w:tcPr>
            <w:tcW w:w="1940" w:type="dxa"/>
            <w:vAlign w:val="bottom"/>
            <w:shd w:val="clear" w:color="auto" w:fill="EEEEEE"/>
          </w:tcPr>
          <w:p>
            <w:pPr>
              <w:spacing w:after="0"/>
              <w:rPr>
                <w:sz w:val="23"/>
                <w:szCs w:val="23"/>
                <w:color w:val="auto"/>
              </w:rPr>
            </w:pPr>
          </w:p>
        </w:tc>
        <w:tc>
          <w:tcPr>
            <w:tcW w:w="8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8,554,700</w:t>
            </w:r>
          </w:p>
        </w:tc>
        <w:tc>
          <w:tcPr>
            <w:tcW w:w="540" w:type="dxa"/>
            <w:vAlign w:val="bottom"/>
            <w:shd w:val="clear" w:color="auto" w:fill="EEEEEE"/>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2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00" w:hanging="491"/>
        <w:spacing w:after="0" w:line="225" w:lineRule="auto"/>
        <w:tabs>
          <w:tab w:leader="none" w:pos="50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Indicates party-in-interest to the Plan.</w:t>
      </w:r>
    </w:p>
    <w:p>
      <w:pPr>
        <w:spacing w:after="0" w:line="164" w:lineRule="exact"/>
        <w:rPr>
          <w:rFonts w:ascii="Arial" w:cs="Arial" w:eastAsia="Arial" w:hAnsi="Arial"/>
          <w:sz w:val="30"/>
          <w:szCs w:val="30"/>
          <w:color w:val="auto"/>
          <w:vertAlign w:val="superscript"/>
        </w:rPr>
      </w:pPr>
    </w:p>
    <w:p>
      <w:pPr>
        <w:ind w:left="500" w:hanging="491"/>
        <w:spacing w:after="0" w:line="200" w:lineRule="auto"/>
        <w:tabs>
          <w:tab w:leader="none" w:pos="50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The loan account at December 31, 2003 bears interest at rates ranging from 3.5% to 11.96% with terms ranging from 1 to 20 years.</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3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Joseph E. McDonough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Vice President-Finance and Chief Financial Officer of Analog Devices,</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Inc. and Member of The Investment Partnership Plan Administration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14, 2004</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419" w:right="359" w:bottom="1440" w:gutter="0" w:footer="0" w:header="0"/>
        </w:sectPr>
      </w:pPr>
    </w:p>
    <w:bookmarkStart w:id="15" w:name="page16"/>
    <w:bookmarkEnd w:id="15"/>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(Form S-8 Nos. 33-2502, 2-95495, 33-43128, and 333-08493) pertaining to the Analog Devices, Inc. The Investment Partnership Plan of our report dated April 12, 2004, with respect to the financial statements and schedule of the Analog Devices Inc. The Investment Partnership Plan included in this Annual Report (Form 11-K) for the year ended December 31, 2003.</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June 7, 2004</w:t>
      </w:r>
    </w:p>
    <w:sectPr>
      <w:pgSz w:w="11900" w:h="16838" w:orient="portrait"/>
      <w:cols w:equalWidth="0" w:num="1">
        <w:col w:w="10219"/>
      </w:cols>
      <w:pgMar w:left="24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8"/>
    </w:lvl>
  </w:abstractNum>
  <w:abstractNum w:abstractNumId="5">
    <w:nsid w:val="7545E146"/>
    <w:multiLevelType w:val="hybridMultilevel"/>
    <w:lvl w:ilvl="0">
      <w:lvlJc w:val="left"/>
      <w:lvlText w:val="%1"/>
      <w:numFmt w:val="upperLetter"/>
      <w:start w:val="1"/>
    </w:lvl>
    <w:lvl w:ilvl="1">
      <w:lvlJc w:val="left"/>
      <w:lvlText w:val="%2."/>
      <w:numFmt w:val="decimal"/>
      <w:start w:val="9"/>
    </w:lvl>
  </w:abstractNum>
  <w:abstractNum w:abstractNumId="6">
    <w:nsid w:val="515F007C"/>
    <w:multiLevelType w:val="hybridMultilevel"/>
    <w:lvl w:ilvl="0">
      <w:lvlJc w:val="left"/>
      <w:lvlText w:val="%1."/>
      <w:numFmt w:val="upperLetter"/>
      <w:start w:val="2"/>
    </w:lvl>
    <w:lvl w:ilvl="1">
      <w:lvlJc w:val="left"/>
      <w:lvlText w:val="%2."/>
      <w:numFmt w:val="decimal"/>
      <w:start w:val="1"/>
    </w:lvl>
  </w:abstractNum>
  <w:abstractNum w:abstractNumId="7">
    <w:nsid w:val="5BD062C2"/>
    <w:multiLevelType w:val="hybridMultilevel"/>
    <w:lvl w:ilvl="0">
      <w:lvlJc w:val="left"/>
      <w:lvlText w:val="%1"/>
      <w:numFmt w:val="upperLetter"/>
      <w:start w:val="1"/>
    </w:lvl>
    <w:lvl w:ilvl="1">
      <w:lvlJc w:val="left"/>
      <w:lvlText w:val="%2."/>
      <w:numFmt w:val="decimal"/>
      <w:start w:val="5"/>
    </w:lvl>
  </w:abstractNum>
  <w:abstractNum w:abstractNumId="8">
    <w:nsid w:val="12200854"/>
    <w:multiLevelType w:val="hybridMultilevel"/>
    <w:lvl w:ilvl="0">
      <w:lvlJc w:val="left"/>
      <w:lvlText w:val="%1."/>
      <w:numFmt w:val="upperLetter"/>
      <w:start w:val="3"/>
    </w:lvl>
    <w:lvl w:ilvl="1">
      <w:lvlJc w:val="left"/>
      <w:lvlText w:val="%2"/>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2019-12-20T05:15:10Z</dcterms:created>
  <dcterms:modified xsi:type="dcterms:W3CDTF">2019-12-20T05:15:10Z</dcterms:modified>
</cp:coreProperties>
</file>