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4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May 1, 2010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561"/>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4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91" w:lineRule="exact"/>
        <w:rPr>
          <w:sz w:val="20"/>
          <w:szCs w:val="20"/>
          <w:color w:val="auto"/>
        </w:rPr>
      </w:pPr>
    </w:p>
    <w:p>
      <w:pPr>
        <w:ind w:left="2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640"/>
            <w:col w:w="2100"/>
          </w:cols>
          <w:pgMar w:left="240" w:top="122" w:right="239" w:bottom="1440" w:gutter="0" w:footer="0" w:header="0"/>
          <w:type w:val="continuous"/>
        </w:sectPr>
      </w:pPr>
    </w:p>
    <w:p>
      <w:pPr>
        <w:ind w:left="220" w:right="2020" w:firstLine="1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 2010 there were 297,981,270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0">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ITEM 1A. RISK FACTORS</w:t>
        </w:r>
      </w:hyperlink>
    </w:p>
    <w:p>
      <w:pPr>
        <w:ind w:left="320" w:right="3299"/>
        <w:spacing w:after="0" w:line="230"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9">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 CEO Certification Pursuant to Section 302</w:t>
      </w:r>
    </w:p>
    <w:p>
      <w:pPr>
        <w:spacing w:after="0" w:line="230" w:lineRule="auto"/>
        <w:rPr>
          <w:sz w:val="20"/>
          <w:szCs w:val="20"/>
          <w:color w:val="auto"/>
        </w:rPr>
      </w:pPr>
      <w:r>
        <w:rPr>
          <w:rFonts w:ascii="Arial" w:cs="Arial" w:eastAsia="Arial" w:hAnsi="Arial"/>
          <w:sz w:val="22"/>
          <w:szCs w:val="22"/>
          <w:u w:val="single" w:color="auto"/>
          <w:color w:val="0000EE"/>
        </w:rPr>
        <w:t>EX-31.2 CFO Certification Pursuant to Section 302</w:t>
      </w:r>
    </w:p>
    <w:p>
      <w:pPr>
        <w:spacing w:after="0" w:line="231" w:lineRule="auto"/>
        <w:rPr>
          <w:sz w:val="20"/>
          <w:szCs w:val="20"/>
          <w:color w:val="auto"/>
        </w:rPr>
      </w:pPr>
      <w:r>
        <w:rPr>
          <w:rFonts w:ascii="Arial" w:cs="Arial" w:eastAsia="Arial" w:hAnsi="Arial"/>
          <w:sz w:val="22"/>
          <w:szCs w:val="22"/>
          <w:u w:val="single" w:color="auto"/>
          <w:color w:val="0000EE"/>
        </w:rPr>
        <w:t>EX-32.1 CEO Certification Pursuant to Section 906</w:t>
      </w:r>
    </w:p>
    <w:p>
      <w:pPr>
        <w:spacing w:after="0" w:line="231" w:lineRule="auto"/>
        <w:rPr>
          <w:sz w:val="20"/>
          <w:szCs w:val="20"/>
          <w:color w:val="auto"/>
        </w:rPr>
      </w:pPr>
      <w:r>
        <w:rPr>
          <w:rFonts w:ascii="Arial" w:cs="Arial" w:eastAsia="Arial" w:hAnsi="Arial"/>
          <w:sz w:val="22"/>
          <w:szCs w:val="22"/>
          <w:u w:val="single" w:color="auto"/>
          <w:color w:val="0000EE"/>
        </w:rPr>
        <w:t>EX-32.2 CFO Certification Pursuant to Section 906</w:t>
      </w:r>
    </w:p>
    <w:p>
      <w:pPr>
        <w:spacing w:after="0" w:line="230" w:lineRule="auto"/>
        <w:rPr>
          <w:sz w:val="20"/>
          <w:szCs w:val="20"/>
          <w:color w:val="auto"/>
        </w:rPr>
      </w:pPr>
      <w:r>
        <w:rPr>
          <w:rFonts w:ascii="Arial" w:cs="Arial" w:eastAsia="Arial" w:hAnsi="Arial"/>
          <w:sz w:val="22"/>
          <w:szCs w:val="22"/>
          <w:u w:val="single" w:color="auto"/>
          <w:color w:val="0000EE"/>
        </w:rPr>
        <w:t>EX-101 INSTANCE DOCUMENT</w:t>
      </w:r>
    </w:p>
    <w:p>
      <w:pPr>
        <w:spacing w:after="0" w:line="231" w:lineRule="auto"/>
        <w:rPr>
          <w:sz w:val="20"/>
          <w:szCs w:val="20"/>
          <w:color w:val="auto"/>
        </w:rPr>
      </w:pPr>
      <w:r>
        <w:rPr>
          <w:rFonts w:ascii="Arial" w:cs="Arial" w:eastAsia="Arial" w:hAnsi="Arial"/>
          <w:sz w:val="22"/>
          <w:szCs w:val="22"/>
          <w:u w:val="single" w:color="auto"/>
          <w:color w:val="0000EE"/>
        </w:rPr>
        <w:t>EX-101 SCHEMA DOCUMENT</w:t>
      </w:r>
    </w:p>
    <w:p>
      <w:pPr>
        <w:spacing w:after="0" w:line="230" w:lineRule="auto"/>
        <w:rPr>
          <w:sz w:val="20"/>
          <w:szCs w:val="20"/>
          <w:color w:val="auto"/>
        </w:rPr>
      </w:pPr>
      <w:r>
        <w:rPr>
          <w:rFonts w:ascii="Arial" w:cs="Arial" w:eastAsia="Arial" w:hAnsi="Arial"/>
          <w:sz w:val="22"/>
          <w:szCs w:val="22"/>
          <w:u w:val="single" w:color="auto"/>
          <w:color w:val="0000EE"/>
        </w:rPr>
        <w:t>EX-101 CALCULATION LINKBASE DOCUMENT</w:t>
      </w:r>
    </w:p>
    <w:p>
      <w:pPr>
        <w:spacing w:after="0" w:line="231" w:lineRule="auto"/>
        <w:rPr>
          <w:sz w:val="20"/>
          <w:szCs w:val="20"/>
          <w:color w:val="auto"/>
        </w:rPr>
      </w:pPr>
      <w:r>
        <w:rPr>
          <w:rFonts w:ascii="Arial" w:cs="Arial" w:eastAsia="Arial" w:hAnsi="Arial"/>
          <w:sz w:val="22"/>
          <w:szCs w:val="22"/>
          <w:u w:val="single" w:color="auto"/>
          <w:color w:val="0000EE"/>
        </w:rPr>
        <w:t>EX-101 LABELS LINKBASE DOCUMENT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1, 2010</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668,240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474,748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233,725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213,196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434,515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Research and development (1)</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122,780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109,448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600"/>
              <w:spacing w:after="0"/>
              <w:rPr>
                <w:sz w:val="20"/>
                <w:szCs w:val="20"/>
                <w:color w:val="auto"/>
              </w:rPr>
            </w:pPr>
            <w:r>
              <w:rPr>
                <w:rFonts w:ascii="Arial" w:cs="Arial" w:eastAsia="Arial" w:hAnsi="Arial"/>
                <w:sz w:val="18"/>
                <w:szCs w:val="18"/>
                <w:color w:val="auto"/>
              </w:rPr>
              <w:t>Selling, marketing, general and administrative (1)</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97,660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Special charge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220,440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203,643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214,075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Interest expense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600"/>
              <w:spacing w:after="0"/>
              <w:rPr>
                <w:sz w:val="20"/>
                <w:szCs w:val="20"/>
                <w:color w:val="auto"/>
              </w:rPr>
            </w:pPr>
            <w:r>
              <w:rPr>
                <w:rFonts w:ascii="Arial" w:cs="Arial" w:eastAsia="Arial" w:hAnsi="Arial"/>
                <w:sz w:val="18"/>
                <w:szCs w:val="18"/>
                <w:color w:val="auto"/>
              </w:rPr>
              <w:t>Interest income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7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214,020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62,233</w:t>
            </w:r>
          </w:p>
        </w:tc>
        <w:tc>
          <w:tcPr>
            <w:tcW w:w="0" w:type="dxa"/>
            <w:vAlign w:val="bottom"/>
          </w:tcPr>
          <w:p>
            <w:pPr>
              <w:spacing w:after="0"/>
              <w:rPr>
                <w:sz w:val="1"/>
                <w:szCs w:val="1"/>
                <w:color w:val="auto"/>
              </w:rPr>
            </w:pPr>
          </w:p>
        </w:tc>
      </w:tr>
      <w:tr>
        <w:trPr>
          <w:trHeight w:val="432"/>
        </w:trPr>
        <w:tc>
          <w:tcPr>
            <w:tcW w:w="69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46,880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7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167,140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51,754</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297,825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305,836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292,446</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0.56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00" w:type="dxa"/>
            <w:vAlign w:val="bottom"/>
            <w:gridSpan w:val="2"/>
          </w:tcPr>
          <w:p>
            <w:pPr>
              <w:ind w:left="400"/>
              <w:spacing w:after="0"/>
              <w:rPr>
                <w:sz w:val="20"/>
                <w:szCs w:val="20"/>
                <w:color w:val="auto"/>
              </w:rPr>
            </w:pPr>
            <w:r>
              <w:rPr>
                <w:rFonts w:ascii="Arial" w:cs="Arial" w:eastAsia="Arial" w:hAnsi="Arial"/>
                <w:sz w:val="18"/>
                <w:szCs w:val="18"/>
                <w:color w:val="auto"/>
              </w:rPr>
              <w:t>(1) Includes stock-based compensation expense as follows: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800"/>
              <w:spacing w:after="0"/>
              <w:rPr>
                <w:sz w:val="20"/>
                <w:szCs w:val="20"/>
                <w:color w:val="auto"/>
              </w:rPr>
            </w:pPr>
            <w:r>
              <w:rPr>
                <w:rFonts w:ascii="Arial" w:cs="Arial" w:eastAsia="Arial" w:hAnsi="Arial"/>
                <w:sz w:val="18"/>
                <w:szCs w:val="18"/>
                <w:color w:val="auto"/>
              </w:rPr>
              <w:t>Cost of sales</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1,860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800"/>
              <w:spacing w:after="0"/>
              <w:rPr>
                <w:sz w:val="20"/>
                <w:szCs w:val="20"/>
                <w:color w:val="auto"/>
              </w:rPr>
            </w:pPr>
            <w:r>
              <w:rPr>
                <w:rFonts w:ascii="Arial" w:cs="Arial" w:eastAsia="Arial" w:hAnsi="Arial"/>
                <w:sz w:val="18"/>
                <w:szCs w:val="18"/>
                <w:color w:val="auto"/>
              </w:rPr>
              <w:t>Research and development</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5,968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gridSpan w:val="2"/>
          </w:tcPr>
          <w:p>
            <w:pPr>
              <w:ind w:left="800"/>
              <w:spacing w:after="0"/>
              <w:rPr>
                <w:sz w:val="20"/>
                <w:szCs w:val="20"/>
                <w:color w:val="auto"/>
              </w:rPr>
            </w:pPr>
            <w:r>
              <w:rPr>
                <w:rFonts w:ascii="Arial" w:cs="Arial" w:eastAsia="Arial" w:hAnsi="Arial"/>
                <w:sz w:val="18"/>
                <w:szCs w:val="18"/>
                <w:color w:val="auto"/>
              </w:rPr>
              <w:t>Selling, marketing, general and administrative</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5,427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color w:val="auto"/>
                <w:w w:val="91"/>
              </w:rPr>
              <w:t>Six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May 1, 2010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1,271,223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951,317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468,232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420,763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802,991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Research and development (1)</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237,178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color w:val="auto"/>
              </w:rPr>
              <w:t>Selling, marketing, general and administrative (1)</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186,141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Special charges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439,802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453,054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363,189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color w:val="auto"/>
              </w:rPr>
              <w:t>Interest income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7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362,287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90,191</w:t>
            </w:r>
          </w:p>
        </w:tc>
        <w:tc>
          <w:tcPr>
            <w:tcW w:w="0" w:type="dxa"/>
            <w:vAlign w:val="bottom"/>
          </w:tcPr>
          <w:p>
            <w:pPr>
              <w:spacing w:after="0"/>
              <w:rPr>
                <w:sz w:val="1"/>
                <w:szCs w:val="1"/>
                <w:color w:val="auto"/>
              </w:rPr>
            </w:pPr>
          </w:p>
        </w:tc>
      </w:tr>
      <w:tr>
        <w:trPr>
          <w:trHeight w:val="432"/>
        </w:trPr>
        <w:tc>
          <w:tcPr>
            <w:tcW w:w="688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75,547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7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286,740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76,339</w:t>
            </w:r>
          </w:p>
        </w:tc>
        <w:tc>
          <w:tcPr>
            <w:tcW w:w="0" w:type="dxa"/>
            <w:vAlign w:val="bottom"/>
          </w:tcPr>
          <w:p>
            <w:pPr>
              <w:spacing w:after="0"/>
              <w:rPr>
                <w:sz w:val="1"/>
                <w:szCs w:val="1"/>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296,718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291,207</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291,847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(1) Includes stock-based compensation expense as follows:</w:t>
            </w: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00"/>
              <w:spacing w:after="0"/>
              <w:rPr>
                <w:sz w:val="20"/>
                <w:szCs w:val="20"/>
                <w:color w:val="auto"/>
              </w:rPr>
            </w:pPr>
            <w:r>
              <w:rPr>
                <w:rFonts w:ascii="Arial" w:cs="Arial" w:eastAsia="Arial" w:hAnsi="Arial"/>
                <w:sz w:val="18"/>
                <w:szCs w:val="18"/>
                <w:color w:val="auto"/>
              </w:rPr>
              <w:t>Cost of sales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3,531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00"/>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11,327</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tcPr>
          <w:p>
            <w:pPr>
              <w:ind w:left="800"/>
              <w:spacing w:after="0"/>
              <w:rPr>
                <w:sz w:val="20"/>
                <w:szCs w:val="20"/>
                <w:color w:val="auto"/>
              </w:rPr>
            </w:pPr>
            <w:r>
              <w:rPr>
                <w:rFonts w:ascii="Arial" w:cs="Arial" w:eastAsia="Arial" w:hAnsi="Arial"/>
                <w:sz w:val="18"/>
                <w:szCs w:val="18"/>
                <w:color w:val="auto"/>
              </w:rPr>
              <w:t>Selling, marketing, general and administrative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10,232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color w:val="auto"/>
              </w:rPr>
              <w:t>May 1, 2010</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31, 2009</w:t>
            </w: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$ 1,008,372</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639,729</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1,176,244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332,157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301,036</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14,938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13,373</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164,965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173,696</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67,759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66,092</w:t>
            </w:r>
          </w:p>
        </w:tc>
      </w:tr>
      <w:tr>
        <w:trPr>
          <w:trHeight w:val="27"/>
        </w:trPr>
        <w:tc>
          <w:tcPr>
            <w:tcW w:w="8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247,662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253,161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71,647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78,740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38,466</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40,363</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3,078,308</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2,490,636</w:t>
            </w:r>
          </w:p>
        </w:tc>
        <w:tc>
          <w:tcPr>
            <w:tcW w:w="100" w:type="dxa"/>
            <w:vAlign w:val="bottom"/>
            <w:shd w:val="clear" w:color="auto" w:fill="CCEEFF"/>
          </w:tcPr>
          <w:p>
            <w:pPr>
              <w:spacing w:after="0"/>
              <w:rPr>
                <w:sz w:val="18"/>
                <w:szCs w:val="18"/>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396,654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395,151</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840" w:type="dxa"/>
            <w:vAlign w:val="bottom"/>
          </w:tcPr>
          <w:p>
            <w:pPr>
              <w:jc w:val="right"/>
              <w:spacing w:after="0"/>
              <w:rPr>
                <w:sz w:val="20"/>
                <w:szCs w:val="20"/>
                <w:color w:val="auto"/>
              </w:rPr>
            </w:pPr>
            <w:r>
              <w:rPr>
                <w:rFonts w:ascii="Arial" w:cs="Arial" w:eastAsia="Arial" w:hAnsi="Arial"/>
                <w:sz w:val="18"/>
                <w:szCs w:val="18"/>
                <w:color w:val="auto"/>
              </w:rPr>
              <w:t>1,520,201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1,511,822</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55,512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56,294</w:t>
            </w: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67,700</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66,847</w:t>
            </w:r>
          </w:p>
        </w:tc>
      </w:tr>
      <w:tr>
        <w:trPr>
          <w:trHeight w:val="216"/>
        </w:trPr>
        <w:tc>
          <w:tcPr>
            <w:tcW w:w="88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2,040,067</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2,030,114</w:t>
            </w:r>
          </w:p>
        </w:tc>
        <w:tc>
          <w:tcPr>
            <w:tcW w:w="10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1,586,723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1,553,598</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453,344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476,516</w:t>
            </w:r>
          </w:p>
        </w:tc>
      </w:tr>
      <w:tr>
        <w:trPr>
          <w:trHeight w:val="20"/>
        </w:trPr>
        <w:tc>
          <w:tcPr>
            <w:tcW w:w="8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7,422</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6,580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255,538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250,881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79,906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73,646</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49,359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62,037</w:t>
            </w:r>
          </w:p>
        </w:tc>
      </w:tr>
      <w:tr>
        <w:trPr>
          <w:trHeight w:val="27"/>
        </w:trPr>
        <w:tc>
          <w:tcPr>
            <w:tcW w:w="8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396,445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437,142</w:t>
            </w:r>
          </w:p>
        </w:tc>
      </w:tr>
      <w:tr>
        <w:trPr>
          <w:trHeight w:val="223"/>
        </w:trPr>
        <w:tc>
          <w:tcPr>
            <w:tcW w:w="88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$ 3,928,097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3,404,294</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580" w:firstLine="8"/>
        <w:spacing w:after="0" w:line="402"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$2,354 and $2,718 related to stock-based compensation at May 1, 2010 and October 31, 2009, respectively. See accompanying notes.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4"/>
                <w:szCs w:val="14"/>
                <w:color w:val="auto"/>
              </w:rPr>
              <w:t>May 1, 2010</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104,183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206,651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84,787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167,459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564,717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386,613</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383,306</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34,079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7,412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473,130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297,981,270 shares issued and outstanding</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(291,861,767 on October 31, 2009)</w:t>
            </w:r>
          </w:p>
        </w:tc>
        <w:tc>
          <w:tcPr>
            <w:tcW w:w="12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49,665</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251,682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2,603,619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2,434,446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(14,716)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2,890,250</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2,529,149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3,928,097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3,404,294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26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color w:val="auto"/>
              </w:rPr>
              <w:t>May 1, 2010</w:t>
            </w: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287,599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58,194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25,090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Non-cash portion of special charge</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activity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126,256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204,494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(1,588,302)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(847,583)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1,386,041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952,240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Net proceeds (expenditures) from sale of business</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63,036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for) provided by investing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(173,053)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64,767</w:t>
            </w:r>
          </w:p>
        </w:tc>
        <w:tc>
          <w:tcPr>
            <w:tcW w:w="0" w:type="dxa"/>
            <w:vAlign w:val="bottom"/>
          </w:tcPr>
          <w:p>
            <w:pPr>
              <w:spacing w:after="0"/>
              <w:rPr>
                <w:sz w:val="1"/>
                <w:szCs w:val="1"/>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(118,426)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169,153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(117,057)</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368,643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1,008,372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676,879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MAY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31, 2009 and related notes. The results of operations for the interim period shown in this report are not necessarily indicative of the results that may be expected for the fiscal year ending October 30, 2010 or any future period.</w:t>
      </w:r>
    </w:p>
    <w:p>
      <w:pPr>
        <w:spacing w:after="0" w:line="63"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 as of October 31, 2009.</w:t>
      </w:r>
    </w:p>
    <w:p>
      <w:pPr>
        <w:spacing w:after="0" w:line="46"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2010 and fiscal 2009 are 52-week fiscal years. Certain amounts reported in previous years have been reclassified to conform to the fiscal 2010 presentation. Such reclassified amounts were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product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70"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85" w:lineRule="exact"/>
        <w:rPr>
          <w:sz w:val="20"/>
          <w:szCs w:val="20"/>
          <w:color w:val="auto"/>
        </w:rPr>
      </w:pPr>
    </w:p>
    <w:p>
      <w:pPr>
        <w:jc w:val="both"/>
        <w:ind w:right="440" w:firstLine="225"/>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79" w:lineRule="exact"/>
        <w:rPr>
          <w:sz w:val="20"/>
          <w:szCs w:val="20"/>
          <w:color w:val="auto"/>
        </w:rPr>
      </w:pPr>
    </w:p>
    <w:p>
      <w:pPr>
        <w:jc w:val="both"/>
        <w:ind w:right="40" w:firstLine="22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80" w:lineRule="exact"/>
        <w:rPr>
          <w:sz w:val="20"/>
          <w:szCs w:val="20"/>
          <w:color w:val="auto"/>
        </w:rPr>
      </w:pPr>
    </w:p>
    <w:p>
      <w:pPr>
        <w:jc w:val="both"/>
        <w:ind w:right="120" w:firstLine="215"/>
        <w:spacing w:after="0" w:line="259" w:lineRule="auto"/>
        <w:rPr>
          <w:sz w:val="20"/>
          <w:szCs w:val="20"/>
          <w:color w:val="auto"/>
        </w:rPr>
      </w:pPr>
      <w:r>
        <w:rPr>
          <w:rFonts w:ascii="Arial" w:cs="Arial" w:eastAsia="Arial" w:hAnsi="Arial"/>
          <w:sz w:val="18"/>
          <w:szCs w:val="18"/>
          <w:color w:val="auto"/>
        </w:rPr>
        <w:t>As of May 1, 2010 and October 31, 2009, the Company had gross deferred revenue of $289.5 million and $230.8 million, respectively, and gross deferred cost of sales of $82.8 million and $81.5 million, respectively. Deferred income on shipments to distributors as of May 1, 2010 was higher than the amount as of October 31, 2009 by $57.4 million, primarily as a result of the Company’s shipments to its distributors in the first six months of fiscal 2010 exceeding the distributors’ sales to their customers during this same time period.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either of the three- and six-month periods ended May 1, 2010 and May 2, 2009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—The Company uses the Black-Scholes option pricing model to calculate the grant-date fair value of an award.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Company’s stock option awards and the related estimated weighted-average assumptions used to calculate the fair value of stock options granted during the three- and six-month periods ended May 1, 2010 and May 2, 2009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3"/>
            <w:vMerge w:val="continue"/>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May 1, 2010</w:t>
            </w:r>
          </w:p>
        </w:tc>
        <w:tc>
          <w:tcPr>
            <w:tcW w:w="500" w:type="dxa"/>
            <w:vAlign w:val="bottom"/>
          </w:tcPr>
          <w:p>
            <w:pPr>
              <w:spacing w:after="0"/>
              <w:rPr>
                <w:sz w:val="12"/>
                <w:szCs w:val="12"/>
                <w:color w:val="auto"/>
              </w:rPr>
            </w:pPr>
          </w:p>
        </w:tc>
        <w:tc>
          <w:tcPr>
            <w:tcW w:w="10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May 2, 2009</w:t>
            </w:r>
          </w:p>
        </w:tc>
        <w:tc>
          <w:tcPr>
            <w:tcW w:w="48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May 1, 2010</w:t>
            </w:r>
          </w:p>
        </w:tc>
        <w:tc>
          <w:tcPr>
            <w:tcW w:w="500" w:type="dxa"/>
            <w:vAlign w:val="bottom"/>
          </w:tcPr>
          <w:p>
            <w:pPr>
              <w:spacing w:after="0"/>
              <w:rPr>
                <w:sz w:val="12"/>
                <w:szCs w:val="12"/>
                <w:color w:val="auto"/>
              </w:rPr>
            </w:pPr>
          </w:p>
        </w:tc>
        <w:tc>
          <w:tcPr>
            <w:tcW w:w="10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195</w:t>
            </w: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4"/>
              </w:rPr>
              <w:t>1,838</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Weighted-average exercise price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29.73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19.99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31.53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Assumptions: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Weighted-average expected term (in years)</w:t>
            </w: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tcPr>
          <w:p>
            <w:pPr>
              <w:spacing w:after="0"/>
              <w:rPr>
                <w:sz w:val="20"/>
                <w:szCs w:val="20"/>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risk-free interest rate.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May 1, 2010.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awards that vest.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 summary of the activity under the Company’s stock option plans as of May 1, 2010 and changes during the three- and six-month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0"/>
              </w:rPr>
              <w:t>Options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left="5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May 1, 2010</w:t>
            </w:r>
          </w:p>
        </w:tc>
        <w:tc>
          <w:tcPr>
            <w:tcW w:w="2080" w:type="dxa"/>
            <w:vAlign w:val="bottom"/>
            <w:gridSpan w:val="4"/>
          </w:tcPr>
          <w:p>
            <w:pPr>
              <w:jc w:val="center"/>
              <w:ind w:left="43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8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4900" w:type="dxa"/>
            <w:vAlign w:val="bottom"/>
            <w:gridSpan w:val="2"/>
            <w:vMerge w:val="continue"/>
          </w:tcPr>
          <w:p>
            <w:pPr>
              <w:spacing w:after="0"/>
              <w:rPr>
                <w:sz w:val="15"/>
                <w:szCs w:val="15"/>
                <w:color w:val="auto"/>
              </w:rPr>
            </w:pPr>
          </w:p>
        </w:tc>
        <w:tc>
          <w:tcPr>
            <w:tcW w:w="208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420" w:type="dxa"/>
            <w:vAlign w:val="bottom"/>
          </w:tcPr>
          <w:p>
            <w:pPr>
              <w:spacing w:after="0"/>
              <w:rPr>
                <w:sz w:val="15"/>
                <w:szCs w:val="15"/>
                <w:color w:val="auto"/>
              </w:rPr>
            </w:pPr>
          </w:p>
        </w:tc>
        <w:tc>
          <w:tcPr>
            <w:tcW w:w="860" w:type="dxa"/>
            <w:vAlign w:val="bottom"/>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January 30, 2010</w:t>
            </w:r>
          </w:p>
        </w:tc>
        <w:tc>
          <w:tcPr>
            <w:tcW w:w="15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46,894</w:t>
            </w:r>
          </w:p>
        </w:tc>
        <w:tc>
          <w:tcPr>
            <w:tcW w:w="5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$29.91</w:t>
            </w:r>
          </w:p>
        </w:tc>
        <w:tc>
          <w:tcPr>
            <w:tcW w:w="1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$29.73</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2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(277)</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$20.70</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2080" w:type="dxa"/>
            <w:vAlign w:val="bottom"/>
            <w:gridSpan w:val="4"/>
          </w:tcPr>
          <w:p>
            <w:pPr>
              <w:jc w:val="right"/>
              <w:ind w:right="460"/>
              <w:spacing w:after="0"/>
              <w:rPr>
                <w:sz w:val="20"/>
                <w:szCs w:val="20"/>
                <w:color w:val="auto"/>
              </w:rPr>
            </w:pPr>
            <w:r>
              <w:rPr>
                <w:rFonts w:ascii="Arial" w:cs="Arial" w:eastAsia="Arial" w:hAnsi="Arial"/>
                <w:sz w:val="18"/>
                <w:szCs w:val="18"/>
                <w:color w:val="auto"/>
              </w:rPr>
              <w:t>(320)</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$27.61</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2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(637)</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$44.98</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1, 2010</w:t>
            </w:r>
          </w:p>
        </w:tc>
        <w:tc>
          <w:tcPr>
            <w:tcW w:w="10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45,686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$29.77</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7"/>
              <w:spacing w:after="0"/>
              <w:rPr>
                <w:sz w:val="20"/>
                <w:szCs w:val="20"/>
                <w:color w:val="auto"/>
              </w:rPr>
            </w:pPr>
            <w:r>
              <w:rPr>
                <w:rFonts w:ascii="Arial" w:cs="Arial" w:eastAsia="Arial" w:hAnsi="Arial"/>
                <w:sz w:val="18"/>
                <w:szCs w:val="18"/>
                <w:color w:val="auto"/>
                <w:w w:val="89"/>
              </w:rPr>
              <w:t>138,541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May 1, 2010</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20,204</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$32.79</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64,555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May 1, 2010 (1)</w:t>
            </w:r>
          </w:p>
        </w:tc>
        <w:tc>
          <w:tcPr>
            <w:tcW w:w="1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vMerge w:val="restart"/>
          </w:tcPr>
          <w:p>
            <w:pPr>
              <w:jc w:val="right"/>
              <w:ind w:right="515"/>
              <w:spacing w:after="0"/>
              <w:rPr>
                <w:sz w:val="20"/>
                <w:szCs w:val="20"/>
                <w:color w:val="auto"/>
              </w:rPr>
            </w:pPr>
            <w:r>
              <w:rPr>
                <w:rFonts w:ascii="Arial" w:cs="Arial" w:eastAsia="Arial" w:hAnsi="Arial"/>
                <w:sz w:val="18"/>
                <w:szCs w:val="18"/>
                <w:color w:val="auto"/>
              </w:rPr>
              <w:t>$29.87</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7"/>
              </w:rPr>
              <w:t>4.9</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77"/>
              <w:spacing w:after="0"/>
              <w:rPr>
                <w:sz w:val="20"/>
                <w:szCs w:val="20"/>
                <w:color w:val="auto"/>
              </w:rPr>
            </w:pPr>
            <w:r>
              <w:rPr>
                <w:rFonts w:ascii="Arial" w:cs="Arial" w:eastAsia="Arial" w:hAnsi="Arial"/>
                <w:sz w:val="18"/>
                <w:szCs w:val="18"/>
                <w:color w:val="auto"/>
                <w:w w:val="89"/>
              </w:rPr>
              <w:t>133,028</w:t>
            </w: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44,054</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May 1, 2010</w:t>
            </w:r>
          </w:p>
        </w:tc>
        <w:tc>
          <w:tcPr>
            <w:tcW w:w="416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Options Outstanding</w:t>
            </w:r>
          </w:p>
        </w:tc>
        <w:tc>
          <w:tcPr>
            <w:tcW w:w="1640" w:type="dxa"/>
            <w:vAlign w:val="bottom"/>
          </w:tcPr>
          <w:p>
            <w:pPr>
              <w:jc w:val="center"/>
              <w:ind w:left="176"/>
              <w:spacing w:after="0" w:line="149" w:lineRule="exact"/>
              <w:rPr>
                <w:sz w:val="20"/>
                <w:szCs w:val="20"/>
                <w:color w:val="auto"/>
              </w:rPr>
            </w:pPr>
            <w:r>
              <w:rPr>
                <w:rFonts w:ascii="Arial" w:cs="Arial" w:eastAsia="Arial" w:hAnsi="Arial"/>
                <w:sz w:val="14"/>
                <w:szCs w:val="14"/>
                <w:b w:val="1"/>
                <w:bCs w:val="1"/>
                <w:color w:val="auto"/>
                <w:w w:val="93"/>
              </w:rPr>
              <w:t>Exercise Price Per</w:t>
            </w:r>
          </w:p>
        </w:tc>
        <w:tc>
          <w:tcPr>
            <w:tcW w:w="0" w:type="dxa"/>
            <w:vAlign w:val="bottom"/>
          </w:tcPr>
          <w:p>
            <w:pPr>
              <w:spacing w:after="0"/>
              <w:rPr>
                <w:sz w:val="1"/>
                <w:szCs w:val="1"/>
                <w:color w:val="auto"/>
              </w:rPr>
            </w:pPr>
          </w:p>
        </w:tc>
      </w:tr>
      <w:tr>
        <w:trPr>
          <w:trHeight w:val="178"/>
        </w:trPr>
        <w:tc>
          <w:tcPr>
            <w:tcW w:w="5620" w:type="dxa"/>
            <w:vAlign w:val="bottom"/>
            <w:gridSpan w:val="2"/>
            <w:vMerge w:val="continue"/>
          </w:tcPr>
          <w:p>
            <w:pPr>
              <w:spacing w:after="0"/>
              <w:rPr>
                <w:sz w:val="15"/>
                <w:szCs w:val="15"/>
                <w:color w:val="auto"/>
              </w:rPr>
            </w:pPr>
          </w:p>
        </w:tc>
        <w:tc>
          <w:tcPr>
            <w:tcW w:w="4160" w:type="dxa"/>
            <w:vAlign w:val="bottom"/>
            <w:gridSpan w:val="4"/>
            <w:vMerge w:val="continue"/>
          </w:tcPr>
          <w:p>
            <w:pPr>
              <w:spacing w:after="0"/>
              <w:rPr>
                <w:sz w:val="15"/>
                <w:szCs w:val="15"/>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31, 2009</w:t>
            </w:r>
          </w:p>
        </w:tc>
        <w:tc>
          <w:tcPr>
            <w:tcW w:w="34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52,463</w:t>
            </w:r>
          </w:p>
        </w:tc>
        <w:tc>
          <w:tcPr>
            <w:tcW w:w="7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41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(6,886)</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4160" w:type="dxa"/>
            <w:vAlign w:val="bottom"/>
            <w:gridSpan w:val="4"/>
          </w:tcPr>
          <w:p>
            <w:pPr>
              <w:jc w:val="right"/>
              <w:ind w:right="700"/>
              <w:spacing w:after="0"/>
              <w:rPr>
                <w:sz w:val="20"/>
                <w:szCs w:val="20"/>
                <w:color w:val="auto"/>
              </w:rPr>
            </w:pPr>
            <w:r>
              <w:rPr>
                <w:rFonts w:ascii="Arial" w:cs="Arial" w:eastAsia="Arial" w:hAnsi="Arial"/>
                <w:sz w:val="18"/>
                <w:szCs w:val="18"/>
                <w:color w:val="auto"/>
              </w:rPr>
              <w:t>(679)</w:t>
            </w: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41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(1,050)</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1, 2010</w:t>
            </w:r>
          </w:p>
        </w:tc>
        <w:tc>
          <w:tcPr>
            <w:tcW w:w="29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45,686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During the three and six months ended May 1, 2010, the total intrinsic value of options exercised (i.e., the difference between the market price at exercise and the price paid by the employee to exercise the options) was $2.5 million and $15.7 million, respectively, and the total amount of proceeds received from exercise of these options was $5.7 million and $193.3 million, respectively. Proceeds from stock option exercises pursuant to employee stock plans in the Company’s statement of cash flows during the six months ended May 1, 2010 of $169.2 million is net of the value of shares surrendered by employees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certain limited circumstances to satisfy the exercise price of options, and 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and six months ended May 1, 2010 was approximately $0.6 million and $32.0 million, respectively.</w:t>
      </w:r>
    </w:p>
    <w:p>
      <w:pPr>
        <w:spacing w:after="0" w:line="63"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During the three and six months ended May 2, 2009, the total intrinsic value of options exercised (i.e., the difference between the market price at exercise and the price paid by the employee to exercise the options) was $0.6 million and $0.7 million, respectively, and the total amount of proceeds received from exercise of these options was $2.2 million and $3.0 million, respectively. Proceeds from stock option exercises pursuant to employee stock plans in the Company’s statement of cash flows during the six months ended May 2, 2009 of $2.9 million, is net of the value of shares surrendered by employees 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and six months ended May 2, 2009 was approximately $1.6 million and $72.1 million, respectively.</w:t>
      </w:r>
    </w:p>
    <w:p>
      <w:pPr>
        <w:spacing w:after="0" w:line="71"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May 1, 2010 and changes during the three- and six-month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600" w:type="dxa"/>
            <w:vAlign w:val="bottom"/>
            <w:gridSpan w:val="3"/>
          </w:tcPr>
          <w:p>
            <w:pPr>
              <w:jc w:val="center"/>
              <w:ind w:left="1960"/>
              <w:spacing w:after="0"/>
              <w:rPr>
                <w:sz w:val="20"/>
                <w:szCs w:val="20"/>
                <w:color w:val="auto"/>
              </w:rPr>
            </w:pPr>
            <w:r>
              <w:rPr>
                <w:rFonts w:ascii="Arial" w:cs="Arial" w:eastAsia="Arial" w:hAnsi="Arial"/>
                <w:sz w:val="14"/>
                <w:szCs w:val="14"/>
                <w:b w:val="1"/>
                <w:bCs w:val="1"/>
                <w:color w:val="auto"/>
                <w:w w:val="93"/>
              </w:rPr>
              <w:t>Restricted</w:t>
            </w:r>
          </w:p>
        </w:tc>
        <w:tc>
          <w:tcPr>
            <w:tcW w:w="1520" w:type="dxa"/>
            <w:vAlign w:val="bottom"/>
            <w:vMerge w:val="restart"/>
          </w:tcPr>
          <w:p>
            <w:pPr>
              <w:jc w:val="center"/>
              <w:ind w:lef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600" w:type="dxa"/>
            <w:vAlign w:val="bottom"/>
            <w:gridSpan w:val="3"/>
          </w:tcPr>
          <w:p>
            <w:pPr>
              <w:jc w:val="center"/>
              <w:ind w:left="1980"/>
              <w:spacing w:after="0" w:line="149" w:lineRule="exact"/>
              <w:rPr>
                <w:sz w:val="20"/>
                <w:szCs w:val="20"/>
                <w:color w:val="auto"/>
              </w:rPr>
            </w:pPr>
            <w:r>
              <w:rPr>
                <w:rFonts w:ascii="Arial" w:cs="Arial" w:eastAsia="Arial" w:hAnsi="Arial"/>
                <w:sz w:val="14"/>
                <w:szCs w:val="14"/>
                <w:b w:val="1"/>
                <w:bCs w:val="1"/>
                <w:color w:val="auto"/>
                <w:w w:val="92"/>
              </w:rPr>
              <w:t>Shares and/ or</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Units</w:t>
            </w:r>
          </w:p>
        </w:tc>
        <w:tc>
          <w:tcPr>
            <w:tcW w:w="152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May 1, 2010</w:t>
            </w:r>
          </w:p>
        </w:tc>
        <w:tc>
          <w:tcPr>
            <w:tcW w:w="3600" w:type="dxa"/>
            <w:vAlign w:val="bottom"/>
            <w:gridSpan w:val="3"/>
          </w:tcPr>
          <w:p>
            <w:pPr>
              <w:jc w:val="center"/>
              <w:ind w:left="19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2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00" w:type="dxa"/>
            <w:vAlign w:val="bottom"/>
            <w:gridSpan w:val="2"/>
            <w:vMerge w:val="continue"/>
          </w:tcPr>
          <w:p>
            <w:pPr>
              <w:spacing w:after="0"/>
              <w:rPr>
                <w:sz w:val="15"/>
                <w:szCs w:val="15"/>
                <w:color w:val="auto"/>
              </w:rPr>
            </w:pPr>
          </w:p>
        </w:tc>
        <w:tc>
          <w:tcPr>
            <w:tcW w:w="3600" w:type="dxa"/>
            <w:vAlign w:val="bottom"/>
            <w:gridSpan w:val="3"/>
          </w:tcPr>
          <w:p>
            <w:pPr>
              <w:jc w:val="center"/>
              <w:ind w:left="1960"/>
              <w:spacing w:after="0"/>
              <w:rPr>
                <w:sz w:val="20"/>
                <w:szCs w:val="20"/>
                <w:color w:val="auto"/>
              </w:rPr>
            </w:pPr>
            <w:r>
              <w:rPr>
                <w:rFonts w:ascii="Arial" w:cs="Arial" w:eastAsia="Arial" w:hAnsi="Arial"/>
                <w:sz w:val="14"/>
                <w:szCs w:val="14"/>
                <w:b w:val="1"/>
                <w:bCs w:val="1"/>
                <w:color w:val="auto"/>
                <w:w w:val="91"/>
              </w:rPr>
              <w:t>(in thousands)</w:t>
            </w:r>
          </w:p>
        </w:tc>
        <w:tc>
          <w:tcPr>
            <w:tcW w:w="1520" w:type="dxa"/>
            <w:vAlign w:val="bottom"/>
          </w:tcPr>
          <w:p>
            <w:pPr>
              <w:ind w:left="6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January 30, 2010</w:t>
            </w:r>
          </w:p>
        </w:tc>
        <w:tc>
          <w:tcPr>
            <w:tcW w:w="3600" w:type="dxa"/>
            <w:vAlign w:val="bottom"/>
            <w:tcBorders>
              <w:top w:val="single" w:sz="8" w:color="auto"/>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1,256</w:t>
            </w:r>
          </w:p>
        </w:tc>
        <w:tc>
          <w:tcPr>
            <w:tcW w:w="15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c>
          <w:tcPr>
            <w:tcW w:w="1520" w:type="dxa"/>
            <w:vAlign w:val="bottom"/>
          </w:tcPr>
          <w:p>
            <w:pPr>
              <w:ind w:left="62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6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520" w:type="dxa"/>
            <w:vAlign w:val="bottom"/>
          </w:tcPr>
          <w:p>
            <w:pPr>
              <w:ind w:left="62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1, 2010</w:t>
            </w:r>
          </w:p>
        </w:tc>
        <w:tc>
          <w:tcPr>
            <w:tcW w:w="2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1,264</w:t>
            </w:r>
          </w:p>
        </w:tc>
        <w:tc>
          <w:tcPr>
            <w:tcW w:w="1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600" w:type="dxa"/>
            <w:vAlign w:val="bottom"/>
            <w:gridSpan w:val="3"/>
          </w:tcPr>
          <w:p>
            <w:pPr>
              <w:jc w:val="center"/>
              <w:ind w:left="1960"/>
              <w:spacing w:after="0"/>
              <w:rPr>
                <w:sz w:val="20"/>
                <w:szCs w:val="20"/>
                <w:color w:val="auto"/>
              </w:rPr>
            </w:pPr>
            <w:r>
              <w:rPr>
                <w:rFonts w:ascii="Arial" w:cs="Arial" w:eastAsia="Arial" w:hAnsi="Arial"/>
                <w:sz w:val="14"/>
                <w:szCs w:val="14"/>
                <w:b w:val="1"/>
                <w:bCs w:val="1"/>
                <w:color w:val="auto"/>
                <w:w w:val="93"/>
              </w:rPr>
              <w:t>Restricted</w:t>
            </w:r>
          </w:p>
        </w:tc>
        <w:tc>
          <w:tcPr>
            <w:tcW w:w="1520" w:type="dxa"/>
            <w:vAlign w:val="bottom"/>
            <w:vMerge w:val="restart"/>
          </w:tcPr>
          <w:p>
            <w:pPr>
              <w:jc w:val="center"/>
              <w:ind w:left="218"/>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600" w:type="dxa"/>
            <w:vAlign w:val="bottom"/>
            <w:gridSpan w:val="3"/>
          </w:tcPr>
          <w:p>
            <w:pPr>
              <w:jc w:val="center"/>
              <w:ind w:left="1980"/>
              <w:spacing w:after="0" w:line="149" w:lineRule="exact"/>
              <w:rPr>
                <w:sz w:val="20"/>
                <w:szCs w:val="20"/>
                <w:color w:val="auto"/>
              </w:rPr>
            </w:pPr>
            <w:r>
              <w:rPr>
                <w:rFonts w:ascii="Arial" w:cs="Arial" w:eastAsia="Arial" w:hAnsi="Arial"/>
                <w:sz w:val="14"/>
                <w:szCs w:val="14"/>
                <w:b w:val="1"/>
                <w:bCs w:val="1"/>
                <w:color w:val="auto"/>
                <w:w w:val="92"/>
              </w:rPr>
              <w:t>Shares and/ or</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Units</w:t>
            </w:r>
          </w:p>
        </w:tc>
        <w:tc>
          <w:tcPr>
            <w:tcW w:w="152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May 1, 2010</w:t>
            </w:r>
          </w:p>
        </w:tc>
        <w:tc>
          <w:tcPr>
            <w:tcW w:w="3600" w:type="dxa"/>
            <w:vAlign w:val="bottom"/>
            <w:gridSpan w:val="3"/>
          </w:tcPr>
          <w:p>
            <w:pPr>
              <w:jc w:val="center"/>
              <w:ind w:left="19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2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00" w:type="dxa"/>
            <w:vAlign w:val="bottom"/>
            <w:gridSpan w:val="2"/>
            <w:vMerge w:val="continue"/>
          </w:tcPr>
          <w:p>
            <w:pPr>
              <w:spacing w:after="0"/>
              <w:rPr>
                <w:sz w:val="15"/>
                <w:szCs w:val="15"/>
                <w:color w:val="auto"/>
              </w:rPr>
            </w:pPr>
          </w:p>
        </w:tc>
        <w:tc>
          <w:tcPr>
            <w:tcW w:w="3600" w:type="dxa"/>
            <w:vAlign w:val="bottom"/>
            <w:gridSpan w:val="3"/>
          </w:tcPr>
          <w:p>
            <w:pPr>
              <w:jc w:val="center"/>
              <w:ind w:left="1960"/>
              <w:spacing w:after="0"/>
              <w:rPr>
                <w:sz w:val="20"/>
                <w:szCs w:val="20"/>
                <w:color w:val="auto"/>
              </w:rPr>
            </w:pPr>
            <w:r>
              <w:rPr>
                <w:rFonts w:ascii="Arial" w:cs="Arial" w:eastAsia="Arial" w:hAnsi="Arial"/>
                <w:sz w:val="14"/>
                <w:szCs w:val="14"/>
                <w:b w:val="1"/>
                <w:bCs w:val="1"/>
                <w:color w:val="auto"/>
                <w:w w:val="91"/>
              </w:rPr>
              <w:t>(in thousands)</w:t>
            </w:r>
          </w:p>
        </w:tc>
        <w:tc>
          <w:tcPr>
            <w:tcW w:w="1520" w:type="dxa"/>
            <w:vAlign w:val="bottom"/>
          </w:tcPr>
          <w:p>
            <w:pPr>
              <w:ind w:left="6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October 31, 2009</w:t>
            </w:r>
          </w:p>
        </w:tc>
        <w:tc>
          <w:tcPr>
            <w:tcW w:w="3600" w:type="dxa"/>
            <w:vAlign w:val="bottom"/>
            <w:tcBorders>
              <w:top w:val="single" w:sz="8" w:color="auto"/>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135</w:t>
            </w:r>
          </w:p>
        </w:tc>
        <w:tc>
          <w:tcPr>
            <w:tcW w:w="15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3600" w:type="dxa"/>
            <w:vAlign w:val="bottom"/>
            <w:gridSpan w:val="3"/>
          </w:tcPr>
          <w:p>
            <w:pPr>
              <w:jc w:val="right"/>
              <w:ind w:right="580"/>
              <w:spacing w:after="0"/>
              <w:rPr>
                <w:sz w:val="20"/>
                <w:szCs w:val="20"/>
                <w:color w:val="auto"/>
              </w:rPr>
            </w:pPr>
            <w:r>
              <w:rPr>
                <w:rFonts w:ascii="Arial" w:cs="Arial" w:eastAsia="Arial" w:hAnsi="Arial"/>
                <w:sz w:val="18"/>
                <w:szCs w:val="18"/>
                <w:color w:val="auto"/>
              </w:rPr>
              <w:t>1,147</w:t>
            </w:r>
          </w:p>
        </w:tc>
        <w:tc>
          <w:tcPr>
            <w:tcW w:w="1520" w:type="dxa"/>
            <w:vAlign w:val="bottom"/>
          </w:tcPr>
          <w:p>
            <w:pPr>
              <w:ind w:left="62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6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520" w:type="dxa"/>
            <w:vAlign w:val="bottom"/>
          </w:tcPr>
          <w:p>
            <w:pPr>
              <w:ind w:left="62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1, 2010</w:t>
            </w:r>
          </w:p>
        </w:tc>
        <w:tc>
          <w:tcPr>
            <w:tcW w:w="2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1,264</w:t>
            </w:r>
          </w:p>
        </w:tc>
        <w:tc>
          <w:tcPr>
            <w:tcW w:w="1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15"/>
        <w:spacing w:after="0" w:line="342" w:lineRule="auto"/>
        <w:rPr>
          <w:sz w:val="20"/>
          <w:szCs w:val="20"/>
          <w:color w:val="auto"/>
        </w:rPr>
      </w:pPr>
      <w:r>
        <w:rPr>
          <w:rFonts w:ascii="Arial" w:cs="Arial" w:eastAsia="Arial" w:hAnsi="Arial"/>
          <w:sz w:val="16"/>
          <w:szCs w:val="16"/>
          <w:color w:val="auto"/>
        </w:rPr>
        <w:t>As of May 1, 2010, there was $122.7 million (before tax consideration) of total unrecognized compensation cost related to unvested share-based awards, including stock options, restricted stock and restricted stock units. That cost is expected to be recognized over a weighted-average period of 1.6 years.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6"/>
          </w:tcPr>
          <w:p>
            <w:pPr>
              <w:jc w:val="center"/>
              <w:ind w:right="10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color w:val="auto"/>
                <w:w w:val="90"/>
              </w:rPr>
              <w:t>May 1, 2010</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$ 167,140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51,754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Change in unrealized holding losses (net of taxes of $21 and $54, respectively) on securities classified as short-term</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w w:val="97"/>
              </w:rPr>
              <w:t>Change in unrealized holding gains (net of taxes of $63 and $142, respectively) on securities classified as other</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Change in unrealized (losses) gains (net of taxes of $309 and $1,459, respectively) on derivative instruments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(1,761)</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Transition obligation</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gain (loss)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$ 167,225</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65,841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color w:val="auto"/>
                <w:w w:val="95"/>
              </w:rPr>
              <w:t>Six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w w:val="90"/>
              </w:rPr>
              <w:t>May 1, 2010</w:t>
            </w:r>
          </w:p>
        </w:tc>
        <w:tc>
          <w:tcPr>
            <w:tcW w:w="1040" w:type="dxa"/>
            <w:vAlign w:val="bottom"/>
            <w:gridSpan w:val="3"/>
          </w:tcPr>
          <w:p>
            <w:pPr>
              <w:ind w:left="300"/>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$ 286,740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76,339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3,681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Change in unrealized holding losses (net of taxes of $16 and $350, respectively) on securities classified as short-</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(2,481)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w w:val="97"/>
              </w:rPr>
              <w:t>Change in unrealized holding gains (net of taxes of $54 and $230, respectively) on securities classified as other</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Change in unrealized (losses) gains (net of taxes of $1,365 and $2,501, respectively) on derivative instruments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(8,766)</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17,127</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Transition asset (obligation)</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gain (loss)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282,272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94,351</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$ 283,131</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94,715</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income at May 1, 2010 and October 31, 2009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May 1, 2010</w:t>
            </w:r>
          </w:p>
        </w:tc>
        <w:tc>
          <w:tcPr>
            <w:tcW w:w="6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October 31, 2009</w:t>
            </w:r>
          </w:p>
        </w:tc>
        <w:tc>
          <w:tcPr>
            <w:tcW w:w="100" w:type="dxa"/>
            <w:vAlign w:val="bottom"/>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7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Unrealized gain on available-for-sale securities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Unrealized (losses) gains on derivative instruments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(3,157)</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Transition obligation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Net actuarial loss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(8,049)</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(8,688)</w:t>
            </w:r>
          </w:p>
        </w:tc>
      </w:tr>
      <w:tr>
        <w:trPr>
          <w:trHeight w:val="27"/>
        </w:trPr>
        <w:tc>
          <w:tcPr>
            <w:tcW w:w="6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accumulated other comprehensive loss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(14,716)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(10,248)</w:t>
            </w:r>
          </w:p>
        </w:tc>
      </w:tr>
      <w:tr>
        <w:trPr>
          <w:trHeight w:val="20"/>
        </w:trPr>
        <w:tc>
          <w:tcPr>
            <w:tcW w:w="6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aggregate fair value of investments with unrealized losses as of May 1, 2010 and October 31, 2009 was $1,099.4 million and $535.3 million, respectively. These unrealized losses are all related to commercial paper that earns lower interest rates than current market rates. None of these investments have been in a loss position for more than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restricted stock, and RSU’s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ind w:lef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1, 2010</w:t>
            </w:r>
          </w:p>
        </w:tc>
        <w:tc>
          <w:tcPr>
            <w:tcW w:w="10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740" w:type="dxa"/>
            <w:vAlign w:val="bottom"/>
            <w:gridSpan w:val="2"/>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167,140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297,825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740" w:type="dxa"/>
            <w:vAlign w:val="bottom"/>
            <w:gridSpan w:val="2"/>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740" w:type="dxa"/>
            <w:vAlign w:val="bottom"/>
            <w:gridSpan w:val="2"/>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167,140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297,825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Assumed exercise of common stock equivalents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8,011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Weighted-average common and common equivalent shares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305,836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292,446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740" w:type="dxa"/>
            <w:vAlign w:val="bottom"/>
            <w:gridSpan w:val="2"/>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0.55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60,695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ind w:lef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1, 2010</w:t>
            </w:r>
          </w:p>
        </w:tc>
        <w:tc>
          <w:tcPr>
            <w:tcW w:w="10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286,740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76,339</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287,599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296,718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291,207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296,718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291,207</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8,636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305,354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291,847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19,442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65,811</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Closure of Wafer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3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Reduction</w:t>
            </w: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Closure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of a Wafer</w:t>
            </w: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Wafer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Facility</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in Sunnyvale</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Limerick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Costs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Cambridge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20,315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Abandonment of equipment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Change in estimate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2006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10,288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items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2007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2008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26,583</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7,446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14,629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2009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30,333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2010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10,908</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2010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11,419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Closure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vMerge w:val="restart"/>
          </w:tcPr>
          <w:p>
            <w:pPr>
              <w:jc w:val="center"/>
              <w:ind w:right="620"/>
              <w:spacing w:after="0"/>
              <w:rPr>
                <w:sz w:val="20"/>
                <w:szCs w:val="20"/>
                <w:color w:val="auto"/>
              </w:rPr>
            </w:pPr>
            <w:r>
              <w:rPr>
                <w:rFonts w:ascii="Arial" w:cs="Arial" w:eastAsia="Arial" w:hAnsi="Arial"/>
                <w:sz w:val="14"/>
                <w:szCs w:val="14"/>
                <w:b w:val="1"/>
                <w:bCs w:val="1"/>
                <w:color w:val="auto"/>
                <w:w w:val="92"/>
              </w:rPr>
              <w:t>Closure of Wafer</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of a Wafer</w:t>
            </w:r>
          </w:p>
        </w:tc>
        <w:tc>
          <w:tcPr>
            <w:tcW w:w="16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Reduction of</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Wafer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640" w:type="dxa"/>
            <w:vAlign w:val="bottom"/>
            <w:gridSpan w:val="4"/>
            <w:vMerge w:val="continue"/>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500" w:type="dxa"/>
            <w:vAlign w:val="bottom"/>
          </w:tcPr>
          <w:p>
            <w:pPr>
              <w:spacing w:after="0"/>
              <w:rPr>
                <w:sz w:val="12"/>
                <w:szCs w:val="12"/>
                <w:color w:val="auto"/>
              </w:rPr>
            </w:pPr>
          </w:p>
        </w:tc>
        <w:tc>
          <w:tcPr>
            <w:tcW w:w="18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Fabrication Facility</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260" w:type="dxa"/>
            <w:vAlign w:val="bottom"/>
          </w:tcPr>
          <w:p>
            <w:pPr>
              <w:spacing w:after="0"/>
              <w:rPr>
                <w:sz w:val="12"/>
                <w:szCs w:val="12"/>
                <w:color w:val="auto"/>
              </w:rPr>
            </w:pPr>
          </w:p>
        </w:tc>
        <w:tc>
          <w:tcPr>
            <w:tcW w:w="138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in Sunnyvale</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Limerick</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Costs</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in Cambridge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2009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Fiscal 2010 special charges</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Effect of foreign currency on accrual</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2010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payments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on accrual</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Balance at May 1, 2010</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right="120" w:firstLine="222"/>
        <w:spacing w:after="0" w:line="312" w:lineRule="auto"/>
        <w:rPr>
          <w:sz w:val="20"/>
          <w:szCs w:val="20"/>
          <w:color w:val="auto"/>
        </w:rPr>
      </w:pPr>
      <w:r>
        <w:rPr>
          <w:rFonts w:ascii="Arial" w:cs="Arial" w:eastAsia="Arial" w:hAnsi="Arial"/>
          <w:sz w:val="16"/>
          <w:szCs w:val="16"/>
          <w:color w:val="auto"/>
        </w:rPr>
        <w:t>The Company ceased production at its California wafer fabrication facility in November 2006. The Company has been paying the related lease obligation costs on a monthly basis over the remaining lease term, which expired in March 2010. A one-time settlement charge of $0.4 million was recorded in the first quarter of fiscal 2010 related to the termination of the lease. The Company does not expect to incur any additional charges related to this action.</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fiscal 2007, the Company recorded a special charge of $13.7 million as a result of its decision to only use eight-inch technology at its wafer fabrication facility in Limerick. Certain manufacturing processes and products produced on the Limerick facility’s six-inch production line have transitioned to the Company’s existing eight-inch production line in Limerick while others have transitioned to external foundries. The charge was for severance and fringe benefit costs recorded in accordance with the Company’s ongoing benefit plan for 150 manufacturing employees associated with this action. The Company terminated the employment of all employees associated with these programs and has paid out all amounts owed to employees as severance. During fiscal 2008, the Company recorded an additional charge of $1.5 million related to this action, of which $1.2 million was an adjustment to the original estimate of the severance costs and $0.3 million was for clean-up and closure costs that were expensed as incurred. During fiscal 2009, the Company recorded additional charges of $1.2 million for clean-up and closure costs that were expensed as incurred. The production in the six-inch wafer fabrication facility ceased during the fourth quarter of fiscal 2009. The Company does not expect to incur any further charges related to this action.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recorded in accordance with its ongoing benefit plan or statutory requirements at foreign locations for 19 engineering, selling, marketing, general and administrative employees. The Company terminated the employment of all employees associated with this charge and is paying amounts owed to employees for severance as income continuance.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$0.9 million was for the write-off of property, plant and equipment no longer used as a result of this action; and approximately $0.8 million was for contract termination costs and for clean-up and closure costs that were expensed as incurred. The remaining $26.5 million related to the severance and fringe benefit costs recorded in accordance with the Company’s ongoing benefit plan or statutory requirements at foreign locations for 245 manufacturing employees and 302 engineering and SMG&amp;A employees. As of May 1, 2010, the Company still employed 1 of the 547 employees included in this cost reduction action. This employee must continue to be employed by the Company until his employment is involuntarily terminated in order to receive the severance benefit.</w:t>
      </w:r>
    </w:p>
    <w:p>
      <w:pPr>
        <w:spacing w:after="0" w:line="5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During the first quarter of fiscal 2010, the Company recorded an additional charge of $11.4 million related to the further reduction of its operating cost structure. Approximately $10.9 million of this charge was for severance and fringe benefit costs recorded in accordance with the Company’s ongoing benefit plan or statutory requirements at foreign locations for 149 engineering and SMG&amp;A employees. As of May 1, 2010, the Company still employed 45 of the 149 employees included in this cost reduction action. These employees must continue to be employed by the Company until their employment is involuntarily terminated in order to receive the severance benefit. Approximately $0.5 million of the charge relates to the Company’s decision to abandon efforts to develop a particular expertise in power management, resulting in the impairment of related intellectual property.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the Company’s ongoing benefit plan for 175 manufacturing employees and 9 SMG&amp;A employees associated with this action.</w:t>
      </w:r>
    </w:p>
    <w:p>
      <w:pPr>
        <w:spacing w:after="0" w:line="64"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finished production in the Cambridge wafer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 alternative employment within the Company. In addition, the Company recorded a special charge of approximately $1.7 million for the impairment of manufacturing assets that were originally going to be moved to the Company’s other wafer fabrication facilities but are no longer needed at those facilities and therefore have no future use. The Company also recorded a special charge of $0.1 million for clean-up costs as the Company began its cleanup of the Cambridge wafer fabrication facility at the end of the fourth quarter of fiscal 2009. As of May 1, 2010, the Company still employed 2 of the employees included in this action. These employees must continue to be employed by the Company until their employment is involuntarily terminated in order to receive the severance benefit.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first quarter of fiscal 2010, the Company recorded an additional charge of $4.7 million related to this cost reduction action.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 million of the charge related to lease obligation costs for the Cambridge wafer fabrication facility, which the Company ceased using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2010; the remaining $1.3 million of the charge related to cleanup and closure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5"/>
              </w:rPr>
              <w:t>May 1, 2010</w:t>
            </w: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00" w:type="dxa"/>
            <w:vAlign w:val="bottom"/>
            <w:gridSpan w:val="2"/>
            <w:vMerge w:val="restart"/>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8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$ 316,203</w:t>
            </w:r>
          </w:p>
        </w:tc>
        <w:tc>
          <w:tcPr>
            <w:tcW w:w="1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$ 205,176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Automotive</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83,472</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105%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40,708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119,518</w:t>
            </w:r>
          </w:p>
        </w:tc>
        <w:tc>
          <w:tcPr>
            <w:tcW w:w="1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82,368</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133,480</w:t>
            </w:r>
          </w:p>
        </w:tc>
        <w:tc>
          <w:tcPr>
            <w:tcW w:w="180" w:type="dxa"/>
            <w:vAlign w:val="bottom"/>
          </w:tcPr>
          <w:p>
            <w:pPr>
              <w:spacing w:after="0"/>
              <w:rPr>
                <w:sz w:val="18"/>
                <w:szCs w:val="18"/>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134,625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15,567</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66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41%</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$ 668,240</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$ 474,748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May 1, 2010</w:t>
            </w: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right"/>
              <w:ind w:right="90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4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7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579,193</w:t>
            </w: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$ 426,452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156,529</w:t>
            </w: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80,495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236,591</w:t>
            </w: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158,071</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269,857</w:t>
            </w: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260,668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25,631</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1,271,223</w:t>
            </w:r>
          </w:p>
        </w:tc>
        <w:tc>
          <w:tcPr>
            <w:tcW w:w="1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$ 951,317</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7"/>
              </w:rPr>
              <w:t>May 1, 2010</w:t>
            </w: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$ 305,068</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$ 239,103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171,098</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124,458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87,439</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44,055</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38%</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563,605</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407,616</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28,177</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40%</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$ 610,086</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$ 435,793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58,154</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38,955</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41%</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$ 668,240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$ 474,748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280" w:hanging="5612"/>
        <w:spacing w:after="0" w:line="571" w:lineRule="auto"/>
        <w:tabs>
          <w:tab w:leader="none" w:pos="45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May 1, 2010</w:t>
            </w: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right"/>
              <w:ind w:right="90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40" w:type="dxa"/>
            <w:vAlign w:val="bottom"/>
            <w:vMerge w:val="restart"/>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Revenue*</w:t>
            </w:r>
          </w:p>
        </w:tc>
        <w:tc>
          <w:tcPr>
            <w:tcW w:w="7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595,780</w:t>
            </w: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$ 474,064</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319,152</w:t>
            </w: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25%</w:t>
            </w: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255,236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85,326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Arial" w:cs="Arial" w:eastAsia="Arial" w:hAnsi="Arial"/>
                <w:sz w:val="18"/>
                <w:szCs w:val="18"/>
                <w:color w:val="auto"/>
              </w:rPr>
              <w:t>32%</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1,074,865</w:t>
            </w:r>
          </w:p>
        </w:tc>
        <w:tc>
          <w:tcPr>
            <w:tcW w:w="1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814,626</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54,302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1,160,542</w:t>
            </w:r>
          </w:p>
        </w:tc>
        <w:tc>
          <w:tcPr>
            <w:tcW w:w="1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91%</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$ 868,928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82,389</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1,271,223</w:t>
            </w:r>
          </w:p>
        </w:tc>
        <w:tc>
          <w:tcPr>
            <w:tcW w:w="1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$ 951,317</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by geographic region, based upon customer location, for the three- and six-month periods ended May 1, 2010 and May 2, 2009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Region</w:t>
            </w:r>
          </w:p>
        </w:tc>
        <w:tc>
          <w:tcPr>
            <w:tcW w:w="560" w:type="dxa"/>
            <w:vAlign w:val="bottom"/>
            <w:vMerge w:val="restart"/>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2"/>
              </w:rPr>
              <w:t>May 1, 2010</w:t>
            </w: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May 2, 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7"/>
              </w:rPr>
              <w:t>May 1,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$ 128,360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97,055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245,323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$ 204,387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Rest of North and South America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37,984</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20,456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67,863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175,930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120,855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317,996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Japan</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105,871</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71,535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216,221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109,001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215,523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Rest of Asia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111,094</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65,502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208,297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$ 668,240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474,748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7"/>
              </w:rPr>
              <w:t>1,271,223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$ 951,317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the three- and six-month periods ended May 1, 2010, the predominant countries comprising “Rest of North and South America” are Canada and Mexico; the predominant countries comprising “Europe” are Germany, Sweden, France and the United Kingdom; and the predominant countries comprising “Rest of Asia” are Taiwan and Korea.</w:t>
      </w:r>
    </w:p>
    <w:p>
      <w:pPr>
        <w:spacing w:after="0" w:line="7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 the three- and six-month periods ended May 2, 2009 the predominant countries comprising “Rest of North and South America” are Canada and Mexico; the predominant countries comprising “Europe” are Germany, Sweden, France and Italy; and the predominant countries comprising “Rest of Asia” are Taiwan and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62"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May 1, 2010, the Company held no assets or liabilities valued using Level 3 inputs.</w:t>
      </w:r>
    </w:p>
    <w:p>
      <w:pPr>
        <w:spacing w:after="0" w:line="62"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table below sets forth by level the Company’s financial assets and liabilities that were accounted for at fair value as of May 1, 2010. The table does not include cash on hand and also does not include assets and liabilities that are measured at historical cost or any basis other than fair value.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measurement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3"/>
              </w:rPr>
              <w:t>Portion of</w:t>
            </w: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6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2"/>
              </w:rPr>
              <w:t>Quoted Prices</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rPr>
              <w:t>Carrying</w:t>
            </w:r>
          </w:p>
        </w:tc>
        <w:tc>
          <w:tcPr>
            <w:tcW w:w="16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5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00" w:type="dxa"/>
            <w:vAlign w:val="bottom"/>
          </w:tcPr>
          <w:p>
            <w:pPr>
              <w:spacing w:after="0"/>
              <w:rPr>
                <w:sz w:val="12"/>
                <w:szCs w:val="12"/>
                <w:color w:val="auto"/>
              </w:rPr>
            </w:pP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4"/>
                <w:szCs w:val="14"/>
                <w:color w:val="auto"/>
              </w:rPr>
            </w:pPr>
          </w:p>
        </w:tc>
        <w:tc>
          <w:tcPr>
            <w:tcW w:w="15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Institutional 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900,027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84,971</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Euro time deposits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1,378,367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Forward foreign currency exchange contracts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Deferred compensation investments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2,387,758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910,726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1,477,032</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Forward foreign currency exchange contracts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383,306</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383,306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387,325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Contracts in an asset position of $1.8 million have been netted against contracts in a liability position in the condensed consolidated balance sheet.</w:t>
      </w:r>
    </w:p>
    <w:p>
      <w:pPr>
        <w:spacing w:after="0" w:line="62" w:lineRule="exact"/>
        <w:rPr>
          <w:sz w:val="20"/>
          <w:szCs w:val="20"/>
          <w:color w:val="auto"/>
        </w:rPr>
      </w:pPr>
    </w:p>
    <w:p>
      <w:pPr>
        <w:ind w:right="1120" w:firstLine="222"/>
        <w:spacing w:after="0" w:line="342" w:lineRule="auto"/>
        <w:rPr>
          <w:sz w:val="20"/>
          <w:szCs w:val="20"/>
          <w:color w:val="auto"/>
        </w:rPr>
      </w:pPr>
      <w:r>
        <w:rPr>
          <w:rFonts w:ascii="Arial" w:cs="Arial" w:eastAsia="Arial" w:hAnsi="Arial"/>
          <w:sz w:val="16"/>
          <w:szCs w:val="16"/>
          <w:color w:val="auto"/>
        </w:rPr>
        <w:t>The amortized cost of the Company’s investments classified as available for sale as of May 1, 2010 and October 31, 2009 was $1,234.0 and $1,137.9 million, respectively. These investments represent corporate obligations which have maturities of less than one year.</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model based on current market rates.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Deferred compensation plan investments and other investments </w:t>
      </w:r>
      <w:r>
        <w:rPr>
          <w:rFonts w:ascii="Arial" w:cs="Arial" w:eastAsia="Arial" w:hAnsi="Arial"/>
          <w:sz w:val="18"/>
          <w:szCs w:val="18"/>
          <w:color w:val="auto"/>
        </w:rPr>
        <w:t>— The fair value of these investments is based on quoted market prices.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fair value of long-term debt is based on quotes received from third party banks.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 party banks. These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73"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to sell these agreements at the reporting date taking into consideration current interest rates as well as the creditworthiness of the counterparty for assets and the Company’s creditworthiness for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 As of May 1, 2010, the total notional amount of these undesignated hedges was $56.9 million. The fair value of these hedging instruments in the Company’s condensed consolidated balance sheet as of May 1, 2010 was $0.2 million.</w:t>
      </w:r>
    </w:p>
    <w:p>
      <w:pPr>
        <w:spacing w:after="0" w:line="70"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On June 30, 2009, the Company entered into interest rate swap transactions related to its outstanding 5%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 LIBOR plus 2.05% (2.34% as of May 1, 2010)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fair value of the swaps at inception were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fixed-rate borrowings) attributable to the hedged benchmark interest rate risk and the offsetting gain or loss on the related interest rate swaps as of May 1, 2010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 Classification</w:t>
            </w:r>
          </w:p>
        </w:tc>
        <w:tc>
          <w:tcPr>
            <w:tcW w:w="52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4"/>
                <w:szCs w:val="14"/>
                <w:b w:val="1"/>
                <w:bCs w:val="1"/>
                <w:color w:val="auto"/>
              </w:rPr>
              <w:t>Gain/(Loss) on</w:t>
            </w:r>
          </w:p>
        </w:tc>
        <w:tc>
          <w:tcPr>
            <w:tcW w:w="5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5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Swaps</w:t>
            </w:r>
          </w:p>
        </w:tc>
        <w:tc>
          <w:tcPr>
            <w:tcW w:w="5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on Note</w:t>
            </w:r>
          </w:p>
        </w:tc>
        <w:tc>
          <w:tcPr>
            <w:tcW w:w="520" w:type="dxa"/>
            <w:vAlign w:val="bottom"/>
          </w:tcPr>
          <w:p>
            <w:pPr>
              <w:spacing w:after="0"/>
              <w:rPr>
                <w:sz w:val="14"/>
                <w:szCs w:val="1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24"/>
        </w:trPr>
        <w:tc>
          <w:tcPr>
            <w:tcW w:w="668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9"/>
                <w:szCs w:val="19"/>
                <w:color w:val="auto"/>
              </w:rPr>
            </w:pPr>
          </w:p>
        </w:tc>
        <w:tc>
          <w:tcPr>
            <w:tcW w:w="1180" w:type="dxa"/>
            <w:vAlign w:val="bottom"/>
          </w:tcPr>
          <w:p>
            <w:pPr>
              <w:jc w:val="right"/>
              <w:ind w:right="322"/>
              <w:spacing w:after="0"/>
              <w:rPr>
                <w:sz w:val="20"/>
                <w:szCs w:val="20"/>
                <w:color w:val="auto"/>
              </w:rPr>
            </w:pPr>
            <w:r>
              <w:rPr>
                <w:rFonts w:ascii="Arial" w:cs="Arial" w:eastAsia="Arial" w:hAnsi="Arial"/>
                <w:sz w:val="18"/>
                <w:szCs w:val="18"/>
                <w:color w:val="auto"/>
              </w:rPr>
              <w:t>$9,630</w:t>
            </w:r>
          </w:p>
        </w:tc>
        <w:tc>
          <w:tcPr>
            <w:tcW w:w="5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$(9,630)</w:t>
            </w:r>
          </w:p>
        </w:tc>
        <w:tc>
          <w:tcPr>
            <w:tcW w:w="520" w:type="dxa"/>
            <w:vAlign w:val="bottom"/>
          </w:tcPr>
          <w:p>
            <w:pPr>
              <w:spacing w:after="0"/>
              <w:rPr>
                <w:sz w:val="19"/>
                <w:szCs w:val="19"/>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58"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80" w:lineRule="exact"/>
        <w:rPr>
          <w:sz w:val="20"/>
          <w:szCs w:val="20"/>
          <w:color w:val="auto"/>
        </w:rPr>
      </w:pPr>
    </w:p>
    <w:p>
      <w:pPr>
        <w:jc w:val="both"/>
        <w:ind w:right="140" w:firstLine="222"/>
        <w:spacing w:after="0" w:line="286" w:lineRule="auto"/>
        <w:rPr>
          <w:sz w:val="20"/>
          <w:szCs w:val="20"/>
          <w:color w:val="auto"/>
        </w:rPr>
      </w:pPr>
      <w:r>
        <w:rPr>
          <w:rFonts w:ascii="Arial" w:cs="Arial" w:eastAsia="Arial" w:hAnsi="Arial"/>
          <w:sz w:val="17"/>
          <w:szCs w:val="17"/>
          <w:color w:val="auto"/>
        </w:rPr>
        <w:t>The total notional amount of derivative instruments designated as hedging instruments as of May 1, 2010 is as follows: $375 million of interest rate swap agreements accounted for as fair value hedges, and $133.7 million of cash flow hedges denominated in Euros, British Pounds and Philippine Pesos. The fair value of these hedging instruments in the Company’s condensed consolidated balance sheet as of May 1, 2010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4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33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Other Assets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9,630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33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Prepaid expenses and other current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46</w:t>
            </w:r>
          </w:p>
        </w:tc>
      </w:tr>
      <w:tr>
        <w:trPr>
          <w:trHeight w:val="216"/>
        </w:trPr>
        <w:tc>
          <w:tcPr>
            <w:tcW w:w="69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4"/>
              </w:rPr>
              <w:t>Accrued liabilities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4,180</w:t>
            </w: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effect of derivative instruments designated as cash flow hedges on the condensed consolidated statement of income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 2010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540" w:type="dxa"/>
            <w:vAlign w:val="bottom"/>
          </w:tcPr>
          <w:p>
            <w:pPr>
              <w:spacing w:after="0"/>
              <w:rPr>
                <w:sz w:val="14"/>
                <w:szCs w:val="14"/>
                <w:color w:val="auto"/>
              </w:rPr>
            </w:pPr>
          </w:p>
        </w:tc>
        <w:tc>
          <w:tcPr>
            <w:tcW w:w="124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620" w:type="dxa"/>
            <w:vAlign w:val="bottom"/>
            <w:vMerge w:val="restart"/>
          </w:tcPr>
          <w:p>
            <w:pPr>
              <w:spacing w:after="0"/>
              <w:rPr>
                <w:sz w:val="20"/>
                <w:szCs w:val="20"/>
                <w:color w:val="auto"/>
              </w:rPr>
            </w:pPr>
            <w:r>
              <w:rPr>
                <w:rFonts w:ascii="Arial" w:cs="Arial" w:eastAsia="Arial" w:hAnsi="Arial"/>
                <w:sz w:val="18"/>
                <w:szCs w:val="18"/>
                <w:color w:val="auto"/>
              </w:rPr>
              <w:t>Loss recognized in OCI on derivative, net of tax of $156 and $1,573, respectively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May 1, 2010</w:t>
            </w:r>
          </w:p>
        </w:tc>
        <w:tc>
          <w:tcPr>
            <w:tcW w:w="540" w:type="dxa"/>
            <w:vAlign w:val="bottom"/>
          </w:tcPr>
          <w:p>
            <w:pPr>
              <w:spacing w:after="0"/>
              <w:rPr>
                <w:sz w:val="14"/>
                <w:szCs w:val="14"/>
                <w:color w:val="auto"/>
              </w:rPr>
            </w:pPr>
          </w:p>
        </w:tc>
        <w:tc>
          <w:tcPr>
            <w:tcW w:w="12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8620" w:type="dxa"/>
            <w:vAlign w:val="bottom"/>
            <w:vMerge w:val="continue"/>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2"/>
              </w:rPr>
              <w:t>$(888)</w:t>
            </w:r>
          </w:p>
        </w:tc>
        <w:tc>
          <w:tcPr>
            <w:tcW w:w="540" w:type="dxa"/>
            <w:vAlign w:val="bottom"/>
          </w:tcPr>
          <w:p>
            <w:pPr>
              <w:spacing w:after="0"/>
              <w:rPr>
                <w:sz w:val="16"/>
                <w:szCs w:val="16"/>
                <w:color w:val="auto"/>
              </w:rPr>
            </w:pPr>
          </w:p>
        </w:tc>
        <w:tc>
          <w:tcPr>
            <w:tcW w:w="340" w:type="dxa"/>
            <w:vAlign w:val="bottom"/>
          </w:tcPr>
          <w:p>
            <w:pPr>
              <w:ind w:left="24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96"/>
              <w:spacing w:after="0" w:line="195" w:lineRule="exact"/>
              <w:rPr>
                <w:sz w:val="20"/>
                <w:szCs w:val="20"/>
                <w:color w:val="auto"/>
              </w:rPr>
            </w:pPr>
            <w:r>
              <w:rPr>
                <w:rFonts w:ascii="Arial" w:cs="Arial" w:eastAsia="Arial" w:hAnsi="Arial"/>
                <w:sz w:val="18"/>
                <w:szCs w:val="18"/>
                <w:color w:val="auto"/>
                <w:w w:val="89"/>
              </w:rPr>
              <w:t>(10,290)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(Loss) gain reclassified from OCI into income, net of tax of $153 and $208, respectively</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$(873)</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6"/>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amounts reclassified into earnings before tax are recognized in cost of sales and operating expenses as follows: for the three-month period ended May 1, 2010, $0.1 million in cost of sales, $0.5 million in research and development and $0.4 million in selling, marketing, general and administrative; and for the six-month period ended May 1, 2010, $1.3 million in cost of sales, $0.2 million in research and development and $0.2 million in selling, marketing, general and administrative. All derivative gains included in OCI will be reclassified into earnings within the next 12 months. Ineffectiveness was immaterial for the three and six months ended May 1,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in the fourth quarter or more frequently if indicators of impairment exist. The performance of the test involves a two-step process. The first step of the impairment test involves comparing the fair values of the applicable reporting units with their aggregate carrying values, including goodwill. The Company generally determines the fair value of its reporting units using the income approach methodology of valuation that includes the discounted cash flow method as well as other generally accepted valuation methodologies. If the carrying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from the Company’s most recent impairment evaluation of goodwill, which occurred in the fourth quarter of fiscal 2009. No impairment of goodwill resulted in any of the fiscal years presented. The Company’s next annual impairment assessment will be made in the fourth quarter of fiscal 2010 unless indicators arise that would require the Company to reevaluate at an earlier date. The following table presents the changes in goodwill during the first six months of fiscal 2010: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20" w:type="dxa"/>
            <w:vAlign w:val="bottom"/>
          </w:tcPr>
          <w:p>
            <w:pPr>
              <w:spacing w:after="0"/>
              <w:rPr>
                <w:sz w:val="12"/>
                <w:szCs w:val="12"/>
                <w:color w:val="auto"/>
              </w:rPr>
            </w:pPr>
          </w:p>
        </w:tc>
        <w:tc>
          <w:tcPr>
            <w:tcW w:w="105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May 1, 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$ 250,881</w:t>
            </w:r>
          </w:p>
        </w:tc>
      </w:tr>
      <w:tr>
        <w:trPr>
          <w:trHeight w:val="223"/>
        </w:trPr>
        <w:tc>
          <w:tcPr>
            <w:tcW w:w="20" w:type="dxa"/>
            <w:vAlign w:val="bottom"/>
          </w:tcPr>
          <w:p>
            <w:pPr>
              <w:spacing w:after="0"/>
              <w:rPr>
                <w:sz w:val="19"/>
                <w:szCs w:val="19"/>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$ 255,538</w:t>
            </w:r>
          </w:p>
        </w:tc>
      </w:tr>
      <w:tr>
        <w:trPr>
          <w:trHeight w:val="20"/>
        </w:trPr>
        <w:tc>
          <w:tcPr>
            <w:tcW w:w="2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May 1, 2010</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2"/>
              </w:rPr>
              <w:t>October 31, 2009</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85"/>
              </w:rPr>
              <w:t>Gross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Carrying</w:t>
            </w:r>
          </w:p>
        </w:tc>
        <w:tc>
          <w:tcPr>
            <w:tcW w:w="6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39,958</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39,924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34,213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6,603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6,582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6,582</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53,035</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53,165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46,310</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0.7 years.</w:t>
      </w:r>
    </w:p>
    <w:p>
      <w:pPr>
        <w:spacing w:after="0" w:line="73"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Amortization expense was $1.8 million and $1.5 million for the three-month periods ended May 1, 2010 and May 2, 2009, respectively and $3.6 million and $3.5 million for the six-month periods ended May 1, 2010 and May 2, 2009.</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color w:val="auto"/>
              </w:rPr>
              <w:t>Fiscal</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color w:val="auto"/>
              </w:rPr>
              <w:t>Amortization</w:t>
            </w:r>
          </w:p>
        </w:tc>
      </w:tr>
      <w:tr>
        <w:trPr>
          <w:trHeight w:val="167"/>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62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Expense</w:t>
            </w:r>
          </w:p>
        </w:tc>
      </w:tr>
      <w:tr>
        <w:trPr>
          <w:trHeight w:val="195"/>
        </w:trPr>
        <w:tc>
          <w:tcPr>
            <w:tcW w:w="3520" w:type="dxa"/>
            <w:vAlign w:val="bottom"/>
          </w:tcPr>
          <w:p>
            <w:pPr>
              <w:spacing w:after="0" w:line="195" w:lineRule="exact"/>
              <w:rPr>
                <w:sz w:val="20"/>
                <w:szCs w:val="20"/>
                <w:color w:val="auto"/>
              </w:rPr>
            </w:pPr>
            <w:r>
              <w:rPr>
                <w:rFonts w:ascii="Arial" w:cs="Arial" w:eastAsia="Arial" w:hAnsi="Arial"/>
                <w:sz w:val="18"/>
                <w:szCs w:val="18"/>
                <w:color w:val="auto"/>
              </w:rPr>
              <w:t>Remainder of 2010</w:t>
            </w:r>
          </w:p>
        </w:tc>
        <w:tc>
          <w:tcPr>
            <w:tcW w:w="6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$1,285</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2011</w:t>
            </w:r>
          </w:p>
        </w:tc>
        <w:tc>
          <w:tcPr>
            <w:tcW w:w="7900" w:type="dxa"/>
            <w:vAlign w:val="bottom"/>
            <w:gridSpan w:val="3"/>
          </w:tcPr>
          <w:p>
            <w:pPr>
              <w:jc w:val="right"/>
              <w:ind w:right="262"/>
              <w:spacing w:after="0"/>
              <w:rPr>
                <w:sz w:val="20"/>
                <w:szCs w:val="20"/>
                <w:color w:val="auto"/>
              </w:rPr>
            </w:pPr>
            <w:r>
              <w:rPr>
                <w:rFonts w:ascii="Arial" w:cs="Arial" w:eastAsia="Arial" w:hAnsi="Arial"/>
                <w:sz w:val="18"/>
                <w:szCs w:val="18"/>
                <w:color w:val="auto"/>
              </w:rPr>
              <w:t>$1,295</w:t>
            </w:r>
          </w:p>
        </w:tc>
      </w:tr>
      <w:tr>
        <w:trPr>
          <w:trHeight w:val="405"/>
        </w:trPr>
        <w:tc>
          <w:tcPr>
            <w:tcW w:w="3520" w:type="dxa"/>
            <w:vAlign w:val="bottom"/>
          </w:tcPr>
          <w:p>
            <w:pPr>
              <w:spacing w:after="0"/>
              <w:rPr>
                <w:sz w:val="24"/>
                <w:szCs w:val="24"/>
                <w:color w:val="auto"/>
              </w:rPr>
            </w:pPr>
          </w:p>
        </w:tc>
        <w:tc>
          <w:tcPr>
            <w:tcW w:w="6260" w:type="dxa"/>
            <w:vAlign w:val="bottom"/>
          </w:tcPr>
          <w:p>
            <w:pPr>
              <w:jc w:val="right"/>
              <w:ind w:right="389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121" w:lineRule="exact"/>
        <w:rPr>
          <w:sz w:val="20"/>
          <w:szCs w:val="20"/>
          <w:color w:val="auto"/>
        </w:rPr>
      </w:pPr>
    </w:p>
    <w:p>
      <w:pPr>
        <w:ind w:right="440" w:firstLine="222"/>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color w:val="auto"/>
                <w:w w:val="93"/>
              </w:rPr>
              <w:t>Three Months Ended</w:t>
            </w:r>
          </w:p>
        </w:tc>
      </w:tr>
      <w:tr>
        <w:trPr>
          <w:trHeight w:val="142"/>
        </w:trPr>
        <w:tc>
          <w:tcPr>
            <w:tcW w:w="58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1, 2010</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1,478</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2,401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(2,556)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net gain</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7"/>
        </w:trPr>
        <w:tc>
          <w:tcPr>
            <w:tcW w:w="5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1,075</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12"/>
              <w:spacing w:after="0"/>
              <w:rPr>
                <w:sz w:val="20"/>
                <w:szCs w:val="20"/>
                <w:color w:val="auto"/>
              </w:rPr>
            </w:pPr>
            <w:r>
              <w:rPr>
                <w:rFonts w:ascii="Arial" w:cs="Arial" w:eastAsia="Arial" w:hAnsi="Arial"/>
                <w:sz w:val="14"/>
                <w:szCs w:val="14"/>
                <w:color w:val="auto"/>
                <w:w w:val="95"/>
              </w:rPr>
              <w:t>Six Months Ended</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color w:val="auto"/>
              </w:rPr>
              <w:t>May 1, 2010</w:t>
            </w:r>
          </w:p>
        </w:tc>
        <w:tc>
          <w:tcPr>
            <w:tcW w:w="1040" w:type="dxa"/>
            <w:vAlign w:val="bottom"/>
            <w:gridSpan w:val="3"/>
          </w:tcPr>
          <w:p>
            <w:pPr>
              <w:ind w:left="300"/>
              <w:spacing w:after="0" w:line="142" w:lineRule="exact"/>
              <w:rPr>
                <w:sz w:val="20"/>
                <w:szCs w:val="20"/>
                <w:color w:val="auto"/>
              </w:rPr>
            </w:pPr>
            <w:r>
              <w:rPr>
                <w:rFonts w:ascii="Arial" w:cs="Arial" w:eastAsia="Arial" w:hAnsi="Arial"/>
                <w:sz w:val="14"/>
                <w:szCs w:val="14"/>
                <w:color w:val="auto"/>
                <w:w w:val="93"/>
              </w:rPr>
              <w:t>May 2, 2009</w:t>
            </w:r>
          </w:p>
        </w:tc>
        <w:tc>
          <w:tcPr>
            <w:tcW w:w="10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2,985</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4,865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4,578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(5,139)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net gain</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r>
        <w:trPr>
          <w:trHeight w:val="27"/>
        </w:trPr>
        <w:tc>
          <w:tcPr>
            <w:tcW w:w="5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Pension contributions of $2.1 million and $25.3 million were made by the Company during the three and six months ended May 1, 2010. The Company presently anticipates contributing an additional $3.4 million to fund its defined benefit pension plans in fiscal year 2010 for a total of $28.7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21"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As of May 1, 2010, the Company had $2,386.7 million of cash and cash equivalents and short term investments, of which $728.2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As of May 1, 2010, the Company is compliant with these covenants. The terms of the facility also impose restrictions on the Company’s ability to undertake certain transactions, to create certain liens on assets and to incur certain subsidiary indebtedness.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June 30, 2009, the Company issued $375 million aggregate principal amount of 5.0% senior unsecured notes due July 1, 2014 (the Notes) with semi-annual fixed interest payments on January 1 and July 1 of each year, commencing January 1, 2010. The sale of the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Notes. The indenture governing the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w:t>
      </w:r>
    </w:p>
    <w:p>
      <w:pPr>
        <w:spacing w:after="0" w:line="59"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 LIBOR plus 2.05% (2.34% as of May 1, 2010)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121"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May 1, 2010, the Company had repurchased a total of approximately 114.7 million shares of its common stock for approximately $3,908.4 million under this program. An additional $91.6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or restricted stock units, or in certain limited circumstances to satisfy the exercise price of options granted to the Company’s employees under the Company’s equity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121"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consisted of core voltage regulator products for the central processing unit in computing and gaming applications and temperature sensors and fan-speed controllers for managing the temperature of the central processing unit. In connection with the purchase and sale agreement, $7.5 million was placed into escrow and was excluded from the gain calculations.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(i) the sale of a business and (ii) the obligation to manufacture product for a one-year period. As a result,</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In the first quarter of fiscal 2010, additional proceeds of $1 million were released from escrow and, $0.6 million net of tax, was recorded as additional gain from the sale of discontinued operations. The Company does not expect any additional proceeds from this sale.</w:t>
      </w:r>
    </w:p>
    <w:p>
      <w:pPr>
        <w:spacing w:after="0" w:line="53"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 September 2007, the Company entered into a definitive agreement to sell its Baseband Chipset Business to MediaTek Inc. The decision to sell the Baseband Chipset Business was due to the Company’s decision to focus its resources in areas where its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signal processing expertise can provide unique capabilities and earn superior returns. The cash proceeds received were net of a refundable withholding tax of $62 million. In connection with the purchase and sale agreement, $10 million was placed into escrow and was excluded from the gain calculations. The Company made additional cash payments of $1.7 million during fiscal 2009 related to retention payments for employees who transferred to MediaTek Inc. and for the reimbursement of intellectual property license fees incurred by MediaTek Inc. In the first quarter of fiscal 2010, the Company received cash proceeds of $62 million as a result of the refund of the withholding tax and also recorded an additional gain on sale of $0.3 million, or $0.2 million net of tax, due to the settlement of certain items at less than the amounts accrued. The Company may receive additional proceeds of up to $10 million, currently held in escrow, upon the resolution of certain contingent items, which would be recorded as additional gain from the sale of discontinued operations.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amounts related to the CPU voltage regulation and PC thermal monitoring and baseband chipset businesses have been segregated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continuing operations and reported as discontinued operations. These amounts also include the revenue and costs of sales provided under a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supply agreement between the Company and a subsidiary of ON Semiconductor Corporation, which terminated during the first quarter of fiscal year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May 1, 2010</w:t>
            </w:r>
          </w:p>
        </w:tc>
        <w:tc>
          <w:tcPr>
            <w:tcW w:w="66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2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 (loss) before income taxes</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8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vMerge w:val="restart"/>
          </w:tcPr>
          <w:p>
            <w:pPr>
              <w:spacing w:after="0"/>
              <w:rPr>
                <w:sz w:val="20"/>
                <w:szCs w:val="20"/>
                <w:color w:val="auto"/>
              </w:rPr>
            </w:pPr>
            <w:r>
              <w:rPr>
                <w:rFonts w:ascii="Arial" w:cs="Arial" w:eastAsia="Arial" w:hAnsi="Arial"/>
                <w:sz w:val="18"/>
                <w:szCs w:val="18"/>
                <w:color w:val="auto"/>
              </w:rPr>
              <w:t>Refundable foreign withholding tax</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May 1, 2010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4"/>
              </w:rPr>
              <w:t>October 31, 2009</w:t>
            </w:r>
          </w:p>
        </w:tc>
        <w:tc>
          <w:tcPr>
            <w:tcW w:w="0" w:type="dxa"/>
            <w:vAlign w:val="bottom"/>
          </w:tcPr>
          <w:p>
            <w:pPr>
              <w:spacing w:after="0"/>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2004 and 2005 IRS Examination</w:t>
      </w:r>
    </w:p>
    <w:p>
      <w:pPr>
        <w:spacing w:after="0" w:line="117"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 year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earned from manufacturing activities carried on outside the United States. These latter two matters could impact taxes payable for fiscal 2004 and 2005 as well as for subsequent years.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2006 and 2007 IRS Examination</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During the third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During the third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With the exception of the proposed adjustment related to the deductibility of certain stock option expenses, the other three matters could impact taxes payable for fiscal 2006 and 2007 as well as for subsequent years.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2008 and 2009 IRS Examination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IRS has not started their examination of fiscal year 2008 or fiscal year 2009.</w:t>
      </w:r>
    </w:p>
    <w:p>
      <w:pPr>
        <w:spacing w:after="0" w:line="117"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New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 xml:space="preserve">In February 2010, FASB issued ASU No. 2010-09, </w:t>
      </w:r>
      <w:r>
        <w:rPr>
          <w:rFonts w:ascii="Arial" w:cs="Arial" w:eastAsia="Arial" w:hAnsi="Arial"/>
          <w:sz w:val="17"/>
          <w:szCs w:val="17"/>
          <w:i w:val="1"/>
          <w:iCs w:val="1"/>
          <w:color w:val="auto"/>
        </w:rPr>
        <w:t>Amendments to Certain Recognition and Disclosure Requirements (ASC Topic 855) – Subsequent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Events. </w:t>
      </w:r>
      <w:r>
        <w:rPr>
          <w:rFonts w:ascii="Arial" w:cs="Arial" w:eastAsia="Arial" w:hAnsi="Arial"/>
          <w:sz w:val="17"/>
          <w:szCs w:val="17"/>
          <w:color w:val="auto"/>
        </w:rPr>
        <w:t>The ASU amends the subsequent events disclosure guidance. The amendments include a definition of an SEC filer, require an SEC filer to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events through the date the financial statements are issued, and remove the requirement for an SEC filer to disclose the date through which subsequent events have been evaluated. ASU 2010-09 was effective upon issuance. The adoption of this guidance required additional disclosures but did not have a material impact on the Company’s consolidated results of operations and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In January 2010, FASB issued ASU No. 2010-06, </w:t>
      </w:r>
      <w:r>
        <w:rPr>
          <w:rFonts w:ascii="Arial" w:cs="Arial" w:eastAsia="Arial" w:hAnsi="Arial"/>
          <w:sz w:val="17"/>
          <w:szCs w:val="17"/>
          <w:i w:val="1"/>
          <w:iCs w:val="1"/>
          <w:color w:val="auto"/>
        </w:rPr>
        <w:t>Fair Value Measurements and Disclosures (ASC Topic 820) — Improving Disclosures About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The ASU requires new disclosures about transfers into and out of Levels 1 and 2 and separate disclosures about purchases, sales, issuances,</w:t>
      </w:r>
      <w:r>
        <w:rPr>
          <w:rFonts w:ascii="Arial" w:cs="Arial" w:eastAsia="Arial" w:hAnsi="Arial"/>
          <w:sz w:val="17"/>
          <w:szCs w:val="17"/>
          <w:i w:val="1"/>
          <w:iCs w:val="1"/>
          <w:color w:val="auto"/>
        </w:rPr>
        <w:t xml:space="preserve"> </w:t>
      </w:r>
      <w:r>
        <w:rPr>
          <w:rFonts w:ascii="Arial" w:cs="Arial" w:eastAsia="Arial" w:hAnsi="Arial"/>
          <w:sz w:val="17"/>
          <w:szCs w:val="17"/>
          <w:color w:val="auto"/>
        </w:rPr>
        <w:t>and settlements relating to Level 3 measurements. It also clarifies existing fair value disclosures about the level of disaggregation and about inputs and valuation techniques used to measure fair value. The new disclosures and clarifications of existing disclosures were effective for the Company’s first quarter of fiscal year 2010, except for the disclosures about purchases, sales, issuances, and settlements relating to Level 3 measurements, which are effective for the Company’s first quarter of fiscal year 2012. The adoption of this new guidance required additional disclosures but did not have a material impact on the Company’s consolidated results of operations and financial position.</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Arrangements That Include Software Elements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In October 2009, the FASB issued ASU No. 2009-14 — </w:t>
      </w:r>
      <w:r>
        <w:rPr>
          <w:rFonts w:ascii="Arial" w:cs="Arial" w:eastAsia="Arial" w:hAnsi="Arial"/>
          <w:sz w:val="18"/>
          <w:szCs w:val="18"/>
          <w:i w:val="1"/>
          <w:iCs w:val="1"/>
          <w:color w:val="auto"/>
        </w:rPr>
        <w:t>Software (Topic 985): Certain Revenue Arrangements That Include Software Elements</w:t>
      </w:r>
      <w:r>
        <w:rPr>
          <w:rFonts w:ascii="Arial" w:cs="Arial" w:eastAsia="Arial" w:hAnsi="Arial"/>
          <w:sz w:val="18"/>
          <w:szCs w:val="18"/>
          <w:color w:val="auto"/>
        </w:rPr>
        <w:t xml:space="preserve"> (formerly EITF Issue No. 09-3). This standard removes tangible products from the scope of software revenue recognition guidance and also provides guidance on determining whether software deliverables in an arrangement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the Company’s fiscal year 2011. The Company is currently evaluating the impact, if any, that ASU No. 2009-14 may have on the Company’s financial condition and results of operations.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In October 2009, the FASB issued ASU No. 2009-13 —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the Company’s fiscal year 2011. The Company is currently evaluating the impact, if any, that ASU No. 2009-13 may have on the Company’s financial condition and results of operations.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December 2009, the FASB issued ASU No. 2009-17 — Consolidations (Topic 810): </w:t>
      </w:r>
      <w:r>
        <w:rPr>
          <w:rFonts w:ascii="Arial" w:cs="Arial" w:eastAsia="Arial" w:hAnsi="Arial"/>
          <w:sz w:val="17"/>
          <w:szCs w:val="17"/>
          <w:i w:val="1"/>
          <w:iCs w:val="1"/>
          <w:color w:val="auto"/>
        </w:rPr>
        <w:t>Improvements to Financial Reporting by Enterprises Involved with</w:t>
      </w:r>
      <w:r>
        <w:rPr>
          <w:rFonts w:ascii="Arial" w:cs="Arial" w:eastAsia="Arial" w:hAnsi="Arial"/>
          <w:sz w:val="17"/>
          <w:szCs w:val="17"/>
          <w:color w:val="auto"/>
        </w:rPr>
        <w:t xml:space="preserve"> </w:t>
      </w:r>
      <w:r>
        <w:rPr>
          <w:rFonts w:ascii="Arial" w:cs="Arial" w:eastAsia="Arial" w:hAnsi="Arial"/>
          <w:sz w:val="17"/>
          <w:szCs w:val="17"/>
          <w:i w:val="1"/>
          <w:iCs w:val="1"/>
          <w:color w:val="auto"/>
        </w:rPr>
        <w:t>Variable Interest Entities</w:t>
      </w:r>
      <w:r>
        <w:rPr>
          <w:rFonts w:ascii="Arial" w:cs="Arial" w:eastAsia="Arial" w:hAnsi="Arial"/>
          <w:sz w:val="17"/>
          <w:szCs w:val="17"/>
          <w:color w:val="auto"/>
        </w:rPr>
        <w:t>, which amends ASC 810,</w:t>
      </w:r>
      <w:r>
        <w:rPr>
          <w:rFonts w:ascii="Arial" w:cs="Arial" w:eastAsia="Arial" w:hAnsi="Arial"/>
          <w:sz w:val="17"/>
          <w:szCs w:val="17"/>
          <w:i w:val="1"/>
          <w:iCs w:val="1"/>
          <w:color w:val="auto"/>
        </w:rPr>
        <w:t xml:space="preserve"> Consolidation</w:t>
      </w:r>
      <w:r>
        <w:rPr>
          <w:rFonts w:ascii="Arial" w:cs="Arial" w:eastAsia="Arial" w:hAnsi="Arial"/>
          <w:sz w:val="17"/>
          <w:szCs w:val="17"/>
          <w:color w:val="auto"/>
        </w:rPr>
        <w:t>. This standard requires an enterprise to perform an analysis to determine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that begin after November 15, 2009, which is the Company’s fiscal year 2011. The Company is currently evaluating the impact, if any, that ASU No. 2009-17 may have on the Company’s financial condition and results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 xml:space="preserve">In June 2009, the FASB issued ASU No. 2009-16, </w:t>
      </w:r>
      <w:r>
        <w:rPr>
          <w:rFonts w:ascii="Arial" w:cs="Arial" w:eastAsia="Arial" w:hAnsi="Arial"/>
          <w:sz w:val="18"/>
          <w:szCs w:val="18"/>
          <w:i w:val="1"/>
          <w:iCs w:val="1"/>
          <w:color w:val="auto"/>
        </w:rPr>
        <w:t>Accounting for Transfers of Financial Asset, (Topic 820).</w:t>
      </w:r>
      <w:r>
        <w:rPr>
          <w:rFonts w:ascii="Arial" w:cs="Arial" w:eastAsia="Arial" w:hAnsi="Arial"/>
          <w:sz w:val="18"/>
          <w:szCs w:val="18"/>
          <w:color w:val="auto"/>
        </w:rPr>
        <w:t xml:space="preserve"> This standard changes the way entities account for securitizations and other transfers of financial instruments. ASU No. 2009-16 is effective for fiscal years that begin after November 15, 2009, which is the Company’s fiscal year 2011. The Company is currently evaluating the impact, if any, that ASU No. 2009-16 may have on the Company’s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May 17, 2010, the Company’s Board of Directors declared a cash dividend of $0.22 per outstanding share of common stock. The dividend will be paid on June 16, 2010 to all shareholders of record at the close of business on May 28, 2010.</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31, 2009.</w:t>
      </w:r>
    </w:p>
    <w:p>
      <w:pPr>
        <w:spacing w:after="0" w:line="57" w:lineRule="exact"/>
        <w:rPr>
          <w:sz w:val="20"/>
          <w:szCs w:val="20"/>
          <w:color w:val="auto"/>
        </w:rPr>
      </w:pPr>
    </w:p>
    <w:p>
      <w:pPr>
        <w:ind w:right="40" w:firstLine="222"/>
        <w:spacing w:after="0" w:line="285" w:lineRule="auto"/>
        <w:rPr>
          <w:sz w:val="20"/>
          <w:szCs w:val="20"/>
          <w:color w:val="auto"/>
        </w:rPr>
      </w:pPr>
      <w:r>
        <w:rPr>
          <w:rFonts w:ascii="Arial" w:cs="Arial" w:eastAsia="Arial" w:hAnsi="Arial"/>
          <w:sz w:val="16"/>
          <w:szCs w:val="16"/>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recent global credit and financial market crisis; our anticipated growth and trends in our businesses, our future capital needs and capital expenditures; our future market position and expected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the future actions of our third-party suppliers; the expected outcomes of intellectual property and litigation matters; potential acquisitions or divestitures; the expected activities of our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7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and liabilities related to these businesses are reflected as assets and liabilities of discontinued operations in the consolidated balance sheet as of October 31, 2009. Unless otherwise noted, this Management’s Discussion and Analysis relates only to financial results from continuing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Borders>
              <w:bottom w:val="single" w:sz="8" w:color="auto"/>
            </w:tcBorders>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1, 2010</w:t>
            </w:r>
          </w:p>
        </w:tc>
        <w:tc>
          <w:tcPr>
            <w:tcW w:w="46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93"/>
              <w:spacing w:after="0" w:line="142" w:lineRule="exact"/>
              <w:rPr>
                <w:sz w:val="20"/>
                <w:szCs w:val="20"/>
                <w:color w:val="auto"/>
              </w:rPr>
            </w:pPr>
            <w:r>
              <w:rPr>
                <w:rFonts w:ascii="Arial" w:cs="Arial" w:eastAsia="Arial" w:hAnsi="Arial"/>
                <w:sz w:val="14"/>
                <w:szCs w:val="14"/>
                <w:b w:val="1"/>
                <w:bCs w:val="1"/>
                <w:color w:val="auto"/>
              </w:rPr>
              <w:t>May 1, 2010</w:t>
            </w:r>
          </w:p>
        </w:tc>
        <w:tc>
          <w:tcPr>
            <w:tcW w:w="46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2, 2009</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668,240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474,748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1,271,223</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6"/>
              </w:rPr>
              <w:t>951,317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65.0%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55.1%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63.2%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55.8%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167,140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51,754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286,740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76,339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3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22.6%</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0.55</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0.94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0.26</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Diluted EPS</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0.55</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0.18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0.94</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0.26</w:t>
            </w:r>
          </w:p>
        </w:tc>
      </w:tr>
      <w:tr>
        <w:trPr>
          <w:trHeight w:val="391"/>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492"/>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5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312" w:lineRule="auto"/>
        <w:rPr>
          <w:sz w:val="20"/>
          <w:szCs w:val="20"/>
          <w:color w:val="auto"/>
        </w:rPr>
      </w:pPr>
      <w:r>
        <w:rPr>
          <w:rFonts w:ascii="Arial" w:cs="Arial" w:eastAsia="Arial" w:hAnsi="Arial"/>
          <w:sz w:val="16"/>
          <w:szCs w:val="16"/>
          <w:color w:val="auto"/>
        </w:rPr>
        <w:t xml:space="preserve">The year-to-year increases in revenue for the three and six months ended May 1, 2010 were a result of a resurgence in economic activity from the low levels achieved during 2009 as a result of the general economic downturn following the global credit and financial crisis. The year-to-year revenue changes by end market and product category are more fully outlined below under </w:t>
      </w:r>
      <w:r>
        <w:rPr>
          <w:rFonts w:ascii="Arial" w:cs="Arial" w:eastAsia="Arial" w:hAnsi="Arial"/>
          <w:sz w:val="16"/>
          <w:szCs w:val="16"/>
          <w:i w:val="1"/>
          <w:iCs w:val="1"/>
          <w:color w:val="auto"/>
        </w:rPr>
        <w:t>Revenue Trends by End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Revenue Trends by Product Type</w:t>
      </w:r>
      <w:r>
        <w:rPr>
          <w:rFonts w:ascii="Arial" w:cs="Arial" w:eastAsia="Arial" w:hAnsi="Arial"/>
          <w:sz w:val="16"/>
          <w:szCs w:val="16"/>
          <w:color w:val="auto"/>
        </w:rPr>
        <w:t>.</w:t>
      </w:r>
    </w:p>
    <w:p>
      <w:pPr>
        <w:spacing w:after="0" w:line="3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the second quarter of fiscal 2010, our revenue increased 41% from the second quarter of fiscal 2009 and our diluted earnings per share from continuing operations increased from $0.18 to $0.55. Cash flow from operations in the first six months of fiscal 2010 was $492.1 million, or 39% of revenue. In addition, we received $169.2 million in net proceeds related to employee stock option exercises and distributed $118.4 million to our shareholders in dividend payments. These factors contributed to the net increase in cash, cash equivalents and short-term investments of $570.8 million in the first six months of fiscal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5"/>
              </w:rPr>
              <w:t>Three Months Ended</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5"/>
              </w:rPr>
              <w:t>May 1, 2010</w:t>
            </w: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gridSpan w:val="2"/>
            <w:vMerge w:val="restart"/>
          </w:tcPr>
          <w:p>
            <w:pPr>
              <w:spacing w:after="0"/>
              <w:rPr>
                <w:sz w:val="10"/>
                <w:szCs w:val="10"/>
                <w:color w:val="auto"/>
              </w:rPr>
            </w:pPr>
          </w:p>
        </w:tc>
        <w:tc>
          <w:tcPr>
            <w:tcW w:w="142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8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$ 316,203</w:t>
            </w:r>
          </w:p>
        </w:tc>
        <w:tc>
          <w:tcPr>
            <w:tcW w:w="640" w:type="dxa"/>
            <w:vAlign w:val="bottom"/>
            <w:shd w:val="clear" w:color="auto" w:fill="CCEEFF"/>
          </w:tcPr>
          <w:p>
            <w:pPr>
              <w:spacing w:after="0"/>
              <w:rPr>
                <w:sz w:val="18"/>
                <w:szCs w:val="18"/>
                <w:color w:val="auto"/>
              </w:rPr>
            </w:pPr>
          </w:p>
        </w:tc>
        <w:tc>
          <w:tcPr>
            <w:tcW w:w="142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$ 205,176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Automotive</w:t>
            </w:r>
          </w:p>
        </w:tc>
        <w:tc>
          <w:tcPr>
            <w:tcW w:w="1360" w:type="dxa"/>
            <w:vAlign w:val="bottom"/>
            <w:gridSpan w:val="4"/>
          </w:tcPr>
          <w:p>
            <w:pPr>
              <w:jc w:val="right"/>
              <w:ind w:right="660"/>
              <w:spacing w:after="0"/>
              <w:rPr>
                <w:sz w:val="20"/>
                <w:szCs w:val="20"/>
                <w:color w:val="auto"/>
              </w:rPr>
            </w:pPr>
            <w:r>
              <w:rPr>
                <w:rFonts w:ascii="Arial" w:cs="Arial" w:eastAsia="Arial" w:hAnsi="Arial"/>
                <w:sz w:val="18"/>
                <w:szCs w:val="18"/>
                <w:color w:val="auto"/>
              </w:rPr>
              <w:t>83,472</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105%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40,708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119,518</w:t>
            </w:r>
          </w:p>
        </w:tc>
        <w:tc>
          <w:tcPr>
            <w:tcW w:w="640" w:type="dxa"/>
            <w:vAlign w:val="bottom"/>
            <w:shd w:val="clear" w:color="auto" w:fill="CCEEFF"/>
          </w:tcPr>
          <w:p>
            <w:pPr>
              <w:spacing w:after="0"/>
              <w:rPr>
                <w:sz w:val="18"/>
                <w:szCs w:val="18"/>
                <w:color w:val="auto"/>
              </w:rPr>
            </w:pPr>
          </w:p>
        </w:tc>
        <w:tc>
          <w:tcPr>
            <w:tcW w:w="142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82,368</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133,480</w:t>
            </w:r>
          </w:p>
        </w:tc>
        <w:tc>
          <w:tcPr>
            <w:tcW w:w="6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134,625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15,567</w:t>
            </w:r>
          </w:p>
        </w:tc>
        <w:tc>
          <w:tcPr>
            <w:tcW w:w="142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66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41%</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$ 668,240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$ 474,748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Six Months Ended</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496"/>
              <w:spacing w:after="0"/>
              <w:rPr>
                <w:sz w:val="20"/>
                <w:szCs w:val="20"/>
                <w:color w:val="auto"/>
              </w:rPr>
            </w:pPr>
            <w:r>
              <w:rPr>
                <w:rFonts w:ascii="Arial" w:cs="Arial" w:eastAsia="Arial" w:hAnsi="Arial"/>
                <w:sz w:val="14"/>
                <w:szCs w:val="14"/>
                <w:b w:val="1"/>
                <w:bCs w:val="1"/>
                <w:color w:val="auto"/>
                <w:w w:val="97"/>
              </w:rPr>
              <w:t>May 1, 2010</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5"/>
              </w:rPr>
              <w:t>Revenue</w:t>
            </w:r>
          </w:p>
        </w:tc>
        <w:tc>
          <w:tcPr>
            <w:tcW w:w="640" w:type="dxa"/>
            <w:vAlign w:val="bottom"/>
            <w:vMerge w:val="restart"/>
          </w:tcPr>
          <w:p>
            <w:pPr>
              <w:spacing w:after="0"/>
              <w:rPr>
                <w:sz w:val="10"/>
                <w:szCs w:val="10"/>
                <w:color w:val="auto"/>
              </w:rPr>
            </w:pPr>
          </w:p>
        </w:tc>
        <w:tc>
          <w:tcPr>
            <w:tcW w:w="14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4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579,193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$ 426,452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156,529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80,495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236,591</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158,071</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269,857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260,668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25,631</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1,271,223</w:t>
            </w:r>
          </w:p>
        </w:tc>
        <w:tc>
          <w:tcPr>
            <w:tcW w:w="64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$ 951,317</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firstLine="225"/>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 in revenue in both the three- and six-month periods ended May 1, 2010 in industrial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increase in demand in this end market, which was most significant for products sold into the instrumentation and automation sectors of this end market.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i w:val="1"/>
          <w:iCs w:val="1"/>
          <w:color w:val="auto"/>
        </w:rPr>
        <w:t xml:space="preserve">Automotive </w:t>
      </w:r>
      <w:r>
        <w:rPr>
          <w:rFonts w:ascii="Arial" w:cs="Arial" w:eastAsia="Arial" w:hAnsi="Arial"/>
          <w:sz w:val="16"/>
          <w:szCs w:val="16"/>
          <w:color w:val="auto"/>
        </w:rPr>
        <w:t>— The year-to-year increase in revenue in both the three- and six-month periods ended May 1, 2010 in automotive end market revenue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increased demand due to various government-initiated incentive programs and inventory replenishment in this end market.</w:t>
      </w:r>
    </w:p>
    <w:p>
      <w:pPr>
        <w:spacing w:after="0" w:line="16"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increase in revenue in both the three- and six-month periods ended May 1, 2010 in consumer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increase in demand for products used in digital cameras, home entertainment and other consumer applications in this end market.</w:t>
      </w:r>
    </w:p>
    <w:p>
      <w:pPr>
        <w:spacing w:after="0" w:line="7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i w:val="1"/>
          <w:iCs w:val="1"/>
          <w:color w:val="auto"/>
        </w:rPr>
        <w:t xml:space="preserve">Communications — </w:t>
      </w:r>
      <w:r>
        <w:rPr>
          <w:rFonts w:ascii="Arial" w:cs="Arial" w:eastAsia="Arial" w:hAnsi="Arial"/>
          <w:sz w:val="17"/>
          <w:szCs w:val="17"/>
          <w:color w:val="auto"/>
        </w:rPr>
        <w:t>The year-to-year slight decrease in revenue in the three-month period ended May 1, 2010 in communications end market revenue was</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 of a decrease in sales in the base station end market sector, partially offset by an increase in sales in the infrastructure and handset sectors. The year-to-year increase in revenue in the six-month period ended May 1, 2010 in communications end market revenue was the result of increases in sales in the infrastructure and handset sectors, partially offset by a sales reduction in the base station end market sector.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5"/>
              </w:rPr>
              <w:t>May 1, 2010</w:t>
            </w: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gridSpan w:val="2"/>
            <w:vMerge w:val="restart"/>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$ 305,068</w:t>
            </w:r>
          </w:p>
        </w:tc>
        <w:tc>
          <w:tcPr>
            <w:tcW w:w="640" w:type="dxa"/>
            <w:vAlign w:val="bottom"/>
            <w:shd w:val="clear" w:color="auto" w:fill="CCEEFF"/>
          </w:tcPr>
          <w:p>
            <w:pPr>
              <w:spacing w:after="0"/>
              <w:rPr>
                <w:sz w:val="18"/>
                <w:szCs w:val="18"/>
                <w:color w:val="auto"/>
              </w:rPr>
            </w:pPr>
          </w:p>
        </w:tc>
        <w:tc>
          <w:tcPr>
            <w:tcW w:w="1420" w:type="dxa"/>
            <w:vAlign w:val="bottom"/>
            <w:tcBorders>
              <w:lef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$ 239,103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171,098</w:t>
            </w: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124,458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87,439</w:t>
            </w:r>
          </w:p>
        </w:tc>
        <w:tc>
          <w:tcPr>
            <w:tcW w:w="660" w:type="dxa"/>
            <w:vAlign w:val="bottom"/>
            <w:gridSpan w:val="2"/>
            <w:shd w:val="clear" w:color="auto" w:fill="CCEEFF"/>
          </w:tcPr>
          <w:p>
            <w:pPr>
              <w:spacing w:after="0"/>
              <w:rPr>
                <w:sz w:val="18"/>
                <w:szCs w:val="18"/>
                <w:color w:val="auto"/>
              </w:rPr>
            </w:pPr>
          </w:p>
        </w:tc>
        <w:tc>
          <w:tcPr>
            <w:tcW w:w="1420" w:type="dxa"/>
            <w:vAlign w:val="bottom"/>
            <w:tcBorders>
              <w:lef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44,055</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38%</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563,605</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407,616</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660" w:type="dxa"/>
            <w:vAlign w:val="bottom"/>
            <w:gridSpan w:val="2"/>
            <w:shd w:val="clear" w:color="auto" w:fill="CCEEFF"/>
          </w:tcPr>
          <w:p>
            <w:pPr>
              <w:spacing w:after="0"/>
              <w:rPr>
                <w:sz w:val="18"/>
                <w:szCs w:val="18"/>
                <w:color w:val="auto"/>
              </w:rPr>
            </w:pPr>
          </w:p>
        </w:tc>
        <w:tc>
          <w:tcPr>
            <w:tcW w:w="1420" w:type="dxa"/>
            <w:vAlign w:val="bottom"/>
            <w:tcBorders>
              <w:lef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28,177</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40%</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$ 610,086</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$ 435,793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58,154</w:t>
            </w:r>
          </w:p>
        </w:tc>
        <w:tc>
          <w:tcPr>
            <w:tcW w:w="660" w:type="dxa"/>
            <w:vAlign w:val="bottom"/>
            <w:gridSpan w:val="2"/>
            <w:shd w:val="clear" w:color="auto" w:fill="CCEEFF"/>
          </w:tcPr>
          <w:p>
            <w:pPr>
              <w:spacing w:after="0"/>
              <w:rPr>
                <w:sz w:val="18"/>
                <w:szCs w:val="18"/>
                <w:color w:val="auto"/>
              </w:rPr>
            </w:pPr>
          </w:p>
        </w:tc>
        <w:tc>
          <w:tcPr>
            <w:tcW w:w="1420" w:type="dxa"/>
            <w:vAlign w:val="bottom"/>
            <w:tcBorders>
              <w:lef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38,955</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41%</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$ 668,240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$ 474,748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Six Months Ended</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495"/>
              <w:spacing w:after="0"/>
              <w:rPr>
                <w:sz w:val="20"/>
                <w:szCs w:val="20"/>
                <w:color w:val="auto"/>
              </w:rPr>
            </w:pPr>
            <w:r>
              <w:rPr>
                <w:rFonts w:ascii="Arial" w:cs="Arial" w:eastAsia="Arial" w:hAnsi="Arial"/>
                <w:sz w:val="14"/>
                <w:szCs w:val="14"/>
                <w:b w:val="1"/>
                <w:bCs w:val="1"/>
                <w:color w:val="auto"/>
                <w:w w:val="97"/>
              </w:rPr>
              <w:t>May 1, 2010</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4"/>
                <w:szCs w:val="14"/>
                <w:b w:val="1"/>
                <w:bCs w:val="1"/>
                <w:color w:val="auto"/>
                <w:w w:val="95"/>
              </w:rPr>
              <w:t>May 2,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5"/>
              </w:rPr>
              <w:t>Revenue</w:t>
            </w:r>
          </w:p>
        </w:tc>
        <w:tc>
          <w:tcPr>
            <w:tcW w:w="640" w:type="dxa"/>
            <w:vAlign w:val="bottom"/>
            <w:vMerge w:val="restart"/>
          </w:tcPr>
          <w:p>
            <w:pPr>
              <w:spacing w:after="0"/>
              <w:rPr>
                <w:sz w:val="10"/>
                <w:szCs w:val="10"/>
                <w:color w:val="auto"/>
              </w:rPr>
            </w:pPr>
          </w:p>
        </w:tc>
        <w:tc>
          <w:tcPr>
            <w:tcW w:w="14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40" w:type="dxa"/>
            <w:vAlign w:val="bottom"/>
            <w:vMerge w:val="restart"/>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595,780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$ 474,064</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319,152</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255,236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159,933</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85,326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Arial" w:cs="Arial" w:eastAsia="Arial" w:hAnsi="Arial"/>
                <w:sz w:val="18"/>
                <w:szCs w:val="18"/>
                <w:color w:val="auto"/>
              </w:rPr>
              <w:t>32%</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1,074,865</w:t>
            </w:r>
          </w:p>
        </w:tc>
        <w:tc>
          <w:tcPr>
            <w:tcW w:w="64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814,626</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54,302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1,160,542</w:t>
            </w:r>
          </w:p>
        </w:tc>
        <w:tc>
          <w:tcPr>
            <w:tcW w:w="64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91%</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$ 868,928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110,681</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82,389</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1,271,223</w:t>
            </w:r>
          </w:p>
        </w:tc>
        <w:tc>
          <w:tcPr>
            <w:tcW w:w="64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$ 951,317</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280" w:hanging="5612"/>
        <w:spacing w:after="0" w:line="571" w:lineRule="auto"/>
        <w:tabs>
          <w:tab w:leader="none" w:pos="45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year-to-year increases in total revenue in the three- and six-month periods ended May 1, 2010 were the result of a broad-based increase in sales across all of our product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by geographic region, based upon customer location, for the three- and six-month periods ended May 1, 2010 and May 2, 2009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Region</w:t>
            </w:r>
          </w:p>
        </w:tc>
        <w:tc>
          <w:tcPr>
            <w:tcW w:w="560" w:type="dxa"/>
            <w:vAlign w:val="bottom"/>
            <w:vMerge w:val="restart"/>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2"/>
              </w:rPr>
              <w:t>May 1, 2010</w:t>
            </w: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May 2, 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7"/>
              </w:rPr>
              <w:t>May 1, 2010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$ 128,360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97,055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245,323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$ 204,387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Rest of North and South America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37,984</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20,456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67,863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175,930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120,855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317,996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Japan</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105,871</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71,535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216,221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109,001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215,523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Rest of Asia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111,094</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65,502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208,297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$ 668,240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474,748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7"/>
              </w:rPr>
              <w:t>1,271,223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$ 951,317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the three- and six-month periods ended May 1, 2010, the predominant countries comprising “Rest of North and South America” are Canada and Mexico; the predominant countries comprising “Europe” are Germany, Sweden, France and the United Kingdom; and the predominant countries comprising “Rest of Asia” are Taiwan and Korea.</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the three- and six-month periods ended May 2, 2009, the predominant countries comprising “Rest of North and South America” are Canada and Mexico; the predominant countries comprising “Europe” are Germany, Sweden, France and Italy; and the predominant countries comprising “Rest of Asia” are Taiwan and Korea.</w:t>
      </w:r>
    </w:p>
    <w:p>
      <w:pPr>
        <w:spacing w:after="0" w:line="7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Sales increased in all geographic regions in the second quarter of fiscal 2010 as compared to the second quarter of fiscal 2009, with sales in Europe and the Rest of Asia experiencing the largest increases.</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Sales increased in all geographic regions in the first six months of fiscal 2010 as compared to the first six months of fiscal 2009, with sales in Rest of Asia and Japan experiencing the largest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2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1, 2010</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1, 2010</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95"/>
        </w:trPr>
        <w:tc>
          <w:tcPr>
            <w:tcW w:w="5240" w:type="dxa"/>
            <w:vAlign w:val="bottom"/>
            <w:vMerge w:val="continue"/>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$434,515</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$261,552</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$802,991</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$530,554</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Gross margin %</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65.0%</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55.1%</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63.2%</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Gross margin percentage was higher by 990 basis points in the second quarter of fiscal 2010 as compared to the second quarter of fiscal 2009 primarily as a result of an increase in sales of $193.5 million, increased operating levels in our manufacturing facilities and the impact of savings realized as a result of wafer fabrication consolidation actions. Additionally, a higher proportion of our revenues were from products sold into the industrial end market which earn higher margins as compared to products in our other end markets.</w:t>
      </w:r>
    </w:p>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Gross margin percentage was higher by 740 basis points in the six months ended May 1, 2010 as compared to the six months ended May 2, 2009, primarily as a result of an increase in sales of $319.9 million, increased operating levels in our manufacturing facilities and the impact of savings realized as a result of wafer fabrication consolidation 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As of May 1, 2010, the total compensation cost related to unvested equity awards not yet recognized in our statement of income was approximately $122.7 million (before tax consideration), which we will recognize over a weighted average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of 1.6 years. See Note 3 in the Notes to our Condensed Consolidated Financial Statements contained in Item 1 of this Quarterly Report on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4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1, 2010</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95"/>
        </w:trPr>
        <w:tc>
          <w:tcPr>
            <w:tcW w:w="5240" w:type="dxa"/>
            <w:vAlign w:val="bottom"/>
            <w:vMerge w:val="continue"/>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$122,780</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$109,448</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$237,178</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$229,276</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18.4%</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23.1%</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18.7%</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Research and development, or R&amp;D, expenses increased $13.3 million, or 12%, in the second quarter of fiscal 2010 as compared to the second quarter of fiscal 2009, and increased $7.9 million, or 3%, in the six months ended May 1, 2010 as compared to the six months ended May 2, 2009. The increase was primarily the result of an increase in variable compensation expense, which is a variable expense linked to our overall profitability, partially offset by the impact of actions we took over the past six quarters to control discretionary spending and permanently reduce operating expenses.</w:t>
      </w:r>
    </w:p>
    <w:p>
      <w:pPr>
        <w:spacing w:after="0" w:line="46"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8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1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1, 2010</w:t>
            </w:r>
          </w:p>
        </w:tc>
        <w:tc>
          <w:tcPr>
            <w:tcW w:w="460" w:type="dxa"/>
            <w:vAlign w:val="bottom"/>
          </w:tcPr>
          <w:p>
            <w:pPr>
              <w:spacing w:after="0"/>
              <w:rPr>
                <w:sz w:val="12"/>
                <w:szCs w:val="12"/>
                <w:color w:val="auto"/>
              </w:rPr>
            </w:pPr>
          </w:p>
        </w:tc>
        <w:tc>
          <w:tcPr>
            <w:tcW w:w="11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2,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1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$97,660</w:t>
            </w:r>
          </w:p>
        </w:tc>
        <w:tc>
          <w:tcPr>
            <w:tcW w:w="460" w:type="dxa"/>
            <w:vAlign w:val="bottom"/>
          </w:tcPr>
          <w:p>
            <w:pPr>
              <w:spacing w:after="0"/>
              <w:rPr>
                <w:sz w:val="16"/>
                <w:szCs w:val="16"/>
                <w:color w:val="auto"/>
              </w:rPr>
            </w:pPr>
          </w:p>
        </w:tc>
        <w:tc>
          <w:tcPr>
            <w:tcW w:w="11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$82,276</w:t>
            </w:r>
          </w:p>
        </w:tc>
        <w:tc>
          <w:tcPr>
            <w:tcW w:w="460" w:type="dxa"/>
            <w:vAlign w:val="bottom"/>
          </w:tcPr>
          <w:p>
            <w:pPr>
              <w:spacing w:after="0"/>
              <w:rPr>
                <w:sz w:val="16"/>
                <w:szCs w:val="16"/>
                <w:color w:val="auto"/>
              </w:rPr>
            </w:pPr>
          </w:p>
        </w:tc>
        <w:tc>
          <w:tcPr>
            <w:tcW w:w="12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$186,141</w:t>
            </w:r>
          </w:p>
        </w:tc>
        <w:tc>
          <w:tcPr>
            <w:tcW w:w="48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$170,122</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120" w:type="dxa"/>
            <w:vAlign w:val="bottom"/>
          </w:tcPr>
          <w:p>
            <w:pPr>
              <w:jc w:val="right"/>
              <w:ind w:right="99"/>
              <w:spacing w:after="0"/>
              <w:rPr>
                <w:sz w:val="20"/>
                <w:szCs w:val="20"/>
                <w:color w:val="auto"/>
              </w:rPr>
            </w:pPr>
            <w:r>
              <w:rPr>
                <w:rFonts w:ascii="Arial" w:cs="Arial" w:eastAsia="Arial" w:hAnsi="Arial"/>
                <w:sz w:val="18"/>
                <w:szCs w:val="18"/>
                <w:color w:val="auto"/>
              </w:rPr>
              <w:t>14.6%</w:t>
            </w:r>
          </w:p>
        </w:tc>
        <w:tc>
          <w:tcPr>
            <w:tcW w:w="1580" w:type="dxa"/>
            <w:vAlign w:val="bottom"/>
            <w:gridSpan w:val="2"/>
          </w:tcPr>
          <w:p>
            <w:pPr>
              <w:jc w:val="right"/>
              <w:ind w:right="79"/>
              <w:spacing w:after="0"/>
              <w:rPr>
                <w:sz w:val="20"/>
                <w:szCs w:val="20"/>
                <w:color w:val="auto"/>
              </w:rPr>
            </w:pPr>
            <w:r>
              <w:rPr>
                <w:rFonts w:ascii="Arial" w:cs="Arial" w:eastAsia="Arial" w:hAnsi="Arial"/>
                <w:sz w:val="18"/>
                <w:szCs w:val="18"/>
                <w:color w:val="auto"/>
              </w:rPr>
              <w:t>17.3%</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14.6%</w:t>
            </w:r>
          </w:p>
        </w:tc>
        <w:tc>
          <w:tcPr>
            <w:tcW w:w="1680" w:type="dxa"/>
            <w:vAlign w:val="bottom"/>
            <w:gridSpan w:val="2"/>
          </w:tcPr>
          <w:p>
            <w:pPr>
              <w:jc w:val="right"/>
              <w:ind w:right="79"/>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Selling, marketing, general and administrative, or SMG&amp;A, expenses increased $15.4 million, or 19%, in the second quarter of fiscal 2010 as compared to the second quarter of fiscal 2009, and increased $16.0 million, or 9%, in the six months ended May 1, 2010 as compared to the same period of fiscal 2009. The increase was primarily the result of an increase in variable compensation expense, which is a variable expense linked to our overall profitability, and higher sales commission expenses which are variable expenses linked to our sales. These increases were offset by the impact of actions we took over the past six quarters to control discretionary spending and permanently reduce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have been paying the related lease obligation costs on a monthly basis over the remaining lease term, which expired in March 2010. We recorded a one-time settlement charge of $0.4 million in the first quarter of fiscal 2010 related to the termination of the lease. We do not expect to incur any additional charges related to this action.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fiscal 2007, we recorded a special charge of $13.7 million as a result of our decision to only use eight-inch technology at our wafer fabrication facility in Limerick. Certain manufacturing processes and products produced on the Limerick facility’s six-inch production line have transitioned to our existing eight-inch production line in Limerick while others have transitioned to external foundries. The charge was for severance and fringe benefit costs recorded in accordance with our ongoing benefit plan for 150 manufacturing employees associated with this action. We terminated the employment of all employees associated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with these programs and have paid out all amounts owed to employees as severance. During fiscal 2008, we recorded an additional charge of $1.5 million related to this action, of which $1.2 million was an adjustment to the original estimate of the severance costs and $0.3 million was for clean-up and closure costs that we expensed as incurred. During fiscal 2009, we recorded additional charges of $1.2 million for clean-up and closure costs that we expensed as incurred. The production in the six-inch wafer fabrication facility ceased during the fourth quarter of fiscal 2009. We do not expect to incur any further charges related to this action. We estimate that the closure of this facility will result in annual cost savings of approximately $25 million per year, which we began realizing in the first quarter of fiscal 2010. These savings are recorded in cost of sales, of which approximately $1 million relates to non-cash depreciation savings.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recorded in accordance with our ongoing benefit plan or the statutory requirements at foreign locations for 19 engineering, selling, marketing, general and administrative employees. We terminated the employment of all employees associated with this charge and are paying amounts owed to employees for severance as income continuance.</w:t>
      </w:r>
    </w:p>
    <w:p>
      <w:pPr>
        <w:spacing w:after="0" w:line="7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$0.9 million was for the write-off of property, plant and equipment no longer used as a result of this action; and approximately $0.8 million was for contract termination costs and for clean-up and closure costs that we expensed as incurred. The remaining $26.5 million related to the severance and fringe benefit costs recorded in accordance with our ongoing benefit plan or statutory requirements at foreign locations, for 245 manufacturing employees and 302 engineering and SMG&amp;A employees. As of May 1, 2010, we still employed 1 of the 547 employees included in this cost reduction action. This employee must continue to be employed by us until his employment is involuntarily terminated in order to receive the severance benefit. This cost reduction action, which was substantially completed during the second quarter of fiscal 2009, resulted in annual savings of approximately $36.4 million. These annual savings are being realized as follows: approximately $31.6 million in SMG&amp;A expenses and approximately $4.8 million in cost of sales.</w:t>
      </w:r>
    </w:p>
    <w:p>
      <w:pPr>
        <w:spacing w:after="0" w:line="74"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During the first quarter of fiscal 2010, we recorded an additional charge of $11.4 million related to the further reduction of our operating cost structure. Approximately $10.9 million of this charge was for severance and fringe benefit costs recorded in accordance with our ongoing benefit plan or statutory requirements at foreign locations for 149 engineering and SMG&amp;A employees. As of May 1, 2010, we still employed 45 of the 149 employees included in this cost reduction action. These employees must continue to be employed by us until their employment is involuntarily terminated in order to receive the severance benefit. Approximately $0.5 million of the charge relates to our decision to abandon efforts to develop a particular expertise in power management, resulting in the impairment of related intellectual property. When fully implemented in the first quarter of fiscal 2011, we estimate that these cost reduction actions will result in quarterly savings of approximately $4 million.</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our ongoing benefit plan for 175 manufacturing employees and 9 SMG&amp;A employees associated with this action.</w:t>
      </w:r>
    </w:p>
    <w:p>
      <w:pPr>
        <w:spacing w:after="0" w:line="64"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finished production in the Cambridge wafer fabrication facility and began clean-up activities during the fourth quarter of fiscal 2009. During the fourth quarter of fiscal 2009, we reversed approximately $1.8 million of our severance accrual. The accrual reversal was required because 51 employees either voluntarily left the Company or found alternative employment within the Company. In addition, we recorded a special charge of approximately $1.7 million for the impairment of manufacturing assets that were originally going to be moved to our other wafer fabrication facilities but are no longer needed at those facilities and therefore have no future use. We also recorded a special charge of $0.1 million for clean-up costs as we began our clean-up of the Cambridge wafer fabrication facility at the end of the fourth quarter of fiscal 2009. As of May 1, 2010, we still employed 2 of the employees included in this action. These employees must continue to be employed by us until their employment is involuntarily terminated in order to receive the severance benefit. We estimate that this action will result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annual cost savings of approximately $41 million per year, starting in the third quarter of fiscal 2010. We expect these annual savings to be realized as follows: approximately $40.2 million in cost of sales, of which approximately $4.0 million relates to non-cash depreciation savings, and approximately $0.8 million relates to SMG&amp;A expenses.</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During the first quarter of fiscal 2010, we recorded an additional charge of $4.7 million related to this cost reduction action. Approximately $3.4 million of the charge related to lease obligation costs for the Cambridge wafer fabrication facility, which we ceased using in the first quarter of fiscal 2010, and the remaining $1.3 million of the charge related to clean-up and closure costs. We estimate that these cost reductions will result in quarterly savings of $0.6 million, which we began realizing in the first quarter of fiscal 2010.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8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2, 2009</w:t>
            </w:r>
          </w:p>
        </w:tc>
        <w:tc>
          <w:tcPr>
            <w:tcW w:w="48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$214,075</w:t>
            </w:r>
          </w:p>
        </w:tc>
        <w:tc>
          <w:tcPr>
            <w:tcW w:w="480" w:type="dxa"/>
            <w:vAlign w:val="bottom"/>
          </w:tcPr>
          <w:p>
            <w:pPr>
              <w:spacing w:after="0"/>
              <w:rPr>
                <w:sz w:val="16"/>
                <w:szCs w:val="16"/>
                <w:color w:val="auto"/>
              </w:rPr>
            </w:pPr>
          </w:p>
        </w:tc>
        <w:tc>
          <w:tcPr>
            <w:tcW w:w="11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$57,909</w:t>
            </w:r>
          </w:p>
        </w:tc>
        <w:tc>
          <w:tcPr>
            <w:tcW w:w="48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$363,189</w:t>
            </w:r>
          </w:p>
        </w:tc>
        <w:tc>
          <w:tcPr>
            <w:tcW w:w="480" w:type="dxa"/>
            <w:vAlign w:val="bottom"/>
          </w:tcPr>
          <w:p>
            <w:pPr>
              <w:spacing w:after="0"/>
              <w:rPr>
                <w:sz w:val="16"/>
                <w:szCs w:val="16"/>
                <w:color w:val="auto"/>
              </w:rPr>
            </w:pPr>
          </w:p>
        </w:tc>
        <w:tc>
          <w:tcPr>
            <w:tcW w:w="11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revenue</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32.0%</w:t>
            </w:r>
          </w:p>
        </w:tc>
        <w:tc>
          <w:tcPr>
            <w:tcW w:w="1580" w:type="dxa"/>
            <w:vAlign w:val="bottom"/>
            <w:gridSpan w:val="2"/>
          </w:tcPr>
          <w:p>
            <w:pPr>
              <w:jc w:val="right"/>
              <w:ind w:right="79"/>
              <w:spacing w:after="0"/>
              <w:rPr>
                <w:sz w:val="20"/>
                <w:szCs w:val="20"/>
                <w:color w:val="auto"/>
              </w:rPr>
            </w:pPr>
            <w:r>
              <w:rPr>
                <w:rFonts w:ascii="Arial" w:cs="Arial" w:eastAsia="Arial" w:hAnsi="Arial"/>
                <w:sz w:val="18"/>
                <w:szCs w:val="18"/>
                <w:color w:val="auto"/>
              </w:rPr>
              <w:t>12.2%</w:t>
            </w:r>
          </w:p>
        </w:tc>
        <w:tc>
          <w:tcPr>
            <w:tcW w:w="1680" w:type="dxa"/>
            <w:vAlign w:val="bottom"/>
            <w:gridSpan w:val="2"/>
          </w:tcPr>
          <w:p>
            <w:pPr>
              <w:jc w:val="right"/>
              <w:ind w:right="82"/>
              <w:spacing w:after="0"/>
              <w:rPr>
                <w:sz w:val="20"/>
                <w:szCs w:val="20"/>
                <w:color w:val="auto"/>
              </w:rPr>
            </w:pPr>
            <w:r>
              <w:rPr>
                <w:rFonts w:ascii="Arial" w:cs="Arial" w:eastAsia="Arial" w:hAnsi="Arial"/>
                <w:sz w:val="18"/>
                <w:szCs w:val="18"/>
                <w:color w:val="auto"/>
              </w:rPr>
              <w:t>28.6%</w:t>
            </w:r>
          </w:p>
        </w:tc>
        <w:tc>
          <w:tcPr>
            <w:tcW w:w="1580" w:type="dxa"/>
            <w:vAlign w:val="bottom"/>
            <w:gridSpan w:val="2"/>
          </w:tcPr>
          <w:p>
            <w:pPr>
              <w:jc w:val="right"/>
              <w:ind w:right="7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0" w:firstLine="222"/>
        <w:spacing w:after="0" w:line="342" w:lineRule="auto"/>
        <w:rPr>
          <w:sz w:val="20"/>
          <w:szCs w:val="20"/>
          <w:color w:val="auto"/>
        </w:rPr>
      </w:pPr>
      <w:r>
        <w:rPr>
          <w:rFonts w:ascii="Arial" w:cs="Arial" w:eastAsia="Arial" w:hAnsi="Arial"/>
          <w:sz w:val="16"/>
          <w:szCs w:val="16"/>
          <w:color w:val="auto"/>
        </w:rPr>
        <w:t>The $156.2 million increase in operating income from continuing operations in the second quarter of fiscal 2010 as compared to the second quarter of fiscal 2009 was primarily the result of an increase in revenue of $193.5 million and a 990 basis point increase in gross margin percentage.</w:t>
      </w:r>
    </w:p>
    <w:p>
      <w:pPr>
        <w:spacing w:after="0" w:line="16"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$285.7 million increase in operating income from continuing operations in the six months ended May 1, 2010 as compared to the same period of fiscal 2009 was primarily the result of an increase in revenue of $319.9 million, a 740 basis point increase in gross margin percentage, and lower special charges recorded in the first six months of fiscal 2010 as compared to the first six months of fiscal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1, 2010</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2"/>
              </w:rPr>
              <w:t>May 2, 2009</w:t>
            </w:r>
          </w:p>
        </w:tc>
        <w:tc>
          <w:tcPr>
            <w:tcW w:w="6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1, 2010</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2. 2009</w:t>
            </w:r>
          </w:p>
        </w:tc>
        <w:tc>
          <w:tcPr>
            <w:tcW w:w="100" w:type="dxa"/>
            <w:vAlign w:val="bottom"/>
          </w:tcPr>
          <w:p>
            <w:pPr>
              <w:spacing w:after="0"/>
              <w:rPr>
                <w:sz w:val="12"/>
                <w:szCs w:val="12"/>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(3,527)</w:t>
            </w: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(11,323)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nonoperating expenses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Nonoperating income was lower by $4.4 million in the second quarter of fiscal 2010 as compared to the second quarter of fiscal 2009 primarily due to interest expense we incurred during the second quarter of fiscal 2010 as a result of the issuance of $375 million aggregate principal 5.0% senior unsecured notes on June 30, 2009. In addition, interest income earned on investments was lower as a result of lower interest rates in the second quarter of fiscal 2010 as compared to the second quarter of fiscal 2009.</w:t>
      </w:r>
    </w:p>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Nonoperating income was lower by $13.6 million in the six months ended May 1, 2010 as compared to the same period of fiscal 2009 primarily due to lower interest income earned on investments as a result of lower interest rates in the first half of fiscal 2010 as compared to the first half fiscal 2009. In addition, we incurred interest expense during the first half of fiscal 2010 as a result of the issuance of $375 million aggregate principal 5.0% senior unsecured notes on June 30,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54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1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2, 2009</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May 1, 2010</w:t>
            </w:r>
          </w:p>
        </w:tc>
        <w:tc>
          <w:tcPr>
            <w:tcW w:w="500" w:type="dxa"/>
            <w:vAlign w:val="bottom"/>
          </w:tcPr>
          <w:p>
            <w:pPr>
              <w:spacing w:after="0"/>
              <w:rPr>
                <w:sz w:val="12"/>
                <w:szCs w:val="12"/>
                <w:color w:val="auto"/>
              </w:rPr>
            </w:pP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95"/>
        </w:trPr>
        <w:tc>
          <w:tcPr>
            <w:tcW w:w="5540" w:type="dxa"/>
            <w:vAlign w:val="bottom"/>
            <w:vMerge w:val="continue"/>
          </w:tcPr>
          <w:p>
            <w:pPr>
              <w:spacing w:after="0"/>
              <w:rPr>
                <w:sz w:val="16"/>
                <w:szCs w:val="16"/>
                <w:color w:val="auto"/>
              </w:rPr>
            </w:pPr>
          </w:p>
        </w:tc>
        <w:tc>
          <w:tcPr>
            <w:tcW w:w="11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$46,880</w:t>
            </w:r>
          </w:p>
        </w:tc>
        <w:tc>
          <w:tcPr>
            <w:tcW w:w="480" w:type="dxa"/>
            <w:vAlign w:val="bottom"/>
          </w:tcPr>
          <w:p>
            <w:pPr>
              <w:spacing w:after="0"/>
              <w:rPr>
                <w:sz w:val="16"/>
                <w:szCs w:val="16"/>
                <w:color w:val="auto"/>
              </w:rPr>
            </w:pPr>
          </w:p>
        </w:tc>
        <w:tc>
          <w:tcPr>
            <w:tcW w:w="11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$10,479</w:t>
            </w:r>
          </w:p>
        </w:tc>
        <w:tc>
          <w:tcPr>
            <w:tcW w:w="480" w:type="dxa"/>
            <w:vAlign w:val="bottom"/>
          </w:tcPr>
          <w:p>
            <w:pPr>
              <w:spacing w:after="0"/>
              <w:rPr>
                <w:sz w:val="16"/>
                <w:szCs w:val="16"/>
                <w:color w:val="auto"/>
              </w:rPr>
            </w:pPr>
          </w:p>
        </w:tc>
        <w:tc>
          <w:tcPr>
            <w:tcW w:w="11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$75,547</w:t>
            </w:r>
          </w:p>
        </w:tc>
        <w:tc>
          <w:tcPr>
            <w:tcW w:w="500" w:type="dxa"/>
            <w:vAlign w:val="bottom"/>
          </w:tcPr>
          <w:p>
            <w:pPr>
              <w:spacing w:after="0"/>
              <w:rPr>
                <w:sz w:val="16"/>
                <w:szCs w:val="16"/>
                <w:color w:val="auto"/>
              </w:rPr>
            </w:pPr>
          </w:p>
        </w:tc>
        <w:tc>
          <w:tcPr>
            <w:tcW w:w="11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21.9%</w:t>
            </w:r>
          </w:p>
        </w:tc>
        <w:tc>
          <w:tcPr>
            <w:tcW w:w="1600" w:type="dxa"/>
            <w:vAlign w:val="bottom"/>
            <w:gridSpan w:val="2"/>
          </w:tcPr>
          <w:p>
            <w:pPr>
              <w:jc w:val="right"/>
              <w:ind w:right="79"/>
              <w:spacing w:after="0"/>
              <w:rPr>
                <w:sz w:val="20"/>
                <w:szCs w:val="20"/>
                <w:color w:val="auto"/>
              </w:rPr>
            </w:pPr>
            <w:r>
              <w:rPr>
                <w:rFonts w:ascii="Arial" w:cs="Arial" w:eastAsia="Arial" w:hAnsi="Arial"/>
                <w:sz w:val="18"/>
                <w:szCs w:val="18"/>
                <w:color w:val="auto"/>
              </w:rPr>
              <w:t>16.8%</w:t>
            </w:r>
          </w:p>
        </w:tc>
        <w:tc>
          <w:tcPr>
            <w:tcW w:w="1580" w:type="dxa"/>
            <w:vAlign w:val="bottom"/>
            <w:gridSpan w:val="2"/>
          </w:tcPr>
          <w:p>
            <w:pPr>
              <w:jc w:val="right"/>
              <w:ind w:right="82"/>
              <w:spacing w:after="0"/>
              <w:rPr>
                <w:sz w:val="20"/>
                <w:szCs w:val="20"/>
                <w:color w:val="auto"/>
              </w:rPr>
            </w:pPr>
            <w:r>
              <w:rPr>
                <w:rFonts w:ascii="Arial" w:cs="Arial" w:eastAsia="Arial" w:hAnsi="Arial"/>
                <w:sz w:val="18"/>
                <w:szCs w:val="18"/>
                <w:color w:val="auto"/>
              </w:rPr>
              <w:t>20.9%</w:t>
            </w:r>
          </w:p>
        </w:tc>
        <w:tc>
          <w:tcPr>
            <w:tcW w:w="1600" w:type="dxa"/>
            <w:vAlign w:val="bottom"/>
            <w:gridSpan w:val="2"/>
          </w:tcPr>
          <w:p>
            <w:pPr>
              <w:jc w:val="right"/>
              <w:ind w:right="79"/>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firstLine="225"/>
        <w:spacing w:after="0" w:line="25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for the second quarter of fiscal 2010 was higher compared to our effective tax rate for the second quarter of fiscal 2009 as a result of a change in the mix of our income to jurisdictions where income is taxed at a higher rate. In addition, our effective tax rate for the second quarter of fiscal 2009 was reduced as a result of our recording a special charge of $11.9 million in the second quarter of fiscal 2009, a portion of which provided a tax benefit at the higher U.S. tax rate.</w:t>
      </w:r>
    </w:p>
    <w:p>
      <w:pPr>
        <w:spacing w:after="0" w:line="80"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Our effective tax rate for the first six months of fiscal 2010 was higher compared to our effective tax rate for the first six months of fiscal 2009 primarily as a result of higher special charges recorded in the prior year, a majority of which provided a tax benefit at the higher U.S. tax rate. A change in the mix of our income to jurisdictions where income is taxed at a higher rate also contributed to a higher effective tax rate for the first six months of fiscal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Borders>
              <w:bottom w:val="single" w:sz="8" w:color="auto"/>
            </w:tcBorders>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20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May 2, 2009</w:t>
            </w:r>
          </w:p>
        </w:tc>
        <w:tc>
          <w:tcPr>
            <w:tcW w:w="480" w:type="dxa"/>
            <w:vAlign w:val="bottom"/>
          </w:tcPr>
          <w:p>
            <w:pPr>
              <w:spacing w:after="0"/>
              <w:rPr>
                <w:sz w:val="12"/>
                <w:szCs w:val="12"/>
                <w:color w:val="auto"/>
              </w:rPr>
            </w:pPr>
          </w:p>
        </w:tc>
        <w:tc>
          <w:tcPr>
            <w:tcW w:w="12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May 2, 2009</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9"/>
              </w:rPr>
              <w:t>167,140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51,754</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286,740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3"/>
              </w:rPr>
              <w:t>76,339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30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22.6%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0.18</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0.26</w:t>
            </w:r>
          </w:p>
        </w:tc>
      </w:tr>
    </w:tbl>
    <w:p>
      <w:pPr>
        <w:spacing w:after="0" w:line="94"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Income from continuing operations, net of tax, in the second quarter of fiscal 2010 was higher than in the second quarter of fiscal 2009 by approximately $115.4 million primarily as a result of the $156.2 million increase in operating income that was partially offset by a higher provision for income taxes in the second quarter of fiscal 2010.</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Income from continuing operations, net of tax, in the first six months of fiscal 2010 was higher than in the first six months of fiscal 2009 by approximately $210.4 million primarily as a result of the $285.7 million increase in operating income that was partially offset by a higher provision for income taxes in the first six months of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May 1, 2010</w:t>
            </w:r>
          </w:p>
        </w:tc>
        <w:tc>
          <w:tcPr>
            <w:tcW w:w="660" w:type="dxa"/>
            <w:vAlign w:val="bottom"/>
            <w:gridSpan w:val="2"/>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firstLine="222"/>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are planning for revenue in the third quarter of fiscal 2010 to be in the range of $695 million to $715 million. Our plan is for gross margins for the third quarter of fiscal 2010 to be in the range of 65% to 66% and for operating expenses to increase well below the growth rate of our revenue in the third quarter. As a result we expect operating margins to be in the range of 33% to 34% and diluted earnings per share from continuing operations to be in the range of $0.59 to $0.61 in the third quarter of fiscal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30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40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2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May 1, 2010</w:t>
            </w:r>
          </w:p>
        </w:tc>
        <w:tc>
          <w:tcPr>
            <w:tcW w:w="520" w:type="dxa"/>
            <w:vAlign w:val="bottom"/>
          </w:tcPr>
          <w:p>
            <w:pPr>
              <w:spacing w:after="0"/>
              <w:rPr>
                <w:sz w:val="12"/>
                <w:szCs w:val="12"/>
                <w:color w:val="auto"/>
              </w:rPr>
            </w:pPr>
          </w:p>
        </w:tc>
        <w:tc>
          <w:tcPr>
            <w:tcW w:w="12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95"/>
        </w:trPr>
        <w:tc>
          <w:tcPr>
            <w:tcW w:w="8400" w:type="dxa"/>
            <w:vAlign w:val="bottom"/>
            <w:vMerge w:val="continue"/>
          </w:tcPr>
          <w:p>
            <w:pPr>
              <w:spacing w:after="0"/>
              <w:rPr>
                <w:sz w:val="16"/>
                <w:szCs w:val="16"/>
                <w:color w:val="auto"/>
              </w:rPr>
            </w:pPr>
          </w:p>
        </w:tc>
        <w:tc>
          <w:tcPr>
            <w:tcW w:w="126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$492,093</w:t>
            </w:r>
          </w:p>
        </w:tc>
        <w:tc>
          <w:tcPr>
            <w:tcW w:w="520" w:type="dxa"/>
            <w:vAlign w:val="bottom"/>
          </w:tcPr>
          <w:p>
            <w:pPr>
              <w:spacing w:after="0"/>
              <w:rPr>
                <w:sz w:val="16"/>
                <w:szCs w:val="16"/>
                <w:color w:val="auto"/>
              </w:rPr>
            </w:pPr>
          </w:p>
        </w:tc>
        <w:tc>
          <w:tcPr>
            <w:tcW w:w="124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$135,906</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38.7%</w:t>
            </w:r>
          </w:p>
        </w:tc>
        <w:tc>
          <w:tcPr>
            <w:tcW w:w="1760" w:type="dxa"/>
            <w:vAlign w:val="bottom"/>
            <w:gridSpan w:val="2"/>
          </w:tcPr>
          <w:p>
            <w:pPr>
              <w:jc w:val="right"/>
              <w:ind w:right="99"/>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15"/>
        <w:spacing w:after="0" w:line="302" w:lineRule="auto"/>
        <w:rPr>
          <w:sz w:val="20"/>
          <w:szCs w:val="20"/>
          <w:color w:val="auto"/>
        </w:rPr>
      </w:pPr>
      <w:r>
        <w:rPr>
          <w:rFonts w:ascii="Arial" w:cs="Arial" w:eastAsia="Arial" w:hAnsi="Arial"/>
          <w:sz w:val="16"/>
          <w:szCs w:val="16"/>
          <w:color w:val="auto"/>
        </w:rPr>
        <w:t>At May 1, 2010, cash, cash equivalents and short-term investments totaled $2,386.7 million. The primary sources of funds for the first six months of fiscal 2010 were net cash generated from operating activities of $492.1 million and $169.2 million in net proceeds from employee stock option exercises. The principal uses of funds for the first six months of fiscal 2010 were dividend payments of $118.4 million and capital expenditures of $34.7 million. These factors contributed to the net increase in cash, cash equivalents and short-term investments of $570.8 million in the first six months of fiscal 2010.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1, 2010</w:t>
            </w:r>
          </w:p>
        </w:tc>
        <w:tc>
          <w:tcPr>
            <w:tcW w:w="500" w:type="dxa"/>
            <w:vAlign w:val="bottom"/>
          </w:tcPr>
          <w:p>
            <w:pPr>
              <w:spacing w:after="0"/>
              <w:rPr>
                <w:sz w:val="14"/>
                <w:szCs w:val="14"/>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October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$332,157</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$301,036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280" w:type="dxa"/>
            <w:vAlign w:val="bottom"/>
          </w:tcPr>
          <w:p>
            <w:pPr>
              <w:jc w:val="right"/>
              <w:ind w:right="254"/>
              <w:spacing w:after="0"/>
              <w:rPr>
                <w:sz w:val="20"/>
                <w:szCs w:val="20"/>
                <w:color w:val="auto"/>
              </w:rPr>
            </w:pPr>
            <w:r>
              <w:rPr>
                <w:rFonts w:ascii="Arial" w:cs="Arial" w:eastAsia="Arial" w:hAnsi="Arial"/>
                <w:sz w:val="18"/>
                <w:szCs w:val="18"/>
                <w:color w:val="auto"/>
              </w:rPr>
              <w:t>45</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$247,662</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$253,161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280" w:type="dxa"/>
            <w:vAlign w:val="bottom"/>
          </w:tcPr>
          <w:p>
            <w:pPr>
              <w:jc w:val="right"/>
              <w:ind w:right="254"/>
              <w:spacing w:after="0"/>
              <w:rPr>
                <w:sz w:val="20"/>
                <w:szCs w:val="20"/>
                <w:color w:val="auto"/>
              </w:rPr>
            </w:pPr>
            <w:r>
              <w:rPr>
                <w:rFonts w:ascii="Arial" w:cs="Arial" w:eastAsia="Arial" w:hAnsi="Arial"/>
                <w:sz w:val="18"/>
                <w:szCs w:val="18"/>
                <w:color w:val="auto"/>
              </w:rPr>
              <w:t>97</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Accounts receivable at May 1, 2010 increased $31.1 million, or 10%, from the end of the fourth quarter of fiscal 2009. The increase in receivables was the result of higher revenue in the second quarter of fiscal 2010 as compared to the fourth quarter of fiscal 2009.</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Inventory at May 1, 2010 decreased by $5.5 million, or 2%, from the end of the fourth quarter of fiscal 2009. The decrease in inventory is primarily a result of higher sales during the first six months of fiscal 2010.</w:t>
      </w:r>
    </w:p>
    <w:p>
      <w:pPr>
        <w:spacing w:after="0" w:line="62"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Net additions to property, plant and equipment were $34.7 million in the first six months of fiscal 2010 and were funded with a combination of cash on hand and cash generated from operations. We expect capital expenditures to be approximately $95 million in fiscal 2010.</w:t>
      </w:r>
    </w:p>
    <w:p>
      <w:pPr>
        <w:spacing w:after="0" w:line="38"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May 17, 2010, our Board of Directors declared a cash dividend of $0.22 per outstanding share of our common stock. The dividend is payable on June 16, 2010 to shareholders of record on May 28, 2010 and is expected to be approximately $66 million in the aggregate. We expect quarterly dividends to continue at $0.22 per share, although they remain subject to declaration or change by our Board of Directors. The payment of future dividends, if any, will be based on several factors including our financial performance, outlook and liquidity.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common stock repurchase program has been in place since August 2004. In the aggregate, the Board of Directors has authorized us to repurchase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 billion of our common stock under the program. Under the program, we may repurchase outstanding shares of our common stock from time to time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open market and through privately negotiated transactions. Unless terminated earlier by resolution of our Board of Directors, the repurchase program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expire when we have repurchased all shares authorized under the program. As of May 1, 2010, we had repurchased a total of approximately 114.7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for approximately $3,908.4 million under this program. An additional $91.6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remains under the current authorized program. The repurchased shares are held as authorized but unissued shares of common stock. We also from time to time repurchase shares in settlement of employee tax withholding obligations due upon the vesting of restricted stock or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June 30, 2009, we issued $375 million aggregate principal amount of 5.0% senior unsecured notes due July 1, 2014 (the Notes) with annual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payments of 5.0% paid in two installments on January 1 and July 1 of each year, commencing January 1, 2010. The net proceeds of the offering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$370.4 million, after issuing at a discount and deducting expenses, underwriting discounts and commissions, which will be amortized over the term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 swapped the fixed interest portion of these Notes for a variable interest rate based on the three-month LIBOR plus 2.05% (2.34% as of May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The variable interest payments based on the variable annual rate are payable quarterly. The LIBOR based rate is set quarterly three months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interest payment. The indenture governing the Notes contains covenants that may limit our ability to: incur, create, assume or guarantee any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borrowed money secured by a lien upon a principal property; enter into sale and lease-back transactions with respect to a principal property;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consolidate with or merge into, or transfer or lease all or substantially all of our assets to any other party. In addition, we have a five-year $165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unsecured revolving credit facility that expires in May 2013. To date, we have not borrowed under this credit facility but we may borrow in the future and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proceeds for support of commercial paper issuance, stock repurchases, dividend payments, acquisitions, capital expenditures, working capital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lawful corporate purposes.</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At May 1, 2010, our principal source of liquidity was $2,386.7 million of cash and cash equivalents and short-term investments. As of May 1, 2010, approximately $728 million of our cash and cash equivalents and short-term investments was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w:t>
      </w:r>
    </w:p>
    <w:p>
      <w:pPr>
        <w:spacing w:after="0" w:line="80"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The volatility in the credit markets has generally diminished liquidity and capital availability in worldwide markets. While there are signs that conditions may be improving, there is no certainty that the current tentative recovery in credit and financial markets will continue. We are unable to predict the likely duration of the tentative recovery in the credit and financial markets.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There have not been any material changes during the six months of fiscal 2010 to the amounts presented in the table summarizing our contractual obligations included in our Annual Report on Form 10-K for the year ended October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 xml:space="preserve">In February 2010, FASB issued ASU No. 2010-09, </w:t>
      </w:r>
      <w:r>
        <w:rPr>
          <w:rFonts w:ascii="Arial" w:cs="Arial" w:eastAsia="Arial" w:hAnsi="Arial"/>
          <w:sz w:val="17"/>
          <w:szCs w:val="17"/>
          <w:i w:val="1"/>
          <w:iCs w:val="1"/>
          <w:color w:val="auto"/>
        </w:rPr>
        <w:t>Amendments to Certain Recognition and Disclosure Requirements (ASC Topic 855) — Subsequent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Events. </w:t>
      </w:r>
      <w:r>
        <w:rPr>
          <w:rFonts w:ascii="Arial" w:cs="Arial" w:eastAsia="Arial" w:hAnsi="Arial"/>
          <w:sz w:val="17"/>
          <w:szCs w:val="17"/>
          <w:color w:val="auto"/>
        </w:rPr>
        <w:t>The ASU amends the subsequent events disclosure guidance. The amendments include a definition of an SEC filer, require an SEC filer to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events through the date the financial statements are issued, and remove the requirement for an SEC filer to disclose the date through which subsequent events have been evaluated. ASU 2010-09 was effective upon issuance. The adoption of this guidance required additional disclosures but did not have a material impact on our consolidated results of operations and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In January 2010, FASB issued ASU No. 2010-06, </w:t>
      </w:r>
      <w:r>
        <w:rPr>
          <w:rFonts w:ascii="Arial" w:cs="Arial" w:eastAsia="Arial" w:hAnsi="Arial"/>
          <w:sz w:val="18"/>
          <w:szCs w:val="18"/>
          <w:i w:val="1"/>
          <w:iCs w:val="1"/>
          <w:color w:val="auto"/>
        </w:rPr>
        <w:t>Fair Value Measurements and Disclosures (ASC Topic 820) — 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The ASU requires new disclosures about transfers into and out of Levels 1 and 2 and separate disclosures about purchases, sales, issuances,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settlements relating to Level 3 measurements. It also clarifies existing fair value disclosures about the level of disaggregation and about inputs and valuation techniques used to measure fair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value. The new disclosures and clarifications of existing disclosures were effective for our first quarter of fiscal year 2010, except for the disclosures about purchases, sales, issuances, and settlements relating to Level 3 measurements, which are effective for our first quarter of fiscal year 2012. The adoption of this guidance required additional disclosures but did not have a material impact on our consolidated results of operations and financial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That Include Software Elements</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2009-14 —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xml:space="preserve"> (formerly EITF Issue No. 09-3). This standard removes tangible products from the scope of software revenue recognition guidance and also 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our fiscal year 2011. We are currently evaluating the impact, if any, that ASU No. 2009-14 may have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2009-13 — </w:t>
      </w:r>
      <w:r>
        <w:rPr>
          <w:rFonts w:ascii="Arial" w:cs="Arial" w:eastAsia="Arial" w:hAnsi="Arial"/>
          <w:sz w:val="17"/>
          <w:szCs w:val="17"/>
          <w:i w:val="1"/>
          <w:iCs w:val="1"/>
          <w:color w:val="auto"/>
        </w:rPr>
        <w:t>Revenue Recognition (Topic 605): Multiple-Deliverable Revenue Arrangements</w:t>
      </w:r>
      <w:r>
        <w:rPr>
          <w:rFonts w:ascii="Arial" w:cs="Arial" w:eastAsia="Arial" w:hAnsi="Arial"/>
          <w:sz w:val="17"/>
          <w:szCs w:val="17"/>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our fiscal year 2011. We are currently evaluating the impact, if any, that ASU No. 2009-13 may have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In December 2009, the FASB issued ASU No. 2009-17 — Consolidations (Topic 810): </w:t>
      </w:r>
      <w:r>
        <w:rPr>
          <w:rFonts w:ascii="Arial" w:cs="Arial" w:eastAsia="Arial" w:hAnsi="Arial"/>
          <w:sz w:val="18"/>
          <w:szCs w:val="18"/>
          <w:i w:val="1"/>
          <w:iCs w:val="1"/>
          <w:color w:val="auto"/>
        </w:rPr>
        <w:t>Improvements to Financial Reporting by Enterprises Involved with</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which amends ASC 810,</w:t>
      </w:r>
      <w:r>
        <w:rPr>
          <w:rFonts w:ascii="Arial" w:cs="Arial" w:eastAsia="Arial" w:hAnsi="Arial"/>
          <w:sz w:val="18"/>
          <w:szCs w:val="18"/>
          <w:i w:val="1"/>
          <w:iCs w:val="1"/>
          <w:color w:val="auto"/>
        </w:rPr>
        <w:t xml:space="preserve"> Consolidation</w:t>
      </w:r>
      <w:r>
        <w:rPr>
          <w:rFonts w:ascii="Arial" w:cs="Arial" w:eastAsia="Arial" w:hAnsi="Arial"/>
          <w:sz w:val="18"/>
          <w:szCs w:val="18"/>
          <w:color w:val="auto"/>
        </w:rPr>
        <w:t>. This standard requires an enterprise to perform an analysis to determine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that begin after November 15, 2009, which is our fiscal year 2011. We are currently evaluating the impact, if any, that ASU No. 2009-17 may have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 xml:space="preserve">In June 2009, the FASB issued ASU No. 2009-16, </w:t>
      </w:r>
      <w:r>
        <w:rPr>
          <w:rFonts w:ascii="Arial" w:cs="Arial" w:eastAsia="Arial" w:hAnsi="Arial"/>
          <w:sz w:val="18"/>
          <w:szCs w:val="18"/>
          <w:i w:val="1"/>
          <w:iCs w:val="1"/>
          <w:color w:val="auto"/>
        </w:rPr>
        <w:t>Accounting for Transfers of Financial Assets,</w:t>
      </w:r>
      <w:r>
        <w:rPr>
          <w:rFonts w:ascii="Arial" w:cs="Arial" w:eastAsia="Arial" w:hAnsi="Arial"/>
          <w:sz w:val="18"/>
          <w:szCs w:val="18"/>
          <w:color w:val="auto"/>
        </w:rPr>
        <w:t xml:space="preserve"> (Topic 820)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standard changes the way entities account for securitizations and other transfers of financial instruments. ASU No. 2009-16 is effective for fiscal years that begin after November 15, 2009, which is our fiscal year 2011. We are currently evaluating the impact, if any, that ASU No. 2009-16 may have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There were no material changes in the the first six months of fiscal 2010 to the information provided under the heading “Critical Accounting Policies and Estimates” included in our Annual Report on Form 10-K for the fiscal year ended October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There have been no material changes in the first six months of fiscal 2010 in the information provided under Item 7A. “Quantitative and Qualitative Disclosures about Market Risk” set forth in our Annual Report on Form 10-K for the year ended October 31, 2009.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May 1, 2010.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1, 2010,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May 1, 2010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31, 2009 and “Part II, Item 1A. Risk Factors” of our Quarterly Report on Form 10-Q for the quarter ended January 30, 2010.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affecting our business and results of operations.</w:t>
      </w:r>
    </w:p>
    <w:p>
      <w:pPr>
        <w:spacing w:after="0" w:line="117"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Global credit and financial markets appear to be recovering from extreme disruptions experienced over the past eighteen months. However, uncertainty about continuing economic stability remains. Our business was significantly affected by the global economic crisis. While there are signs that conditions are improving, there is no certainty that the current tentative recovery in credit and financial markets will continue. These economic uncertainties affect businesses such as ours in a number of ways, making it difficult to accurately forecast and plan our future business activities. High unemployment rates, continued weakness in commercial and residential real estate markets and the continued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in key industries, such as the automotive industry, could also negatively impact our revenues and our ability to collect receivables. In addition, financial difficulties experienced by our suppliers or distributors could result in product delays, increased accounts receivable defaults and inventory challenges. The financial turmoil could cause financial institutions to consolidate or go out of business, which increases the risk that the actual amounts realized in the future on our financial instruments could differ significantly from the fair value assigned to them. During the global financial crisis, many governments adopted stimulus or spending programs designed to ease the economic impact of the crisis. Some of our businesses benefited from these stimulus programs and as these programs conclude, those businesses could be negatively impacted. The recent debt crisis in certain European countries could cause the value of the Euro to deteriorate, thus reducing the purchasing power of our European customers. In addition, the European debt crisis and related financial restructuring efforts are contributing to the instability in global credit markets. We are unable to predict the impact of these events on the apparent economic recovery, and if economic conditions deteriorate again, we may record additional charges relating to restructuring costs or the impairment of assets and our business and results of operations could be materially and adversely affected.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ability of our third party suppliers, subcontractors and manufactures to supply us with sufficient quantities of products or components;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number of factors may increase our future effective tax rate, including: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connection with acquisitions; changes in available tax credits; and changes in tax laws or the interpretation of such tax laws. Any significant increase in our future effective tax rates could adversely impact our net income for future periods.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other companies offer products that compete with our products. Some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and assembly and test services, and generally cannot control their availability or conditions of supply.</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rely, and plan to continue to rely, on suppliers, assembly and test subcontractors, and third-party wafer fabricators to supply most of our wafers that can be manufactured using industry-standard submicron processes. This reliance involves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several risks, including reduced control over availability, capacity utilization, delivery schedules, manufacturing yields, and costs. Additionally, we utilize a limited number of third-party wafer fabricators, primarily Taiwan Semiconductor Manufacturing Company, or TSMC.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 components to us on the time schedule and of the quality or quantity that we require, we may be forced to seek to engage additional or replacement suppliers, which could result in additional expenses and delays in product development or shipment of product to our customers. If replacement suppliers are not available, we may also experience delays in product development or shipment which could, in turn, result in the temporary or permanent loss of customers. Approximately 48% of our revenue for the first six months of fiscal 2010 and approximately 49% of our fiscal 2009 revenue was from products fabricated at third-party wafer-fabrication facilities, primarily TSMC.</w:t>
      </w:r>
    </w:p>
    <w:p>
      <w:pPr>
        <w:spacing w:after="0" w:line="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There can be no assurance that we are adequately insured to protect against all claims and potential liabilities.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75"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including claims arising under our contractual obligations to indemnify our customers. Other companies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w:t>
      </w:r>
    </w:p>
    <w:p>
      <w:pPr>
        <w:spacing w:after="0" w:line="5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40" w:firstLine="215"/>
        <w:spacing w:after="0" w:line="271"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able to find financing on favorable terms, and the sale of our stock may result in the dilution of our existing shareholders or the issuance of securities with rights that are superior to the rights of our common shareholders.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could result in a temporary or permanent loss of customers for affected products, which could have a material adverse effect on our results of operations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We have significant operations and manufacturing facilities outside the United States, including in Ireland and the Philippines. During the first six months of fiscal 2010, approximately 81%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States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89"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export tariffs, currency controls, environmental regulations,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industry is subject to increasingly strict environmental regulations that control and restrict the use, transportation, emission, discharge, storage and disposal of certain chemicals, gases and other substances used or produced in the semiconductor manufacturing process. Public attention on environmental controls has continued to increase, and our customers routinely include stringent environmental standards in their contracts with us. Changes in environmental regulations may require us to invest in potentially costly pollution control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or contractual obligations could increase our expenses and adversely affect our operating results.</w:t>
      </w:r>
    </w:p>
    <w:p>
      <w:pPr>
        <w:spacing w:after="0" w:line="8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New climate change regulations could require us to change our manufacturing processes or obtain substitute materials that may cost more or be less available for our manufacturing operations. In addition, new restrictions on carbon dioxide or other greenhouse gas emissions could result in significant costs for us. Greenhouse gas legislation has been enacted in Massachusetts and may be introduced this year in the U.S. Congress. The U.S. Environmental Protection Agency is preparing reporting regulations that are likely to apply to us. We expect increased worldwide regulatory activity on this topic in the future. The cost of complying, or of failing to comply, with these and other climate change and emissions regulations could have an adverse effect on our business plans and operating results.</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$375 million senior unsecured notes.</w:t>
      </w:r>
    </w:p>
    <w:p>
      <w:pPr>
        <w:spacing w:after="0" w:line="62"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In fiscal 2009, we issued in a public offering $375 million aggregate principal amount of 5.0% senior unsecured notes due July 1, 2014.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46"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seek additional financing in the debt or equity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refinance or restructure all or a portion of our indebtedness, including the notes;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sell selected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reduce or delay planned capital expenditures;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reduce or delay planned operating expenditures.</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available on economically favorable terms.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credit facility and outstanding debt instruments may limit our activities.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Our current credit facility and our 5.0%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facility requires us to maintain compliance with specified financial ratios. If we breach any of the covenants under our credit facility or the indenture governing our outstanding notes and do not obtain appropriate waivers, then, subject to applicable cure periods, our outstanding indebtedness thereunder could be declared immediately due and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crises in global credit, debt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81"/>
              <w:spacing w:after="0"/>
              <w:rPr>
                <w:sz w:val="20"/>
                <w:szCs w:val="20"/>
                <w:color w:val="auto"/>
              </w:rPr>
            </w:pPr>
            <w:r>
              <w:rPr>
                <w:rFonts w:ascii="Arial" w:cs="Arial" w:eastAsia="Arial" w:hAnsi="Arial"/>
                <w:sz w:val="14"/>
                <w:szCs w:val="14"/>
                <w:color w:val="auto"/>
                <w:w w:val="97"/>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1"/>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Shares Purchased as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6"/>
              </w:rPr>
              <w:t>Part of Publicly</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89"/>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Average Price</w:t>
            </w:r>
          </w:p>
        </w:tc>
        <w:tc>
          <w:tcPr>
            <w:tcW w:w="5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Announced Plans or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0"/>
              </w:rPr>
              <w:t>the Plans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Borders>
              <w:bottom w:val="single" w:sz="8" w:color="auto"/>
            </w:tcBorders>
          </w:tcPr>
          <w:p>
            <w:pPr>
              <w:ind w:left="1640"/>
              <w:spacing w:after="0"/>
              <w:rPr>
                <w:sz w:val="20"/>
                <w:szCs w:val="20"/>
                <w:color w:val="auto"/>
              </w:rPr>
            </w:pPr>
            <w:r>
              <w:rPr>
                <w:rFonts w:ascii="Arial" w:cs="Arial" w:eastAsia="Arial" w:hAnsi="Arial"/>
                <w:sz w:val="14"/>
                <w:szCs w:val="14"/>
                <w:color w:val="auto"/>
              </w:rPr>
              <w:t>Period</w:t>
            </w:r>
          </w:p>
        </w:tc>
        <w:tc>
          <w:tcPr>
            <w:tcW w:w="5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color w:val="auto"/>
                <w:w w:val="93"/>
              </w:rPr>
              <w:t>(a)</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91"/>
              </w:rPr>
              <w:t>Paid Per Share (b)</w:t>
            </w:r>
          </w:p>
        </w:tc>
        <w:tc>
          <w:tcPr>
            <w:tcW w:w="560" w:type="dxa"/>
            <w:vAlign w:val="bottom"/>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Programs (c)</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2"/>
              </w:rPr>
              <w:t>Programs (d)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January 31, 2010 through February 27, 2010</w:t>
            </w: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2,448</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28.40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ind w:right="101"/>
              <w:spacing w:after="0"/>
              <w:rPr>
                <w:sz w:val="20"/>
                <w:szCs w:val="20"/>
                <w:color w:val="auto"/>
              </w:rPr>
            </w:pPr>
            <w:r>
              <w:rPr>
                <w:rFonts w:ascii="Arial" w:cs="Arial" w:eastAsia="Arial" w:hAnsi="Arial"/>
                <w:sz w:val="18"/>
                <w:szCs w:val="18"/>
                <w:color w:val="auto"/>
                <w:w w:val="90"/>
              </w:rPr>
              <w:t>91,614,067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February 28, 2010 through March 27, 2010</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right="101"/>
              <w:spacing w:after="0"/>
              <w:rPr>
                <w:sz w:val="20"/>
                <w:szCs w:val="20"/>
                <w:color w:val="auto"/>
              </w:rPr>
            </w:pPr>
            <w:r>
              <w:rPr>
                <w:rFonts w:ascii="Arial" w:cs="Arial" w:eastAsia="Arial" w:hAnsi="Arial"/>
                <w:sz w:val="18"/>
                <w:szCs w:val="18"/>
                <w:color w:val="auto"/>
                <w:w w:val="90"/>
              </w:rPr>
              <w:t>91,614,067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March 28, 2010 through May 1, 2010</w:t>
            </w: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30.29</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ind w:right="101"/>
              <w:spacing w:after="0"/>
              <w:rPr>
                <w:sz w:val="20"/>
                <w:szCs w:val="20"/>
                <w:color w:val="auto"/>
              </w:rPr>
            </w:pPr>
            <w:r>
              <w:rPr>
                <w:rFonts w:ascii="Arial" w:cs="Arial" w:eastAsia="Arial" w:hAnsi="Arial"/>
                <w:sz w:val="18"/>
                <w:szCs w:val="18"/>
                <w:color w:val="auto"/>
                <w:w w:val="90"/>
              </w:rPr>
              <w:t>91,614,067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1000" w:type="dxa"/>
            <w:vAlign w:val="bottom"/>
            <w:gridSpan w:val="2"/>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76"/>
              <w:spacing w:after="0"/>
              <w:rPr>
                <w:sz w:val="20"/>
                <w:szCs w:val="20"/>
                <w:color w:val="auto"/>
              </w:rPr>
            </w:pPr>
            <w:r>
              <w:rPr>
                <w:rFonts w:ascii="Arial" w:cs="Arial" w:eastAsia="Arial" w:hAnsi="Arial"/>
                <w:sz w:val="18"/>
                <w:szCs w:val="18"/>
                <w:color w:val="auto"/>
              </w:rPr>
              <w:t>28.52</w:t>
            </w:r>
          </w:p>
        </w:tc>
        <w:tc>
          <w:tcPr>
            <w:tcW w:w="5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center"/>
              <w:ind w:right="101"/>
              <w:spacing w:after="0"/>
              <w:rPr>
                <w:sz w:val="20"/>
                <w:szCs w:val="20"/>
                <w:color w:val="auto"/>
              </w:rPr>
            </w:pPr>
            <w:r>
              <w:rPr>
                <w:rFonts w:ascii="Arial" w:cs="Arial" w:eastAsia="Arial" w:hAnsi="Arial"/>
                <w:sz w:val="18"/>
                <w:szCs w:val="18"/>
                <w:color w:val="auto"/>
                <w:w w:val="90"/>
              </w:rPr>
              <w:t>91,614,067</w:t>
            </w: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2,623</w:t>
            </w:r>
          </w:p>
        </w:tc>
        <w:tc>
          <w:tcPr>
            <w:tcW w:w="20" w:type="dxa"/>
            <w:vAlign w:val="bottom"/>
            <w:tcBorders>
              <w:bottom w:val="single" w:sz="8" w:color="auto"/>
            </w:tcBorders>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42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2,623 shares surrendered to us to satisfy the exercise price of options, and to satisfy employee tax obligations upon vesting of restricted stock, granted to them under our equity compensation plans.</w:t>
      </w:r>
    </w:p>
    <w:p>
      <w:pPr>
        <w:spacing w:after="0" w:line="21"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stock price for each share surrendered to us to satisfy the exercise price of options, and to satisfy employee tax obligations upon vesting of restricted stock, granted to them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were no repurchases pursuant to our stock repurchase program.</w:t>
      </w:r>
    </w:p>
    <w:p>
      <w:pPr>
        <w:spacing w:after="0" w:line="76" w:lineRule="exact"/>
        <w:rPr>
          <w:rFonts w:ascii="Arial" w:cs="Arial" w:eastAsia="Arial" w:hAnsi="Arial"/>
          <w:sz w:val="18"/>
          <w:szCs w:val="18"/>
          <w:color w:val="auto"/>
        </w:rPr>
      </w:pPr>
    </w:p>
    <w:p>
      <w:pPr>
        <w:ind w:left="460" w:right="20" w:hanging="452"/>
        <w:spacing w:after="0" w:line="27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May 18, 2010</w:t>
      </w:r>
      <w:r>
        <w:rPr>
          <w:sz w:val="20"/>
          <w:szCs w:val="20"/>
          <w:color w:val="auto"/>
        </w:rPr>
        <w:tab/>
      </w:r>
      <w:r>
        <w:rPr>
          <w:rFonts w:ascii="Arial" w:cs="Arial" w:eastAsia="Arial" w:hAnsi="Arial"/>
          <w:sz w:val="16"/>
          <w:szCs w:val="16"/>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864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May 18, 2010</w:t>
      </w:r>
      <w:r>
        <w:rPr>
          <w:sz w:val="20"/>
          <w:szCs w:val="20"/>
          <w:color w:val="auto"/>
        </w:rPr>
        <w:tab/>
      </w:r>
      <w:r>
        <w:rPr>
          <w:rFonts w:ascii="Arial" w:cs="Arial" w:eastAsia="Arial" w:hAnsi="Arial"/>
          <w:sz w:val="17"/>
          <w:szCs w:val="17"/>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864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6"/>
                <w:szCs w:val="16"/>
                <w:color w:val="auto"/>
              </w:rPr>
            </w:pPr>
          </w:p>
        </w:tc>
        <w:tc>
          <w:tcPr>
            <w:tcW w:w="10260" w:type="dxa"/>
            <w:vAlign w:val="bottom"/>
            <w:gridSpan w:val="3"/>
          </w:tcPr>
          <w:p>
            <w:pPr>
              <w:spacing w:after="0" w:line="195" w:lineRule="exact"/>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Executive Officer).</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Financial Officer).</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months and six months ended May 1, 2010 and May 2, 2009, (ii) Condensed Consolidated Balance Sheets at May 1, 2010 and October 31, 2009, (iii) Condensed Consolidated Statements of Cash Flows for the six months ended May 1, 2010 and May 2, 2009 and (iv) Notes to Condensed Consolidated Financial Statements.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ectPr>
          <w:pgSz w:w="11900" w:h="16838" w:orient="portrait"/>
          <w:cols w:equalWidth="0" w:num="1">
            <w:col w:w="11420"/>
          </w:cols>
          <w:pgMar w:left="240" w:top="41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18,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Zinsner, certify that:</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18,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1, 2010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18,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1, 2010 as filed with the Securities and Exchange Commission on the date hereof (the “Report”), the undersigned, David Zinsner, Chief Financial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18,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2019-12-09T22:13:43Z</dcterms:created>
  <dcterms:modified xsi:type="dcterms:W3CDTF">2019-12-09T22:13:43Z</dcterms:modified>
</cp:coreProperties>
</file>