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8"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10-K</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8" w:lineRule="exact"/>
        <w:rPr>
          <w:sz w:val="24"/>
          <w:szCs w:val="24"/>
          <w:color w:val="auto"/>
        </w:rPr>
      </w:pPr>
    </w:p>
    <w:p>
      <w:pPr>
        <w:ind w:left="448" w:right="3279" w:hanging="448"/>
        <w:spacing w:after="0" w:line="243"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5"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FOR THE FISCAL YEAR ENDED OCTOBER 28, 2000</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448" w:right="3739" w:hanging="448"/>
        <w:spacing w:after="0" w:line="243" w:lineRule="auto"/>
        <w:tabs>
          <w:tab w:leader="none" w:pos="17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7"/>
          </w:cols>
          <w:pgMar w:left="232" w:top="233" w:right="1440" w:bottom="450" w:gutter="0" w:footer="0" w:header="0"/>
        </w:sectPr>
      </w:pPr>
    </w:p>
    <w:p>
      <w:pPr>
        <w:spacing w:after="0" w:line="176" w:lineRule="exact"/>
        <w:rPr>
          <w:sz w:val="24"/>
          <w:szCs w:val="24"/>
          <w:color w:val="auto"/>
        </w:rPr>
      </w:pPr>
    </w:p>
    <w:p>
      <w:pPr>
        <w:ind w:left="116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7" w:lineRule="exact"/>
        <w:rPr>
          <w:sz w:val="24"/>
          <w:szCs w:val="24"/>
          <w:color w:val="auto"/>
        </w:rPr>
      </w:pPr>
    </w:p>
    <w:p>
      <w:pPr>
        <w:sectPr>
          <w:pgSz w:w="11900" w:h="16838" w:orient="portrait"/>
          <w:cols w:equalWidth="0" w:num="2">
            <w:col w:w="4148" w:space="720"/>
            <w:col w:w="5359"/>
          </w:cols>
          <w:pgMar w:left="232" w:top="233" w:right="1440" w:bottom="450" w:gutter="0" w:footer="0" w:header="0"/>
          <w:type w:val="continuous"/>
        </w:sectPr>
      </w:pPr>
    </w:p>
    <w:p>
      <w:pPr>
        <w:jc w:val="center"/>
        <w:ind w:right="3012"/>
        <w:spacing w:after="0"/>
        <w:rPr>
          <w:sz w:val="20"/>
          <w:szCs w:val="20"/>
          <w:color w:val="auto"/>
        </w:rPr>
      </w:pPr>
      <w:r>
        <w:rPr>
          <w:rFonts w:ascii="Courier New" w:cs="Courier New" w:eastAsia="Courier New" w:hAnsi="Courier New"/>
          <w:sz w:val="15"/>
          <w:szCs w:val="15"/>
          <w:color w:val="auto"/>
        </w:rPr>
        <w:t>COMMISSION FILE NO. 1-7819</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3" w:right="1440" w:bottom="45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MASSACHUSETTS</w:t>
      </w:r>
    </w:p>
    <w:p>
      <w:pPr>
        <w:spacing w:after="0" w:line="3"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04-2348234</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8" w:lineRule="exact"/>
        <w:rPr>
          <w:sz w:val="24"/>
          <w:szCs w:val="24"/>
          <w:color w:val="auto"/>
        </w:rPr>
      </w:pPr>
    </w:p>
    <w:p>
      <w:pPr>
        <w:sectPr>
          <w:pgSz w:w="11900" w:h="16838" w:orient="portrait"/>
          <w:cols w:equalWidth="0" w:num="2">
            <w:col w:w="4688" w:space="720"/>
            <w:col w:w="4819"/>
          </w:cols>
          <w:pgMar w:left="232" w:top="233" w:right="1440" w:bottom="450" w:gutter="0" w:footer="0" w:header="0"/>
          <w:type w:val="continuous"/>
        </w:sectPr>
      </w:pPr>
    </w:p>
    <w:p>
      <w:pPr>
        <w:ind w:left="188" w:right="1260" w:firstLine="451"/>
        <w:spacing w:after="0" w:line="278" w:lineRule="auto"/>
        <w:rPr>
          <w:sz w:val="20"/>
          <w:szCs w:val="20"/>
          <w:color w:val="auto"/>
        </w:rPr>
      </w:pPr>
      <w:r>
        <w:rPr>
          <w:rFonts w:ascii="Courier New" w:cs="Courier New" w:eastAsia="Courier New" w:hAnsi="Courier New"/>
          <w:sz w:val="14"/>
          <w:szCs w:val="14"/>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02062-9106</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35" w:lineRule="exact"/>
        <w:rPr>
          <w:sz w:val="24"/>
          <w:szCs w:val="24"/>
          <w:color w:val="auto"/>
        </w:rPr>
      </w:pPr>
    </w:p>
    <w:p>
      <w:pPr>
        <w:sectPr>
          <w:pgSz w:w="11900" w:h="16838" w:orient="portrait"/>
          <w:cols w:equalWidth="0" w:num="2">
            <w:col w:w="5048" w:space="720"/>
            <w:col w:w="4459"/>
          </w:cols>
          <w:pgMar w:left="232" w:top="233" w:right="1440" w:bottom="450" w:gutter="0" w:footer="0" w:header="0"/>
          <w:type w:val="continuous"/>
        </w:sectPr>
      </w:pPr>
    </w:p>
    <w:p>
      <w:pPr>
        <w:spacing w:after="0" w:line="125"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(781) 329-4700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908"/>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7"/>
          </w:cols>
          <w:pgMar w:left="232" w:top="233" w:right="1440" w:bottom="45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jc w:val="center"/>
        <w:ind w:left="348"/>
        <w:spacing w:after="0"/>
        <w:rPr>
          <w:sz w:val="20"/>
          <w:szCs w:val="20"/>
          <w:color w:val="auto"/>
        </w:rPr>
      </w:pPr>
      <w:r>
        <w:rPr>
          <w:rFonts w:ascii="Courier New" w:cs="Courier New" w:eastAsia="Courier New" w:hAnsi="Courier New"/>
          <w:sz w:val="15"/>
          <w:szCs w:val="15"/>
          <w:color w:val="auto"/>
        </w:rPr>
        <w:t>COMMON STOCK $.16 2/3 PAR VALUE</w:t>
      </w:r>
    </w:p>
    <w:p>
      <w:pPr>
        <w:spacing w:after="0" w:line="3" w:lineRule="exact"/>
        <w:rPr>
          <w:sz w:val="24"/>
          <w:szCs w:val="24"/>
          <w:color w:val="auto"/>
        </w:rPr>
      </w:pPr>
    </w:p>
    <w:p>
      <w:pPr>
        <w:jc w:val="center"/>
        <w:ind w:left="348"/>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5"/>
          <w:szCs w:val="15"/>
          <w:color w:val="auto"/>
        </w:rPr>
        <w:t>NEW YORK STOCK EXCHANGE</w:t>
      </w:r>
    </w:p>
    <w:p>
      <w:pPr>
        <w:spacing w:after="0" w:line="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210" w:lineRule="exact"/>
        <w:rPr>
          <w:sz w:val="24"/>
          <w:szCs w:val="24"/>
          <w:color w:val="auto"/>
        </w:rPr>
      </w:pPr>
    </w:p>
    <w:p>
      <w:pPr>
        <w:sectPr>
          <w:pgSz w:w="11900" w:h="16838" w:orient="portrait"/>
          <w:cols w:equalWidth="0" w:num="2">
            <w:col w:w="3708" w:space="720"/>
            <w:col w:w="5799"/>
          </w:cols>
          <w:pgMar w:left="232" w:top="233" w:right="1440" w:bottom="450" w:gutter="0" w:footer="0" w:header="0"/>
          <w:type w:val="continuous"/>
        </w:sectPr>
      </w:pPr>
    </w:p>
    <w:p>
      <w:pPr>
        <w:spacing w:after="0" w:line="150"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NONE</w:t>
      </w:r>
    </w:p>
    <w:p>
      <w:pPr>
        <w:spacing w:after="0" w:line="178" w:lineRule="exact"/>
        <w:rPr>
          <w:sz w:val="24"/>
          <w:szCs w:val="24"/>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177" w:lineRule="exact"/>
        <w:rPr>
          <w:sz w:val="24"/>
          <w:szCs w:val="24"/>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7" w:lineRule="exact"/>
        <w:rPr>
          <w:sz w:val="24"/>
          <w:szCs w:val="24"/>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approximately $18,099,985,739 based on the closing price of the Common Stock on the New York Stock Exchange Composite Tape reporting system on December 31, 2000.</w:t>
      </w:r>
    </w:p>
    <w:p>
      <w:pPr>
        <w:spacing w:after="0" w:line="176" w:lineRule="exact"/>
        <w:rPr>
          <w:sz w:val="24"/>
          <w:szCs w:val="24"/>
          <w:color w:val="auto"/>
        </w:rPr>
      </w:pPr>
    </w:p>
    <w:p>
      <w:pPr>
        <w:ind w:left="8" w:right="3459" w:firstLine="361"/>
        <w:spacing w:after="0" w:line="243" w:lineRule="auto"/>
        <w:rPr>
          <w:sz w:val="20"/>
          <w:szCs w:val="20"/>
          <w:color w:val="auto"/>
        </w:rPr>
      </w:pPr>
      <w:r>
        <w:rPr>
          <w:rFonts w:ascii="Courier New" w:cs="Courier New" w:eastAsia="Courier New" w:hAnsi="Courier New"/>
          <w:sz w:val="15"/>
          <w:szCs w:val="15"/>
          <w:color w:val="auto"/>
        </w:rPr>
        <w:t>As of December 31, 2000, there were 358,137,276 shares of $0.16 2/3 par value Common Stock outstanding.</w:t>
      </w:r>
    </w:p>
    <w:p>
      <w:pPr>
        <w:spacing w:after="0" w:line="175"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200" w:lineRule="exact"/>
        <w:rPr>
          <w:sz w:val="24"/>
          <w:szCs w:val="24"/>
          <w:color w:val="auto"/>
        </w:rPr>
      </w:pPr>
    </w:p>
    <w:p>
      <w:pPr>
        <w:spacing w:after="0" w:line="32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DOCUMENT</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10-K PART</w:t>
            </w:r>
          </w:p>
        </w:tc>
      </w:tr>
      <w:tr>
        <w:trPr>
          <w:trHeight w:val="173"/>
        </w:trPr>
        <w:tc>
          <w:tcPr>
            <w:tcW w:w="5440" w:type="dxa"/>
            <w:vAlign w:val="bottom"/>
            <w:gridSpan w:val="2"/>
          </w:tcPr>
          <w:p>
            <w:pPr>
              <w:jc w:val="right"/>
              <w:ind w:right="176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26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Portions of Annual Report to</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Shareholders for the fiscal</w:t>
            </w:r>
          </w:p>
        </w:tc>
        <w:tc>
          <w:tcPr>
            <w:tcW w:w="960" w:type="dxa"/>
            <w:vAlign w:val="bottom"/>
          </w:tcPr>
          <w:p>
            <w:pPr>
              <w:spacing w:after="0"/>
              <w:rPr>
                <w:sz w:val="24"/>
                <w:szCs w:val="24"/>
                <w:color w:val="auto"/>
              </w:rPr>
            </w:pPr>
          </w:p>
        </w:tc>
      </w:tr>
      <w:tr>
        <w:trPr>
          <w:trHeight w:val="173"/>
        </w:trPr>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year ended October 28, 2000</w:t>
            </w:r>
          </w:p>
        </w:tc>
        <w:tc>
          <w:tcPr>
            <w:tcW w:w="284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I and II</w:t>
            </w:r>
          </w:p>
        </w:tc>
      </w:tr>
      <w:tr>
        <w:trPr>
          <w:trHeight w:val="173"/>
        </w:trPr>
        <w:tc>
          <w:tcPr>
            <w:tcW w:w="26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Portions of the Registrant's</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Proxy Statement for the Annual</w:t>
            </w:r>
          </w:p>
        </w:tc>
        <w:tc>
          <w:tcPr>
            <w:tcW w:w="960" w:type="dxa"/>
            <w:vAlign w:val="bottom"/>
          </w:tcPr>
          <w:p>
            <w:pPr>
              <w:spacing w:after="0"/>
              <w:rPr>
                <w:sz w:val="15"/>
                <w:szCs w:val="15"/>
                <w:color w:val="auto"/>
              </w:rPr>
            </w:pPr>
          </w:p>
        </w:tc>
      </w:tr>
      <w:tr>
        <w:trPr>
          <w:trHeight w:val="173"/>
        </w:trPr>
        <w:tc>
          <w:tcPr>
            <w:tcW w:w="2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Meeting of Stockholders to</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be held March 13, 2001</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III</w:t>
            </w:r>
          </w:p>
        </w:tc>
      </w:tr>
    </w:tbl>
    <w:p>
      <w:pPr>
        <w:spacing w:after="0" w:line="351" w:lineRule="exact"/>
        <w:rPr>
          <w:sz w:val="24"/>
          <w:szCs w:val="2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3" w:right="1440" w:bottom="45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78"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We are a world leader in the design, manufacture and marketing of high-performance analog, mixed-signal and digital signal processing (DSP) integrated circuits (ICs) used in signal processing applications.</w:t>
      </w:r>
    </w:p>
    <w:p>
      <w:pPr>
        <w:spacing w:after="0" w:line="175"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We produce a wide array of products for a variety of customers and markets. Applications for our products include communications, cellular telephones, computers and computer peripherals, consumer electronics, automotive electronics, factory automation, process control and military and space systems.</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growing market for our communications products has emerged due to the rapid development of broadband and wireless communications infrastructure around the world combined with the development of the Internet. Our expertise in combining analog and digital functionality on a single chip has allowed us to develop products that fulfill the technological challenges of this complex and rapidly changing market.</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Increased interface between users and the PC through monitors, printers, scanners and audio devices and the increasing need for power and thermal management capability in PCs have provided us with many opportunities in the computer market. Our ability to integrate analog, DSP and mixed-signal functionality on ICs has enabled us to supply many critical high-performance components required by PC manufacturers.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acquisition and display of signals combined with the requirement for digital processing of these signals has allowed us to combine analog and digital design capability to provide solutions that conform to the rigorous cost, size and reliability constraints of the consumer electronics market. Examples of products that incorporate our technology are compact disc players, DVD players and digital camcorders and cameras.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serve the industrial market by providing data acquisition systems, automatic process control systems, robotics, environmental control systems and automatic test equipment. We also provide products to the instrumentation market for use in engineering, medical and scientific instruments.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Our products are sold worldwide through a direct sales force, third-party industrial distributors and independent sales representatives. We have direct sales offices in 19 countries, including the United States.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headquartered near Boston, in Norwood, Massachusetts, and have manufacturing facilities in Massachusetts, California, North Carolina, Ireland, the United Kingdom, the Philippines and Taiwan. Founded in 1965, we employ approximately 9,100 people worldwide. Our stock is listed on the New York Stock Exchange under the symbol ADI and is included in the Standard &amp; Poor's 500 Index.</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Real-world phenomena, such as temperature, pressure, sound, images, speed and acceleration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storage, display or further manipulation. The further manipulation of the signals after conversion to digital form is called "digital signal processing," or DSP. In addition, digital signals are frequently converted to analog form to provide signals for functions such as analog display, audio output or control. These manipulations and transformations are known collectively as "real-world signal processing."</w:t>
      </w:r>
    </w:p>
    <w:p>
      <w:pPr>
        <w:spacing w:after="0" w:line="18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Significant advances in semiconductor technology in recent years have led to substantial increases in the performance and functionality of ICs used in signal processing applications. These advances include the ability to combine analog and digital signal processing capability on a single chip to offer much more highly integrated solutions. The convergence of computing and communications requires end products that incorporate state-of-the-art signal-processing capability with as few chips as possible. Our products are used as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91"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components in equipment and systems to achieve higher performance, which includes higher speed and higher accuracy, and more efficient signal processing, while minimizing power consumption.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are engaged in the design, manufacture and marketing of a broad line of high-performance ICs that incorporate analog, mixed-signal and digital signal processing technologies that address a wide range of real-world signal processing applications. We have a generic list of approximately 2,000 products, with the highest revenue product accounting for approximately 4% of our revenue for fiscal 2000. Many of our products are proprietary, while equivalents to other products are available from a limited number of other suppliers. We also design, manufacture and market a range of assembled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APPLICATIONS</w:t>
      </w:r>
    </w:p>
    <w:p>
      <w:pPr>
        <w:spacing w:after="0" w:line="178"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The following describes some of the characteristics of, and products supplied to, each of our major markets: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COMMUNICATIONS -- The rapid development of broadband and wireless communications infrastructure around the world combined with the development of the Internet has created a rapidly growing market for our products. Communications technology involves the acquisition of analog signals that are converted from analog to digital and digital to analog form as they are processed and transmitted. Our expertise in combining analog and digital functionality on a single chip has enabled us to develop products that fulfill the technological challenges of this complex and rapidly expanding market space. The need for ever higher speed and reduced power consumption, coupled with more reliable, more bandwidth-efficient communications, is creating increasing demand for our products which are used in systems that include digital, analog and mixed-signal processing capability. The products are used in the full spectrum of signal processing for audio, data, image or video communication. In broadband and wireless communication applications, our products are incorporated into data and digital subscriber line (DSL) modems, cellular telephones, base station equipment and remote access servers. We are also engaged in the development of micromachined products that may result in all-optical switching elements for use in optical networks.</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COMPUTERS AND COMPUTER PERIPHERALS -- Increased interface between users and the PC through monitors, printers, scanners and audio devices and the increasing need for power and thermal management capability in PCs have provided many opportunities in the computer market. Our ability to integrate analog, DSP and mixed-signal functionality on ICs has enabled us to supply many high performance critical components required by PC manufacturers. The computer industry requires smaller, lighter personal computers, creating increased demand for high performance ICs to monitor power usage thereby allowing manufacturers to use smaller batteries and extend battery life between charges. We currently supply a variety of ICs used in this market for functions such as graphic displays, interfaces between PCs and peripherals such as modems and printers, power and battery management, and enhanced audio input and output capability for business and entertainment applications.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CONSUMER ELECTRONICS -- The acquisition and display of signals combined with the requirement for digital processing of these signals have allowed us to combine analog and digital design capability to provide solutions that conform to the rigorous cost, size and reliability constraints of the consumer electronics market. The emergence of high-performance consumer products, such as compact disc players, DVD players and digital camcorders and cameras, has led to the need for high-performance system-level ICs with a high level of specific functionality. The addition of monitoring and motor control devices on many consumer products has also created new opportunities for us.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INDUSTRIAL -- Our industrial market includes data acquisition systems, automatic process control systems, robotics, environmental control systems and automatic test equipment. These products generally require ICs that offer performance greater than that available from commodity-level ICs, but generally do not have production volumes that warrant custom or application-specific ICs. Combinations of analog and mixed-signal ICs are usually employed to achieve the necessary functionality, except in automatic test equipment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applications where the high level of electronic circuitry required per tester has created opportunities for the design of system-level ICs.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INSTRUMENTATION -- Our instrumentation market includes engineering, medical and scientific instruments. These products are usually designed using the highest performance analog and mixed-signal ICs available, where production volumes generally do not warrant custom or application-specific ICs.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MILITARY/AEROSPACE -- The military, commercial avionics and space markets all require high-performance ICs that meet rigorous environmental and reliability specifications. Nearly all of our analog ICs can be supplied in versions that meet appropriate military standards. In addition, many products can be supplied to meet the standards required for broadcast satellites and other commercial space applications. Most of our products sold in this market are derived from standard commercial grade ICs, although we sometimes develop products expressly for military/aerospace applications.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AUTOMOTIVE -- Although the automotive market has historically been served with low-cost, low-performance ICs, demand has emerged for higher performance devices for a wide range of applications. In response, we are developing products specifically for the automotive market. We supply a micromachined IC used as a crash sensor in airbag systems, which serves as an alternative to an electromechanical sensor. We believe that other micromachined devices derived from this product may be suitable for other automotive applications, such as roll-over sensing, global positioning satellite (GPS) automotive navigation systems, anti-lock brakes and "smart" suspension systems and other applications including earthquake detectors and high-end computer joysticks.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market we serve are characterized by rapid technological changes and advances. Accordingly, we make substantial investments in the design and development of new products and processes, and for significant improvement of existing products and processes. We incurred $401 million during fiscal 2000 related to the design, development and improvement of new and existing products and processes, compared to $257 million and $219 million during fiscal 1999 and fiscal 1998, respectively.</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support of our research and development activities, we employ hundreds of engineers involved in product and process development at several design centers and manufacturing sites located throughout the world.</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October 28, 2000, we owned approximately 595 U.S. patents and had 211 patent applications on file with the United States patent office. We believe that while our patents may provide some advantage, our competitive position is largely determined by such factors as the knowledge, ability and experience of our personnel, new product development, market recognition and ongoing marketing efforts, customer service and technical support.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 TECHNOLOGY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Analog Technology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Analog IC technology has been the foundation of our business for more than 25 years, and we believe we are one of the world's largest suppliers of analog ICs. Our analog ICs are primarily high-performance, single-function devices. The majority of our analog IC product revenue is attributable to sales of data converters (analog-to-digital and digital-to-analog) and amplifiers. Other analog IC products offered by us include analog signal processing devices (such as analog multipliers), voltage references and comparators. Over the past few years we have been expanding our analog IC product offerings into product areas where our focus was previously limited, principally interface circuits and power management ICs. We are also expanding our analog IC product line to include a much larger number of products designed to operate from single-supply 3 or 5 volt power sources to better meet the needs of customers designing portable battery-operated equipment.</w:t>
      </w:r>
    </w:p>
    <w:p>
      <w:pPr>
        <w:spacing w:after="0" w:line="182"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Our analog IC products tend to be general purpose in nature, which allows customers to incorporate them in a wide variety of equipment and systems. Our product portfolio includes several hundred analog ICs, any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one of which can have as many as several hundred customers. Analog ICs typically have long product life cycles. Our analog IC customers include both OEMs and customers who build equipment for their own use. Historically, most analog ICs have been purchased by OEMs that serve the instrumentation, industrial and military/aerospace markets, but they are now also being used for applications in communications, computers, camcorders, scanners, automatic test equipment, imaging and other consumer applications requiring high-performance real-world signal processing. By using standard, high-performance, readily available, off-the-shelf components in their designs, our customers can reduce the time required to develop and bring new products to market. Given the high cost of developing customized ICs, analog ICs usually provide the most cost-effective solutions for low to medium volume applications. In addition, combinations of analog ICs connected together on a printed circuit board can provide functionality not currently achievable using a single IC.</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Other analog ICs include circuits that are designed to serve the needs of particularly demanding applications, e.g. very high speed analog timing and pin driver circuits needed by OEMs in the automatic test equipment business. Manufacturers of portable instrumentation need analog ICs designed to address demanding battery life requirements, and need similar kinds of functions available in analog IC products integrated into a single, very low-power chip. Other principal requirements can include higher accuracy, lower cost per function, smaller size, lower weight and fewer components for improved reliability. These application specific products allow our customers to design smaller, lighter, higher performance, more power-efficient and lower-cost end products. We believe that these benefits have become more important to our OEM customers as they increase their focus on high-performance, small, lightweight products, many of which are battery-powered.</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Purpose DSP Technology</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Our products that include DSP technology are designed to efficiently execute specialized programs (algorithms) associated with processing digitized real-time, real-world data. General-purpose DSP IC customers typically write their own algorithms using software tools provided by us and software tools obtained from third-party suppliers. All of these devices share a common architecture which allows system designers to address cost, performance and time-to-market constraints. We support these products with specialized applications and easy-to-use, low-cost design tools, which reduce product development costs and time to market.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Mixed-Signal Technology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product range also includes multi-function mixed-signal devices which incorporate combinations of analog and digital technology. The growing need to allow user interface with computers and consumer products as well as the development of communications systems has created new opportunities for these mixed-signal devices. Examples of these devices include chipsets for communication applications (GSM cellular phones, remote access servers, data and fax modems), audio input/output devices and power and thermal management devices for computer applications and motor control devices.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Micromachined Technology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technology base includes a number of new products using an advanced IC technology known in the industry as surface micromachining. This technology enables extremely small mechanical structures to be built on the surface of a chip along with supporting circuitry. In addition to incorporating an electro-mechanical structure, these devices also have analog circuitry for conditioning signals obtained from the micromachined sensing element.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micromachined products are accelerometers used in a wide variety of applications. The majority of current revenue from micromachined products is derived from accelerometers used by automotive manufacturers in airbag applications. Emerging applications include GPS automobile navigation systems, earthquake detectors and high-end computer joysticks. We are also engaged in the development of micromachined products that may result in all-optical switching elements for use in optical networks.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Purpose and Custom Products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Across the entire range of ICs designed and manufactured by us there are general purpose products and custom products designed for specific applications for specific customers. In many of the new emerging markets in communications, computer and consumer products there is a tendency to work with selected large customers to design application-specific solutions which can combine elements of analog, digital, mixed-signal and micromachined functionality.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ASSEMBLED PRODUCT TECHNOLOGY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assembled products technology includes multi-chip modules (MCMs), hybrids and printed circuit board modules. An MCM is a device made up of several IC chips assembled in an automated fashion in a multilayer package that provides high interconnect density at low cost. A hybrid consists of several chips and discrete components mounted and wired together on a substrate, which is then enclosed in a package. A printed-board module consists of surface-mount components assembled on a small printed board that is then encapsulated in a small plastic case.</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Revenues from this product group have been declining for several years, primarily because hybrids are being replaced in many new designs with smaller, lower-cost monolithic ICs that offer higher levels of performance and integration. Sales of these products have declined to approximately 2% of our total sales.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CHANNELS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We sell our products in both North America and internationally through a direct sales force, third-party distributors and independent sales representatives. Approximately 45% of our fiscal 2000 net sales came from customers in North America. As of December 1, 2000, we had 13 sales offices in the United States, and our third-party distribution channel consisted of six national and regional third-party distributors and several independent sales representatives at numerous locations throughout the U.S. and Canada.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Approximately 19% of our fiscal 2000 net sales came from sales to customers in Europe; 14% to customers in Japan; and 22% to customers in other international markets. As of December 1, 2000, we had direct sales offices in Australia, Austria, Canada, China, Denmark, France, Germany, Hong Kong, India, Israel, Italy, Japan, Korea, the Netherlands, Singapore, Sweden, Taiwan and the United Kingdom. We also had sales representatives and/or distributors in approximately 40 countries outside North America, including countries where we also have direct sales offices. For further detail regarding geographic information, see Note 4 in the Notes to our Consolidated Financial Statements incorporated herein by reference to the 2000 Annual Report to Shareholders and filed herewith as part of Exhibit 13.2.</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Approximately 40% of our fiscal 2000 revenue was derived from sales made through distributors. These distributors typically maintain an inventory of our products. Some of them also sell products competitive with our products, including those for which we are an alternate source. Sales to certain distributors are made under agreements which provide protection to the distributors for their inventory of our products against price reductions and products that are slow-moving or that we have discontinued.</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worldwide sales efforts are supported by an extensive promotional program that includes editorial coverage and paid advertising in trade publications; direct mail programs; promotional brochures; technical seminars and participation in trade shows. We publish and distribute full-length databooks, short-form catalogs, applications guides, technical handbooks and detailed data sheets for individual products. We also provide product and application information via our worldwide web site on the Internet and we started to sell products on the Internet in the fourth quarter of fiscal 1999. We also maintain a staff of application engineers who aid customers in incorporating our products into their products during their product development cycles.</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For fiscal 2000, our 20 largest customers accounted for approximately 36% of our net sales. The largest single customer represented approximately 8% of net sales.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AND RAW MATERIALS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packaging.</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We employ a wide variety of Company-developed proprietary processes specifically tailored for use in fabricating high-performance linear, mixed-signal and system-level ICs. We also use industry-standard bipolar and CMOS wafer fabrication processes.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IC products are fabricated both at our production facilities and by third-party wafer fabricators. We rely primarily on our own facilities for fabricating wafers that require linear and mixed-signal processes. We operate wafer fabrication facilities in Wilmington and Cambridge, Massachusetts; Santa Clara and Sunnyvale, California; Belfast, Northern Ireland and Limerick, Ireland. We also operate assembly and test facilities located in the United States, Ireland, the Philippines and Taiwan and also use third-party subcontractors. We have agreements with Taiwan Semiconductor Manufacturing Company, (TSMC), and Chartered Semiconductor Manufacturing Pte., Ltd., (CSM), for the production of digital and very large scale integration mixed-signal devices. To provide access to advanced process technology at competitive costs, we participated in a joint venture agreement (WaferTech, LLC) with TSMC, Altera, Integrated Silicon Solutions and several individual investors that built a fabrication facility for eight-inch wafers in Camas, Washington. Originally we had an 18% equity ownership in WaferTech. In January 1999, we concluded an agreement to sell to other WaferTech partners 78% of our equity ownership in WaferTech for cash equal to our carrying value at October 31, 1998. Subsequent to our fiscal year ended October 28, 2000 we realized approximately $61 million from the sale of our remaining interest in WaferTech to TSMC, realizing a net pretax gain of approximately $28 million.</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Hybrid products are manufactured by mounting and connecting together several integrated circuit chips in a single package. Some of the chips used in our hybrids are manufactured by us and some are purchased from outside suppliers. The production process for modular components, subsystems and systems consists primarily of assembly, packaging and testing. Some of our assembled products are assembled and tested within our U.S. manufacturing facilities, while others are assembled and tested at our facilities outside the United States or by subcontractors, principally in the Far East.</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To respond to production capacity requirements, we significantly expanded our manufacturing capacity over the past several years. Major wafer fabrication expansions were completed in Wilmington, Massachusetts, Santa Clara, California, and Limerick, Ireland. Also, in fiscal 2000 we began construction of an additional assembly and test facility in Cavite, Philippines. We expect that our capital expenditures for fiscal 2001 will be approximately $450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Backlog at the end of fiscal 2000 was approximately $1,062 million, up from approximately $446 million at the end of fiscal 1999. The increase in the backlog is a result of the rapid increase in demand for our products from the year earlier period. This is the result of increased demand for our products in the rapidly growing communications, computer and consumer products markets. In periods of increased demand there is a tendency towards longer lead times which has the effect of increasing backlog and, in some instances, we may not have manufacturing capacity sufficient to fulfill all orders. As is customary in the semiconductor industry, we include customers' forecast orders in backlog and allow such orders to be canceled or deliveries delayed by customers without significant penalty. Accordingly, we believe that our backlog at any time should not be used as an indication of future revenues.</w:t>
      </w:r>
    </w:p>
    <w:p>
      <w:pPr>
        <w:spacing w:after="0" w:line="18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estimate that approximately 4% of our fiscal 2000 total worldwide revenue was attributable to sales to the U.S. government and government contractors and subcontractors. Our government contract related business is predominantly in the form of negotiated, firm fixed-price subcontracts. All such contracts and subcontracts contain standard provisions relating to termination at the election of the United States government.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compete with a large number of semiconductor companies in markets that are highly competitive. We believe we are one of the largest suppliers of high-performance linear and mixed-signal signal-processing components. Competitors for our analog, mixed-signal and DSP products include Cirrus Logic Inc., Harris Corp., Linear Technology Corp., Lucent Technologies Inc., Maxim Integrated Products, Inc., Motorola Semiconductor Products, National Semiconductor Corp., Sierra Semiconductor Corp., Siliconix Inc. and Texas Instruments, Inc. Sales of our micromachined products currently comprise acceleration sensors, and our main competitors are Bosch, Motorola and Denso, which use a multichip solution whereas we use a single chip solution that we believe provides cost, reliability and functional advantages in the marketplace.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Many other companies offer components that compete with our products; some also offer other electronic products, and some have financial resources substantially larger than ours. Also, some formerly independent competitors have been purchased by larger companies. However, to our knowledge, no manufacturer competes with us across all of the product types offered by us in our signal-processing components product line.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believe that competitive performance in the marketplace for real-world signal-processing components depends upon several factors, including product price, technical innovation, product quality and reliability, range of products, customer service and technical support. We believe our aggressive technical innovation emphasizing product performance and reliability, supported by our commitment to strong customer service and technical support, enables us to continue to compete successfully in our chosen markets against both foreign and domestic semiconductor manufacturers.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manufacturing facilities are subject to numerous environmental laws and regulations, particularly with respect to industrial waste and emissions. Compliance with these laws and regulations has not had a material impact on our capital expenditures, earnings or competitive position.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As of October 28, 2000, we employed approximately 9,100 persons. Our future success depends in large part on the continued service of our key technical and senior management personnel, and on our ability to continue to attract, retain and motivate qualified employees, particularly those highly skilled design, process and test engineers involved in the manufacture of existing products and the development of new products and processes. The competition for such personnel is intense, and the loss of key employees could have a material adverse effect on us. We believe that relations with our employees are good.</w:t>
      </w:r>
    </w:p>
    <w:p>
      <w:pPr>
        <w:spacing w:after="0" w:line="16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PLANT LOCATION</w:t>
            </w:r>
          </w:p>
        </w:tc>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OWNED:</w:t>
            </w:r>
          </w:p>
        </w:tc>
        <w:tc>
          <w:tcPr>
            <w:tcW w:w="3520" w:type="dxa"/>
            <w:vAlign w:val="bottom"/>
          </w:tcPr>
          <w:p>
            <w:pPr>
              <w:ind w:left="2540"/>
              <w:spacing w:after="0"/>
              <w:rPr>
                <w:sz w:val="20"/>
                <w:szCs w:val="20"/>
                <w:color w:val="auto"/>
              </w:rPr>
            </w:pPr>
            <w:r>
              <w:rPr>
                <w:rFonts w:ascii="Courier New" w:cs="Courier New" w:eastAsia="Courier New" w:hAnsi="Courier New"/>
                <w:sz w:val="15"/>
                <w:szCs w:val="15"/>
                <w:color w:val="auto"/>
              </w:rPr>
              <w:t>USE</w:t>
            </w:r>
          </w:p>
        </w:tc>
        <w:tc>
          <w:tcPr>
            <w:tcW w:w="1580" w:type="dxa"/>
            <w:vAlign w:val="bottom"/>
          </w:tcPr>
          <w:p>
            <w:pPr>
              <w:spacing w:after="0"/>
              <w:rPr>
                <w:sz w:val="15"/>
                <w:szCs w:val="15"/>
                <w:color w:val="auto"/>
              </w:rPr>
            </w:pP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w w:val="96"/>
              </w:rPr>
              <w:t>FLOOR SPACE</w:t>
            </w:r>
          </w:p>
        </w:tc>
        <w:tc>
          <w:tcPr>
            <w:tcW w:w="1000" w:type="dxa"/>
            <w:vAlign w:val="bottom"/>
          </w:tcPr>
          <w:p>
            <w:pPr>
              <w:spacing w:after="0"/>
              <w:rPr>
                <w:sz w:val="15"/>
                <w:szCs w:val="15"/>
                <w:color w:val="auto"/>
              </w:rPr>
            </w:pPr>
          </w:p>
        </w:tc>
      </w:tr>
      <w:tr>
        <w:trPr>
          <w:trHeight w:val="173"/>
        </w:trPr>
        <w:tc>
          <w:tcPr>
            <w:tcW w:w="2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5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  ---------------</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5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Wafer fabrication, components assembly and testing,</w:t>
            </w:r>
          </w:p>
        </w:tc>
        <w:tc>
          <w:tcPr>
            <w:tcW w:w="24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265,200 sq. ft.</w:t>
            </w:r>
          </w:p>
        </w:tc>
      </w:tr>
      <w:tr>
        <w:trPr>
          <w:trHeight w:val="173"/>
        </w:trPr>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Massachusetts</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w w:val="99"/>
              </w:rPr>
              <w:t>engineering and 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5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Engineering, marketing and administrative offices</w:t>
            </w:r>
          </w:p>
        </w:tc>
        <w:tc>
          <w:tcPr>
            <w:tcW w:w="24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108,000 sq. ft.</w:t>
            </w:r>
          </w:p>
        </w:tc>
      </w:tr>
      <w:tr>
        <w:trPr>
          <w:trHeight w:val="173"/>
        </w:trPr>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Massachusetts</w:t>
            </w:r>
          </w:p>
        </w:tc>
        <w:tc>
          <w:tcPr>
            <w:tcW w:w="3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5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Components engineering, marketing and administrative</w:t>
            </w:r>
          </w:p>
        </w:tc>
        <w:tc>
          <w:tcPr>
            <w:tcW w:w="24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65,500 sq. ft.</w:t>
            </w:r>
          </w:p>
        </w:tc>
      </w:tr>
      <w:tr>
        <w:trPr>
          <w:trHeight w:val="173"/>
        </w:trPr>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Massachusetts</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Westwood, Massachusetts</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w w:val="99"/>
              </w:rPr>
              <w:t>Engineering and administrative offices</w:t>
            </w:r>
          </w:p>
        </w:tc>
        <w:tc>
          <w:tcPr>
            <w:tcW w:w="1580" w:type="dxa"/>
            <w:vAlign w:val="bottom"/>
          </w:tcPr>
          <w:p>
            <w:pPr>
              <w:spacing w:after="0"/>
              <w:rPr>
                <w:sz w:val="15"/>
                <w:szCs w:val="15"/>
                <w:color w:val="auto"/>
              </w:rPr>
            </w:pPr>
          </w:p>
        </w:tc>
        <w:tc>
          <w:tcPr>
            <w:tcW w:w="24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100,500 sq. ft.</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Limerick, Ireland</w:t>
            </w:r>
          </w:p>
        </w:tc>
        <w:tc>
          <w:tcPr>
            <w:tcW w:w="5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Wafer fabrication, wafer probe and testing, engineering</w:t>
            </w:r>
          </w:p>
        </w:tc>
        <w:tc>
          <w:tcPr>
            <w:tcW w:w="24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315,400 sq. ft.</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and 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Greensboro, North</w:t>
            </w:r>
          </w:p>
        </w:tc>
        <w:tc>
          <w:tcPr>
            <w:tcW w:w="5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Components and board assembly and testing, engineering</w:t>
            </w:r>
          </w:p>
        </w:tc>
        <w:tc>
          <w:tcPr>
            <w:tcW w:w="24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140,600 sq. ft.</w:t>
            </w:r>
          </w:p>
        </w:tc>
      </w:tr>
      <w:tr>
        <w:trPr>
          <w:trHeight w:val="173"/>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Carolina</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and 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Cavite, Philippines</w:t>
            </w:r>
          </w:p>
        </w:tc>
        <w:tc>
          <w:tcPr>
            <w:tcW w:w="5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Components assembly and testing, engineering and</w:t>
            </w:r>
          </w:p>
        </w:tc>
        <w:tc>
          <w:tcPr>
            <w:tcW w:w="24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414,000 sq. ft.</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Manila, Philippines</w:t>
            </w:r>
          </w:p>
        </w:tc>
        <w:tc>
          <w:tcPr>
            <w:tcW w:w="5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Components assembly and testing, engineering and</w:t>
            </w:r>
          </w:p>
        </w:tc>
        <w:tc>
          <w:tcPr>
            <w:tcW w:w="24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81,300 sq. ft.</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867"/>
        </w:trPr>
        <w:tc>
          <w:tcPr>
            <w:tcW w:w="2240" w:type="dxa"/>
            <w:vAlign w:val="bottom"/>
          </w:tcPr>
          <w:p>
            <w:pPr>
              <w:ind w:left="620"/>
              <w:spacing w:after="0"/>
              <w:rPr>
                <w:sz w:val="20"/>
                <w:szCs w:val="20"/>
                <w:color w:val="auto"/>
              </w:rPr>
            </w:pPr>
            <w:r>
              <w:rPr>
                <w:rFonts w:ascii="Courier New" w:cs="Courier New" w:eastAsia="Courier New" w:hAnsi="Courier New"/>
                <w:sz w:val="15"/>
                <w:szCs w:val="15"/>
                <w:color w:val="auto"/>
              </w:rPr>
              <w:t>PRINCIPAL</w:t>
            </w:r>
          </w:p>
        </w:tc>
        <w:tc>
          <w:tcPr>
            <w:tcW w:w="3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2240" w:type="dxa"/>
            <w:vAlign w:val="bottom"/>
          </w:tcPr>
          <w:p>
            <w:pPr>
              <w:ind w:left="620"/>
              <w:spacing w:after="0"/>
              <w:rPr>
                <w:sz w:val="20"/>
                <w:szCs w:val="20"/>
                <w:color w:val="auto"/>
              </w:rPr>
            </w:pPr>
            <w:r>
              <w:rPr>
                <w:rFonts w:ascii="Courier New" w:cs="Courier New" w:eastAsia="Courier New" w:hAnsi="Courier New"/>
                <w:sz w:val="15"/>
                <w:szCs w:val="15"/>
                <w:color w:val="auto"/>
              </w:rPr>
              <w:t>PROPERTIES</w:t>
            </w:r>
          </w:p>
        </w:tc>
        <w:tc>
          <w:tcPr>
            <w:tcW w:w="3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LEASE</w:t>
            </w:r>
          </w:p>
        </w:tc>
        <w:tc>
          <w:tcPr>
            <w:tcW w:w="1000" w:type="dxa"/>
            <w:vAlign w:val="bottom"/>
          </w:tcPr>
          <w:p>
            <w:pPr>
              <w:spacing w:after="0"/>
              <w:rPr>
                <w:sz w:val="15"/>
                <w:szCs w:val="15"/>
                <w:color w:val="auto"/>
              </w:rPr>
            </w:pPr>
          </w:p>
        </w:tc>
      </w:tr>
      <w:tr>
        <w:trPr>
          <w:trHeight w:val="173"/>
        </w:trPr>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LEASED:</w:t>
            </w:r>
          </w:p>
        </w:tc>
        <w:tc>
          <w:tcPr>
            <w:tcW w:w="3520" w:type="dxa"/>
            <w:vAlign w:val="bottom"/>
          </w:tcPr>
          <w:p>
            <w:pPr>
              <w:ind w:left="1540"/>
              <w:spacing w:after="0"/>
              <w:rPr>
                <w:sz w:val="20"/>
                <w:szCs w:val="20"/>
                <w:color w:val="auto"/>
              </w:rPr>
            </w:pPr>
            <w:r>
              <w:rPr>
                <w:rFonts w:ascii="Courier New" w:cs="Courier New" w:eastAsia="Courier New" w:hAnsi="Courier New"/>
                <w:sz w:val="15"/>
                <w:szCs w:val="15"/>
                <w:color w:val="auto"/>
              </w:rPr>
              <w:t>USE</w:t>
            </w:r>
          </w:p>
        </w:tc>
        <w:tc>
          <w:tcPr>
            <w:tcW w:w="15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FLOOR SPACE</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EXPIRATION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RENEWALS</w:t>
            </w:r>
          </w:p>
        </w:tc>
      </w:tr>
      <w:tr>
        <w:trPr>
          <w:trHeight w:val="173"/>
        </w:trPr>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22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(FISCAL YEAR)</w:t>
            </w:r>
          </w:p>
        </w:tc>
        <w:tc>
          <w:tcPr>
            <w:tcW w:w="1000" w:type="dxa"/>
            <w:vAlign w:val="bottom"/>
          </w:tcPr>
          <w:p>
            <w:pPr>
              <w:spacing w:after="0"/>
              <w:rPr>
                <w:sz w:val="15"/>
                <w:szCs w:val="15"/>
                <w:color w:val="auto"/>
              </w:rPr>
            </w:pP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Norwood, Massachusetts</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Corporate headquarters, engineering,</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129,900 sq. ft.</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2007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 five-yr.</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components testing, sales and</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periods</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marketing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Cambridge, Massachusetts</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Wafer fabrication, components</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116,000 sq. ft.</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 five-yr.</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testing and assembly engineering,</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periods</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marketing and 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Santa Clara, California</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Wafer fabrication, components</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72,800 sq. ft.</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 five-yr.</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assembly and testing, engineering</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periods</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and 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Santa Clara, California</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Engineering and administrative</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43,500 sq. ft.</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 five-yr.</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periods</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Sunnyvale, California</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Wafer fabrication</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38,700 sq. ft.</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2005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 five-yr.</w:t>
            </w:r>
          </w:p>
        </w:tc>
      </w:tr>
      <w:tr>
        <w:trPr>
          <w:trHeight w:val="173"/>
        </w:trPr>
        <w:tc>
          <w:tcPr>
            <w:tcW w:w="22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periods</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Taipei, Taiwan</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Components testing, engineering and</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45,700 sq. ft.</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 five to</w:t>
            </w:r>
          </w:p>
        </w:tc>
      </w:tr>
      <w:tr>
        <w:trPr>
          <w:trHeight w:val="173"/>
        </w:trPr>
        <w:tc>
          <w:tcPr>
            <w:tcW w:w="22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offices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seven yr.</w:t>
            </w:r>
          </w:p>
        </w:tc>
      </w:tr>
      <w:tr>
        <w:trPr>
          <w:trHeight w:val="173"/>
        </w:trPr>
        <w:tc>
          <w:tcPr>
            <w:tcW w:w="22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r>
      <w:tr>
        <w:trPr>
          <w:trHeight w:val="520"/>
        </w:trPr>
        <w:tc>
          <w:tcPr>
            <w:tcW w:w="2240" w:type="dxa"/>
            <w:vAlign w:val="bottom"/>
          </w:tcPr>
          <w:p>
            <w:pPr>
              <w:spacing w:after="0"/>
              <w:rPr>
                <w:sz w:val="24"/>
                <w:szCs w:val="24"/>
                <w:color w:val="auto"/>
              </w:rPr>
            </w:pPr>
          </w:p>
        </w:tc>
        <w:tc>
          <w:tcPr>
            <w:tcW w:w="3520" w:type="dxa"/>
            <w:vAlign w:val="bottom"/>
          </w:tcPr>
          <w:p>
            <w:pPr>
              <w:ind w:left="1360"/>
              <w:spacing w:after="0"/>
              <w:rPr>
                <w:sz w:val="20"/>
                <w:szCs w:val="20"/>
                <w:color w:val="auto"/>
              </w:rPr>
            </w:pPr>
            <w:r>
              <w:rPr>
                <w:rFonts w:ascii="Courier New" w:cs="Courier New" w:eastAsia="Courier New" w:hAnsi="Courier New"/>
                <w:sz w:val="15"/>
                <w:szCs w:val="15"/>
                <w:color w:val="auto"/>
              </w:rPr>
              <w:t>8</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to the principal leased properties listed in the previous table, we also lease sales offices and other premises at 22 locations in the United States and 36 locations overseas under operating lease agreements. These leases expire at various dates through the year 2030. We anticipate no difficulty in retaining occupancy of any of our manufacturing, office or sales facilities through lease renewals prior to expiration or through month-to-month occupancy, or in replacing them with equivalent facilities. For information concerning our obligations under all operating and capital leases see Note 10 in the Notes to our Consolidated Financial Statements incorporated herein by reference to the 2000 Annual Report to Shareholders and filed herewith as part of Exhibit 13.2.</w:t>
      </w:r>
    </w:p>
    <w:p>
      <w:pPr>
        <w:spacing w:after="0" w:line="1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78" w:lineRule="exact"/>
        <w:rPr>
          <w:sz w:val="20"/>
          <w:szCs w:val="20"/>
          <w:color w:val="auto"/>
        </w:rPr>
      </w:pPr>
    </w:p>
    <w:p>
      <w:pPr>
        <w:jc w:val="both"/>
        <w:ind w:right="3019" w:firstLine="451"/>
        <w:spacing w:after="0" w:line="270" w:lineRule="auto"/>
        <w:rPr>
          <w:sz w:val="20"/>
          <w:szCs w:val="20"/>
          <w:color w:val="auto"/>
        </w:rPr>
      </w:pPr>
      <w:r>
        <w:rPr>
          <w:rFonts w:ascii="Courier New" w:cs="Courier New" w:eastAsia="Courier New" w:hAnsi="Courier New"/>
          <w:sz w:val="14"/>
          <w:szCs w:val="14"/>
          <w:color w:val="auto"/>
        </w:rPr>
        <w:t>The information required by this item is set forth in Note 11 in the Notes to our Consolidated Financial Statements incorporated herein by reference to the 2000 Annual Report to Shareholders and filed herewith as part of Exhibit 13.2.</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8" w:lineRule="exact"/>
        <w:rPr>
          <w:sz w:val="20"/>
          <w:szCs w:val="20"/>
          <w:color w:val="auto"/>
        </w:rPr>
      </w:pPr>
    </w:p>
    <w:p>
      <w:pPr>
        <w:jc w:val="both"/>
        <w:ind w:right="3019" w:firstLine="451"/>
        <w:spacing w:after="0" w:line="243" w:lineRule="auto"/>
        <w:rPr>
          <w:sz w:val="20"/>
          <w:szCs w:val="20"/>
          <w:color w:val="auto"/>
        </w:rPr>
      </w:pPr>
      <w:r>
        <w:rPr>
          <w:rFonts w:ascii="Courier New" w:cs="Courier New" w:eastAsia="Courier New" w:hAnsi="Courier New"/>
          <w:sz w:val="15"/>
          <w:szCs w:val="15"/>
          <w:color w:val="auto"/>
        </w:rPr>
        <w:t>No matters were submitted to a vote of our security holders during the last quarter of the fiscal year ended October 28, 2000.</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following table sets forth (i) the name and age of each present executive officer; (ii) the position(s) presently held by each person named; and</w:t>
      </w:r>
    </w:p>
    <w:p>
      <w:pPr>
        <w:ind w:left="8" w:right="3099" w:hanging="8"/>
        <w:spacing w:after="0" w:line="243" w:lineRule="auto"/>
        <w:tabs>
          <w:tab w:leader="none" w:pos="5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occupations held by each person named for at least the past five years. There is no family relationship among the named officers.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EXECUTIVE OFFICER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2580" w:type="dxa"/>
            <w:vAlign w:val="bottom"/>
          </w:tcPr>
          <w:p>
            <w:pPr>
              <w:ind w:left="780"/>
              <w:spacing w:after="0"/>
              <w:rPr>
                <w:sz w:val="20"/>
                <w:szCs w:val="20"/>
                <w:color w:val="auto"/>
              </w:rPr>
            </w:pPr>
            <w:r>
              <w:rPr>
                <w:rFonts w:ascii="Courier New" w:cs="Courier New" w:eastAsia="Courier New" w:hAnsi="Courier New"/>
                <w:sz w:val="15"/>
                <w:szCs w:val="15"/>
                <w:color w:val="auto"/>
              </w:rPr>
              <w:t>POSITION(S)</w:t>
            </w:r>
          </w:p>
        </w:tc>
        <w:tc>
          <w:tcPr>
            <w:tcW w:w="3060" w:type="dxa"/>
            <w:vAlign w:val="bottom"/>
          </w:tcPr>
          <w:p>
            <w:pPr>
              <w:ind w:left="720"/>
              <w:spacing w:after="0"/>
              <w:rPr>
                <w:sz w:val="20"/>
                <w:szCs w:val="20"/>
                <w:color w:val="auto"/>
              </w:rPr>
            </w:pPr>
            <w:r>
              <w:rPr>
                <w:rFonts w:ascii="Courier New" w:cs="Courier New" w:eastAsia="Courier New" w:hAnsi="Courier New"/>
                <w:sz w:val="15"/>
                <w:szCs w:val="15"/>
                <w:color w:val="auto"/>
              </w:rPr>
              <w:t>BUSINESS EXPERIENCE</w:t>
            </w:r>
          </w:p>
        </w:tc>
      </w:tr>
      <w:tr>
        <w:trPr>
          <w:trHeight w:val="173"/>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66</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Chairman of the Board since 1973;</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Chief Executive Officer from 1973</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to November 1996; President from</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1971 to November 1991.</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55</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Executive</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 since</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Officer and Director</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November 1996; President and</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Director since November 1991;</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from</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1988 to November 1991; Group Vice</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President -- Components from 1982</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to 1988.</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Ross Brown........................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56</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Human</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Human Resources</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Resources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since May 1993; U.S. Personnel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Manager for Digital Equipment</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Corp. from 1990 to 1993; Senior</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Group Personnel Manager at</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Digital Equipment Corp. from 1986</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to 1990.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Samuel H. Fuller..................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Research</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Research and</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and Development</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Development since March 1998;</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of Research and</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Chief Scientist of Digital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Equipment Corp. from 1983 to</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Russell K. Johnsen................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General</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General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Manager, Communications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Manager, Communications Products</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Products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since May 1994; Vice President</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and General Manager, Analog</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Devices Semiconductor Division</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from November 1993 to May 1994;</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General Manager of the Wide Area</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Networks Division of National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Semiconductor Corp. from 1992 to</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Robert R. Marshall................</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Worldwide</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Worldwide</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Manufacturing</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Manufacturing since February</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1994; Vice President,</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Manufacturing, Limerick Site,</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Analog Devices, B.V. -- Limerick,</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Ireland from November 1991 to</w:t>
            </w:r>
          </w:p>
        </w:tc>
      </w:tr>
    </w:tbl>
    <w:p>
      <w:pPr>
        <w:spacing w:after="0" w:line="3" w:lineRule="exact"/>
        <w:rPr>
          <w:sz w:val="20"/>
          <w:szCs w:val="20"/>
          <w:color w:val="auto"/>
        </w:rPr>
      </w:pPr>
    </w:p>
    <w:p>
      <w:pPr>
        <w:sectPr>
          <w:pgSz w:w="11900" w:h="16838" w:orient="portrait"/>
          <w:cols w:equalWidth="0" w:num="1">
            <w:col w:w="10227"/>
          </w:cols>
          <w:pgMar w:left="232" w:top="291" w:right="1440" w:bottom="1440" w:gutter="0" w:footer="0" w:header="0"/>
        </w:sectPr>
      </w:pPr>
    </w:p>
    <w:p>
      <w:pPr>
        <w:ind w:left="6308"/>
        <w:spacing w:after="0"/>
        <w:rPr>
          <w:sz w:val="20"/>
          <w:szCs w:val="20"/>
          <w:color w:val="auto"/>
        </w:rPr>
      </w:pPr>
      <w:r>
        <w:rPr>
          <w:rFonts w:ascii="Courier New" w:cs="Courier New" w:eastAsia="Courier New" w:hAnsi="Courier New"/>
          <w:sz w:val="15"/>
          <w:szCs w:val="15"/>
          <w:color w:val="auto"/>
        </w:rPr>
        <w:t>February 1994; Plant Manager,</w:t>
      </w:r>
    </w:p>
    <w:p>
      <w:pPr>
        <w:spacing w:after="0" w:line="3" w:lineRule="exact"/>
        <w:rPr>
          <w:sz w:val="20"/>
          <w:szCs w:val="20"/>
          <w:color w:val="auto"/>
        </w:rPr>
      </w:pPr>
    </w:p>
    <w:p>
      <w:pPr>
        <w:ind w:left="6308"/>
        <w:spacing w:after="0"/>
        <w:rPr>
          <w:sz w:val="20"/>
          <w:szCs w:val="20"/>
          <w:color w:val="auto"/>
        </w:rPr>
      </w:pPr>
      <w:r>
        <w:rPr>
          <w:rFonts w:ascii="Courier New" w:cs="Courier New" w:eastAsia="Courier New" w:hAnsi="Courier New"/>
          <w:sz w:val="15"/>
          <w:szCs w:val="15"/>
          <w:color w:val="auto"/>
        </w:rPr>
        <w:t>Analog Devices, B.V. -- Limerick,</w:t>
      </w:r>
    </w:p>
    <w:p>
      <w:pPr>
        <w:spacing w:after="0" w:line="3" w:lineRule="exact"/>
        <w:rPr>
          <w:sz w:val="20"/>
          <w:szCs w:val="20"/>
          <w:color w:val="auto"/>
        </w:rPr>
      </w:pPr>
    </w:p>
    <w:p>
      <w:pPr>
        <w:ind w:left="6308"/>
        <w:spacing w:after="0"/>
        <w:rPr>
          <w:sz w:val="20"/>
          <w:szCs w:val="20"/>
          <w:color w:val="auto"/>
        </w:rPr>
      </w:pPr>
      <w:r>
        <w:rPr>
          <w:rFonts w:ascii="Courier New" w:cs="Courier New" w:eastAsia="Courier New" w:hAnsi="Courier New"/>
          <w:sz w:val="15"/>
          <w:szCs w:val="15"/>
          <w:color w:val="auto"/>
        </w:rPr>
        <w:t>Ireland from January 1991 to</w:t>
      </w:r>
    </w:p>
    <w:p>
      <w:pPr>
        <w:spacing w:after="0" w:line="3" w:lineRule="exact"/>
        <w:rPr>
          <w:sz w:val="20"/>
          <w:szCs w:val="20"/>
          <w:color w:val="auto"/>
        </w:rPr>
      </w:pPr>
    </w:p>
    <w:p>
      <w:pPr>
        <w:ind w:left="6308"/>
        <w:spacing w:after="0"/>
        <w:rPr>
          <w:sz w:val="20"/>
          <w:szCs w:val="20"/>
          <w:color w:val="auto"/>
        </w:rPr>
      </w:pPr>
      <w:r>
        <w:rPr>
          <w:rFonts w:ascii="Courier New" w:cs="Courier New" w:eastAsia="Courier New" w:hAnsi="Courier New"/>
          <w:sz w:val="15"/>
          <w:szCs w:val="15"/>
          <w:color w:val="auto"/>
        </w:rPr>
        <w:t>November 1991.</w:t>
      </w:r>
    </w:p>
    <w:p>
      <w:pPr>
        <w:sectPr>
          <w:pgSz w:w="11900" w:h="16838" w:orient="portrait"/>
          <w:cols w:equalWidth="0" w:num="1">
            <w:col w:w="10227"/>
          </w:cols>
          <w:pgMar w:left="232" w:top="291" w:right="1440" w:bottom="1440" w:gutter="0" w:footer="0" w:header="0"/>
          <w:type w:val="continuous"/>
        </w:sectPr>
      </w:pP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91"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314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694"/>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EXECUTIVE OFFICER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2580" w:type="dxa"/>
            <w:vAlign w:val="bottom"/>
          </w:tcPr>
          <w:p>
            <w:pPr>
              <w:ind w:left="780"/>
              <w:spacing w:after="0"/>
              <w:rPr>
                <w:sz w:val="20"/>
                <w:szCs w:val="20"/>
                <w:color w:val="auto"/>
              </w:rPr>
            </w:pPr>
            <w:r>
              <w:rPr>
                <w:rFonts w:ascii="Courier New" w:cs="Courier New" w:eastAsia="Courier New" w:hAnsi="Courier New"/>
                <w:sz w:val="15"/>
                <w:szCs w:val="15"/>
                <w:color w:val="auto"/>
              </w:rPr>
              <w:t>POSITION(S)</w:t>
            </w:r>
          </w:p>
        </w:tc>
        <w:tc>
          <w:tcPr>
            <w:tcW w:w="3060" w:type="dxa"/>
            <w:vAlign w:val="bottom"/>
          </w:tcPr>
          <w:p>
            <w:pPr>
              <w:ind w:left="720"/>
              <w:spacing w:after="0"/>
              <w:rPr>
                <w:sz w:val="20"/>
                <w:szCs w:val="20"/>
                <w:color w:val="auto"/>
              </w:rPr>
            </w:pPr>
            <w:r>
              <w:rPr>
                <w:rFonts w:ascii="Courier New" w:cs="Courier New" w:eastAsia="Courier New" w:hAnsi="Courier New"/>
                <w:sz w:val="15"/>
                <w:szCs w:val="15"/>
                <w:color w:val="auto"/>
              </w:rPr>
              <w:t>BUSINESS EXPERIENCE</w:t>
            </w:r>
          </w:p>
        </w:tc>
      </w:tr>
      <w:tr>
        <w:trPr>
          <w:trHeight w:val="173"/>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A. Martin.................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Treasurer</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Treasurer since March 1993;</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Assistant Treasurer from October</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1991 to March 1993; Manager of</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Treasury Finance from March 1987</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to October 1991; Manager of</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International Treasury from</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October 1985 to March 1987.</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Robert McAdam.....................</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General</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General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Manager, Analog</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Manager, Analog Semiconductor</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Semiconductor Components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Components since February 1994;</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General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Manager, Analog Devices,</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B.V. -- Limerick, Ireland from</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January 1991 to February 1994;</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Product Line Manager, Analog</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Devices, B.V. -- Limerick,</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Ireland from October 1988 to</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January 1991.</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Sales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Sales since May</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1992; Vice President, Sales and</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Marketing -- Europe and Southeast</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Asia from 1990 to 1992; General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Manager, Analog Devices, B.V. --</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Limerick, Ireland from 1987 to</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1990.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Finance</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Vice President, Finance and Chief</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and Chief Financial</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Financial Officer since November</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1991; Vice President since 1988</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and Treasurer from 1985 to March</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1993; Director of Taxes from 1983</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to 1985.</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Franklin Weigold..................</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61</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General</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General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Manager, Micromachined</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Manager, Micromachined Products</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Products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since November 1999; Vice</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President and General Manager,</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Transportation and Industrial</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Products Division from March 1992</w:t>
            </w:r>
          </w:p>
        </w:tc>
      </w:tr>
      <w:tr>
        <w:trPr>
          <w:trHeight w:val="173"/>
        </w:trPr>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to November 1999; President and</w:t>
            </w:r>
          </w:p>
        </w:tc>
      </w:tr>
    </w:tbl>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Chief Operating Officer of</w:t>
      </w:r>
    </w:p>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Unitrode from June 1990 to March</w:t>
      </w:r>
    </w:p>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1992.</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tab/>
        <w:t>MARKET FOR REGISTRANT'S COMMON STOCK AND RELATED STOCKHOLDER MATTERS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Common Stock is listed on the New York Stock Exchange ("NYSE") under the symbol ADI. The table below sets forth the NYSE high and low sale prices of our Common Stock during the two most recent fiscal years.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FISCAL 2000</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FISCAL</w:t>
            </w:r>
          </w:p>
        </w:tc>
        <w:tc>
          <w:tcPr>
            <w:tcW w:w="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740" w:type="dxa"/>
            <w:vAlign w:val="bottom"/>
          </w:tcPr>
          <w:p>
            <w:pPr>
              <w:spacing w:after="0"/>
              <w:rPr>
                <w:sz w:val="15"/>
                <w:szCs w:val="15"/>
                <w:color w:val="auto"/>
              </w:rPr>
            </w:pPr>
          </w:p>
        </w:tc>
        <w:tc>
          <w:tcPr>
            <w:tcW w:w="31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34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HIGH</w:t>
            </w:r>
          </w:p>
        </w:tc>
        <w:tc>
          <w:tcPr>
            <w:tcW w:w="8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LOW</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7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7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580" w:type="dxa"/>
            <w:vAlign w:val="bottom"/>
          </w:tcPr>
          <w:p>
            <w:pPr>
              <w:ind w:left="14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52.63</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$16.13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9.66</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580" w:type="dxa"/>
            <w:vAlign w:val="bottom"/>
          </w:tcPr>
          <w:p>
            <w:pPr>
              <w:ind w:left="14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94.69</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$19.19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12.19</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580" w:type="dxa"/>
            <w:vAlign w:val="bottom"/>
          </w:tcPr>
          <w:p>
            <w:pPr>
              <w:ind w:left="14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100.00</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$25.50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17.53</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580" w:type="dxa"/>
            <w:vAlign w:val="bottom"/>
          </w:tcPr>
          <w:p>
            <w:pPr>
              <w:ind w:left="14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103.00</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$56.06</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$30.22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20.81</w:t>
            </w:r>
          </w:p>
        </w:tc>
      </w:tr>
    </w:tbl>
    <w:p>
      <w:pPr>
        <w:spacing w:after="0" w:line="351"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We have never paid any cash dividends on our Common Stock and currently have no intentions to do so.</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approximate number of holders of record of our Common Stock at December 31, 2000 was 4,600. This number does not include shareholders for whom shares are held in a "nominee" or "street" name.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February 5, 2000, we issued and delivered an aggregate of 13,568 shares (equivalent to 27,136 shares after giving effect to the 2-for-1 stock split we effected on March 15, 2000) of our common stock to three individuals in partial fulfillment of the payment by us of consideration to the three former stockholders of White Mountain DSP, Inc., which we acquired on February 5, 1999. We issued and delivered these shares in reliance upon an exemption from registration under Section 4(2) of the Securities Act of 1933, as amended.</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(THOUSANDS EXCEPT PER SHARE AMOUNTS)</w:t>
            </w:r>
          </w:p>
        </w:tc>
        <w:tc>
          <w:tcPr>
            <w:tcW w:w="14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2,577,547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$1,450,379</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$1,230,571</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$1,243,494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$1,193,786</w:t>
            </w: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 income before cumulative effect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of change in accounting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principle.......................</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607,132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196,819</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119,488</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178,219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171,901</w:t>
            </w: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37,080</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 income after cumulative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effective of change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607,132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196,819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82,408</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178,219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171,901</w:t>
            </w:r>
          </w:p>
        </w:tc>
      </w:tr>
      <w:tr>
        <w:trPr>
          <w:trHeight w:val="173"/>
        </w:trPr>
        <w:tc>
          <w:tcPr>
            <w:tcW w:w="346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 income per share: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Pro forma amounts with the change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accounting principle related to</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revenue recognition applied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retroactively: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$1,230,571</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$1,214,602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$1,183,186</w:t>
            </w: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119,488</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167,515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168,328</w:t>
            </w: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 income per share: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0.37</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0.36</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0.49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0.51</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4,411,337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$2,218,354</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$1,861,730</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$1,763,853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$1,508,272</w:t>
            </w: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and non-current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obligations under capital</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leases..........................</w:t>
            </w:r>
          </w:p>
        </w:tc>
        <w:tc>
          <w:tcPr>
            <w:tcW w:w="1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1,212,960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16,214</w:t>
            </w:r>
          </w:p>
        </w:tc>
        <w:tc>
          <w:tcPr>
            <w:tcW w:w="1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340,758</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348,852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353,666</w:t>
            </w:r>
          </w:p>
        </w:tc>
      </w:tr>
    </w:tbl>
    <w:p>
      <w:pPr>
        <w:spacing w:after="0" w:line="200" w:lineRule="exact"/>
        <w:rPr>
          <w:sz w:val="20"/>
          <w:szCs w:val="20"/>
          <w:color w:val="auto"/>
        </w:rPr>
      </w:pPr>
    </w:p>
    <w:p>
      <w:pPr>
        <w:sectPr>
          <w:pgSz w:w="11900" w:h="16838" w:orient="portrait"/>
          <w:cols w:equalWidth="0" w:num="1">
            <w:col w:w="10219"/>
          </w:cols>
          <w:pgMar w:left="240" w:top="291" w:right="1440" w:bottom="1440" w:gutter="0" w:footer="0" w:header="0"/>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type w:val="continuous"/>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left="808" w:right="3019" w:hanging="810"/>
        <w:spacing w:after="0" w:line="243" w:lineRule="auto"/>
        <w:tabs>
          <w:tab w:leader="none" w:pos="787"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18 through 25 of the 2000 Annual Report to Shareholders and is filed herewith as part of Exhibit 13.1.</w:t>
      </w:r>
    </w:p>
    <w:p>
      <w:pPr>
        <w:spacing w:after="0" w:line="175"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18 through 25 of the 2000 Annual Report to Shareholders and is filed herewith as part of Exhibit 13.1.</w:t>
      </w:r>
    </w:p>
    <w:p>
      <w:pPr>
        <w:spacing w:after="0" w:line="175"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78" w:lineRule="exact"/>
        <w:rPr>
          <w:sz w:val="20"/>
          <w:szCs w:val="20"/>
          <w:color w:val="auto"/>
        </w:rPr>
      </w:pPr>
    </w:p>
    <w:p>
      <w:pPr>
        <w:ind w:left="8" w:right="3199" w:firstLine="451"/>
        <w:spacing w:after="0" w:line="262" w:lineRule="auto"/>
        <w:rPr>
          <w:sz w:val="20"/>
          <w:szCs w:val="20"/>
          <w:color w:val="auto"/>
        </w:rPr>
      </w:pPr>
      <w:r>
        <w:rPr>
          <w:rFonts w:ascii="Courier New" w:cs="Courier New" w:eastAsia="Courier New" w:hAnsi="Courier New"/>
          <w:sz w:val="14"/>
          <w:szCs w:val="14"/>
          <w:color w:val="auto"/>
        </w:rPr>
        <w:t>The information required by this item is incorporated herein by reference to our 2000 Annual Report to Shareholders under the headings "Financial Section -- Consolidated Statements of Income, -- Consolidated Balance Sheets,</w:t>
      </w:r>
    </w:p>
    <w:p>
      <w:pPr>
        <w:spacing w:after="0" w:line="1" w:lineRule="exact"/>
        <w:rPr>
          <w:sz w:val="20"/>
          <w:szCs w:val="20"/>
          <w:color w:val="auto"/>
        </w:rPr>
      </w:pPr>
    </w:p>
    <w:p>
      <w:pPr>
        <w:jc w:val="both"/>
        <w:ind w:left="8" w:right="3019" w:hanging="8"/>
        <w:spacing w:after="0" w:line="244" w:lineRule="auto"/>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Consolidated Statements of Stockholders' Equity, -- Consolidated Statements of Cash Flows, -- Notes to Consolidated Financial Statements, -- Report of Ernst &amp; Young LLP, Independent Auditors and -- Supplementary Financial Information," and is filed herewith as Exhibit 13.2.</w:t>
      </w:r>
    </w:p>
    <w:p>
      <w:pPr>
        <w:spacing w:after="0" w:line="176" w:lineRule="exact"/>
        <w:rPr>
          <w:sz w:val="20"/>
          <w:szCs w:val="20"/>
          <w:color w:val="auto"/>
        </w:rPr>
      </w:pPr>
    </w:p>
    <w:p>
      <w:pPr>
        <w:ind w:left="808" w:right="3739" w:hanging="810"/>
        <w:spacing w:after="0" w:line="243" w:lineRule="auto"/>
        <w:tabs>
          <w:tab w:leader="none" w:pos="787"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response to this item is contained in part under the caption "EXECUTIVE OFFICERS OF THE COMPANY" in Part I hereof, and the remainder is contained in the our Proxy Statement for the Annual Meeting of Stockholders to be held on March 13, 2001 (the "2001 Proxy Statement") under the caption "Election of Directors," and is incorporated herein by reference.</w:t>
      </w:r>
    </w:p>
    <w:p>
      <w:pPr>
        <w:spacing w:after="0" w:line="176"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response to this item is contained in our 2001 Proxy Statement under the captions "Directors' Compensation," "Information About Executive Compensation," and "Severance and Other Agreements," and is incorporated herein by reference.</w:t>
      </w:r>
    </w:p>
    <w:p>
      <w:pPr>
        <w:spacing w:after="0" w:line="175"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response to this item is contained in our 2001 Proxy Statement under the caption "Ownership by Management and Principal Stockholders," and is incorporated herein by reference.</w:t>
      </w:r>
    </w:p>
    <w:p>
      <w:pPr>
        <w:spacing w:after="0" w:line="175"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response to this item is contained in our 2001 Proxy Statement under the caption "Information About Certain Insider Relationships," and is incorporated herein by reference.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91"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7"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(a) 1.</w:t>
      </w:r>
      <w:r>
        <w:rPr>
          <w:sz w:val="20"/>
          <w:szCs w:val="20"/>
          <w:color w:val="auto"/>
        </w:rPr>
        <w:tab/>
      </w:r>
      <w:r>
        <w:rPr>
          <w:rFonts w:ascii="Courier New" w:cs="Courier New" w:eastAsia="Courier New" w:hAnsi="Courier New"/>
          <w:sz w:val="14"/>
          <w:szCs w:val="14"/>
          <w:color w:val="auto"/>
        </w:rPr>
        <w:t>FINANCIAL STATEMENTS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following consolidated financial statements are included in our 2000 Annual Report to Shareholders and are incorporated herein by reference pursuant to Item 8:</w:t>
      </w:r>
    </w:p>
    <w:p>
      <w:pPr>
        <w:spacing w:after="0" w:line="175" w:lineRule="exact"/>
        <w:rPr>
          <w:sz w:val="20"/>
          <w:szCs w:val="20"/>
          <w:color w:val="auto"/>
        </w:rPr>
      </w:pPr>
    </w:p>
    <w:p>
      <w:pPr>
        <w:ind w:left="728" w:right="3099" w:hanging="277"/>
        <w:spacing w:after="0" w:line="243" w:lineRule="auto"/>
        <w:tabs>
          <w:tab w:leader="none" w:pos="72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years ended October 28, 2000, October 30, 1999 and October 31, 1998</w:t>
      </w:r>
    </w:p>
    <w:p>
      <w:pPr>
        <w:spacing w:after="0" w:line="175" w:lineRule="exact"/>
        <w:rPr>
          <w:rFonts w:ascii="Courier New" w:cs="Courier New" w:eastAsia="Courier New" w:hAnsi="Courier New"/>
          <w:sz w:val="15"/>
          <w:szCs w:val="15"/>
          <w:color w:val="auto"/>
        </w:rPr>
      </w:pPr>
    </w:p>
    <w:p>
      <w:pPr>
        <w:ind w:left="728" w:hanging="277"/>
        <w:spacing w:after="0"/>
        <w:tabs>
          <w:tab w:leader="none" w:pos="72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October 28, 2000 and October 30, 1999</w:t>
      </w:r>
    </w:p>
    <w:p>
      <w:pPr>
        <w:spacing w:after="0" w:line="177" w:lineRule="exact"/>
        <w:rPr>
          <w:rFonts w:ascii="Courier New" w:cs="Courier New" w:eastAsia="Courier New" w:hAnsi="Courier New"/>
          <w:sz w:val="15"/>
          <w:szCs w:val="15"/>
          <w:color w:val="auto"/>
        </w:rPr>
      </w:pPr>
    </w:p>
    <w:p>
      <w:pPr>
        <w:ind w:left="728" w:right="3459" w:hanging="277"/>
        <w:spacing w:after="0" w:line="243" w:lineRule="auto"/>
        <w:tabs>
          <w:tab w:leader="none" w:pos="72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years ended October 28, 2000, October 30, 1999 and October 31, 1998</w:t>
      </w:r>
    </w:p>
    <w:p>
      <w:pPr>
        <w:spacing w:after="0" w:line="176" w:lineRule="exact"/>
        <w:rPr>
          <w:rFonts w:ascii="Courier New" w:cs="Courier New" w:eastAsia="Courier New" w:hAnsi="Courier New"/>
          <w:sz w:val="15"/>
          <w:szCs w:val="15"/>
          <w:color w:val="auto"/>
        </w:rPr>
      </w:pPr>
    </w:p>
    <w:p>
      <w:pPr>
        <w:ind w:left="728" w:right="3279" w:hanging="277"/>
        <w:spacing w:after="0" w:line="243" w:lineRule="auto"/>
        <w:tabs>
          <w:tab w:leader="none" w:pos="72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 October 28, 2000, October 30, 1999 and October 31, 1998</w:t>
      </w:r>
    </w:p>
    <w:p>
      <w:pPr>
        <w:spacing w:after="0" w:line="175"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FINANCIAL STATEMENT SCHEDULES</w:t>
      </w:r>
    </w:p>
    <w:p>
      <w:pPr>
        <w:spacing w:after="0" w:line="178"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The following consolidated financial statement schedule is included in Item 14(d):</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5"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(a) 3.</w:t>
      </w:r>
      <w:r>
        <w:rPr>
          <w:sz w:val="20"/>
          <w:szCs w:val="20"/>
          <w:color w:val="auto"/>
        </w:rPr>
        <w:tab/>
      </w:r>
      <w:r>
        <w:rPr>
          <w:rFonts w:ascii="Courier New" w:cs="Courier New" w:eastAsia="Courier New" w:hAnsi="Courier New"/>
          <w:sz w:val="14"/>
          <w:szCs w:val="14"/>
          <w:color w:val="auto"/>
        </w:rPr>
        <w:t>LISTING OF EXHIBITS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00" w:type="dxa"/>
            <w:vAlign w:val="bottom"/>
          </w:tcPr>
          <w:p>
            <w:pPr>
              <w:spacing w:after="0"/>
              <w:rPr>
                <w:sz w:val="14"/>
                <w:szCs w:val="14"/>
                <w:color w:val="auto"/>
              </w:rPr>
            </w:pPr>
          </w:p>
        </w:tc>
        <w:tc>
          <w:tcPr>
            <w:tcW w:w="5100" w:type="dxa"/>
            <w:vAlign w:val="bottom"/>
          </w:tcPr>
          <w:p>
            <w:pPr>
              <w:spacing w:after="0"/>
              <w:rPr>
                <w:sz w:val="14"/>
                <w:szCs w:val="14"/>
                <w:color w:val="auto"/>
              </w:rPr>
            </w:pPr>
          </w:p>
        </w:tc>
      </w:tr>
      <w:tr>
        <w:trPr>
          <w:trHeight w:val="173"/>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w:t>
            </w:r>
          </w:p>
        </w:tc>
        <w:tc>
          <w:tcPr>
            <w:tcW w:w="400" w:type="dxa"/>
            <w:vAlign w:val="bottom"/>
          </w:tcPr>
          <w:p>
            <w:pPr>
              <w:spacing w:after="0"/>
              <w:rPr>
                <w:sz w:val="15"/>
                <w:szCs w:val="15"/>
                <w:color w:val="auto"/>
              </w:rPr>
            </w:pPr>
          </w:p>
        </w:tc>
        <w:tc>
          <w:tcPr>
            <w:tcW w:w="5100" w:type="dxa"/>
            <w:vAlign w:val="bottom"/>
          </w:tcPr>
          <w:p>
            <w:pPr>
              <w:jc w:val="right"/>
              <w:ind w:right="2185"/>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5"/>
                <w:szCs w:val="15"/>
                <w:color w:val="auto"/>
              </w:rPr>
            </w:pPr>
          </w:p>
        </w:tc>
        <w:tc>
          <w:tcPr>
            <w:tcW w:w="5100" w:type="dxa"/>
            <w:vAlign w:val="bottom"/>
          </w:tcPr>
          <w:p>
            <w:pPr>
              <w:jc w:val="right"/>
              <w:ind w:right="2005"/>
              <w:spacing w:after="0"/>
              <w:rPr>
                <w:sz w:val="20"/>
                <w:szCs w:val="20"/>
                <w:color w:val="auto"/>
              </w:rPr>
            </w:pPr>
            <w:r>
              <w:rPr>
                <w:rFonts w:ascii="Courier New" w:cs="Courier New" w:eastAsia="Courier New" w:hAnsi="Courier New"/>
                <w:sz w:val="15"/>
                <w:szCs w:val="15"/>
                <w:color w:val="auto"/>
              </w:rPr>
              <w:t>-----------</w:t>
            </w:r>
          </w:p>
        </w:tc>
      </w:tr>
      <w:tr>
        <w:trPr>
          <w:trHeight w:val="347"/>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Restated Articles of Organization of Analog Devices, Inc.,</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amended, filed as an exhibit to the Company's quarterly</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report on Form 10-Q (Commission File No. 1-7819) for the</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quarterly period ended January 30, 1999 as filed with the</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Commission on March 15, 1999 and incorporated herein by</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w:t>
            </w: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By-laws of Analog Devices, Inc., as amended, filed as an</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exhibit to the Company's annual report on Form 10-K</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(Commission File No. 1-7819) for the fiscal year ended</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November 1, 1997, as filed with the Commission on January</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28, 1998 and incorporated herein by 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w:t>
            </w: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Analog Devices, Inc. Deferred Compensation Plan, filed as an</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exhibit to a Form S-8 filed on December 8, 1995 and</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incorporated herein by reference, as amended by Amendment</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1 and Amendment No. 2, filed as Exhibits to</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Post-Effective Amendment No. 1 to Form S-8 filed on April</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 1997, and Amendment No. 3, filed as an Exhibit to</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Post-Effective Amendment No. 2 to Form S-8 filed on November</w:t>
            </w:r>
          </w:p>
        </w:tc>
      </w:tr>
      <w:tr>
        <w:trPr>
          <w:trHeight w:val="173"/>
        </w:trPr>
        <w:tc>
          <w:tcPr>
            <w:tcW w:w="900" w:type="dxa"/>
            <w:vAlign w:val="bottom"/>
          </w:tcPr>
          <w:p>
            <w:pPr>
              <w:spacing w:after="0"/>
              <w:rPr>
                <w:sz w:val="15"/>
                <w:szCs w:val="15"/>
                <w:color w:val="auto"/>
              </w:rPr>
            </w:pP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5100" w:type="dxa"/>
            <w:vAlign w:val="bottom"/>
          </w:tcPr>
          <w:p>
            <w:pPr>
              <w:jc w:val="right"/>
              <w:ind w:right="452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Rights Agreement, dated as of March 18, 1998 between Analog</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Devices Inc. and BankBoston, N.A., as Rights Agent, filed as</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 exhibit and incorporated herein by reference to Analog</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Devices Inc.'s Registration Statement on Form 8-K (File No.</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001-07819) filed on March 19, 1998, as amended by Amendment</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1 filed as an exhibit to the Company's Form 8-K/A (File</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001-07819) filed on November 11, 1999 and incorporated</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herein by 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Indenture dated October 2, 2000 between Analog Devices, Inc.</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and State Street Bank and Trust Company, as Trustee, related</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 the Company's 4.75% Convertible Subordinated Notes due</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2005, filed as an exhibit to the Company's Form S-3 (File</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333-48928) filed with the Commission on October 30,</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w:t>
            </w: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Registration Rights Agreement dated October 2, 2000 by and</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between Analog Devices Inc., Goldman, Sachs &amp; Co., SG Cowen</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Securities Corporation and Salomon Smith Barney Inc.</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relating to the Company's 4.75% Convertible Subordinated</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due 2005, filed as an exhibit to the Company's Form</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S-3 (File No. 333-48928) filed with the Commission on</w:t>
            </w:r>
          </w:p>
        </w:tc>
      </w:tr>
      <w:tr>
        <w:trPr>
          <w:trHeight w:val="173"/>
        </w:trPr>
        <w:tc>
          <w:tcPr>
            <w:tcW w:w="90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October 30, 2000.</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*+10.1</w:t>
            </w:r>
          </w:p>
        </w:tc>
        <w:tc>
          <w:tcPr>
            <w:tcW w:w="5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Bonus Plan of Analog Devices, Inc.</w:t>
            </w:r>
          </w:p>
        </w:tc>
      </w:tr>
    </w:tbl>
    <w:p>
      <w:pPr>
        <w:spacing w:after="0" w:line="200" w:lineRule="exact"/>
        <w:rPr>
          <w:sz w:val="20"/>
          <w:szCs w:val="20"/>
          <w:color w:val="auto"/>
        </w:rPr>
      </w:pPr>
    </w:p>
    <w:p>
      <w:pPr>
        <w:sectPr>
          <w:pgSz w:w="11900" w:h="16838" w:orient="portrait"/>
          <w:cols w:equalWidth="0" w:num="1">
            <w:col w:w="10227"/>
          </w:cols>
          <w:pgMar w:left="232" w:top="291" w:right="1440" w:bottom="902" w:gutter="0" w:footer="0" w:header="0"/>
        </w:sectPr>
      </w:pPr>
    </w:p>
    <w:p>
      <w:pPr>
        <w:spacing w:after="0" w:line="1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91" w:right="1440" w:bottom="902"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w:t>
            </w:r>
          </w:p>
        </w:tc>
        <w:tc>
          <w:tcPr>
            <w:tcW w:w="5500" w:type="dxa"/>
            <w:vAlign w:val="bottom"/>
          </w:tcPr>
          <w:p>
            <w:pPr>
              <w:spacing w:after="0"/>
              <w:rPr>
                <w:sz w:val="14"/>
                <w:szCs w:val="14"/>
                <w:color w:val="auto"/>
              </w:rPr>
            </w:pPr>
          </w:p>
        </w:tc>
      </w:tr>
      <w:tr>
        <w:trPr>
          <w:trHeight w:val="694"/>
        </w:trPr>
        <w:tc>
          <w:tcPr>
            <w:tcW w:w="9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500" w:type="dxa"/>
            <w:vAlign w:val="bottom"/>
          </w:tcPr>
          <w:p>
            <w:pPr>
              <w:spacing w:after="0"/>
              <w:rPr>
                <w:sz w:val="24"/>
                <w:szCs w:val="24"/>
                <w:color w:val="auto"/>
              </w:rPr>
            </w:pPr>
          </w:p>
        </w:tc>
      </w:tr>
      <w:tr>
        <w:trPr>
          <w:trHeight w:val="173"/>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w:t>
            </w:r>
          </w:p>
        </w:tc>
        <w:tc>
          <w:tcPr>
            <w:tcW w:w="5500" w:type="dxa"/>
            <w:vAlign w:val="bottom"/>
          </w:tcPr>
          <w:p>
            <w:pPr>
              <w:ind w:left="224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0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7"/>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1991 Restricted Stock Plan of Analog Devices, Inc., filed as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an exhibit to the Company's Form 10-K for the fiscal year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ended November 1, 1997 and incorporated herein by 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1998 Stock Option Plan of Analog Devices Inc., filed on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February 6, 1998 as an appendix to the Registrant's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Definitive Proxy Statement on Schedule 14A and incorporated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herein by 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Restated 1988 Stock Option Plan of Analog Devices, Inc.,</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filed as an exhibit to the Company's Form 10-Q for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fiscal quarter ended May 3, 1997 and incorporated herein by</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1989 Director Stock Option Plan of Analog Devices, Inc., as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amended, filed as an exhibit to the Company's Form 10-K for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the fiscal year ended November 2, 1996 and incorporated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herein by 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1992 Director Option Plan of Analog Devices, Inc., filed as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an exhibit to the Company's Form 10-K for the fiscal year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ended November 1, 1997 and incorporated herein by 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1994 Director Option Plan of Analog Devices, Inc., as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amended, filed as an exhibit to the Company's Form 10-Q for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the fiscal quarter ended February 1, 1997 and incorporated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herein by reference, as amended by Amendment No. 2, filed as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an exhibit to the Company's Form S-8 (File No. 333-47789)</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filed on March 11, 1998 and incorporated herein by</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lease agreement dated May 1, 1992</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between Analog Devices, Inc. and the trustees of Everett</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Street Trust relating to the premises at 3 Technology Way,</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Norwood, Massachusetts, filed as an exhibit to the Company's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fiscal year ended November 1, 1997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3"/>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Guaranty dated as of May 1, 1994 between Analog Devices,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Inc. and Metropolitan Life Insurance Company relating to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premises at 3 Technology Way, Norwood, Massachusetts, filed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as an exhibit to the Company's Form 10-K for the fiscal year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ended October 30, 1999 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10.10</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Letter Agreement dated as of May 18, 1994 between Analog</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Devices, Inc. and Metropolitan Life Insurance Company</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relating to the premises at 3 Technology Way, Norwood,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Massachusetts, filed as an exhibit to the Company's Form</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10-K for the fiscal year ended October 30, 1999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Reimbursement Agreement dated May 18, 1992 between Analog</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Devices, Inc. and the trustees of Everett Street Trust,</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filed as an exhibit to the Company's Form 10-K for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fiscal year ended November 1, 1997 and incorporated herein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agreement dated August 8, 1990 between Precision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Monolithics, Inc. and Bourns, Inc. relating to the premises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at 1525 Comstock Road, Santa Clara, California, filed as an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exhibit to the Company's Form 10-K for the fiscal year ended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November 2, 1996 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amendment dated May 1, 1996 to the Lease Agreement</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dated August 8, 1990 between Analog Devices, Inc.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Bourns, Inc., relating to premises located at 1525 Comstock</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Road, Santa Clara, California, filed as an exhibit to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Company's Form 10-Q for the fiscal quarter ended May 4, 1996</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agreement dated August 8, 1990, as amended, between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Precision Monolithics, Inc. and Bourns, Inc. relating to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premises at 1500 Space Park Drive, Santa Clara, California,</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filed as an exhibit to the Company's Form 10-K for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fiscal year ended November 2, 1996 and incorporated herein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amendment dated May 1, 1996 to the Lease Agreement</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dated August 8, 1990 between Analog Devices, Inc.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Bourns, Inc., relating to premises located at 1500 Space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Park Drive, Santa Clara, California, filed as an exhibit to</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the Company's Form 10-Q for the fiscal quarter ended May 4,</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1996 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Form of Employee Retention Agreement, as amended, filed as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an exhibit to the Company's Form 10-K for the fiscal year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ended November 1, 1997 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Employee Change in Control Severance Policy of Analog</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Devices, Inc., as amended, filed as an exhibit to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Company's Form 10-K for the fiscal year ended October 30,</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1999 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*10.18</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Senior Management Change in Control Severance Policy of</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Analog Devices, Inc., as amended, filed as an exhibit to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Company's Form 10-K for the fiscal year ended October 30,</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1999 and incorporated herein by reference.</w:t>
            </w:r>
          </w:p>
        </w:tc>
      </w:tr>
    </w:tbl>
    <w:p>
      <w:pPr>
        <w:spacing w:after="0" w:line="200" w:lineRule="exact"/>
        <w:rPr>
          <w:sz w:val="20"/>
          <w:szCs w:val="20"/>
          <w:color w:val="auto"/>
        </w:rPr>
      </w:pPr>
    </w:p>
    <w:p>
      <w:pPr>
        <w:sectPr>
          <w:pgSz w:w="11900" w:h="16838" w:orient="portrait"/>
          <w:cols w:equalWidth="0" w:num="1">
            <w:col w:w="10219"/>
          </w:cols>
          <w:pgMar w:left="240" w:top="291" w:right="1440" w:bottom="35" w:gutter="0" w:footer="0" w:header="0"/>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35"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5500" w:type="dxa"/>
            <w:vAlign w:val="bottom"/>
          </w:tcPr>
          <w:p>
            <w:pPr>
              <w:spacing w:after="0"/>
              <w:rPr>
                <w:sz w:val="14"/>
                <w:szCs w:val="14"/>
                <w:color w:val="auto"/>
              </w:rPr>
            </w:pPr>
          </w:p>
        </w:tc>
      </w:tr>
      <w:tr>
        <w:trPr>
          <w:trHeight w:val="694"/>
        </w:trPr>
        <w:tc>
          <w:tcPr>
            <w:tcW w:w="9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500" w:type="dxa"/>
            <w:vAlign w:val="bottom"/>
          </w:tcPr>
          <w:p>
            <w:pPr>
              <w:spacing w:after="0"/>
              <w:rPr>
                <w:sz w:val="24"/>
                <w:szCs w:val="24"/>
                <w:color w:val="auto"/>
              </w:rPr>
            </w:pPr>
          </w:p>
        </w:tc>
      </w:tr>
      <w:tr>
        <w:trPr>
          <w:trHeight w:val="173"/>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w:t>
            </w:r>
          </w:p>
        </w:tc>
        <w:tc>
          <w:tcPr>
            <w:tcW w:w="5500" w:type="dxa"/>
            <w:vAlign w:val="bottom"/>
          </w:tcPr>
          <w:p>
            <w:pPr>
              <w:ind w:left="224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0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7"/>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*+10.19</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Letter agreement between Analog Devices Inc. and Jerald G.</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Fishman dated June 21, 2000 relating to acceleration of</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stock options upon the occurence of certain events.</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*10.20</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Consulting Arrangement between Analog</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Devices, Inc. and John L. Doyle, filed as an exhibit to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Company's Form 10-K for the fiscal year ended November 2,</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1996 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Agreement dated June 16, 1995 between Analog Devices,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Inc. and Ferrari Brothers, relating to the premises at 610</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Weddell Drive, Sunnyvale, California, filed as an exhibit to</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the Company's Form 10-K for the fiscal year ended November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2, 1996 and 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amendment dated March 1, 1996 to the Lease Agreement</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dated June 16, 1995 between Analog Devices, Inc. and Ferrari</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Brothers, relating to premises located at 610 Weddell Drive,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Sunnyvale, California, filed as an exhibit to the Company's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Form 10-Q for the fiscal quarter ended May 4, 1996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Agreement dated February 8, 1996 between Analog</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Devices, Inc. and Massachusetts Institute of Technology,</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relating to premises located at 21 Osborn Street, Cambridge,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Massachusetts, filed as an exhibit to the Company's Form</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10-Q for the fiscal quarter ended February 3, 1996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**10.24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Limited Liability Company Agreement of</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WaferTech, LLC, a Delaware limited liability company, dated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as of August 9, 1996, filed as Exhibit 10.47 to the Form</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10-Q of Altera Corporation (File No. 0-16617) for the fiscal</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quarter ended June 30, 1996, and incorporated herein by</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**10.25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Purchase Agreement by and between Taiwan Semiconductor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Manufacturing Co., Ltd., as seller and Analog Devices, Inc.,</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Altera Corporation and Integrated Silicon Solutions, Inc.,</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as buyers dated as of June 25, 1996, filed as Exhibit 10.48</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to the Form 10-Q of Altera Corporation (File No. 0-16617)</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for the fiscal quarter ended June 30, 1996, and incorporated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Trust Agreement for Deferred Compensation Plan, filed as an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exhibit to the Company's Post Effective Amendment No. 2 to</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Form S-3 filed November 12, 1997 and incorporated herein by</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Lease agreement dated September 19, 1996 between Ren Min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Company Limited and Analog Devices Taiwan, Limited relating</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to the premises at Five-Kung-Five Road, Taipei, Taiwan,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filed as an exhibit to the Company's Form 10-K for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fiscal year ended November 1, 1997 and incorporated herein</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10.28</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BCO Technologies plc Unapproved Share Option Scheme, filed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as an exhibit to the Company's Form S-8 (File No. 333-50092)</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filed with the Commission on November 16, 2000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3"/>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10.29</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BCO Technologies plc Approved Share Option Scheme, filed as</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an exhibit to the Company's Form S-8 (File No. 333-50092)</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filed with the Commission on November 16, 2000 and</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3"/>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+13.1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Management Analysis corresponding to pages 18 through 25 of</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the 2000 Annual Report to Shareholders, for the fiscal year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ended October 28, 2000.</w:t>
            </w:r>
          </w:p>
        </w:tc>
      </w:tr>
      <w:tr>
        <w:trPr>
          <w:trHeight w:val="173"/>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+13.2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 and Notes thereto, Report of Ernst &amp;</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Young LLP, Independent Auditors and Supplementary Financial</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Information, corresponding to pages 26 through 51 of the</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2000 Annual Report to Shareholders, for the fiscal year</w:t>
            </w:r>
          </w:p>
        </w:tc>
      </w:tr>
      <w:tr>
        <w:trPr>
          <w:trHeight w:val="173"/>
        </w:trPr>
        <w:tc>
          <w:tcPr>
            <w:tcW w:w="900" w:type="dxa"/>
            <w:vAlign w:val="bottom"/>
          </w:tcPr>
          <w:p>
            <w:pPr>
              <w:spacing w:after="0"/>
              <w:rPr>
                <w:sz w:val="15"/>
                <w:szCs w:val="15"/>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ended October 28, 2000.</w:t>
            </w:r>
          </w:p>
        </w:tc>
      </w:tr>
      <w:tr>
        <w:trPr>
          <w:trHeight w:val="173"/>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Subsidiaries of the Company.</w:t>
            </w:r>
          </w:p>
        </w:tc>
      </w:tr>
      <w:tr>
        <w:trPr>
          <w:trHeight w:val="520"/>
        </w:trPr>
        <w:tc>
          <w:tcPr>
            <w:tcW w:w="900" w:type="dxa"/>
            <w:vAlign w:val="bottom"/>
          </w:tcPr>
          <w:p>
            <w:pPr>
              <w:spacing w:after="0"/>
              <w:rPr>
                <w:sz w:val="24"/>
                <w:szCs w:val="24"/>
                <w:color w:val="auto"/>
              </w:rPr>
            </w:pPr>
          </w:p>
        </w:tc>
        <w:tc>
          <w:tcPr>
            <w:tcW w:w="5500" w:type="dxa"/>
            <w:vAlign w:val="bottom"/>
          </w:tcPr>
          <w:p>
            <w:pPr>
              <w:ind w:left="2600"/>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19"/>
          </w:cols>
          <w:pgMar w:left="240" w:top="291" w:right="1440"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428" w:space="720"/>
            <w:col w:w="7079"/>
          </w:cols>
          <w:pgMar w:left="232" w:top="291" w:right="1440" w:bottom="1440" w:gutter="0" w:footer="0" w:header="0"/>
          <w:type w:val="continuous"/>
        </w:sectPr>
      </w:pPr>
    </w:p>
    <w:p>
      <w:pPr>
        <w:ind w:left="88"/>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of Ernst &amp; Young LLP.</w:t>
      </w:r>
    </w:p>
    <w:p>
      <w:pPr>
        <w:spacing w:after="0" w:line="200" w:lineRule="exact"/>
        <w:rPr>
          <w:sz w:val="20"/>
          <w:szCs w:val="20"/>
          <w:color w:val="auto"/>
        </w:rPr>
      </w:pPr>
    </w:p>
    <w:p>
      <w:pPr>
        <w:sectPr>
          <w:pgSz w:w="11900" w:h="16838" w:orient="portrait"/>
          <w:cols w:equalWidth="0" w:num="2">
            <w:col w:w="368" w:space="620"/>
            <w:col w:w="9239"/>
          </w:cols>
          <w:pgMar w:left="232" w:top="291" w:right="1440" w:bottom="1440" w:gutter="0" w:footer="0" w:header="0"/>
          <w:type w:val="continuous"/>
        </w:sectPr>
      </w:pPr>
    </w:p>
    <w:p>
      <w:pPr>
        <w:spacing w:after="0" w:line="150"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hanging="177"/>
        <w:spacing w:after="0"/>
        <w:tabs>
          <w:tab w:leader="none" w:pos="26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8" w:lineRule="exact"/>
        <w:rPr>
          <w:sz w:val="20"/>
          <w:szCs w:val="20"/>
          <w:color w:val="auto"/>
        </w:rPr>
      </w:pPr>
    </w:p>
    <w:p>
      <w:pPr>
        <w:ind w:left="268" w:right="3379" w:hanging="177"/>
        <w:spacing w:after="0" w:line="243"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contracts and compensatory plan or arrangements required to be filed as an Exhibit pursuant to Item 14(c) of Form 10-K.</w:t>
      </w:r>
    </w:p>
    <w:p>
      <w:pPr>
        <w:spacing w:after="0" w:line="176" w:lineRule="exact"/>
        <w:rPr>
          <w:sz w:val="20"/>
          <w:szCs w:val="20"/>
          <w:color w:val="auto"/>
        </w:rPr>
      </w:pPr>
    </w:p>
    <w:p>
      <w:pPr>
        <w:ind w:left="268" w:right="3559" w:hanging="268"/>
        <w:spacing w:after="0" w:line="243" w:lineRule="auto"/>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granted as to certain portions of these Exhibits.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REPORTS ON FORM 8-K</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Form 8-K, dated September 26, 2000, reporting the Company had priced a new issue of $1 billion ($1.2 billion including the over-allotment option) of Convertible Subordinated Notes due in 2005, which are convertible into shares of the Company's common stock, $.16 2/3 par value, at a conversion price of $129.78 per share.</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1440" w:gutter="0" w:footer="0" w:header="0"/>
          <w:type w:val="continuous"/>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jc w:val="center"/>
              <w:ind w:right="745"/>
              <w:spacing w:after="0"/>
              <w:rPr>
                <w:sz w:val="20"/>
                <w:szCs w:val="20"/>
                <w:color w:val="auto"/>
              </w:rPr>
            </w:pPr>
            <w:r>
              <w:rPr>
                <w:rFonts w:ascii="Courier New" w:cs="Courier New" w:eastAsia="Courier New" w:hAnsi="Courier New"/>
                <w:sz w:val="15"/>
                <w:szCs w:val="15"/>
                <w:color w:val="auto"/>
              </w:rPr>
              <w:t>By: /s/ JERALD G. FISHMAN</w:t>
            </w:r>
          </w:p>
        </w:tc>
        <w:tc>
          <w:tcPr>
            <w:tcW w:w="4860" w:type="dxa"/>
            <w:vAlign w:val="bottom"/>
          </w:tcPr>
          <w:p>
            <w:pPr>
              <w:jc w:val="center"/>
              <w:ind w:left="25"/>
              <w:spacing w:after="0"/>
              <w:rPr>
                <w:sz w:val="20"/>
                <w:szCs w:val="20"/>
                <w:color w:val="auto"/>
              </w:rPr>
            </w:pPr>
            <w:r>
              <w:rPr>
                <w:rFonts w:ascii="Courier New" w:cs="Courier New" w:eastAsia="Courier New" w:hAnsi="Courier New"/>
                <w:sz w:val="15"/>
                <w:szCs w:val="15"/>
                <w:color w:val="auto"/>
              </w:rPr>
              <w:t>By: /s/ JOSEPH E. MCDONOUGH</w:t>
            </w:r>
          </w:p>
        </w:tc>
      </w:tr>
      <w:tr>
        <w:trPr>
          <w:trHeight w:val="173"/>
        </w:trPr>
        <w:tc>
          <w:tcPr>
            <w:tcW w:w="50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9"/>
              </w:rPr>
              <w:t>- ------------------------------------------------</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center"/>
              <w:ind w:right="745"/>
              <w:spacing w:after="0"/>
              <w:rPr>
                <w:sz w:val="20"/>
                <w:szCs w:val="20"/>
                <w:color w:val="auto"/>
              </w:rPr>
            </w:pPr>
            <w:r>
              <w:rPr>
                <w:rFonts w:ascii="Courier New" w:cs="Courier New" w:eastAsia="Courier New" w:hAnsi="Courier New"/>
                <w:sz w:val="15"/>
                <w:szCs w:val="15"/>
                <w:color w:val="auto"/>
              </w:rPr>
              <w:t>Jerald G. Fishman</w:t>
            </w:r>
          </w:p>
        </w:tc>
        <w:tc>
          <w:tcPr>
            <w:tcW w:w="4860" w:type="dxa"/>
            <w:vAlign w:val="bottom"/>
          </w:tcPr>
          <w:p>
            <w:pPr>
              <w:jc w:val="center"/>
              <w:ind w:left="25"/>
              <w:spacing w:after="0"/>
              <w:rPr>
                <w:sz w:val="20"/>
                <w:szCs w:val="20"/>
                <w:color w:val="auto"/>
              </w:rPr>
            </w:pPr>
            <w:r>
              <w:rPr>
                <w:rFonts w:ascii="Courier New" w:cs="Courier New" w:eastAsia="Courier New" w:hAnsi="Courier New"/>
                <w:sz w:val="15"/>
                <w:szCs w:val="15"/>
                <w:color w:val="auto"/>
              </w:rPr>
              <w:t>Joseph E. McDonough</w:t>
            </w:r>
          </w:p>
        </w:tc>
      </w:tr>
      <w:tr>
        <w:trPr>
          <w:trHeight w:val="173"/>
        </w:trPr>
        <w:tc>
          <w:tcPr>
            <w:tcW w:w="5040" w:type="dxa"/>
            <w:vAlign w:val="bottom"/>
          </w:tcPr>
          <w:p>
            <w:pPr>
              <w:jc w:val="center"/>
              <w:ind w:right="665"/>
              <w:spacing w:after="0"/>
              <w:rPr>
                <w:sz w:val="20"/>
                <w:szCs w:val="20"/>
                <w:color w:val="auto"/>
              </w:rPr>
            </w:pPr>
            <w:r>
              <w:rPr>
                <w:rFonts w:ascii="Courier New" w:cs="Courier New" w:eastAsia="Courier New" w:hAnsi="Courier New"/>
                <w:sz w:val="15"/>
                <w:szCs w:val="15"/>
                <w:color w:val="auto"/>
                <w:w w:val="99"/>
              </w:rPr>
              <w:t>President,</w:t>
            </w:r>
          </w:p>
        </w:tc>
        <w:tc>
          <w:tcPr>
            <w:tcW w:w="486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Vice President-Finance</w:t>
            </w:r>
          </w:p>
        </w:tc>
      </w:tr>
      <w:tr>
        <w:trPr>
          <w:trHeight w:val="173"/>
        </w:trPr>
        <w:tc>
          <w:tcPr>
            <w:tcW w:w="504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Chief Executive Officer</w:t>
            </w:r>
          </w:p>
        </w:tc>
        <w:tc>
          <w:tcPr>
            <w:tcW w:w="4860" w:type="dxa"/>
            <w:vAlign w:val="bottom"/>
          </w:tcPr>
          <w:p>
            <w:pPr>
              <w:jc w:val="center"/>
              <w:ind w:left="25"/>
              <w:spacing w:after="0"/>
              <w:rPr>
                <w:sz w:val="20"/>
                <w:szCs w:val="20"/>
                <w:color w:val="auto"/>
              </w:rPr>
            </w:pPr>
            <w:r>
              <w:rPr>
                <w:rFonts w:ascii="Courier New" w:cs="Courier New" w:eastAsia="Courier New" w:hAnsi="Courier New"/>
                <w:sz w:val="15"/>
                <w:szCs w:val="15"/>
                <w:color w:val="auto"/>
              </w:rPr>
              <w:t>and Chief Financial Officer</w:t>
            </w:r>
          </w:p>
        </w:tc>
      </w:tr>
      <w:tr>
        <w:trPr>
          <w:trHeight w:val="173"/>
        </w:trPr>
        <w:tc>
          <w:tcPr>
            <w:tcW w:w="504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9"/>
              </w:rPr>
              <w:t>and Director</w:t>
            </w:r>
          </w:p>
        </w:tc>
        <w:tc>
          <w:tcPr>
            <w:tcW w:w="48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(Principal Financial and</w:t>
            </w:r>
          </w:p>
        </w:tc>
      </w:tr>
      <w:tr>
        <w:trPr>
          <w:trHeight w:val="173"/>
        </w:trPr>
        <w:tc>
          <w:tcPr>
            <w:tcW w:w="5040" w:type="dxa"/>
            <w:vAlign w:val="bottom"/>
          </w:tcPr>
          <w:p>
            <w:pPr>
              <w:jc w:val="center"/>
              <w:ind w:right="745"/>
              <w:spacing w:after="0"/>
              <w:rPr>
                <w:sz w:val="20"/>
                <w:szCs w:val="20"/>
                <w:color w:val="auto"/>
              </w:rPr>
            </w:pPr>
            <w:r>
              <w:rPr>
                <w:rFonts w:ascii="Courier New" w:cs="Courier New" w:eastAsia="Courier New" w:hAnsi="Courier New"/>
                <w:sz w:val="15"/>
                <w:szCs w:val="15"/>
                <w:color w:val="auto"/>
              </w:rPr>
              <w:t>(Principal Executive Officer)</w:t>
            </w:r>
          </w:p>
        </w:tc>
        <w:tc>
          <w:tcPr>
            <w:tcW w:w="4860" w:type="dxa"/>
            <w:vAlign w:val="bottom"/>
          </w:tcPr>
          <w:p>
            <w:pPr>
              <w:jc w:val="center"/>
              <w:ind w:left="25"/>
              <w:spacing w:after="0"/>
              <w:rPr>
                <w:sz w:val="20"/>
                <w:szCs w:val="20"/>
                <w:color w:val="auto"/>
              </w:rPr>
            </w:pPr>
            <w:r>
              <w:rPr>
                <w:rFonts w:ascii="Courier New" w:cs="Courier New" w:eastAsia="Courier New" w:hAnsi="Courier New"/>
                <w:sz w:val="15"/>
                <w:szCs w:val="15"/>
                <w:color w:val="auto"/>
              </w:rPr>
              <w:t>Accounting Officer)</w:t>
            </w:r>
          </w:p>
        </w:tc>
      </w:tr>
      <w:tr>
        <w:trPr>
          <w:trHeight w:val="347"/>
        </w:trPr>
        <w:tc>
          <w:tcPr>
            <w:tcW w:w="5040" w:type="dxa"/>
            <w:vAlign w:val="bottom"/>
          </w:tcPr>
          <w:p>
            <w:pPr>
              <w:jc w:val="center"/>
              <w:ind w:right="665"/>
              <w:spacing w:after="0"/>
              <w:rPr>
                <w:sz w:val="20"/>
                <w:szCs w:val="20"/>
                <w:color w:val="auto"/>
              </w:rPr>
            </w:pPr>
            <w:r>
              <w:rPr>
                <w:rFonts w:ascii="Courier New" w:cs="Courier New" w:eastAsia="Courier New" w:hAnsi="Courier New"/>
                <w:sz w:val="15"/>
                <w:szCs w:val="15"/>
                <w:color w:val="auto"/>
                <w:w w:val="99"/>
              </w:rPr>
              <w:t>Date: January 26, 2001</w:t>
            </w:r>
          </w:p>
        </w:tc>
        <w:tc>
          <w:tcPr>
            <w:tcW w:w="486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Date: January 26, 2001</w:t>
            </w:r>
          </w:p>
        </w:tc>
      </w:tr>
    </w:tbl>
    <w:p>
      <w:pPr>
        <w:spacing w:after="0" w:line="351"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and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1" w:lineRule="exact"/>
        <w:rPr>
          <w:sz w:val="20"/>
          <w:szCs w:val="20"/>
          <w:color w:val="auto"/>
        </w:rPr>
      </w:pPr>
    </w:p>
    <w:tbl>
      <w:tblPr>
        <w:tblLayout w:type="fixed"/>
        <w:tblInd w:w="1448" w:type="dxa"/>
        <w:tblCellMar>
          <w:top w:w="0" w:type="dxa"/>
          <w:left w:w="0" w:type="dxa"/>
          <w:bottom w:w="0" w:type="dxa"/>
          <w:right w:w="0" w:type="dxa"/>
        </w:tblCellMar>
      </w:tblPr>
      <w:tr>
        <w:trPr>
          <w:trHeight w:val="170"/>
        </w:trPr>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NAME</w:t>
            </w:r>
          </w:p>
        </w:tc>
        <w:tc>
          <w:tcPr>
            <w:tcW w:w="3520" w:type="dxa"/>
            <w:vAlign w:val="bottom"/>
          </w:tcPr>
          <w:p>
            <w:pPr>
              <w:ind w:left="2260"/>
              <w:spacing w:after="0"/>
              <w:rPr>
                <w:sz w:val="20"/>
                <w:szCs w:val="20"/>
                <w:color w:val="auto"/>
              </w:rPr>
            </w:pPr>
            <w:r>
              <w:rPr>
                <w:rFonts w:ascii="Courier New" w:cs="Courier New" w:eastAsia="Courier New" w:hAnsi="Courier New"/>
                <w:sz w:val="15"/>
                <w:szCs w:val="15"/>
                <w:color w:val="auto"/>
              </w:rPr>
              <w:t>TITLE</w:t>
            </w:r>
          </w:p>
        </w:tc>
        <w:tc>
          <w:tcPr>
            <w:tcW w:w="206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9"/>
              </w:rPr>
              <w:t>DATE</w:t>
            </w:r>
          </w:p>
        </w:tc>
      </w:tr>
      <w:tr>
        <w:trPr>
          <w:trHeight w:val="173"/>
        </w:trPr>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520" w:type="dxa"/>
            <w:vAlign w:val="bottom"/>
          </w:tcPr>
          <w:p>
            <w:pPr>
              <w:ind w:left="226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/s/ RAY STATA</w:t>
            </w:r>
          </w:p>
        </w:tc>
        <w:tc>
          <w:tcPr>
            <w:tcW w:w="3520" w:type="dxa"/>
            <w:vAlign w:val="bottom"/>
          </w:tcPr>
          <w:p>
            <w:pPr>
              <w:ind w:left="1000"/>
              <w:spacing w:after="0"/>
              <w:rPr>
                <w:sz w:val="20"/>
                <w:szCs w:val="20"/>
                <w:color w:val="auto"/>
              </w:rPr>
            </w:pPr>
            <w:r>
              <w:rPr>
                <w:rFonts w:ascii="Courier New" w:cs="Courier New" w:eastAsia="Courier New" w:hAnsi="Courier New"/>
                <w:sz w:val="15"/>
                <w:szCs w:val="15"/>
                <w:color w:val="auto"/>
              </w:rPr>
              <w:t>Chairman of the Board</w:t>
            </w:r>
          </w:p>
        </w:tc>
        <w:tc>
          <w:tcPr>
            <w:tcW w:w="206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9"/>
              </w:rPr>
              <w:t>January 26, 2001</w:t>
            </w:r>
          </w:p>
        </w:tc>
      </w:tr>
    </w:tbl>
    <w:p>
      <w:pPr>
        <w:spacing w:after="0" w:line="3"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Ray Stata</w:t>
      </w:r>
    </w:p>
    <w:p>
      <w:pPr>
        <w:spacing w:after="0" w:line="177" w:lineRule="exact"/>
        <w:rPr>
          <w:sz w:val="20"/>
          <w:szCs w:val="20"/>
          <w:color w:val="auto"/>
        </w:rPr>
      </w:pPr>
    </w:p>
    <w:p>
      <w:pPr>
        <w:jc w:val="right"/>
        <w:ind w:right="1039"/>
        <w:spacing w:after="0"/>
        <w:tabs>
          <w:tab w:leader="none" w:pos="5280" w:val="left"/>
          <w:tab w:leader="none" w:pos="2140" w:val="left"/>
        </w:tabs>
        <w:rPr>
          <w:sz w:val="20"/>
          <w:szCs w:val="20"/>
          <w:color w:val="auto"/>
        </w:rPr>
      </w:pPr>
      <w:r>
        <w:rPr>
          <w:rFonts w:ascii="Courier New" w:cs="Courier New" w:eastAsia="Courier New" w:hAnsi="Courier New"/>
          <w:sz w:val="15"/>
          <w:szCs w:val="15"/>
          <w:color w:val="auto"/>
        </w:rPr>
        <w:t>/s/ JERALD G. FISHMAN</w:t>
      </w:r>
      <w:r>
        <w:rPr>
          <w:sz w:val="20"/>
          <w:szCs w:val="20"/>
          <w:color w:val="auto"/>
        </w:rPr>
        <w:tab/>
      </w:r>
      <w:r>
        <w:rPr>
          <w:rFonts w:ascii="Courier New" w:cs="Courier New" w:eastAsia="Courier New" w:hAnsi="Courier New"/>
          <w:sz w:val="15"/>
          <w:szCs w:val="15"/>
          <w:color w:val="auto"/>
        </w:rPr>
        <w:t>President,Chief Executive Officer</w:t>
      </w:r>
      <w:r>
        <w:rPr>
          <w:sz w:val="20"/>
          <w:szCs w:val="20"/>
          <w:color w:val="auto"/>
        </w:rPr>
        <w:tab/>
      </w:r>
      <w:r>
        <w:rPr>
          <w:rFonts w:ascii="Courier New" w:cs="Courier New" w:eastAsia="Courier New" w:hAnsi="Courier New"/>
          <w:sz w:val="14"/>
          <w:szCs w:val="14"/>
          <w:color w:val="auto"/>
        </w:rPr>
        <w:t>January 26, 2001</w:t>
      </w:r>
    </w:p>
    <w:p>
      <w:pPr>
        <w:spacing w:after="0" w:line="3" w:lineRule="exact"/>
        <w:rPr>
          <w:sz w:val="20"/>
          <w:szCs w:val="20"/>
          <w:color w:val="auto"/>
        </w:rPr>
      </w:pPr>
    </w:p>
    <w:p>
      <w:pPr>
        <w:ind w:left="8"/>
        <w:spacing w:after="0"/>
        <w:tabs>
          <w:tab w:leader="none" w:pos="476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and Director</w:t>
      </w:r>
    </w:p>
    <w:p>
      <w:pPr>
        <w:spacing w:after="0" w:line="3"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Jerald G. Fishman</w:t>
      </w:r>
    </w:p>
    <w:p>
      <w:pPr>
        <w:spacing w:after="0" w:line="177" w:lineRule="exact"/>
        <w:rPr>
          <w:sz w:val="20"/>
          <w:szCs w:val="20"/>
          <w:color w:val="auto"/>
        </w:rPr>
      </w:pPr>
    </w:p>
    <w:p>
      <w:pPr>
        <w:jc w:val="right"/>
        <w:ind w:right="1039"/>
        <w:spacing w:after="0"/>
        <w:tabs>
          <w:tab w:leader="none" w:pos="5280" w:val="left"/>
          <w:tab w:leader="none" w:pos="2140" w:val="left"/>
        </w:tabs>
        <w:rPr>
          <w:sz w:val="20"/>
          <w:szCs w:val="20"/>
          <w:color w:val="auto"/>
        </w:rPr>
      </w:pPr>
      <w:r>
        <w:rPr>
          <w:rFonts w:ascii="Courier New" w:cs="Courier New" w:eastAsia="Courier New" w:hAnsi="Courier New"/>
          <w:sz w:val="15"/>
          <w:szCs w:val="15"/>
          <w:color w:val="auto"/>
        </w:rPr>
        <w:t>/s/ JOHN L. DOYLE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26, 2001</w:t>
      </w:r>
    </w:p>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L. Doyle</w:t>
      </w:r>
    </w:p>
    <w:p>
      <w:pPr>
        <w:spacing w:after="0" w:line="177" w:lineRule="exact"/>
        <w:rPr>
          <w:sz w:val="20"/>
          <w:szCs w:val="20"/>
          <w:color w:val="auto"/>
        </w:rPr>
      </w:pPr>
    </w:p>
    <w:p>
      <w:pPr>
        <w:jc w:val="right"/>
        <w:ind w:right="1039"/>
        <w:spacing w:after="0"/>
        <w:tabs>
          <w:tab w:leader="none" w:pos="5280" w:val="left"/>
          <w:tab w:leader="none" w:pos="2140" w:val="left"/>
        </w:tabs>
        <w:rPr>
          <w:sz w:val="20"/>
          <w:szCs w:val="20"/>
          <w:color w:val="auto"/>
        </w:rPr>
      </w:pPr>
      <w:r>
        <w:rPr>
          <w:rFonts w:ascii="Courier New" w:cs="Courier New" w:eastAsia="Courier New" w:hAnsi="Courier New"/>
          <w:sz w:val="15"/>
          <w:szCs w:val="15"/>
          <w:color w:val="auto"/>
        </w:rPr>
        <w:t>/s/ CHARLES O. HOLLIDAY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26, 2001</w:t>
      </w:r>
    </w:p>
    <w:p>
      <w:pPr>
        <w:spacing w:after="0" w:line="3"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O. Holliday</w:t>
      </w:r>
    </w:p>
    <w:p>
      <w:pPr>
        <w:spacing w:after="0" w:line="177" w:lineRule="exact"/>
        <w:rPr>
          <w:sz w:val="20"/>
          <w:szCs w:val="20"/>
          <w:color w:val="auto"/>
        </w:rPr>
      </w:pPr>
    </w:p>
    <w:p>
      <w:pPr>
        <w:jc w:val="right"/>
        <w:ind w:right="1039"/>
        <w:spacing w:after="0"/>
        <w:tabs>
          <w:tab w:leader="none" w:pos="5280" w:val="left"/>
          <w:tab w:leader="none" w:pos="2140" w:val="left"/>
        </w:tabs>
        <w:rPr>
          <w:sz w:val="20"/>
          <w:szCs w:val="20"/>
          <w:color w:val="auto"/>
        </w:rPr>
      </w:pPr>
      <w:r>
        <w:rPr>
          <w:rFonts w:ascii="Courier New" w:cs="Courier New" w:eastAsia="Courier New" w:hAnsi="Courier New"/>
          <w:sz w:val="15"/>
          <w:szCs w:val="15"/>
          <w:color w:val="auto"/>
        </w:rPr>
        <w:t>/s/ JOEL MOSES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26, 2001</w:t>
      </w:r>
    </w:p>
    <w:p>
      <w:pPr>
        <w:spacing w:after="0" w:line="3"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Joel Moses</w:t>
      </w:r>
    </w:p>
    <w:p>
      <w:pPr>
        <w:spacing w:after="0" w:line="177" w:lineRule="exact"/>
        <w:rPr>
          <w:sz w:val="20"/>
          <w:szCs w:val="20"/>
          <w:color w:val="auto"/>
        </w:rPr>
      </w:pPr>
    </w:p>
    <w:p>
      <w:pPr>
        <w:jc w:val="right"/>
        <w:ind w:right="1039"/>
        <w:spacing w:after="0"/>
        <w:tabs>
          <w:tab w:leader="none" w:pos="5280" w:val="left"/>
          <w:tab w:leader="none" w:pos="2140" w:val="left"/>
        </w:tabs>
        <w:rPr>
          <w:sz w:val="20"/>
          <w:szCs w:val="20"/>
          <w:color w:val="auto"/>
        </w:rPr>
      </w:pPr>
      <w:r>
        <w:rPr>
          <w:rFonts w:ascii="Courier New" w:cs="Courier New" w:eastAsia="Courier New" w:hAnsi="Courier New"/>
          <w:sz w:val="15"/>
          <w:szCs w:val="15"/>
          <w:color w:val="auto"/>
        </w:rPr>
        <w:t>/s/ F. GRANT SAVIERS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26, 2001</w:t>
      </w:r>
    </w:p>
    <w:p>
      <w:pPr>
        <w:spacing w:after="0" w:line="3"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 Grant Saviers</w:t>
      </w:r>
    </w:p>
    <w:p>
      <w:pPr>
        <w:spacing w:after="0" w:line="177" w:lineRule="exact"/>
        <w:rPr>
          <w:sz w:val="20"/>
          <w:szCs w:val="20"/>
          <w:color w:val="auto"/>
        </w:rPr>
      </w:pPr>
    </w:p>
    <w:p>
      <w:pPr>
        <w:jc w:val="right"/>
        <w:ind w:right="1039"/>
        <w:spacing w:after="0"/>
        <w:tabs>
          <w:tab w:leader="none" w:pos="5280" w:val="left"/>
          <w:tab w:leader="none" w:pos="2140" w:val="left"/>
        </w:tabs>
        <w:rPr>
          <w:sz w:val="20"/>
          <w:szCs w:val="20"/>
          <w:color w:val="auto"/>
        </w:rPr>
      </w:pPr>
      <w:r>
        <w:rPr>
          <w:rFonts w:ascii="Courier New" w:cs="Courier New" w:eastAsia="Courier New" w:hAnsi="Courier New"/>
          <w:sz w:val="15"/>
          <w:szCs w:val="15"/>
          <w:color w:val="auto"/>
        </w:rPr>
        <w:t>/s/ LESTER C. THUROW</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26, 2001</w:t>
      </w:r>
    </w:p>
    <w:p>
      <w:pPr>
        <w:spacing w:after="0" w:line="3"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Lester C. Thurow</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ANNUAL REPORT ON FORM 10-K</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YEAR ENDED OCTOBER 28, 2000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ITEM 14(d)</w:t>
      </w:r>
    </w:p>
    <w:p>
      <w:pPr>
        <w:spacing w:after="0" w:line="3"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5"/>
          <w:szCs w:val="15"/>
          <w:color w:val="auto"/>
        </w:rPr>
        <w:t>FINANCIAL STATEMENT SCHEDULE</w:t>
      </w:r>
    </w:p>
    <w:p>
      <w:pPr>
        <w:sectPr>
          <w:pgSz w:w="11900" w:h="16838" w:orient="portrait"/>
          <w:cols w:equalWidth="0" w:num="1">
            <w:col w:w="9959"/>
          </w:cols>
          <w:pgMar w:left="500" w:top="291" w:right="1440"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70"/>
        </w:trPr>
        <w:tc>
          <w:tcPr>
            <w:tcW w:w="2700" w:type="dxa"/>
            <w:vAlign w:val="bottom"/>
          </w:tcPr>
          <w:p>
            <w:pPr>
              <w:jc w:val="right"/>
              <w:ind w:right="2188"/>
              <w:spacing w:after="0"/>
              <w:rPr>
                <w:sz w:val="20"/>
                <w:szCs w:val="20"/>
                <w:color w:val="auto"/>
              </w:rPr>
            </w:pPr>
            <w:r>
              <w:rPr>
                <w:rFonts w:ascii="Courier New" w:cs="Courier New" w:eastAsia="Courier New" w:hAnsi="Courier New"/>
                <w:sz w:val="15"/>
                <w:szCs w:val="15"/>
                <w:color w:val="auto"/>
              </w:rPr>
              <w:t>21</w:t>
            </w:r>
          </w:p>
        </w:tc>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7"/>
        </w:trPr>
        <w:tc>
          <w:tcPr>
            <w:tcW w:w="2700" w:type="dxa"/>
            <w:vAlign w:val="bottom"/>
          </w:tcPr>
          <w:p>
            <w:pPr>
              <w:spacing w:after="0"/>
              <w:rPr>
                <w:sz w:val="24"/>
                <w:szCs w:val="24"/>
                <w:color w:val="auto"/>
              </w:rPr>
            </w:pPr>
          </w:p>
        </w:tc>
        <w:tc>
          <w:tcPr>
            <w:tcW w:w="3100" w:type="dxa"/>
            <w:vAlign w:val="bottom"/>
          </w:tcPr>
          <w:p>
            <w:pPr>
              <w:jc w:val="right"/>
              <w:ind w:right="1225"/>
              <w:spacing w:after="0"/>
              <w:rPr>
                <w:sz w:val="20"/>
                <w:szCs w:val="20"/>
                <w:color w:val="auto"/>
              </w:rPr>
            </w:pPr>
            <w:r>
              <w:rPr>
                <w:rFonts w:ascii="Courier New" w:cs="Courier New" w:eastAsia="Courier New" w:hAnsi="Courier New"/>
                <w:sz w:val="15"/>
                <w:szCs w:val="15"/>
                <w:color w:val="auto"/>
                <w:w w:val="98"/>
              </w:rPr>
              <w:t>ANALOG DEVICES, INC.</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SCHEDULE II --</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VALUATION AND QUALIFYING ACCOUNTS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74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YEARS ENDED OCTOBER 28, 2000, OCTOBER 30, 1999 AND OCTOBER 31, 1998</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700" w:type="dxa"/>
            <w:vAlign w:val="bottom"/>
          </w:tcPr>
          <w:p>
            <w:pPr>
              <w:spacing w:after="0"/>
              <w:rPr>
                <w:sz w:val="15"/>
                <w:szCs w:val="15"/>
                <w:color w:val="auto"/>
              </w:rPr>
            </w:pPr>
          </w:p>
        </w:tc>
        <w:tc>
          <w:tcPr>
            <w:tcW w:w="3100" w:type="dxa"/>
            <w:vAlign w:val="bottom"/>
          </w:tcPr>
          <w:p>
            <w:pPr>
              <w:jc w:val="right"/>
              <w:ind w:right="1685"/>
              <w:spacing w:after="0"/>
              <w:rPr>
                <w:sz w:val="20"/>
                <w:szCs w:val="20"/>
                <w:color w:val="auto"/>
              </w:rPr>
            </w:pPr>
            <w:r>
              <w:rPr>
                <w:rFonts w:ascii="Courier New" w:cs="Courier New" w:eastAsia="Courier New" w:hAnsi="Courier New"/>
                <w:sz w:val="15"/>
                <w:szCs w:val="15"/>
                <w:color w:val="auto"/>
              </w:rPr>
              <w:t>(THOUSANDS)</w:t>
            </w: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94"/>
        </w:trPr>
        <w:tc>
          <w:tcPr>
            <w:tcW w:w="2700" w:type="dxa"/>
            <w:vAlign w:val="bottom"/>
          </w:tcPr>
          <w:p>
            <w:pPr>
              <w:spacing w:after="0"/>
              <w:rPr>
                <w:sz w:val="24"/>
                <w:szCs w:val="24"/>
                <w:color w:val="auto"/>
              </w:rPr>
            </w:pPr>
          </w:p>
        </w:tc>
        <w:tc>
          <w:tcPr>
            <w:tcW w:w="3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BALANCE AT</w:t>
            </w:r>
          </w:p>
        </w:tc>
        <w:tc>
          <w:tcPr>
            <w:tcW w:w="16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ADDITION</w:t>
            </w:r>
          </w:p>
        </w:tc>
        <w:tc>
          <w:tcPr>
            <w:tcW w:w="1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BALANCE AT</w:t>
            </w:r>
          </w:p>
        </w:tc>
      </w:tr>
      <w:tr>
        <w:trPr>
          <w:trHeight w:val="173"/>
        </w:trPr>
        <w:tc>
          <w:tcPr>
            <w:tcW w:w="2700" w:type="dxa"/>
            <w:vAlign w:val="bottom"/>
          </w:tcPr>
          <w:p>
            <w:pPr>
              <w:spacing w:after="0"/>
              <w:rPr>
                <w:sz w:val="15"/>
                <w:szCs w:val="15"/>
                <w:color w:val="auto"/>
              </w:rPr>
            </w:pPr>
          </w:p>
        </w:tc>
        <w:tc>
          <w:tcPr>
            <w:tcW w:w="3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BEGINNING OF</w:t>
            </w:r>
          </w:p>
        </w:tc>
        <w:tc>
          <w:tcPr>
            <w:tcW w:w="16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CHARGED TO</w:t>
            </w:r>
          </w:p>
        </w:tc>
        <w:tc>
          <w:tcPr>
            <w:tcW w:w="11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 OF</w:t>
            </w:r>
          </w:p>
        </w:tc>
      </w:tr>
      <w:tr>
        <w:trPr>
          <w:trHeight w:val="173"/>
        </w:trPr>
        <w:tc>
          <w:tcPr>
            <w:tcW w:w="27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DESCRIPTION</w:t>
            </w:r>
          </w:p>
        </w:tc>
        <w:tc>
          <w:tcPr>
            <w:tcW w:w="3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PERIOD</w:t>
            </w:r>
          </w:p>
        </w:tc>
        <w:tc>
          <w:tcPr>
            <w:tcW w:w="16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INCOME STATEMENT</w:t>
            </w: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rPr>
              <w:t>DEDUCTIONS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PERIOD</w:t>
            </w:r>
          </w:p>
        </w:tc>
      </w:tr>
      <w:tr>
        <w:trPr>
          <w:trHeight w:val="173"/>
        </w:trPr>
        <w:tc>
          <w:tcPr>
            <w:tcW w:w="27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800" w:type="dxa"/>
            <w:vAlign w:val="bottom"/>
            <w:gridSpan w:val="2"/>
          </w:tcPr>
          <w:p>
            <w:pPr>
              <w:jc w:val="right"/>
              <w:ind w:right="1765"/>
              <w:spacing w:after="0"/>
              <w:rPr>
                <w:sz w:val="20"/>
                <w:szCs w:val="20"/>
                <w:color w:val="auto"/>
              </w:rPr>
            </w:pPr>
            <w:r>
              <w:rPr>
                <w:rFonts w:ascii="Courier New" w:cs="Courier New" w:eastAsia="Courier New" w:hAnsi="Courier New"/>
                <w:sz w:val="15"/>
                <w:szCs w:val="15"/>
                <w:color w:val="auto"/>
                <w:w w:val="99"/>
              </w:rPr>
              <w:t>ACCOUNTS RECEIVABLE RESERVES AND ALLOWANCES: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700" w:type="dxa"/>
            <w:vAlign w:val="bottom"/>
          </w:tcPr>
          <w:p>
            <w:pPr>
              <w:jc w:val="right"/>
              <w:spacing w:after="0"/>
              <w:rPr>
                <w:sz w:val="20"/>
                <w:szCs w:val="20"/>
                <w:color w:val="auto"/>
              </w:rPr>
            </w:pPr>
            <w:r>
              <w:rPr>
                <w:rFonts w:ascii="Courier New" w:cs="Courier New" w:eastAsia="Courier New" w:hAnsi="Courier New"/>
                <w:sz w:val="13"/>
                <w:szCs w:val="13"/>
                <w:color w:val="auto"/>
                <w:w w:val="71"/>
              </w:rPr>
              <w:t>Year ended October 31, 1998.....................</w:t>
            </w:r>
          </w:p>
        </w:tc>
        <w:tc>
          <w:tcPr>
            <w:tcW w:w="3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$40,007</w:t>
            </w:r>
          </w:p>
        </w:tc>
        <w:tc>
          <w:tcPr>
            <w:tcW w:w="16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$3,023</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$10,698*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$32,332</w:t>
            </w:r>
          </w:p>
        </w:tc>
      </w:tr>
      <w:tr>
        <w:trPr>
          <w:trHeight w:val="173"/>
        </w:trPr>
        <w:tc>
          <w:tcPr>
            <w:tcW w:w="2700" w:type="dxa"/>
            <w:vAlign w:val="bottom"/>
          </w:tcPr>
          <w:p>
            <w:pPr>
              <w:spacing w:after="0"/>
              <w:rPr>
                <w:sz w:val="15"/>
                <w:szCs w:val="15"/>
                <w:color w:val="auto"/>
              </w:rPr>
            </w:pPr>
          </w:p>
        </w:tc>
        <w:tc>
          <w:tcPr>
            <w:tcW w:w="3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700" w:type="dxa"/>
            <w:vAlign w:val="bottom"/>
          </w:tcPr>
          <w:p>
            <w:pPr>
              <w:jc w:val="right"/>
              <w:spacing w:after="0"/>
              <w:rPr>
                <w:sz w:val="20"/>
                <w:szCs w:val="20"/>
                <w:color w:val="auto"/>
              </w:rPr>
            </w:pPr>
            <w:r>
              <w:rPr>
                <w:rFonts w:ascii="Courier New" w:cs="Courier New" w:eastAsia="Courier New" w:hAnsi="Courier New"/>
                <w:sz w:val="13"/>
                <w:szCs w:val="13"/>
                <w:color w:val="auto"/>
                <w:w w:val="71"/>
              </w:rPr>
              <w:t>Year ended October 30, 1999.....................</w:t>
            </w:r>
          </w:p>
        </w:tc>
        <w:tc>
          <w:tcPr>
            <w:tcW w:w="3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$32,332</w:t>
            </w:r>
          </w:p>
        </w:tc>
        <w:tc>
          <w:tcPr>
            <w:tcW w:w="16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313</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$18,407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$14,238</w:t>
            </w:r>
          </w:p>
        </w:tc>
      </w:tr>
      <w:tr>
        <w:trPr>
          <w:trHeight w:val="173"/>
        </w:trPr>
        <w:tc>
          <w:tcPr>
            <w:tcW w:w="2700" w:type="dxa"/>
            <w:vAlign w:val="bottom"/>
          </w:tcPr>
          <w:p>
            <w:pPr>
              <w:spacing w:after="0"/>
              <w:rPr>
                <w:sz w:val="15"/>
                <w:szCs w:val="15"/>
                <w:color w:val="auto"/>
              </w:rPr>
            </w:pPr>
          </w:p>
        </w:tc>
        <w:tc>
          <w:tcPr>
            <w:tcW w:w="3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700" w:type="dxa"/>
            <w:vAlign w:val="bottom"/>
          </w:tcPr>
          <w:p>
            <w:pPr>
              <w:jc w:val="right"/>
              <w:spacing w:after="0"/>
              <w:rPr>
                <w:sz w:val="20"/>
                <w:szCs w:val="20"/>
                <w:color w:val="auto"/>
              </w:rPr>
            </w:pPr>
            <w:r>
              <w:rPr>
                <w:rFonts w:ascii="Courier New" w:cs="Courier New" w:eastAsia="Courier New" w:hAnsi="Courier New"/>
                <w:sz w:val="13"/>
                <w:szCs w:val="13"/>
                <w:color w:val="auto"/>
                <w:w w:val="71"/>
              </w:rPr>
              <w:t>Year ended October 28, 2000.....................</w:t>
            </w:r>
          </w:p>
        </w:tc>
        <w:tc>
          <w:tcPr>
            <w:tcW w:w="3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$14,238</w:t>
            </w:r>
          </w:p>
        </w:tc>
        <w:tc>
          <w:tcPr>
            <w:tcW w:w="16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$5,940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$ 7,022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$13,156</w:t>
            </w:r>
          </w:p>
        </w:tc>
      </w:tr>
      <w:tr>
        <w:trPr>
          <w:trHeight w:val="173"/>
        </w:trPr>
        <w:tc>
          <w:tcPr>
            <w:tcW w:w="2700" w:type="dxa"/>
            <w:vAlign w:val="bottom"/>
          </w:tcPr>
          <w:p>
            <w:pPr>
              <w:spacing w:after="0"/>
              <w:rPr>
                <w:sz w:val="15"/>
                <w:szCs w:val="15"/>
                <w:color w:val="auto"/>
              </w:rPr>
            </w:pPr>
          </w:p>
        </w:tc>
        <w:tc>
          <w:tcPr>
            <w:tcW w:w="3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019" w:hanging="188"/>
        <w:spacing w:after="0" w:line="244" w:lineRule="auto"/>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reclassification of certain reserves from accounts receivable to accrued liabilities made in connection with the Company's accounting change (see Notes 2(n) and 5 to the consolidated financial statements).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27"/>
          </w:cols>
          <w:pgMar w:left="232"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FY01 BONUS PLAN</w:t>
      </w:r>
    </w:p>
    <w:p>
      <w:pPr>
        <w:spacing w:after="0" w:line="177"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5"/>
          <w:szCs w:val="15"/>
          <w:color w:val="auto"/>
        </w:rPr>
        <w:t>Analog Devices</w:t>
      </w:r>
      <w:r>
        <w:rPr>
          <w:sz w:val="20"/>
          <w:szCs w:val="20"/>
          <w:color w:val="auto"/>
        </w:rPr>
        <w:tab/>
      </w:r>
      <w:r>
        <w:rPr>
          <w:rFonts w:ascii="Courier New" w:cs="Courier New" w:eastAsia="Courier New" w:hAnsi="Courier New"/>
          <w:sz w:val="14"/>
          <w:szCs w:val="14"/>
          <w:color w:val="auto"/>
        </w:rPr>
        <w:t>U.S.-based Employees</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SALES GROWTH</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OPBT</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ROA</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Analog Devices is committed to sharing its success with the people who make it possible - our employees. The aim of the Bonus Plan is to encourage participation by all of us in achieving company goals and to share the rewards of our success.</w:t>
      </w:r>
    </w:p>
    <w:p>
      <w:pPr>
        <w:spacing w:after="0" w:line="349"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Jerry Fishman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President &amp; CEO</w:t>
      </w:r>
    </w:p>
    <w:p>
      <w:pPr>
        <w:sectPr>
          <w:pgSz w:w="11900" w:h="16838" w:orient="portrait"/>
          <w:cols w:equalWidth="0" w:num="1">
            <w:col w:w="10219"/>
          </w:cols>
          <w:pgMar w:left="240" w:top="14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FY01 BONUS PLAN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business strategy has always been for ADI to be a growth company with strong profitability. Given our focus on two of the highest growth segments of the semiconductor industry - analog integrated circuits and digital signal processing - we believe that further improvement in sales growth and profitability are both achievable and necessary.</w:t>
      </w:r>
    </w:p>
    <w:p>
      <w:pPr>
        <w:spacing w:after="0" w:line="177"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While improvement in sales growth and operating profit before taxes (OPBT) continue to be important goals for the company, we have also identified improving return on assets (ROA) as an important success factor for strong financial performance.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Therefore, the FY01 Bonus Plan emphasizes not only continued improvements in sales growth and OPBT, but also improvements in ROA, which can be defined as the return the company earns on its investments in plant, property and equipment, inventory and accounts receivable. By improving ROA, we will be able to minimize the investments we need to make to execute our high growth, high profitability business strategy.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growth, OPBT and ROA are weighted equally in the FY01 Bonus Plan. The Plan is designed to generate a 1.0 payout when the average of all three performance factors equals 17%.</w:t>
      </w:r>
    </w:p>
    <w:p>
      <w:pPr>
        <w:spacing w:after="0" w:line="175"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The FY01 Bonus Plan is consistent with ADI's long-term business objectives of high growth and strong profitability.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CAN MAKE A DIFFERENCE</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All ADI employees can contribute to achieving these key goals by working to control expenses, minimize waste, increase customer satisfaction, develop new products on time and improve process efficiency.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CALCULATING BONUS PAYMENTS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bonus payout factor is determined by averaging sales growth since the same bonus period in the previous year, and OPBT and ROA during the bonus period. Each fiscal year, the first bonus period consists of the first and second quarters, while the second bonus period consists of the third and fourth quarters.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For example, if sales growth for the second half of the year totaled 20%, OPBT were 16% and ROA were 15%, the average of the three factors would be 17%, resulting in a payout factor of 1.0.</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 PAYOUT CURVE</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[chart]</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Your accumulated eligible earnings for the bonus period are multiplied by your bonus target, which presents a percentage of your eligible earnings. The percentage of earnings used in the bonus calculation varies by job grade.</w:t>
      </w:r>
    </w:p>
    <w:p>
      <w:pPr>
        <w:spacing w:after="0" w:line="175"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The product of that calculation is then multiplied by the bonus factor to determine the gross bonus payment amount.</w:t>
      </w:r>
    </w:p>
    <w:p>
      <w:pPr>
        <w:sectPr>
          <w:pgSz w:w="11900" w:h="16838" w:orient="portrait"/>
          <w:cols w:equalWidth="0" w:num="1">
            <w:col w:w="10219"/>
          </w:cols>
          <w:pgMar w:left="240" w:top="291" w:right="1440" w:bottom="1440" w:gutter="0" w:footer="0" w:header="0"/>
        </w:sectPr>
      </w:pPr>
    </w:p>
    <w:bookmarkStart w:id="23" w:name="page24"/>
    <w:bookmarkEnd w:id="23"/>
    <w:tbl>
      <w:tblPr>
        <w:tblLayout w:type="fixed"/>
        <w:tblInd w:w="8" w:type="dxa"/>
        <w:tblCellMar>
          <w:top w:w="0" w:type="dxa"/>
          <w:left w:w="0" w:type="dxa"/>
          <w:bottom w:w="0" w:type="dxa"/>
          <w:right w:w="0" w:type="dxa"/>
        </w:tblCellMar>
      </w:tblPr>
      <w:tr>
        <w:trPr>
          <w:trHeight w:val="170"/>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7"/>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GRADE</w:t>
            </w:r>
          </w:p>
        </w:tc>
        <w:tc>
          <w:tcPr>
            <w:tcW w:w="1440" w:type="dxa"/>
            <w:vAlign w:val="bottom"/>
          </w:tcPr>
          <w:p>
            <w:pPr>
              <w:spacing w:after="0"/>
              <w:rPr>
                <w:sz w:val="24"/>
                <w:szCs w:val="2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BONUS</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POTENTIAL</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LEVEL</w:t>
            </w:r>
          </w:p>
        </w:tc>
        <w:tc>
          <w:tcPr>
            <w:tcW w:w="144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TARGET</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RANGE</w:t>
            </w:r>
          </w:p>
        </w:tc>
      </w:tr>
      <w:tr>
        <w:trPr>
          <w:trHeight w:val="347"/>
        </w:trPr>
        <w:tc>
          <w:tcPr>
            <w:tcW w:w="2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Non-exempt</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0-12%</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E02-E06</w:t>
            </w:r>
          </w:p>
        </w:tc>
        <w:tc>
          <w:tcPr>
            <w:tcW w:w="14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0-12%</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E07-E08</w:t>
            </w:r>
          </w:p>
        </w:tc>
        <w:tc>
          <w:tcPr>
            <w:tcW w:w="14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0-18%</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E09-E10</w:t>
            </w:r>
          </w:p>
        </w:tc>
        <w:tc>
          <w:tcPr>
            <w:tcW w:w="14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0-30%</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E11-E14</w:t>
            </w:r>
          </w:p>
        </w:tc>
        <w:tc>
          <w:tcPr>
            <w:tcW w:w="14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0-45%</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E15-EI6</w:t>
            </w:r>
          </w:p>
        </w:tc>
        <w:tc>
          <w:tcPr>
            <w:tcW w:w="14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0-60%</w:t>
            </w:r>
          </w:p>
        </w:tc>
      </w:tr>
      <w:tr>
        <w:trPr>
          <w:trHeight w:val="520"/>
        </w:trPr>
        <w:tc>
          <w:tcPr>
            <w:tcW w:w="800" w:type="dxa"/>
            <w:vAlign w:val="bottom"/>
          </w:tcPr>
          <w:p>
            <w:pPr>
              <w:spacing w:after="0"/>
              <w:rPr>
                <w:sz w:val="20"/>
                <w:szCs w:val="20"/>
                <w:color w:val="auto"/>
              </w:rPr>
            </w:pPr>
            <w:r>
              <w:rPr>
                <w:rFonts w:ascii="Courier New" w:cs="Courier New" w:eastAsia="Courier New" w:hAnsi="Courier New"/>
                <w:sz w:val="15"/>
                <w:szCs w:val="15"/>
                <w:color w:val="auto"/>
              </w:rPr>
              <w:t>EXAMPLE:</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2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Accumulated eligible</w:t>
            </w:r>
          </w:p>
        </w:tc>
        <w:tc>
          <w:tcPr>
            <w:tcW w:w="1000" w:type="dxa"/>
            <w:vAlign w:val="bottom"/>
          </w:tcPr>
          <w:p>
            <w:pPr>
              <w:spacing w:after="0"/>
              <w:rPr>
                <w:sz w:val="24"/>
                <w:szCs w:val="24"/>
                <w:color w:val="auto"/>
              </w:rPr>
            </w:pP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=$15,000</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earnings for the bonus</w:t>
            </w: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Bonus target for your job</w:t>
            </w:r>
          </w:p>
        </w:tc>
        <w:tc>
          <w:tcPr>
            <w:tcW w:w="10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grade</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7"/>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Payout factor for the bonus</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7"/>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Gross bonus (before tax) payment:</w:t>
            </w:r>
          </w:p>
        </w:tc>
        <w:tc>
          <w:tcPr>
            <w:tcW w:w="1720" w:type="dxa"/>
            <w:vAlign w:val="bottom"/>
          </w:tcPr>
          <w:p>
            <w:pPr>
              <w:spacing w:after="0"/>
              <w:rPr>
                <w:sz w:val="24"/>
                <w:szCs w:val="24"/>
                <w:color w:val="auto"/>
              </w:rPr>
            </w:pPr>
          </w:p>
        </w:tc>
      </w:tr>
      <w:tr>
        <w:trPr>
          <w:trHeight w:val="347"/>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$15,000 x 4% x 1.0</w:t>
            </w:r>
          </w:p>
        </w:tc>
        <w:tc>
          <w:tcPr>
            <w:tcW w:w="1000" w:type="dxa"/>
            <w:vAlign w:val="bottom"/>
          </w:tcPr>
          <w:p>
            <w:pPr>
              <w:spacing w:after="0"/>
              <w:rPr>
                <w:sz w:val="24"/>
                <w:szCs w:val="24"/>
                <w:color w:val="auto"/>
              </w:rPr>
            </w:pP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=$600.00</w:t>
            </w:r>
          </w:p>
        </w:tc>
      </w:tr>
      <w:tr>
        <w:trPr>
          <w:trHeight w:val="520"/>
        </w:trPr>
        <w:tc>
          <w:tcPr>
            <w:tcW w:w="4960" w:type="dxa"/>
            <w:vAlign w:val="bottom"/>
            <w:gridSpan w:val="4"/>
          </w:tcPr>
          <w:p>
            <w:pPr>
              <w:spacing w:after="0"/>
              <w:rPr>
                <w:sz w:val="20"/>
                <w:szCs w:val="20"/>
                <w:color w:val="auto"/>
              </w:rPr>
            </w:pPr>
            <w:r>
              <w:rPr>
                <w:rFonts w:ascii="Courier New" w:cs="Courier New" w:eastAsia="Courier New" w:hAnsi="Courier New"/>
                <w:sz w:val="15"/>
                <w:szCs w:val="15"/>
                <w:color w:val="auto"/>
              </w:rPr>
              <w:t>Earnings included in the bonus calculation:</w:t>
            </w: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Base Pay</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o</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Holiday pay</w:t>
            </w: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Shift differential   o</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Bereavement pay</w:t>
            </w: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Sick pay</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o</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Jury duty pay</w:t>
            </w: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Vacation pay</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o</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w w:val="99"/>
              </w:rPr>
              <w:t>Alternative work</w:t>
            </w:r>
          </w:p>
        </w:tc>
      </w:tr>
      <w:tr>
        <w:trPr>
          <w:trHeight w:val="173"/>
        </w:trPr>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schedule pay</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Excluded from the bonus calculation:</w:t>
      </w:r>
    </w:p>
    <w:p>
      <w:pPr>
        <w:spacing w:after="0" w:line="177" w:lineRule="exact"/>
        <w:rPr>
          <w:sz w:val="20"/>
          <w:szCs w:val="20"/>
          <w:color w:val="auto"/>
        </w:rPr>
      </w:pPr>
    </w:p>
    <w:p>
      <w:pPr>
        <w:ind w:left="808" w:hanging="808"/>
        <w:spacing w:after="0"/>
        <w:tabs>
          <w:tab w:leader="none" w:pos="8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Overtime pay</w:t>
      </w:r>
    </w:p>
    <w:p>
      <w:pPr>
        <w:spacing w:after="0" w:line="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payments from a previous bonus period</w:t>
      </w:r>
    </w:p>
    <w:p>
      <w:pPr>
        <w:spacing w:after="0" w:line="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payments that are taxable but not considered regular earnings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WHEN BONUS PAYMENTS ARE MADE</w:t>
      </w:r>
    </w:p>
    <w:p>
      <w:pPr>
        <w:spacing w:after="0" w:line="178" w:lineRule="exact"/>
        <w:rPr>
          <w:sz w:val="20"/>
          <w:szCs w:val="20"/>
          <w:color w:val="auto"/>
        </w:rPr>
      </w:pPr>
    </w:p>
    <w:p>
      <w:pPr>
        <w:ind w:left="8" w:right="3459"/>
        <w:spacing w:after="0" w:line="243" w:lineRule="auto"/>
        <w:rPr>
          <w:sz w:val="20"/>
          <w:szCs w:val="20"/>
          <w:color w:val="auto"/>
        </w:rPr>
      </w:pPr>
      <w:r>
        <w:rPr>
          <w:rFonts w:ascii="Courier New" w:cs="Courier New" w:eastAsia="Courier New" w:hAnsi="Courier New"/>
          <w:sz w:val="15"/>
          <w:szCs w:val="15"/>
          <w:color w:val="auto"/>
        </w:rPr>
        <w:t>When ADI's financial performance warrants, bonus payments will be made on a semi-annual basis in June and December.</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No bonus payments will be earned when the average of sales growth, OPBT and ROA equals 10% or below, since this level of performance is not acceptable for ADI. Bonus payments will begin when the average of all three performance factors is above 10%.</w:t>
      </w:r>
    </w:p>
    <w:p>
      <w:pPr>
        <w:spacing w:after="0" w:line="176" w:lineRule="exact"/>
        <w:rPr>
          <w:sz w:val="20"/>
          <w:szCs w:val="20"/>
          <w:color w:val="auto"/>
        </w:rPr>
      </w:pPr>
    </w:p>
    <w:p>
      <w:pPr>
        <w:ind w:left="8" w:right="3459"/>
        <w:spacing w:after="0" w:line="243" w:lineRule="auto"/>
        <w:rPr>
          <w:sz w:val="20"/>
          <w:szCs w:val="20"/>
          <w:color w:val="auto"/>
        </w:rPr>
      </w:pPr>
      <w:r>
        <w:rPr>
          <w:rFonts w:ascii="Courier New" w:cs="Courier New" w:eastAsia="Courier New" w:hAnsi="Courier New"/>
          <w:sz w:val="15"/>
          <w:szCs w:val="15"/>
          <w:color w:val="auto"/>
        </w:rPr>
        <w:t>The maximum payout for the FY01 Bonus Plan is 3.0 times target, or when the average of sales growth, OPBT and ROA equals 31%.</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91"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WHO'S ELIGIBLE?</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Most ADI employees are eligible to participate in the Bonus Plan. New employees are immediately eligible to participate in the Plan with no waiting period.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situations may EXCLUDE an employee from participating in the Plan:</w:t>
      </w:r>
    </w:p>
    <w:p>
      <w:pPr>
        <w:spacing w:after="0" w:line="178" w:lineRule="exact"/>
        <w:rPr>
          <w:sz w:val="20"/>
          <w:szCs w:val="20"/>
          <w:color w:val="auto"/>
        </w:rPr>
      </w:pPr>
    </w:p>
    <w:p>
      <w:pPr>
        <w:ind w:left="808" w:right="3459" w:hanging="808"/>
        <w:spacing w:after="0" w:line="243" w:lineRule="auto"/>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is already covered under a field sales, field application engineering or other incentive program.</w:t>
      </w:r>
    </w:p>
    <w:p>
      <w:pPr>
        <w:spacing w:after="0" w:line="2" w:lineRule="exact"/>
        <w:rPr>
          <w:rFonts w:ascii="Courier New" w:cs="Courier New" w:eastAsia="Courier New" w:hAnsi="Courier New"/>
          <w:sz w:val="15"/>
          <w:szCs w:val="15"/>
          <w:color w:val="auto"/>
        </w:rPr>
      </w:pPr>
    </w:p>
    <w:p>
      <w:pPr>
        <w:ind w:left="808" w:right="3459" w:hanging="808"/>
        <w:spacing w:after="0" w:line="243" w:lineRule="auto"/>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terminates employment at ADI prior to the last day of the bonus period.</w:t>
      </w:r>
    </w:p>
    <w:p>
      <w:pPr>
        <w:spacing w:after="0" w:line="2" w:lineRule="exact"/>
        <w:rPr>
          <w:rFonts w:ascii="Courier New" w:cs="Courier New" w:eastAsia="Courier New" w:hAnsi="Courier New"/>
          <w:sz w:val="15"/>
          <w:szCs w:val="15"/>
          <w:color w:val="auto"/>
        </w:rPr>
      </w:pPr>
    </w:p>
    <w:p>
      <w:pPr>
        <w:ind w:left="808" w:right="3559" w:hanging="808"/>
        <w:spacing w:after="0" w:line="243" w:lineRule="auto"/>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receives a 'Needs Improvement' or 'Marginal' performance rating during the bonus period.</w:t>
      </w:r>
    </w:p>
    <w:p>
      <w:pPr>
        <w:spacing w:after="0" w:line="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receives a final written warning during the bonus period.</w:t>
      </w:r>
    </w:p>
    <w:p>
      <w:pPr>
        <w:spacing w:after="0" w:line="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 and temporary employees are not eligible for participation in the</w:t>
      </w:r>
    </w:p>
    <w:p>
      <w:pPr>
        <w:spacing w:after="0" w:line="178"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OTHER INFORMATION ABOUT THE BONUS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WHEN BONUS CHECKS ARE ISSUED</w:t>
      </w:r>
    </w:p>
    <w:p>
      <w:pPr>
        <w:spacing w:after="0" w:line="178" w:lineRule="exact"/>
        <w:rPr>
          <w:sz w:val="20"/>
          <w:szCs w:val="20"/>
          <w:color w:val="auto"/>
        </w:rPr>
      </w:pPr>
    </w:p>
    <w:p>
      <w:pPr>
        <w:ind w:left="8" w:right="3559"/>
        <w:spacing w:after="0" w:line="243" w:lineRule="auto"/>
        <w:rPr>
          <w:sz w:val="20"/>
          <w:szCs w:val="20"/>
          <w:color w:val="auto"/>
        </w:rPr>
      </w:pPr>
      <w:r>
        <w:rPr>
          <w:rFonts w:ascii="Courier New" w:cs="Courier New" w:eastAsia="Courier New" w:hAnsi="Courier New"/>
          <w:sz w:val="15"/>
          <w:szCs w:val="15"/>
          <w:color w:val="auto"/>
        </w:rPr>
        <w:t>Bonus checks are issued approximately six weeks after the end of the bonus period.</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HOW CHANGES IN YOUR EMPLOYMENT STATUS AFFECT BONUS PAYMENTS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 IF YOUR JOB GRADE AND BONUS TARGET CHANGE DURING THE BONUS PERIOD: Your bonus payments will be based on the job grade that was effective at the end of the bonus period.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 IF YOU CHANGE WORK SHIFTS DURING THE BONUS PERIOD:</w:t>
      </w:r>
    </w:p>
    <w:p>
      <w:pPr>
        <w:spacing w:after="0" w:line="4"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Because shift differential paid during the bonus period is included as part of your earnings for the bonus calculation, your bonus payment will already take into consideration any shift differential earnings that you may have for the period.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 IF YOU TRANSFER BUSINESS UNITS:</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If you transfer between business units, your earnings records transfer with you, so your bonus payment is based on the total accumulated paid earnings for the bonus period.</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 IF YOU CHANGE STATUS BETWEEN FULL-TIME AND PART-TIME WORKING HOURS: Since your bonus payment is based on your accumulated paid earnings for the bonus period, your bonus calculation will take into account any change in status, such as part-time to full-time or full-time to part-time working hours.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 IF YOU ARE ON LEAVE OF ABSENCE OR DISABILITY FOR PART OF THE BONUS PERIOD: The bonus is paid based on your earnings while actively at work during the period (not on short-term disability, long-term disability or other leave of absence). Therefore, any pay received during your leave of absence will be excluded from your accumulated paid earnings for bonus calculation purposes.</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BONUS PLAN DESIGN</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BONUS PLAN IS DESIGNED TO REWARD ALL ELIGIBLE EMPLOYEES FOR CONTRIBUTING TO COMPANY-WIDE BUSINESS GOALS DURING EACH FISCAL YEAR. THE BONUS PLAN DESIGN, OR PORTIONS OF THE DESIGN, MAY CHANGE FROM YEAR TO YEAR AS THE COMPANY'S FOCUS MOVES TO DIFFERENT COMPANY-WIDE PERFORMANCE GOALS THAT ARE DETERMINED TO BE CRITICAL DURING THAT FISCAL YEAR. THE BONUS PLAN IS EFFECTIVE ONLY DURING FY01 AND WILL BE RECONSIDERED IN FY02.</w:t>
      </w:r>
    </w:p>
    <w:p>
      <w:pPr>
        <w:sectPr>
          <w:pgSz w:w="11900" w:h="16838" w:orient="portrait"/>
          <w:cols w:equalWidth="0" w:num="1">
            <w:col w:w="10227"/>
          </w:cols>
          <w:pgMar w:left="232"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BELOW CERTAIN LEVELS, ADI'S RESULTS MAY NOT BE COMPETITIVE AND MAY NOT MEET KEY BUSINESS PERFORMANCE MEASURES. AT THESE LOW LEVELS OF BUSINESS PERFORMANCE, NO BONUS WOULD BE PAID.</w:t>
      </w:r>
    </w:p>
    <w:p>
      <w:pPr>
        <w:spacing w:after="0" w:line="349" w:lineRule="exact"/>
        <w:rPr>
          <w:sz w:val="20"/>
          <w:szCs w:val="20"/>
          <w:color w:val="auto"/>
        </w:rPr>
      </w:pPr>
    </w:p>
    <w:p>
      <w:pPr>
        <w:ind w:left="180" w:right="3019"/>
        <w:spacing w:after="0" w:line="244" w:lineRule="auto"/>
        <w:rPr>
          <w:sz w:val="20"/>
          <w:szCs w:val="20"/>
          <w:color w:val="auto"/>
        </w:rPr>
      </w:pPr>
      <w:r>
        <w:rPr>
          <w:rFonts w:ascii="Courier New" w:cs="Courier New" w:eastAsia="Courier New" w:hAnsi="Courier New"/>
          <w:sz w:val="15"/>
          <w:szCs w:val="15"/>
          <w:color w:val="auto"/>
        </w:rPr>
        <w:t>The Bonus Plan brochure provides a summary of the FY01 Bonus Plan. If you need further information, please ask your supervisor or Human Resources consultant. Analog Devices reserves the right to modify the Bonus Plan from time to time at the sole discretion of management. All changes to the Bonus Plan are subject to the approval of ADI's Board of Directors.</w:t>
      </w:r>
    </w:p>
    <w:p>
      <w:pPr>
        <w:sectPr>
          <w:pgSz w:w="11900" w:h="16838" w:orient="portrait"/>
          <w:cols w:equalWidth="0" w:num="1">
            <w:col w:w="10219"/>
          </w:cols>
          <w:pgMar w:left="240" w:top="291" w:right="1440" w:bottom="1440" w:gutter="0" w:footer="0" w:header="0"/>
        </w:sectPr>
      </w:pPr>
    </w:p>
    <w:bookmarkStart w:id="26" w:name="page27"/>
    <w:bookmarkEnd w:id="26"/>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10.19</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ONE TECHNOLOGY WAY</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P.O. BOX 9106</w:t>
      </w:r>
    </w:p>
    <w:p>
      <w:pPr>
        <w:spacing w:after="0" w:line="3"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NORWOOD, MASSACHUSETTS 02062-9106</w:t>
      </w:r>
    </w:p>
    <w:p>
      <w:pPr>
        <w:spacing w:after="0" w:line="177"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June 21, 2000</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Jerald G. Fishman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One Technology Way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 Box 9106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Norwood, Massachusetts 02062-9106</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Jerry:</w:t>
      </w:r>
    </w:p>
    <w:p>
      <w:pPr>
        <w:spacing w:after="0" w:line="178"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At a meeting of the Board of Directors of Analog Devices, Inc., held today, the Directors authorized and approved an amendment to all of the outstanding unvested stock options granted to you by the Company, as well as any future stock options which may be granted to you, providing for the accelerated vesting of all of your unvested stock options in the event of termination of your employment by the Company under specified conditions, as set forth below.</w:t>
      </w:r>
    </w:p>
    <w:p>
      <w:pPr>
        <w:spacing w:after="0" w:line="16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the event that your employment with the Company is terminated by the Company without "cause" or is teminated by you for "good reason" (as those terms are defined in ADDENDUM A attached hereto), all of the then ourstanding unvested stock options held by you shall accelerate and be and become immediately exercisable and fully vested at the time of such termination; PROVIDED, HOWEVER, that if these accelerated vesting provisions shall, in the judgment of the Company's independent auditors, Ernst &amp; Young LLP, adversely affect the ability of the Company to treat any future acquisition as a "pooling of interests" for accounting purposes, then this agreement and the accelerated vesting provisions shall be and become null and void.</w:t>
      </w:r>
    </w:p>
    <w:p>
      <w:pPr>
        <w:spacing w:after="0" w:line="180"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If you are in agreement with the foregoing, would you please sign the duplicate copy of this letter and return it to me, whereupon this letter shall constitute a binding and enforceable agreement between you and the Company in accordance with its terms.</w:t>
      </w:r>
    </w:p>
    <w:p>
      <w:pPr>
        <w:spacing w:after="0" w:line="175"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By: /s/ Ray Stata</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Ray Stata, Chairman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Read and Agreed</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Jerald G. Fishman</w:t>
      </w:r>
    </w:p>
    <w:p>
      <w:pPr>
        <w:spacing w:after="0" w:line="3"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Jerald G. Fishman</w:t>
      </w:r>
    </w:p>
    <w:p>
      <w:pPr>
        <w:sectPr>
          <w:pgSz w:w="11900" w:h="16838" w:orient="portrait"/>
          <w:cols w:equalWidth="0" w:num="1">
            <w:col w:w="10227"/>
          </w:cols>
          <w:pgMar w:left="232" w:top="141" w:right="1440" w:bottom="1440" w:gutter="0" w:footer="0" w:header="0"/>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ADDENDUM A TO LETTER AGREEMENT</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BETWEEN JERALD G. FISHMAN ("FISHMAN")</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AND ANALOG DEVICES, INC ("COMPANY")</w:t>
      </w:r>
    </w:p>
    <w:p>
      <w:pPr>
        <w:spacing w:after="0" w:line="177" w:lineRule="exact"/>
        <w:rPr>
          <w:sz w:val="20"/>
          <w:szCs w:val="20"/>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w:t>
      </w:r>
    </w:p>
    <w:p>
      <w:pPr>
        <w:spacing w:after="0" w:line="177" w:lineRule="exact"/>
        <w:rPr>
          <w:rFonts w:ascii="Courier New" w:cs="Courier New" w:eastAsia="Courier New" w:hAnsi="Courier New"/>
          <w:sz w:val="15"/>
          <w:szCs w:val="15"/>
          <w:color w:val="auto"/>
        </w:rPr>
      </w:pPr>
    </w:p>
    <w:p>
      <w:pPr>
        <w:ind w:left="908" w:right="3099" w:hanging="457"/>
        <w:spacing w:after="0" w:line="244" w:lineRule="auto"/>
        <w:tabs>
          <w:tab w:leader="none" w:pos="90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willful and continued failure of Fishman to perform substantially his duties with the Company or one of its affiliates (other than any such failure resulting from his physical or mental disability),</w:t>
      </w:r>
    </w:p>
    <w:p>
      <w:pPr>
        <w:spacing w:after="0" w:line="175" w:lineRule="exact"/>
        <w:rPr>
          <w:rFonts w:ascii="Courier New" w:cs="Courier New" w:eastAsia="Courier New" w:hAnsi="Courier New"/>
          <w:sz w:val="15"/>
          <w:szCs w:val="15"/>
          <w:color w:val="auto"/>
        </w:rPr>
      </w:pPr>
    </w:p>
    <w:p>
      <w:pPr>
        <w:jc w:val="both"/>
        <w:ind w:left="908" w:right="3459" w:hanging="457"/>
        <w:spacing w:after="0" w:line="243" w:lineRule="auto"/>
        <w:tabs>
          <w:tab w:leader="none" w:pos="90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Fishman's gross and reckless negligence in the performance of his duties which materially adversely affects the Company's business,</w:t>
      </w:r>
    </w:p>
    <w:p>
      <w:pPr>
        <w:spacing w:after="0" w:line="176" w:lineRule="exact"/>
        <w:rPr>
          <w:rFonts w:ascii="Courier New" w:cs="Courier New" w:eastAsia="Courier New" w:hAnsi="Courier New"/>
          <w:sz w:val="15"/>
          <w:szCs w:val="15"/>
          <w:color w:val="auto"/>
        </w:rPr>
      </w:pPr>
    </w:p>
    <w:p>
      <w:pPr>
        <w:ind w:left="908" w:right="3019" w:hanging="457"/>
        <w:spacing w:after="0" w:line="243" w:lineRule="auto"/>
        <w:tabs>
          <w:tab w:leader="none" w:pos="90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Fishman's willful engaging in conduct which is materially injurious to the Company,</w:t>
      </w:r>
    </w:p>
    <w:p>
      <w:pPr>
        <w:spacing w:after="0" w:line="175" w:lineRule="exact"/>
        <w:rPr>
          <w:rFonts w:ascii="Courier New" w:cs="Courier New" w:eastAsia="Courier New" w:hAnsi="Courier New"/>
          <w:sz w:val="15"/>
          <w:szCs w:val="15"/>
          <w:color w:val="auto"/>
        </w:rPr>
      </w:pPr>
    </w:p>
    <w:p>
      <w:pPr>
        <w:ind w:left="908" w:hanging="457"/>
        <w:spacing w:after="0"/>
        <w:tabs>
          <w:tab w:leader="none" w:pos="90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Fishman's conviction of a felony, or</w:t>
      </w:r>
    </w:p>
    <w:p>
      <w:pPr>
        <w:spacing w:after="0" w:line="177" w:lineRule="exact"/>
        <w:rPr>
          <w:rFonts w:ascii="Courier New" w:cs="Courier New" w:eastAsia="Courier New" w:hAnsi="Courier New"/>
          <w:sz w:val="15"/>
          <w:szCs w:val="15"/>
          <w:color w:val="auto"/>
        </w:rPr>
      </w:pPr>
    </w:p>
    <w:p>
      <w:pPr>
        <w:ind w:left="908" w:right="3199" w:hanging="457"/>
        <w:spacing w:after="0" w:line="244" w:lineRule="auto"/>
        <w:tabs>
          <w:tab w:leader="none" w:pos="90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any of Fishman's obligations (i) not to compete with the Company or (ii) to maintain the confidentiality of the Company's confidential and proprietary information.</w:t>
      </w:r>
    </w:p>
    <w:p>
      <w:pPr>
        <w:spacing w:after="0" w:line="175" w:lineRule="exact"/>
        <w:rPr>
          <w:sz w:val="20"/>
          <w:szCs w:val="20"/>
          <w:color w:val="auto"/>
        </w:rPr>
      </w:pPr>
    </w:p>
    <w:p>
      <w:pPr>
        <w:ind w:left="448" w:right="3019"/>
        <w:spacing w:after="0" w:line="244" w:lineRule="auto"/>
        <w:rPr>
          <w:sz w:val="20"/>
          <w:szCs w:val="20"/>
          <w:color w:val="auto"/>
        </w:rPr>
      </w:pPr>
      <w:r>
        <w:rPr>
          <w:rFonts w:ascii="Courier New" w:cs="Courier New" w:eastAsia="Courier New" w:hAnsi="Courier New"/>
          <w:sz w:val="15"/>
          <w:szCs w:val="15"/>
          <w:color w:val="auto"/>
        </w:rPr>
        <w:t>For purposes of this provision, no act or failure to act, on the part of Fishman, shall be considered "willful" unless it is done, or omitted to be done, by Fishman in bad faith or without reasonable belief that his action or omission was in the best interests of the Company. Any act or failure to act, based upon authority given pursuant to a resolution duly adopted by the Board or upon the instructions of the Board or based upon the advice of counsel for the Company shall be conclusively presumed to be done, or omitted to be done, by Fishman in good faith and in the best interests of the Company. The cessation of Fishman's employment shall not be deemed to be for Cause unless and until (i) in the event of any Cause defined in paragraphs (a), (b), (c) and (e), a written notice has been delivered to Fishman by the Board which specifically identifies the Cause which is the Board's basis for termination and Fishman has failed to cure or remedy the act or omission so identified within a period of thirty (30) days after the Employee's receipt of such notice (unless the act or omission is of a nature that it cannot be cured or remedied) and (ii) the Board has delivered to Fishman a copy of a resolution duly adopted by the affirmative vote of not less than a majority of the entire membership of the Board (excluding Fishman if he is then a member of the Board) at a meeting of the Board called and held for such purpose (after reasonable notice is provided to Fishman and he is given an opportunity, together with counsel, to be heard before the Board), finding that, in the good faith opinion of the Board, he is guilty of the conduct described in paragraph (a), (b), (c) or</w:t>
      </w:r>
    </w:p>
    <w:p>
      <w:pPr>
        <w:spacing w:after="0" w:line="14" w:lineRule="exact"/>
        <w:rPr>
          <w:sz w:val="20"/>
          <w:szCs w:val="20"/>
          <w:color w:val="auto"/>
        </w:rPr>
      </w:pPr>
    </w:p>
    <w:p>
      <w:pPr>
        <w:ind w:left="808" w:hanging="357"/>
        <w:spacing w:after="0"/>
        <w:tabs>
          <w:tab w:leader="none" w:pos="80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specifying the particulars thereof in detail.</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means:</w:t>
      </w:r>
    </w:p>
    <w:p>
      <w:pPr>
        <w:spacing w:after="0" w:line="177" w:lineRule="exact"/>
        <w:rPr>
          <w:rFonts w:ascii="Courier New" w:cs="Courier New" w:eastAsia="Courier New" w:hAnsi="Courier New"/>
          <w:sz w:val="15"/>
          <w:szCs w:val="15"/>
          <w:color w:val="auto"/>
        </w:rPr>
      </w:pPr>
    </w:p>
    <w:p>
      <w:pPr>
        <w:jc w:val="both"/>
        <w:ind w:left="908" w:right="3199" w:hanging="457"/>
        <w:spacing w:after="0" w:line="244" w:lineRule="auto"/>
        <w:tabs>
          <w:tab w:leader="none" w:pos="90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Fishman of any duties inconsistent in any material respect with his position as Chief Executive Officer of the Company, or any other action by</w:t>
      </w:r>
    </w:p>
    <w:p>
      <w:pPr>
        <w:sectPr>
          <w:pgSz w:w="11900" w:h="16838" w:orient="portrait"/>
          <w:cols w:equalWidth="0" w:num="1">
            <w:col w:w="10227"/>
          </w:cols>
          <w:pgMar w:left="232" w:top="29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left="640" w:right="3099"/>
        <w:spacing w:after="0" w:line="244" w:lineRule="auto"/>
        <w:rPr>
          <w:sz w:val="20"/>
          <w:szCs w:val="20"/>
          <w:color w:val="auto"/>
        </w:rPr>
      </w:pPr>
      <w:r>
        <w:rPr>
          <w:rFonts w:ascii="Courier New" w:cs="Courier New" w:eastAsia="Courier New" w:hAnsi="Courier New"/>
          <w:sz w:val="15"/>
          <w:szCs w:val="15"/>
          <w:color w:val="auto"/>
        </w:rPr>
        <w:t>the Company which results in a material diminution in his authority, duties or responsibilities, excluding for this purpose an isolated, insubstantial and inadvertent action not taken in bad faith and which is remedied by the Company promptly after receipt of notice thereof given by Fishman;</w:t>
      </w:r>
    </w:p>
    <w:p>
      <w:pPr>
        <w:spacing w:after="0" w:line="177" w:lineRule="exact"/>
        <w:rPr>
          <w:sz w:val="20"/>
          <w:szCs w:val="20"/>
          <w:color w:val="auto"/>
        </w:rPr>
      </w:pPr>
    </w:p>
    <w:p>
      <w:pPr>
        <w:ind w:left="640" w:right="3199" w:hanging="457"/>
        <w:spacing w:after="0" w:line="244" w:lineRule="auto"/>
        <w:tabs>
          <w:tab w:leader="none" w:pos="6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by the Company to reduce his annual base salary and employee benefits below those currently (June 21, 2000) in place, other than an isolated, immaterial or inadvertent failure not occurring in bad faith and which is remedied by the Company promptly after receipt of notice thereof given by Fishman; or</w:t>
      </w:r>
    </w:p>
    <w:p>
      <w:pPr>
        <w:spacing w:after="0" w:line="176" w:lineRule="exact"/>
        <w:rPr>
          <w:rFonts w:ascii="Courier New" w:cs="Courier New" w:eastAsia="Courier New" w:hAnsi="Courier New"/>
          <w:sz w:val="15"/>
          <w:szCs w:val="15"/>
          <w:color w:val="auto"/>
        </w:rPr>
      </w:pPr>
    </w:p>
    <w:p>
      <w:pPr>
        <w:ind w:left="640" w:right="3099" w:hanging="457"/>
        <w:spacing w:after="0" w:line="244" w:lineRule="auto"/>
        <w:tabs>
          <w:tab w:leader="none" w:pos="6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requiring Fishman to be based at any office or location other than within a 50-mile radius of its current headquarters in Norwood, Massachusetts.</w:t>
      </w:r>
    </w:p>
    <w:p>
      <w:pPr>
        <w:spacing w:after="0" w:line="347" w:lineRule="exact"/>
        <w:rPr>
          <w:rFonts w:ascii="Courier New" w:cs="Courier New" w:eastAsia="Courier New" w:hAnsi="Courier New"/>
          <w:sz w:val="15"/>
          <w:szCs w:val="15"/>
          <w:color w:val="auto"/>
        </w:rPr>
      </w:pPr>
    </w:p>
    <w:p>
      <w:pPr>
        <w:ind w:left="3240" w:hanging="172"/>
        <w:spacing w:after="0"/>
        <w:tabs>
          <w:tab w:leader="none" w:pos="324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9959"/>
          </w:cols>
          <w:pgMar w:left="500"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13.1</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MANAGEMENT ANALYSIS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78" w:lineRule="exact"/>
        <w:rPr>
          <w:sz w:val="20"/>
          <w:szCs w:val="20"/>
          <w:color w:val="auto"/>
        </w:rPr>
      </w:pPr>
    </w:p>
    <w:p>
      <w:pPr>
        <w:ind w:right="3639"/>
        <w:spacing w:after="0" w:line="244" w:lineRule="auto"/>
        <w:rPr>
          <w:sz w:val="20"/>
          <w:szCs w:val="20"/>
          <w:color w:val="auto"/>
        </w:rPr>
      </w:pPr>
      <w:r>
        <w:rPr>
          <w:rFonts w:ascii="Courier New" w:cs="Courier New" w:eastAsia="Courier New" w:hAnsi="Courier New"/>
          <w:sz w:val="15"/>
          <w:szCs w:val="15"/>
          <w:color w:val="auto"/>
        </w:rPr>
        <w:t>We are a world leader in the design, manufacture and marketing of high-performance analog, mixed-signal and digital signal processing (DSP) integrated circuits (ICs) used in signal processing applications.</w:t>
      </w:r>
    </w:p>
    <w:p>
      <w:pPr>
        <w:spacing w:after="0" w:line="175"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We produce a wide array of products for a variety of customers and markets. Applications for our products include communications, cellular telephones, computers and computer peripherals, consumer electronics, automotive electronics, factory automation, process control and military and space systems.</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 growing market for our communications products has emerged due to the rapid development of broadband and wireless communications infrastructure around the world combined with the development of the Internet. Our expertise in combining analog and digital functionality on a single chip has allowed us to develop products that fulfill the technological challenges of this complex and rapidly changing market.</w:t>
      </w:r>
    </w:p>
    <w:p>
      <w:pPr>
        <w:spacing w:after="0" w:line="17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Increased interface between users and the PC through monitors, printers, scanners and audio devices and the increasing need for power and thermal management capability in PCs have provided us with many opportunities in the computer market. Our ability to integrate analog, DSP and mixed-signal functionality on ICs has enabled us to supply many critical high-performance critical components required by PC manufacturers.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acquisition and display of signals combined with the requirement for digital processing of these signals has allowed us to combine analog and digital design capability to provide solutions that conform to the rigorous cost, size and reliability constraints of the consumer electronics market. Examples of products that incorporate our technology are compact disc players, DVD players and digital camcorders and cameras.</w:t>
      </w:r>
    </w:p>
    <w:p>
      <w:pPr>
        <w:spacing w:after="0" w:line="177"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We serve the industrial market by providing components for data acquisition systems, automatic process control systems, robotics, environmental control systems and automatic test equipment. We also provide products to the instrumentation market for use in engineering, medical and scientific instruments.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Our products are sold worldwide through a direct sales force, third-party industrial distributors and independent sales representatives. We have direct sales offices in 19 countries, including the United States.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are headquartered near Boston, in Norwood, Massachusetts, and have manufacturing facilities in Massachusetts, California, North Carolina, Ireland, the United Kingdom, the Philippines and Taiwan. Founded in 1965, we employ approximately 9,100 people worldwide. Our stock is listed on the New York Stock Exchange under the symbol ADI and is included in the Standard &amp; Poor's 500 Index.</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Net sales were $2,578 million in fiscal 2000, an increase of 78% over net sales of $1,450 million in fiscal 1999. This increase in net sales was attributable to continued growth in the markets we serve. Sales into all end-markets increased in fiscal 2000 with the communications market representing the largest growth area. Additionally, sales of new products, which we define as sales of products introduced in the prior six quarters, comprised 25% of net sales in fiscal 2000. Geographically, international sales represented 55% of net sales, up from 54% in fiscal 1999. International sales to Europe, Japan and Southeast Asia represented 19%, 14% and 22% of net sales, respectively. Europe was the only international region that declined as a percentage of sales, largely attributable to a weakening Euro/U.S. dollar exchange rate over the prior fiscal year. In absolute dollars, net sales increased year over year by 72% in the United States, 61% in Europe, 75% in Japan and 114% in Southeast Asia.</w:t>
      </w:r>
    </w:p>
    <w:p>
      <w:pPr>
        <w:spacing w:after="0" w:line="16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Net sales of $1,450 million in fiscal 1999 represented an 18% increase over fiscal 1998 sales of $1,231 million. The significant growth in the use of analog, digital and mixed-signal ICs to address the signal processing needs of the growing broadband and wireless communications, computer and computer peripherals markets was the main reason for the sales increase in fiscal 1999. In addition, a recovery in the semiconductor industry generally, partially offset by a decline in automatic test equipment sales, contributed to the sales increase in fiscal 1999. Demand for our communications, computer and consumer products resulted in sales increases in all geographic regions during fiscal</w:t>
      </w:r>
    </w:p>
    <w:p>
      <w:pPr>
        <w:sectPr>
          <w:pgSz w:w="11900" w:h="16838" w:orient="portrait"/>
          <w:cols w:equalWidth="0" w:num="1">
            <w:col w:w="10219"/>
          </w:cols>
          <w:pgMar w:left="240" w:top="14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1999. Sales to North American customers increased 8% over fiscal 1998. Sales in Europe in the first half of fiscal 1999 had declined from prior year levels but as the fiscal year progressed, demand increased resulting in a relatively flat level of sales year over year. Sales in Japan increased 23% as demand increased for our products as the Japanese economy continued its recovery. Sales in other Southeast Asian countries in fiscal 1999 doubled from the levels achieved in fiscal 1998. The increased demand was attributed to the increased use of our products in the communications and computer products markets, both of which experienced significant growth during fiscal 1999.</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Gross margin was $1,461 million, or 56.7% of net sales in fiscal 2000. The increase in gross margin as a percentage of sales from the 49.3% achieved in fiscal 1999 was due primarily to the favorable effect of fixed costs being allocated across a higher sales base and improved manufacturing efficiencies as production increased at our wafer fabrication, assembly and test facilities. Gross margin increased to 49.3% of sales in fiscal 1999, from 47.8% in fiscal 1998. This increase was primarily attributable to higher sales and tight control of internal manufacturing spending.</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Research and development (R&amp;D) expense was $401 million in fiscal 2000, compared to $257 million in fiscal 1999. As a percentage of sales, R&amp;D spending declined to 15.5% in fiscal 2000 from 17.8% in fiscal 1999. In absolute dollar terms, R&amp;D spending increased by $144 million in fiscal 2000. Additional expenses associated with a 25% increase in engineering headcount, combined with the effect of increased bonus payments during fiscal 2000, were the main reasons for the year over year increase. We expect to continue the development of innovative technologies and processes for new products targeted for broadband and wireless communications applications, imaging, audio and high-performance power and thermal management products for computer and consumer product applications. We believe that a continued commitment to research and development is essential in order to maintain product leadership with our existing products and to provide innovative new product offerings, and therefore we expect to continue to make significant R&amp;D investments in the future. In fiscal 1999, R&amp;D expenses increased to $257 million from $219 million recorded in fiscal 1998 while remaining flat at 17.8% as a percentage of sales.</w:t>
      </w:r>
    </w:p>
    <w:p>
      <w:pPr>
        <w:spacing w:after="0" w:line="34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third quarter of fiscal 2000, we acquired BCO Technologies plc (BCO), a company with operations in Belfast, Northern Ireland, in a cash-for-stock transaction valued at approximately $163 million. BCO is a leading supplier of silicon-on-insulator wafers used for fabricating micromechanical optical devices for optical switching and communications applications. In connection with this acquisition, we recorded approximately $158 million of goodwill. There was no in-process research and development write-off related to this acquisition. During the second quarter of fiscal 1999, we acquired two DSP tools companies, White Mountain DSP, Inc. of Nashua, New Hampshire and Edinburgh Portable Compilers Limited, of Edinburgh, Scotland. The total cost of these acquisitions was approximately $23 million with additional cash consideration of up to a maximum of $10 million payable if the acquired companies achieve certain revenue and operational objectives. We have paid approximately $7 million of the additional cash consideration. In connection with these acquisitions, we recorded a charge of $5.1 million for the write-off of in-process research and development.</w:t>
      </w:r>
    </w:p>
    <w:p>
      <w:pPr>
        <w:spacing w:after="0" w:line="18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Selling, marketing, general and administrative (SMG&amp;A) expenses were $293 million in fiscal 2000, an increase of $83 million from the $210 million recorded in fiscal 1999. As a percentage of sales, SMG&amp;A decreased from 14.5% for fiscal 1999 to 11.4% for fiscal 2000 as a result of the significant growth in revenue. In fiscal 1999, SMG&amp;A expenses increased $3 million from $207 million recorded in fiscal 1998. As a percentage of sales, SMG&amp;A decreased from 16.9% in fiscal 1998 to 14.5% in fiscal 1999 as a result of increased sales and continued control over spending.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operating income was $767 million, or 29.8% of sales, for fiscal 2000, an increase of $524 million over the $243 million recorded in fiscal 1999. Including the impact of the write-off of in-process research and development, our operating income was 16.7% of sales for fiscal 1999. Our operating income for fiscal 1998, including the impact of a $17 million restructuring charge and a $13 million net gain on the sale of our disk drive IC business in fiscal 1998, was 12.8% of sales.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Our equity interest in WaferTech, LLC, a joint venture with Taiwan Semiconductor Manufacturing Company and other investors, resulted in a loss of $1.1 million in fiscal 1999, compared to a loss of $9.8 million in fiscal 1998. This change was the result of our completion of the sale in fiscal 1999 of approximately 78% of our equity ownership in WaferTech. As a result of this sale, our equity ownership in WaferTech was reduced from 18% to 4%. We sold 78% of our investment to other WaferTech partners in exchange for $105 million in cash, which was equal to 78% of the carrying value of the equity ownership at October 31, 1998. Subsequent to the sale, this investment was accounted for using the cost method.</w:t>
      </w:r>
    </w:p>
    <w:p>
      <w:pPr>
        <w:sectPr>
          <w:pgSz w:w="11900" w:h="16838" w:orient="portrait"/>
          <w:cols w:equalWidth="0" w:num="1">
            <w:col w:w="10219"/>
          </w:cols>
          <w:pgMar w:left="24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Our effective income tax rate increased to 29.9% for fiscal 2000 from 23.6% in fiscal 1999 and 20.6% in fiscal 1998 due to increased profits in higher tax jurisdictions, principally the United States. Additionally, in fiscal 1998 we utilized $5.6 million of capital loss carryforwards for tax purposes, which reduced our valuation allowance from $5.6 million at November 1, 1997 to $0 at October 31, 1998.</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fourth quarter of fiscal 1998, we changed our accounting method for recognizing revenue on all shipments to international distributors and certain shipments to domestic distributors. The change was made with an effective date of November 2, 1997 (the beginning of fiscal 1998). Prior to the change we had historically deferred revenue on most shipments made to domestic distributors until the products were resold by the distributors to end users, but recognized revenue on shipments to international distributors and certain shipments to domestic distributors upon shipment to the distributors, net of appropriate reserves for returns and allowances. As a result of this accounting change, revenue recognition on shipments to all distributors worldwide is deferred until the products are resold to the end users. We believe that deferral of revenue and related gross margin on shipments to distributors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prior years of the change in accounting principle was a charge of approximately $37 million (net of $20 million of income taxes) or $0.11 per diluted share.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increased to $607 million, or 23.6% of sales, in fiscal 2000 from</w:t>
      </w:r>
    </w:p>
    <w:p>
      <w:pPr>
        <w:spacing w:after="0" w:line="4"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$197 million, or 13.6% of sales, in fiscal 1999. Diluted earnings per share for fiscal 2000 was $1.59. For fiscal 1999, net income increased 65% before the fiscal 1998 change in accounting principle, and 139% after the change in accounting principle, to $197 million, and diluted earnings per share was $0.55. For fiscal 1998, net income before the cumulative effect of the change in accounting principle was $119 million, and diluted earnings per share was $0.36. Net income after the cumulative effect of the change in accounting principle was $82 million for fiscal 1998, and diluted earnings per share was $0.25.</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(FAS 133), "Accounting for Derivative Instruments and Hedging Activities." This statement provides a comprehensive and consistent standard for the recognition and measurement of derivatives and hedging activities. In July 1999, the Financial Accounting Standards Board issued Statement of Financial Accounting Standards No. 137, which deferred the effective date of FAS 133 for one year. In June 2000, the Financial Accounting Standards Board issued Statement of Financial Accounting Standards No. 138, (FAS 138), "Accounting for Certain Derivative Instruments and Certain Hedging Activities-an amendment to FASB Statement No 133." This statement amended certain provisions of FAS 133. Accordingly, we will adopt FAS 133, as amended by FAS 138, effective the first quarter of fiscal 2001. FAS 133 requires that an entity recognize all derivatives as either assets or liabilities and measure such instruments at fair market value. Under certain circumstances, a portion of the derivative's gain or loss is initially reported as a component of comprehensive income until the hedged transaction affects earnings. For a derivative not designated as a hedging instrument, the gain or loss is recognized in income in the period of change. The provisions of FAS 133 allow for greater flexibility in our choice of derivative instruments. As a result, upon adoption, we will no longer use foreign currency option contracts to hedge our anticipated foreign currency sales transactions. Based upon our derivative positions at October 28, 2000, we estimate that upon adoption we will record a reduction of approximately $5 million in other comprehensive income as the cumulative effect of an accounting change.</w:t>
      </w:r>
    </w:p>
    <w:p>
      <w:pPr>
        <w:spacing w:after="0" w:line="189"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101, (SAB 101), "Revenue Recognition in Financial Statements." SAB 101 summarizes the application of generally accepted accounting principles to revenue recognition in financial statements. We are required to adopt this standard in the fourth quarter of fiscal 2001 and do not expect SAB 101 to have a material effect on the results of our operations or financial position.</w:t>
      </w:r>
    </w:p>
    <w:p>
      <w:pPr>
        <w:spacing w:after="0" w:line="163"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impact of inflation on our business during the past three years has not been significant.</w:t>
      </w:r>
    </w:p>
    <w:p>
      <w:pPr>
        <w:sectPr>
          <w:pgSz w:w="11900" w:h="16838" w:orient="portrait"/>
          <w:cols w:equalWidth="0" w:num="1">
            <w:col w:w="10219"/>
          </w:cols>
          <w:pgMar w:left="240" w:top="291"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At October 28, 2000, we had $2,235 million of cash, cash equivalents and short-term investments compared to $762 million at October 30, 1999. The $1,473 million increase in cash, cash equivalents and short-term investments was primarily due to operating cash inflows of $705 million (27% of fiscal 2000 sales) and $1,172 million of proceeds from the issuance of long term debt offset by $275 million of capital spending and $169 million of acquisition related spending. Our operating activities generated net cash of $442 million, or 30% of sales in fiscal 1999. Investing activities used $456 million in fiscal 2000 and $358 million in fiscal 1999, while financing activities generated $1,130 million in fiscal 2000 and $7 million in fiscal 1999. Excluding the net proceeds from the issuance of $1,200 million of long-term debt in fiscal 2000, our primary source of funds in fiscal 2000 and fiscal 1999 was net cash generated by operations.</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Accounts receivable of $464 million at the end of fiscal 2000 increased $203 million or 78% from $261 million at the end of fiscal 1999. This increase resulted principally from a $375 million increase in sales from the fourth quarter of fiscal 1999 to the fourth quarter of fiscal 2000. Days sales outstanding improved from 56 at the end of the fourth quarter of fiscal 1999 to 52 at the end of the fourth quarter of fiscal 2000. As a percentage of annualized fourth quarter sales, accounts receivable was 14.4% at the end of fiscal 2000, down from 15.1% at the end of fiscal 1999.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Inventories increased $83 million, or 33%, from the prior year to $332 million at the end of fiscal 2000. Days cost of sales in inventory decreased by 20 days to 90 days as of the end of the fourth quarter of fiscal 2000. The increase in inventory in absolute dollar terms is attributable to production increases in response to increased demand for our products.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Net additions to property, plant and equipment of $275 million for fiscal 2000 were funded with a combination of cash on hand and cash generated from operations. Capital spending in fiscal 2000 increased substantially from the $78 million incurred in fiscal 1999. The increase in capital expenditures was attributable to the expansion of manufacturing capability to meet increased demand for our products. We currently plan to make capital expenditures of approximately $450 million in fiscal 2001. Depreciation expense is expected to increase to $190 million in fiscal 2001.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reported under "Results of Operations," during the third quarter of fiscal 2000, we acquired BCO Technologies plc (BCO), a company with operations in Belfast, Northern Ireland, in a cash-for-stock transaction valued at approximately $163 million. During the second quarter of fiscal 1999, we acquired two DSP tools companies, White Mountain DSP, Inc. of Nashua, New Hampshire and Edinburgh Portable Compilers Limited, of Edinburgh, Scotland. The total cost of these acquisitions was approximately $21 million in cash and $2 million in our common stock, with additional cash consideration of up to a maximum of $10 million payable if the acquired companies achieve certain revenue and operational objectives. These acquisitions were accounted for as purchases, and the excess of the purchase price over the fair value of assets acquired was allocated to existing technology, workforce in place, tradenames and goodwill, which are being amortized over periods ranging from six to ten years. In connection with these acquisitions, we recorded a charge of $5.1 million for the write-off of in-process research and development.</w:t>
      </w:r>
    </w:p>
    <w:p>
      <w:pPr>
        <w:spacing w:after="0" w:line="18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Subsequent to our fiscal year ended October 28, 2000, we announced several acquisitions expected to be completed in the first quarter of fiscal 2001. We acquired all of the common stock of ChipLogic, Inc., of Santa Clara, California in exchange for approximately 1.65 million shares of our common stock. This transaction is valued at approximately $86 million. We also acquired four other companies for approximately $50 million, including contingent consideration. All of these transaction are expected to be accounted for as purchases.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third quarter of fiscal 2000, we sold our investment in Chartered Semiconductor Manufacturing Pte. Ltd. We received proceeds of approximately $65 million in cash and realized a pretax gain of approximately $44 million. The realized gain is included in other nonoperating income.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fourth quarter of 1999, we invested an additional $4 million in WaferTech. Subsequent to the year ended October 28, 2000, we sold our investment in WaferTech, LLC to Taiwan Semiconductor Manufacturing Company for approximately $61 million. In the first quarter of fiscal 2001 we will record a pretax realized gain on the sale of this investment of approximately $28 million.</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fiscal 2000, financing activities generated cash of $1,130 million. Of the total, issuance of common stock under stock purchase and stock option plans generated cash of $43 million, and proceeds from the issuance of long-term debt</w:t>
      </w:r>
    </w:p>
    <w:p>
      <w:pPr>
        <w:sectPr>
          <w:pgSz w:w="11900" w:h="16838" w:orient="portrait"/>
          <w:cols w:equalWidth="0" w:num="1">
            <w:col w:w="10219"/>
          </w:cols>
          <w:pgMar w:left="240" w:top="29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generated cash of $1,172 million. These increases were offset by $76 million of cash used for the repayment of variable rate borrowings and $8 million used for the payment of capital lease obligations.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fourth quarter of fiscal 2000, we issued $1,200 million of 4.75% Convertible Subordinated Notes due 2005 (2005 Notes), with semiannual interest payments on April 1 and October 1 of each year, commencing April 1, 2001. The 2005 Notes are convertible, at the option of the holder, into our common stock at any time unless previously redeemed or repurchased, at a conversion price of $129.78 per share, subject to adjustment in certain events. The net proceeds of the offering were $1,172 million after payment of the underwriting discount and expenses of the offering, which will be amortized over the term of the 2005 Notes. After the issuance of the 2005 Notes, our debt-to-equity ratio increased to 53%. As of March 11, 1999, we had converted $229,967,000 of the $230 million principal amount of our 3.50% Convertible Subordinated Notes due 2000 (2000 Notes) into an aggregate of 10,983,163 shares of our common stock, and the remaining 2000 Notes were redeemed by a cash payment of $33,000. As a result of this conversion, our debt-to-equity ratio was reduced to 7% at the end of fiscal 1999 as compared to 31% at the end of the prior year.</w:t>
      </w:r>
    </w:p>
    <w:p>
      <w:pPr>
        <w:spacing w:after="0" w:line="183"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At October 28, 2000, our principal sources of liquidity were $2,235 million of cash and cash equivalents and short-term investments.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believe that our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fixed rate debt obligations and related interest rate swap and cap agreements. An increase in interest rates would not significantly increase interest expense due to the fixed nature of our debt obligations. Because of the size and structure of these obligations, a 100 basis point increase in interest rates would not result in a material change in our interest expense or the fair value of the debt obligations and related interest rate swap and cap agreements for fiscal 2000 and fiscal 1999. The fair value of our investment portfolio or related interest income would not be significantly impacted by either a 100 basis point increase or decrease in interest rates in fiscal 2000 and fiscal 1999 due mainly to the short-term nature of the major portion of our investment portfolio and the relative insignificance of interest income to the consolidated pretax income, respectively.</w:t>
      </w:r>
    </w:p>
    <w:p>
      <w:pPr>
        <w:spacing w:after="0" w:line="181"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As more fully described in Note 2 (i) in the Notes to our Consolidated Financial Statements, we regularly hedge our non-U.S. dollar-based exposures by entering into forward exchange contracts and currency swap agreements. The terms of these contracts are for periods matching the duration of the underlying exposure and generally range from three months up to one year. The short-term nature of these contracts has resulted in these instruments having insignificant fair values at October 28, 2000 and October 30, 1999. Our largest foreign currency exposure is against the Japanese yen, primarily because Japan has a higher proportion of local currency denominated sales and fewer offsetting local currency denominated expenses. Relative to foreign currency exposures existing at October 28, 2000 and October 30, 1999, a 10% unfavorable movement in foreign exchange rates would not expose us to significant losses in earnings or cash flows or significantly diminish the fair value of our foreign currency financial instruments, primarily due to the short lives of the affected financial instruments that effectively hedge substantially all of our year-end exposures against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For information concerning certain pending litigation, see Note 11 of the Notes to our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ectPr>
          <w:pgSz w:w="11900" w:h="16838" w:orient="portrait"/>
          <w:cols w:equalWidth="0" w:num="1">
            <w:col w:w="10219"/>
          </w:cols>
          <w:pgMar w:left="240"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"Management Analysis" and other sections of this report contain forward-looking statements that are based on current expectations, estimates, forecasts and projections about the industry and markets in which we operate, management's beliefs and assumptions made by management. In addition, other written or oral statements that constitute forward-looking statements may be made by or on our behalf. Words such as "expects," "anticipates," "intends," "plans," "believes," "seeks," "estimates," variations of such words and similar expressions are intended to identify such forward-looking statements. These statements are not guarantees of future performance and involve certain risks, uncertainties and assumptions that are difficult to predict. (See "Factors That May Affect Future Results" below.) Therefore, actual outcomes and results may differ materially from what is expressed or forecast in such forward-looking statements. We undertake no obligation to update publicly any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experience material fluctuations in future operating results.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the effects of adverse changes in overall economic conditions, the risk that our backlog could decline significantly,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83"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Our future success depends upon our ability to develop and market new products and enter new markets.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81"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We may not be able to compete successfully in the semiconductor industry in the future.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179"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We may not be able to satisfy increasing demand for our products, and increased production may lead to overcapacity and lower prices.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the past two fiscal years. We have increased our manufacturing capacity over the past three years through both expansion of our production facilities and increased access to third-party foundries. However, 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ectPr>
          <w:pgSz w:w="11900" w:h="16838" w:orient="portrait"/>
          <w:cols w:equalWidth="0" w:num="1">
            <w:col w:w="10219"/>
          </w:cols>
          <w:pgMar w:left="240"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We rely on third-party subcontractors and manufacturers for some industry-standard wafers and therefore cannot control their availability or conditions of supply.</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w:t>
      </w:r>
    </w:p>
    <w:p>
      <w:pPr>
        <w:spacing w:after="0" w:line="177"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Our revenues may not increase enough to offset the expense of additional capacity.</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77"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We rely on manufacturing capacity located in geologically unstable areas, which could affect the availability of supplies and services.</w:t>
      </w:r>
    </w:p>
    <w:p>
      <w:pPr>
        <w:spacing w:after="0" w:line="176"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61"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We are exposed to economic and political risks through our significant international operations.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fiscal 2000, 55%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are involved in frequent litigation regarding intellectual property rights, which could be costly to undertake and could require us to redesign products or pay significant royalties.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for the fiscal year ended October 28, 2000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and debt service obligations may adversely affect our cash flow.</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a substantial amount of outstanding indebtedness. There is the possibility that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ectPr>
          <w:pgSz w:w="11900" w:h="16838" w:orient="portrait"/>
          <w:cols w:equalWidth="0" w:num="1">
            <w:col w:w="10219"/>
          </w:cols>
          <w:pgMar w:left="240"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Exhibit 13.2</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Years ended</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October 28, 2000, October</w:t>
            </w:r>
          </w:p>
        </w:tc>
        <w:tc>
          <w:tcPr>
            <w:tcW w:w="4960" w:type="dxa"/>
            <w:vAlign w:val="bottom"/>
          </w:tcPr>
          <w:p>
            <w:pPr>
              <w:jc w:val="right"/>
              <w:ind w:right="2225"/>
              <w:spacing w:after="0"/>
              <w:rPr>
                <w:sz w:val="20"/>
                <w:szCs w:val="20"/>
                <w:color w:val="auto"/>
              </w:rPr>
            </w:pPr>
            <w:r>
              <w:rPr>
                <w:rFonts w:ascii="Courier New" w:cs="Courier New" w:eastAsia="Courier New" w:hAnsi="Courier New"/>
                <w:sz w:val="15"/>
                <w:szCs w:val="15"/>
                <w:color w:val="auto"/>
              </w:rPr>
              <w:t>30, 1999 and October 31, 1998</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except per share amounts)</w:t>
            </w:r>
          </w:p>
        </w:tc>
        <w:tc>
          <w:tcPr>
            <w:tcW w:w="49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Net sales..............................................</w:t>
            </w:r>
          </w:p>
        </w:tc>
        <w:tc>
          <w:tcPr>
            <w:tcW w:w="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2,577,547</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1,450,379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1,230,571</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COSTS AND</w:t>
            </w: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Cost of sales..........................................</w:t>
            </w:r>
          </w:p>
        </w:tc>
        <w:tc>
          <w:tcPr>
            <w:tcW w:w="4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1,116,520</w:t>
            </w:r>
          </w:p>
        </w:tc>
        <w:tc>
          <w:tcPr>
            <w:tcW w:w="36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735,643</w:t>
            </w:r>
          </w:p>
        </w:tc>
        <w:tc>
          <w:tcPr>
            <w:tcW w:w="22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642,085</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Gross margin...........................................</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1,461,027</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714,736</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588,486</w:t>
            </w:r>
          </w:p>
        </w:tc>
      </w:tr>
      <w:tr>
        <w:trPr>
          <w:trHeight w:val="347"/>
        </w:trPr>
        <w:tc>
          <w:tcPr>
            <w:tcW w:w="1120" w:type="dxa"/>
            <w:vAlign w:val="bottom"/>
          </w:tcPr>
          <w:p>
            <w:pPr>
              <w:spacing w:after="0"/>
              <w:rPr>
                <w:sz w:val="24"/>
                <w:szCs w:val="24"/>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Operating expenses: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ind w:left="580"/>
              <w:spacing w:after="0"/>
              <w:rPr>
                <w:sz w:val="20"/>
                <w:szCs w:val="20"/>
                <w:color w:val="auto"/>
              </w:rPr>
            </w:pPr>
            <w:r>
              <w:rPr>
                <w:rFonts w:ascii="Courier New" w:cs="Courier New" w:eastAsia="Courier New" w:hAnsi="Courier New"/>
                <w:sz w:val="15"/>
                <w:szCs w:val="15"/>
                <w:color w:val="auto"/>
              </w:rPr>
              <w:t>Research and development............................</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400,566</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257,039</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219,354</w:t>
            </w:r>
          </w:p>
        </w:tc>
      </w:tr>
      <w:tr>
        <w:trPr>
          <w:trHeight w:val="173"/>
        </w:trPr>
        <w:tc>
          <w:tcPr>
            <w:tcW w:w="1120" w:type="dxa"/>
            <w:vAlign w:val="bottom"/>
          </w:tcPr>
          <w:p>
            <w:pPr>
              <w:spacing w:after="0"/>
              <w:rPr>
                <w:sz w:val="15"/>
                <w:szCs w:val="15"/>
                <w:color w:val="auto"/>
              </w:rPr>
            </w:pPr>
          </w:p>
        </w:tc>
        <w:tc>
          <w:tcPr>
            <w:tcW w:w="5400" w:type="dxa"/>
            <w:vAlign w:val="bottom"/>
          </w:tcPr>
          <w:p>
            <w:pPr>
              <w:ind w:left="580"/>
              <w:spacing w:after="0"/>
              <w:rPr>
                <w:sz w:val="20"/>
                <w:szCs w:val="20"/>
                <w:color w:val="auto"/>
              </w:rPr>
            </w:pPr>
            <w:r>
              <w:rPr>
                <w:rFonts w:ascii="Courier New" w:cs="Courier New" w:eastAsia="Courier New" w:hAnsi="Courier New"/>
                <w:sz w:val="15"/>
                <w:szCs w:val="15"/>
                <w:color w:val="auto"/>
              </w:rPr>
              <w:t>Purchased in-process research and development.......</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5,140</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ind w:left="580"/>
              <w:spacing w:after="0"/>
              <w:rPr>
                <w:sz w:val="20"/>
                <w:szCs w:val="20"/>
                <w:color w:val="auto"/>
              </w:rPr>
            </w:pPr>
            <w:r>
              <w:rPr>
                <w:rFonts w:ascii="Courier New" w:cs="Courier New" w:eastAsia="Courier New" w:hAnsi="Courier New"/>
                <w:sz w:val="15"/>
                <w:szCs w:val="15"/>
                <w:color w:val="auto"/>
              </w:rPr>
              <w:t>Selling, marketing, general</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and administrative................................</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293,364</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209,639</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207,487</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Restructuring charge................................</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17,000</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Gain on sale of business............................</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(13,100)</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693,930</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471,818</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430,741</w:t>
            </w:r>
          </w:p>
        </w:tc>
      </w:tr>
      <w:tr>
        <w:trPr>
          <w:trHeight w:val="347"/>
        </w:trPr>
        <w:tc>
          <w:tcPr>
            <w:tcW w:w="1120" w:type="dxa"/>
            <w:vAlign w:val="bottom"/>
          </w:tcPr>
          <w:p>
            <w:pPr>
              <w:spacing w:after="0"/>
              <w:rPr>
                <w:sz w:val="24"/>
                <w:szCs w:val="24"/>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Operating income.......................................</w:t>
            </w:r>
          </w:p>
        </w:tc>
        <w:tc>
          <w:tcPr>
            <w:tcW w:w="4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767,097</w:t>
            </w:r>
          </w:p>
        </w:tc>
        <w:tc>
          <w:tcPr>
            <w:tcW w:w="36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242,918</w:t>
            </w:r>
          </w:p>
        </w:tc>
        <w:tc>
          <w:tcPr>
            <w:tcW w:w="22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157,745</w:t>
            </w:r>
          </w:p>
        </w:tc>
      </w:tr>
      <w:tr>
        <w:trPr>
          <w:trHeight w:val="347"/>
        </w:trPr>
        <w:tc>
          <w:tcPr>
            <w:tcW w:w="1120" w:type="dxa"/>
            <w:vAlign w:val="bottom"/>
          </w:tcPr>
          <w:p>
            <w:pPr>
              <w:spacing w:after="0"/>
              <w:rPr>
                <w:sz w:val="24"/>
                <w:szCs w:val="24"/>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Equity in loss of WaferTech............................</w:t>
            </w:r>
          </w:p>
        </w:tc>
        <w:tc>
          <w:tcPr>
            <w:tcW w:w="4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1,149</w:t>
            </w:r>
          </w:p>
        </w:tc>
        <w:tc>
          <w:tcPr>
            <w:tcW w:w="22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9,780</w:t>
            </w:r>
          </w:p>
        </w:tc>
      </w:tr>
      <w:tr>
        <w:trPr>
          <w:trHeight w:val="173"/>
        </w:trPr>
        <w:tc>
          <w:tcPr>
            <w:tcW w:w="1120" w:type="dxa"/>
            <w:vAlign w:val="bottom"/>
          </w:tcPr>
          <w:p>
            <w:pPr>
              <w:spacing w:after="0"/>
              <w:rPr>
                <w:sz w:val="15"/>
                <w:szCs w:val="15"/>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Nonoperating (income) expenses:</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Interest expense....................................</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5,841</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10,146</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13,287</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Interest income.....................................</w:t>
            </w:r>
          </w:p>
        </w:tc>
        <w:tc>
          <w:tcPr>
            <w:tcW w:w="4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(63,430)</w:t>
            </w:r>
          </w:p>
        </w:tc>
        <w:tc>
          <w:tcPr>
            <w:tcW w:w="36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(26,726)</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(16,838)</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Other...............................................</w:t>
            </w:r>
          </w:p>
        </w:tc>
        <w:tc>
          <w:tcPr>
            <w:tcW w:w="4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(41,025)</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809</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(98,614)</w:t>
            </w:r>
          </w:p>
        </w:tc>
        <w:tc>
          <w:tcPr>
            <w:tcW w:w="36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(15,771)</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(2,494)</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Income before income taxes.............................</w:t>
            </w:r>
          </w:p>
        </w:tc>
        <w:tc>
          <w:tcPr>
            <w:tcW w:w="4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865,711</w:t>
            </w:r>
          </w:p>
        </w:tc>
        <w:tc>
          <w:tcPr>
            <w:tcW w:w="36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257,540</w:t>
            </w:r>
          </w:p>
        </w:tc>
        <w:tc>
          <w:tcPr>
            <w:tcW w:w="22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150,459</w:t>
            </w:r>
          </w:p>
        </w:tc>
      </w:tr>
      <w:tr>
        <w:trPr>
          <w:trHeight w:val="347"/>
        </w:trPr>
        <w:tc>
          <w:tcPr>
            <w:tcW w:w="1120" w:type="dxa"/>
            <w:vAlign w:val="bottom"/>
          </w:tcPr>
          <w:p>
            <w:pPr>
              <w:spacing w:after="0"/>
              <w:rPr>
                <w:sz w:val="24"/>
                <w:szCs w:val="24"/>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Provision for income taxes: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Payable currently...................................</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271,123</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44,139</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43,343</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Deferred ...........................................</w:t>
            </w:r>
          </w:p>
        </w:tc>
        <w:tc>
          <w:tcPr>
            <w:tcW w:w="4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(12,544)</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16,582</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(12,372)</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258,579</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60,721</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30,971</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Net income before cumulative effect of change in</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accounting principle................................</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607,132</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196,819</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119,488</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of $20 million of income taxes................</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(37,080)</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120" w:type="dxa"/>
            <w:vAlign w:val="bottom"/>
          </w:tcPr>
          <w:p>
            <w:pPr>
              <w:spacing w:after="0"/>
              <w:rPr>
                <w:sz w:val="24"/>
                <w:szCs w:val="24"/>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Net income after cumulative effect of change in</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accounting principle................................</w:t>
            </w:r>
          </w:p>
        </w:tc>
        <w:tc>
          <w:tcPr>
            <w:tcW w:w="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607,132</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196,819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82,408</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spacing w:after="0"/>
              <w:rPr>
                <w:sz w:val="24"/>
                <w:szCs w:val="24"/>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Shares used to compute earnings per share - Basic......</w:t>
            </w:r>
          </w:p>
        </w:tc>
        <w:tc>
          <w:tcPr>
            <w:tcW w:w="4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353,363</w:t>
            </w:r>
          </w:p>
        </w:tc>
        <w:tc>
          <w:tcPr>
            <w:tcW w:w="36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336,482</w:t>
            </w:r>
          </w:p>
        </w:tc>
        <w:tc>
          <w:tcPr>
            <w:tcW w:w="22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323,148</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Shares used to compute earnings per share - Diluted....</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381,157</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362,904</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355,750</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spacing w:after="0"/>
              <w:rPr>
                <w:sz w:val="24"/>
                <w:szCs w:val="24"/>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Earnings per share before cumulative effect of change</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ind w:left="580"/>
              <w:spacing w:after="0"/>
              <w:rPr>
                <w:sz w:val="20"/>
                <w:szCs w:val="20"/>
                <w:color w:val="auto"/>
              </w:rPr>
            </w:pPr>
            <w:r>
              <w:rPr>
                <w:rFonts w:ascii="Courier New" w:cs="Courier New" w:eastAsia="Courier New" w:hAnsi="Courier New"/>
                <w:sz w:val="15"/>
                <w:szCs w:val="15"/>
                <w:color w:val="auto"/>
              </w:rPr>
              <w:t>in accounting principle</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Earnings per share - Basic.............................</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$0.37</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Earnings per share - Diluted...........................</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$0.36</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spacing w:after="0"/>
              <w:rPr>
                <w:sz w:val="24"/>
                <w:szCs w:val="24"/>
                <w:color w:val="auto"/>
              </w:rPr>
            </w:pPr>
          </w:p>
        </w:tc>
        <w:tc>
          <w:tcPr>
            <w:tcW w:w="5400" w:type="dxa"/>
            <w:vAlign w:val="bottom"/>
          </w:tcPr>
          <w:p>
            <w:pPr>
              <w:ind w:left="320"/>
              <w:spacing w:after="0"/>
              <w:rPr>
                <w:sz w:val="20"/>
                <w:szCs w:val="20"/>
                <w:color w:val="auto"/>
              </w:rPr>
            </w:pPr>
            <w:r>
              <w:rPr>
                <w:rFonts w:ascii="Courier New" w:cs="Courier New" w:eastAsia="Courier New" w:hAnsi="Courier New"/>
                <w:sz w:val="15"/>
                <w:szCs w:val="15"/>
                <w:color w:val="auto"/>
              </w:rPr>
              <w:t>Earnings per share after cumulative effect of change</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ind w:left="580"/>
              <w:spacing w:after="0"/>
              <w:rPr>
                <w:sz w:val="20"/>
                <w:szCs w:val="20"/>
                <w:color w:val="auto"/>
              </w:rPr>
            </w:pPr>
            <w:r>
              <w:rPr>
                <w:rFonts w:ascii="Courier New" w:cs="Courier New" w:eastAsia="Courier New" w:hAnsi="Courier New"/>
                <w:sz w:val="15"/>
                <w:szCs w:val="15"/>
                <w:color w:val="auto"/>
              </w:rPr>
              <w:t>in accounting principle</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Earnings per share - Basic.............................</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$0.26</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1120" w:type="dxa"/>
            <w:vAlign w:val="bottom"/>
          </w:tcPr>
          <w:p>
            <w:pPr>
              <w:spacing w:after="0"/>
              <w:rPr>
                <w:sz w:val="15"/>
                <w:szCs w:val="15"/>
                <w:color w:val="auto"/>
              </w:rPr>
            </w:pPr>
          </w:p>
        </w:tc>
        <w:tc>
          <w:tcPr>
            <w:tcW w:w="5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Earnings per share - Diluted...........................</w:t>
            </w:r>
          </w:p>
        </w:tc>
        <w:tc>
          <w:tcPr>
            <w:tcW w:w="4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w:t>
            </w:r>
          </w:p>
        </w:tc>
        <w:tc>
          <w:tcPr>
            <w:tcW w:w="3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$0.25</w:t>
            </w:r>
          </w:p>
        </w:tc>
      </w:tr>
      <w:tr>
        <w:trPr>
          <w:trHeight w:val="173"/>
        </w:trPr>
        <w:tc>
          <w:tcPr>
            <w:tcW w:w="1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900"/>
          </w:cols>
          <w:pgMar w:left="240" w:top="141" w:right="759"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900"/>
          </w:cols>
          <w:pgMar w:left="240" w:top="141" w:right="759"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8880" w:type="dxa"/>
            <w:vAlign w:val="bottom"/>
          </w:tcPr>
          <w:p>
            <w:pPr>
              <w:ind w:left="1400"/>
              <w:spacing w:after="0"/>
              <w:rPr>
                <w:sz w:val="20"/>
                <w:szCs w:val="20"/>
                <w:color w:val="auto"/>
              </w:rPr>
            </w:pPr>
            <w:r>
              <w:rPr>
                <w:rFonts w:ascii="Courier New" w:cs="Courier New" w:eastAsia="Courier New" w:hAnsi="Courier New"/>
                <w:sz w:val="15"/>
                <w:szCs w:val="15"/>
                <w:color w:val="auto"/>
              </w:rPr>
              <w:t>CONSOLIDATED BALANCE SHEETS</w:t>
            </w:r>
          </w:p>
        </w:tc>
        <w:tc>
          <w:tcPr>
            <w:tcW w:w="820" w:type="dxa"/>
            <w:vAlign w:val="bottom"/>
          </w:tcPr>
          <w:p>
            <w:pPr>
              <w:spacing w:after="0"/>
              <w:rPr>
                <w:sz w:val="14"/>
                <w:szCs w:val="14"/>
                <w:color w:val="auto"/>
              </w:rPr>
            </w:pPr>
          </w:p>
        </w:tc>
      </w:tr>
      <w:tr>
        <w:trPr>
          <w:trHeight w:val="694"/>
        </w:trPr>
        <w:tc>
          <w:tcPr>
            <w:tcW w:w="1020" w:type="dxa"/>
            <w:vAlign w:val="bottom"/>
          </w:tcPr>
          <w:p>
            <w:pPr>
              <w:spacing w:after="0"/>
              <w:rPr>
                <w:sz w:val="20"/>
                <w:szCs w:val="20"/>
                <w:color w:val="auto"/>
              </w:rPr>
            </w:pPr>
            <w:r>
              <w:rPr>
                <w:rFonts w:ascii="Courier New" w:cs="Courier New" w:eastAsia="Courier New" w:hAnsi="Courier New"/>
                <w:sz w:val="15"/>
                <w:szCs w:val="15"/>
                <w:color w:val="auto"/>
              </w:rPr>
              <w:t>October 28,</w:t>
            </w:r>
          </w:p>
        </w:tc>
        <w:tc>
          <w:tcPr>
            <w:tcW w:w="8880" w:type="dxa"/>
            <w:vAlign w:val="bottom"/>
          </w:tcPr>
          <w:p>
            <w:pPr>
              <w:ind w:left="60"/>
              <w:spacing w:after="0"/>
              <w:rPr>
                <w:sz w:val="20"/>
                <w:szCs w:val="20"/>
                <w:color w:val="auto"/>
              </w:rPr>
            </w:pPr>
            <w:r>
              <w:rPr>
                <w:rFonts w:ascii="Courier New" w:cs="Courier New" w:eastAsia="Courier New" w:hAnsi="Courier New"/>
                <w:sz w:val="15"/>
                <w:szCs w:val="15"/>
                <w:color w:val="auto"/>
              </w:rPr>
              <w:t>2000 and October 30, 1999</w:t>
            </w:r>
          </w:p>
        </w:tc>
        <w:tc>
          <w:tcPr>
            <w:tcW w:w="820" w:type="dxa"/>
            <w:vAlign w:val="bottom"/>
          </w:tcPr>
          <w:p>
            <w:pPr>
              <w:spacing w:after="0"/>
              <w:rPr>
                <w:sz w:val="24"/>
                <w:szCs w:val="24"/>
                <w:color w:val="auto"/>
              </w:rPr>
            </w:pP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8880" w:type="dxa"/>
            <w:vAlign w:val="bottom"/>
          </w:tcPr>
          <w:p>
            <w:pPr>
              <w:ind w:left="60"/>
              <w:spacing w:after="0"/>
              <w:rPr>
                <w:sz w:val="20"/>
                <w:szCs w:val="20"/>
                <w:color w:val="auto"/>
              </w:rPr>
            </w:pPr>
            <w:r>
              <w:rPr>
                <w:rFonts w:ascii="Courier New" w:cs="Courier New" w:eastAsia="Courier New" w:hAnsi="Courier New"/>
                <w:sz w:val="15"/>
                <w:szCs w:val="15"/>
                <w:color w:val="auto"/>
              </w:rPr>
              <w:t>except share amounts)</w:t>
            </w:r>
          </w:p>
        </w:tc>
        <w:tc>
          <w:tcPr>
            <w:tcW w:w="820" w:type="dxa"/>
            <w:vAlign w:val="bottom"/>
          </w:tcPr>
          <w:p>
            <w:pPr>
              <w:spacing w:after="0"/>
              <w:rPr>
                <w:sz w:val="15"/>
                <w:szCs w:val="15"/>
                <w:color w:val="auto"/>
              </w:rPr>
            </w:pP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$1,736,421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355,891</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Short-term investments................................................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498,844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406,553</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Accounts receivable less allowances of $13,156</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7000" w:type="dxa"/>
            <w:vAlign w:val="bottom"/>
          </w:tcPr>
          <w:p>
            <w:pPr>
              <w:ind w:left="640"/>
              <w:spacing w:after="0"/>
              <w:rPr>
                <w:sz w:val="20"/>
                <w:szCs w:val="20"/>
                <w:color w:val="auto"/>
              </w:rPr>
            </w:pPr>
            <w:r>
              <w:rPr>
                <w:rFonts w:ascii="Courier New" w:cs="Courier New" w:eastAsia="Courier New" w:hAnsi="Courier New"/>
                <w:sz w:val="15"/>
                <w:szCs w:val="15"/>
                <w:color w:val="auto"/>
              </w:rPr>
              <w:t>($14,238 in 1999)...................................................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463,912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260,871</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Inventories...........................................................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332,094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248,936</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Deferred tax assets...................................................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108,989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89,780</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17,079</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3,168,014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1,379,110</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Land and buildings....................................................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238,550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166,130</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PLANT AND</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Machinery and equipment...............................................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1,260,572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1,088,939</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Office equipment......................................................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86,930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74,530</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AT COST</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Leasehold improvements................................................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120,710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108,530</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1,706,762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1,438,129</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927,536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795,323</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Net property, plant and equipment.....................................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779,226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642,806</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Investments...........................................................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217,755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119,301</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Intangible assets, net................................................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192,698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30,563</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Other assets..........................................................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53,644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46,574</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40" w:type="dxa"/>
            <w:vAlign w:val="bottom"/>
          </w:tcPr>
          <w:p>
            <w:pPr>
              <w:spacing w:after="0"/>
              <w:rPr>
                <w:sz w:val="15"/>
                <w:szCs w:val="15"/>
                <w:color w:val="auto"/>
              </w:rPr>
            </w:pPr>
          </w:p>
        </w:tc>
        <w:tc>
          <w:tcPr>
            <w:tcW w:w="7000" w:type="dxa"/>
            <w:vAlign w:val="bottom"/>
          </w:tcPr>
          <w:p>
            <w:pPr>
              <w:ind w:left="460"/>
              <w:spacing w:after="0"/>
              <w:rPr>
                <w:sz w:val="20"/>
                <w:szCs w:val="20"/>
                <w:color w:val="auto"/>
              </w:rPr>
            </w:pPr>
            <w:r>
              <w:rPr>
                <w:rFonts w:ascii="Courier New" w:cs="Courier New" w:eastAsia="Courier New" w:hAnsi="Courier New"/>
                <w:sz w:val="15"/>
                <w:szCs w:val="15"/>
                <w:color w:val="auto"/>
              </w:rPr>
              <w:t>Total other assets....................................................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196,438</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$4,411,337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$2,218,354</w:t>
            </w:r>
          </w:p>
        </w:tc>
      </w:tr>
      <w:tr>
        <w:trPr>
          <w:trHeight w:val="173"/>
        </w:trPr>
        <w:tc>
          <w:tcPr>
            <w:tcW w:w="1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83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Short-term borrowings and current portion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6860" w:type="dxa"/>
            <w:vAlign w:val="bottom"/>
          </w:tcPr>
          <w:p>
            <w:pPr>
              <w:ind w:left="500"/>
              <w:spacing w:after="0"/>
              <w:rPr>
                <w:sz w:val="20"/>
                <w:szCs w:val="20"/>
                <w:color w:val="auto"/>
              </w:rPr>
            </w:pPr>
            <w:r>
              <w:rPr>
                <w:rFonts w:ascii="Courier New" w:cs="Courier New" w:eastAsia="Courier New" w:hAnsi="Courier New"/>
                <w:sz w:val="15"/>
                <w:szCs w:val="15"/>
                <w:color w:val="auto"/>
              </w:rPr>
              <w:t>long-term debt and obligations under capital leases.................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15,690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97,061</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213,196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103,368</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Deferred income on shipments to distributors..........................</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140,369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100,788</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Income taxes payable..................................................</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86,625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66,761</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194,017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111,285</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649,897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479,263</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48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Long-term debt and obligations under capital leases...................</w:t>
            </w:r>
          </w:p>
        </w:tc>
        <w:tc>
          <w:tcPr>
            <w:tcW w:w="30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1,212,960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16,214</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40,002</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Other noncurrent liabilities..........................................</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193,625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66,844</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Total noncurrent liabilities..........................................</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1,457,790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123,060</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480" w:type="dxa"/>
            <w:vAlign w:val="bottom"/>
          </w:tcPr>
          <w:p>
            <w:pPr>
              <w:spacing w:after="0"/>
              <w:rPr>
                <w:sz w:val="24"/>
                <w:szCs w:val="24"/>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Commitments and Contingencies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7"/>
        </w:trPr>
        <w:tc>
          <w:tcPr>
            <w:tcW w:w="1480" w:type="dxa"/>
            <w:vAlign w:val="bottom"/>
          </w:tcPr>
          <w:p>
            <w:pPr>
              <w:spacing w:after="0"/>
              <w:rPr>
                <w:sz w:val="20"/>
                <w:szCs w:val="20"/>
                <w:color w:val="auto"/>
              </w:rPr>
            </w:pPr>
            <w:r>
              <w:rPr>
                <w:rFonts w:ascii="Courier New" w:cs="Courier New" w:eastAsia="Courier New" w:hAnsi="Courier New"/>
                <w:sz w:val="15"/>
                <w:szCs w:val="15"/>
                <w:color w:val="auto"/>
              </w:rPr>
              <w:t>STOCKHOLDERS'</w:t>
            </w: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Preferred stock, $1.00 par value, 471,934 shares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6860" w:type="dxa"/>
            <w:vAlign w:val="bottom"/>
          </w:tcPr>
          <w:p>
            <w:pPr>
              <w:ind w:left="500"/>
              <w:spacing w:after="0"/>
              <w:rPr>
                <w:sz w:val="20"/>
                <w:szCs w:val="20"/>
                <w:color w:val="auto"/>
              </w:rPr>
            </w:pPr>
            <w:r>
              <w:rPr>
                <w:rFonts w:ascii="Courier New" w:cs="Courier New" w:eastAsia="Courier New" w:hAnsi="Courier New"/>
                <w:sz w:val="15"/>
                <w:szCs w:val="15"/>
                <w:color w:val="auto"/>
              </w:rPr>
              <w:t>authorized, none outstanding........................................</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Common stock, $0.16 2/3 par value, 600,000,000</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480" w:type="dxa"/>
            <w:vAlign w:val="bottom"/>
          </w:tcPr>
          <w:p>
            <w:pPr>
              <w:spacing w:after="0"/>
              <w:rPr>
                <w:sz w:val="15"/>
                <w:szCs w:val="15"/>
                <w:color w:val="auto"/>
              </w:rPr>
            </w:pPr>
          </w:p>
        </w:tc>
        <w:tc>
          <w:tcPr>
            <w:tcW w:w="6860" w:type="dxa"/>
            <w:vAlign w:val="bottom"/>
          </w:tcPr>
          <w:p>
            <w:pPr>
              <w:ind w:left="500"/>
              <w:spacing w:after="0"/>
              <w:rPr>
                <w:sz w:val="20"/>
                <w:szCs w:val="20"/>
                <w:color w:val="auto"/>
              </w:rPr>
            </w:pPr>
            <w:r>
              <w:rPr>
                <w:rFonts w:ascii="Courier New" w:cs="Courier New" w:eastAsia="Courier New" w:hAnsi="Courier New"/>
                <w:sz w:val="15"/>
                <w:szCs w:val="15"/>
                <w:color w:val="auto"/>
              </w:rPr>
              <w:t>shares authorized 357,969,010 shares issued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480" w:type="dxa"/>
            <w:vAlign w:val="bottom"/>
          </w:tcPr>
          <w:p>
            <w:pPr>
              <w:spacing w:after="0"/>
              <w:rPr>
                <w:sz w:val="15"/>
                <w:szCs w:val="15"/>
                <w:color w:val="auto"/>
              </w:rPr>
            </w:pPr>
          </w:p>
        </w:tc>
        <w:tc>
          <w:tcPr>
            <w:tcW w:w="6860" w:type="dxa"/>
            <w:vAlign w:val="bottom"/>
          </w:tcPr>
          <w:p>
            <w:pPr>
              <w:ind w:left="500"/>
              <w:spacing w:after="0"/>
              <w:rPr>
                <w:sz w:val="20"/>
                <w:szCs w:val="20"/>
                <w:color w:val="auto"/>
              </w:rPr>
            </w:pPr>
            <w:r>
              <w:rPr>
                <w:rFonts w:ascii="Courier New" w:cs="Courier New" w:eastAsia="Courier New" w:hAnsi="Courier New"/>
                <w:sz w:val="15"/>
                <w:szCs w:val="15"/>
                <w:color w:val="auto"/>
              </w:rPr>
              <w:t>(178,049,189 in 1999)...............................................</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59,663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29,675</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Capital in excess of par value, net of deferred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480" w:type="dxa"/>
            <w:vAlign w:val="bottom"/>
          </w:tcPr>
          <w:p>
            <w:pPr>
              <w:spacing w:after="0"/>
              <w:rPr>
                <w:sz w:val="15"/>
                <w:szCs w:val="15"/>
                <w:color w:val="auto"/>
              </w:rPr>
            </w:pPr>
          </w:p>
        </w:tc>
        <w:tc>
          <w:tcPr>
            <w:tcW w:w="6860" w:type="dxa"/>
            <w:vAlign w:val="bottom"/>
          </w:tcPr>
          <w:p>
            <w:pPr>
              <w:ind w:left="500"/>
              <w:spacing w:after="0"/>
              <w:rPr>
                <w:sz w:val="20"/>
                <w:szCs w:val="20"/>
                <w:color w:val="auto"/>
              </w:rPr>
            </w:pPr>
            <w:r>
              <w:rPr>
                <w:rFonts w:ascii="Courier New" w:cs="Courier New" w:eastAsia="Courier New" w:hAnsi="Courier New"/>
                <w:sz w:val="15"/>
                <w:szCs w:val="15"/>
                <w:color w:val="auto"/>
              </w:rPr>
              <w:t>compensation of $3,980 ($6,211 in 1999)............................</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526,820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523,106</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1,717,943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1,110,811</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Accumulated other comprehensive income................................</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12,209</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2,307,267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1,675,801</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Less 45,186 shares in treasury, at cost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480" w:type="dxa"/>
            <w:vAlign w:val="bottom"/>
          </w:tcPr>
          <w:p>
            <w:pPr>
              <w:spacing w:after="0"/>
              <w:rPr>
                <w:sz w:val="15"/>
                <w:szCs w:val="15"/>
                <w:color w:val="auto"/>
              </w:rPr>
            </w:pPr>
          </w:p>
        </w:tc>
        <w:tc>
          <w:tcPr>
            <w:tcW w:w="6860" w:type="dxa"/>
            <w:vAlign w:val="bottom"/>
          </w:tcPr>
          <w:p>
            <w:pPr>
              <w:ind w:left="500"/>
              <w:spacing w:after="0"/>
              <w:rPr>
                <w:sz w:val="20"/>
                <w:szCs w:val="20"/>
                <w:color w:val="auto"/>
              </w:rPr>
            </w:pPr>
            <w:r>
              <w:rPr>
                <w:rFonts w:ascii="Courier New" w:cs="Courier New" w:eastAsia="Courier New" w:hAnsi="Courier New"/>
                <w:sz w:val="15"/>
                <w:szCs w:val="15"/>
                <w:color w:val="auto"/>
              </w:rPr>
              <w:t>(3,161,774 in 1999).................................................</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59,770</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Courier New" w:cs="Courier New" w:eastAsia="Courier New" w:hAnsi="Courier New"/>
                <w:sz w:val="15"/>
                <w:szCs w:val="15"/>
                <w:color w:val="auto"/>
              </w:rPr>
              <w:t>Total stockholders' equity............................................</w:t>
            </w:r>
          </w:p>
        </w:tc>
        <w:tc>
          <w:tcPr>
            <w:tcW w:w="3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2,303,650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1,616,031</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4,411,337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$2,218,354</w:t>
            </w:r>
          </w:p>
        </w:tc>
      </w:tr>
      <w:tr>
        <w:trPr>
          <w:trHeight w:val="173"/>
        </w:trPr>
        <w:tc>
          <w:tcPr>
            <w:tcW w:w="14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900"/>
          </w:cols>
          <w:pgMar w:left="240" w:top="291" w:right="759" w:bottom="1075"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900"/>
          </w:cols>
          <w:pgMar w:left="240" w:top="291" w:right="759" w:bottom="1075" w:gutter="0" w:footer="0" w:header="0"/>
          <w:type w:val="continuous"/>
        </w:sectPr>
      </w:pPr>
    </w:p>
    <w:bookmarkStart w:id="38" w:name="page39"/>
    <w:bookmarkEnd w:id="38"/>
    <w:p>
      <w:pPr>
        <w:ind w:left="268"/>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4212"/>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24" w:lineRule="exact"/>
        <w:rPr>
          <w:sz w:val="20"/>
          <w:szCs w:val="20"/>
          <w:color w:val="auto"/>
        </w:rPr>
      </w:pPr>
    </w:p>
    <w:p>
      <w:pPr>
        <w:ind w:left="8288"/>
        <w:spacing w:after="0"/>
        <w:rPr>
          <w:sz w:val="20"/>
          <w:szCs w:val="20"/>
          <w:color w:val="auto"/>
        </w:rPr>
      </w:pPr>
      <w:r>
        <w:rPr>
          <w:rFonts w:ascii="Courier New" w:cs="Courier New" w:eastAsia="Courier New" w:hAnsi="Courier New"/>
          <w:sz w:val="15"/>
          <w:szCs w:val="15"/>
          <w:color w:val="auto"/>
        </w:rPr>
        <w:t>ACCUMULATED</w:t>
      </w:r>
    </w:p>
    <w:p>
      <w:pPr>
        <w:spacing w:after="0" w:line="3" w:lineRule="exact"/>
        <w:rPr>
          <w:sz w:val="20"/>
          <w:szCs w:val="20"/>
          <w:color w:val="auto"/>
        </w:rPr>
      </w:pPr>
    </w:p>
    <w:p>
      <w:pPr>
        <w:ind w:left="8"/>
        <w:spacing w:after="0"/>
        <w:tabs>
          <w:tab w:leader="none" w:pos="5927" w:val="left"/>
          <w:tab w:leader="none" w:pos="8547" w:val="left"/>
        </w:tabs>
        <w:rPr>
          <w:sz w:val="20"/>
          <w:szCs w:val="20"/>
          <w:color w:val="auto"/>
        </w:rPr>
      </w:pPr>
      <w:r>
        <w:rPr>
          <w:rFonts w:ascii="Courier New" w:cs="Courier New" w:eastAsia="Courier New" w:hAnsi="Courier New"/>
          <w:sz w:val="15"/>
          <w:szCs w:val="15"/>
          <w:color w:val="auto"/>
        </w:rPr>
        <w:t>Years ended October 28, 2000,</w:t>
      </w:r>
      <w:r>
        <w:rPr>
          <w:sz w:val="20"/>
          <w:szCs w:val="20"/>
          <w:color w:val="auto"/>
        </w:rPr>
        <w:tab/>
      </w:r>
      <w:r>
        <w:rPr>
          <w:rFonts w:ascii="Courier New" w:cs="Courier New" w:eastAsia="Courier New" w:hAnsi="Courier New"/>
          <w:sz w:val="15"/>
          <w:szCs w:val="15"/>
          <w:color w:val="auto"/>
        </w:rPr>
        <w:t>CAPITAL IN</w:t>
      </w:r>
      <w:r>
        <w:rPr>
          <w:sz w:val="20"/>
          <w:szCs w:val="20"/>
          <w:color w:val="auto"/>
        </w:rPr>
        <w:tab/>
      </w:r>
      <w:r>
        <w:rPr>
          <w:rFonts w:ascii="Courier New" w:cs="Courier New" w:eastAsia="Courier New" w:hAnsi="Courier New"/>
          <w:sz w:val="14"/>
          <w:szCs w:val="14"/>
          <w:color w:val="auto"/>
        </w:rPr>
        <w:t>OTHER</w:t>
      </w:r>
    </w:p>
    <w:p>
      <w:pPr>
        <w:spacing w:after="0" w:line="3" w:lineRule="exact"/>
        <w:rPr>
          <w:sz w:val="20"/>
          <w:szCs w:val="20"/>
          <w:color w:val="auto"/>
        </w:rPr>
      </w:pPr>
    </w:p>
    <w:p>
      <w:pPr>
        <w:ind w:left="8"/>
        <w:spacing w:after="0"/>
        <w:tabs>
          <w:tab w:leader="none" w:pos="4307" w:val="left"/>
          <w:tab w:leader="none" w:pos="6027" w:val="left"/>
          <w:tab w:leader="none" w:pos="7287" w:val="left"/>
          <w:tab w:leader="none" w:pos="8187" w:val="left"/>
          <w:tab w:leader="none" w:pos="9627" w:val="left"/>
        </w:tabs>
        <w:rPr>
          <w:sz w:val="20"/>
          <w:szCs w:val="20"/>
          <w:color w:val="auto"/>
        </w:rPr>
      </w:pPr>
      <w:r>
        <w:rPr>
          <w:rFonts w:ascii="Courier New" w:cs="Courier New" w:eastAsia="Courier New" w:hAnsi="Courier New"/>
          <w:sz w:val="15"/>
          <w:szCs w:val="15"/>
          <w:color w:val="auto"/>
        </w:rPr>
        <w:t>October 30, 1999 and October 31, 1998</w:t>
      </w:r>
      <w:r>
        <w:rPr>
          <w:sz w:val="20"/>
          <w:szCs w:val="20"/>
          <w:color w:val="auto"/>
        </w:rPr>
        <w:tab/>
      </w: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EXCESS OF</w:t>
      </w:r>
      <w:r>
        <w:rPr>
          <w:sz w:val="20"/>
          <w:szCs w:val="20"/>
          <w:color w:val="auto"/>
        </w:rPr>
        <w:tab/>
      </w:r>
      <w:r>
        <w:rPr>
          <w:rFonts w:ascii="Courier New" w:cs="Courier New" w:eastAsia="Courier New" w:hAnsi="Courier New"/>
          <w:sz w:val="15"/>
          <w:szCs w:val="15"/>
          <w:color w:val="auto"/>
        </w:rPr>
        <w:t>RETAINED</w:t>
        <w:tab/>
        <w:t>COMPREHENSIVE</w:t>
      </w:r>
      <w:r>
        <w:rPr>
          <w:sz w:val="20"/>
          <w:szCs w:val="20"/>
          <w:color w:val="auto"/>
        </w:rPr>
        <w:tab/>
      </w:r>
      <w:r>
        <w:rPr>
          <w:rFonts w:ascii="Courier New" w:cs="Courier New" w:eastAsia="Courier New" w:hAnsi="Courier New"/>
          <w:sz w:val="14"/>
          <w:szCs w:val="14"/>
          <w:color w:val="auto"/>
        </w:rPr>
        <w:t>TREASURY STOCK</w:t>
      </w:r>
    </w:p>
    <w:p>
      <w:pPr>
        <w:spacing w:after="0" w:line="3" w:lineRule="exact"/>
        <w:rPr>
          <w:sz w:val="20"/>
          <w:szCs w:val="20"/>
          <w:color w:val="auto"/>
        </w:rPr>
      </w:pPr>
    </w:p>
    <w:p>
      <w:pPr>
        <w:ind w:left="4328"/>
        <w:spacing w:after="0"/>
        <w:tabs>
          <w:tab w:leader="none" w:pos="96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4027" w:val="left"/>
          <w:tab w:leader="none" w:pos="5027" w:val="left"/>
          <w:tab w:leader="none" w:pos="6027" w:val="left"/>
          <w:tab w:leader="none" w:pos="7287" w:val="left"/>
          <w:tab w:leader="none" w:pos="8547" w:val="left"/>
          <w:tab w:leader="none" w:pos="9447" w:val="left"/>
          <w:tab w:leader="none" w:pos="10627" w:val="left"/>
        </w:tabs>
        <w:rPr>
          <w:sz w:val="20"/>
          <w:szCs w:val="20"/>
          <w:color w:val="auto"/>
        </w:rPr>
      </w:pPr>
      <w:r>
        <w:rPr>
          <w:rFonts w:ascii="Courier New" w:cs="Courier New" w:eastAsia="Courier New" w:hAnsi="Courier New"/>
          <w:sz w:val="15"/>
          <w:szCs w:val="15"/>
          <w:color w:val="auto"/>
        </w:rPr>
        <w:t>(thousands)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PAR VALUE</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Balance, November 1, 1997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161,941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$26,991</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$223,885</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$831,584</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6,724</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(1,054)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Net income - 1998</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60" w:type="dxa"/>
            <w:vAlign w:val="bottom"/>
          </w:tcPr>
          <w:p>
            <w:pPr>
              <w:jc w:val="right"/>
              <w:ind w:right="2225"/>
              <w:spacing w:after="0"/>
              <w:rPr>
                <w:sz w:val="20"/>
                <w:szCs w:val="20"/>
                <w:color w:val="auto"/>
              </w:rPr>
            </w:pPr>
            <w:r>
              <w:rPr>
                <w:rFonts w:ascii="Courier New" w:cs="Courier New" w:eastAsia="Courier New" w:hAnsi="Courier New"/>
                <w:sz w:val="15"/>
                <w:szCs w:val="15"/>
                <w:color w:val="auto"/>
              </w:rPr>
              <w:t>82,408</w:t>
            </w:r>
          </w:p>
        </w:tc>
        <w:tc>
          <w:tcPr>
            <w:tcW w:w="940" w:type="dxa"/>
            <w:vAlign w:val="bottom"/>
          </w:tcPr>
          <w:p>
            <w:pPr>
              <w:spacing w:after="0"/>
              <w:rPr>
                <w:sz w:val="14"/>
                <w:szCs w:val="14"/>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IN FISCAL</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 under</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stock plans and other,</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net of repurchases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2,152</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358</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8,738</w:t>
            </w:r>
          </w:p>
        </w:tc>
        <w:tc>
          <w:tcPr>
            <w:tcW w:w="3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17,299</w:t>
            </w:r>
          </w:p>
        </w:tc>
      </w:tr>
      <w:tr>
        <w:trPr>
          <w:trHeight w:val="173"/>
        </w:trPr>
        <w:tc>
          <w:tcPr>
            <w:tcW w:w="9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Compensation recognized</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under Restricted Stock Plan</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2,918</w:t>
            </w: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Tax benefit on exercise of non-</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qualified stock options and</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disqualifying dispositions</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under stock plans</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13,429</w:t>
            </w: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Repurchase of common stock</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(84,192)</w:t>
            </w:r>
          </w:p>
        </w:tc>
      </w:tr>
      <w:tr>
        <w:trPr>
          <w:trHeight w:val="173"/>
        </w:trPr>
        <w:tc>
          <w:tcPr>
            <w:tcW w:w="9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(699)</w:t>
            </w:r>
          </w:p>
        </w:tc>
        <w:tc>
          <w:tcPr>
            <w:tcW w:w="940" w:type="dxa"/>
            <w:vAlign w:val="bottom"/>
          </w:tcPr>
          <w:p>
            <w:pPr>
              <w:spacing w:after="0"/>
              <w:rPr>
                <w:sz w:val="15"/>
                <w:szCs w:val="15"/>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164,093</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27,349</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248,970</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913,992</w:t>
            </w:r>
          </w:p>
        </w:tc>
        <w:tc>
          <w:tcPr>
            <w:tcW w:w="1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6,025   (3,783)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(67,947)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Net income - 1999</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40" w:type="dxa"/>
            <w:vAlign w:val="bottom"/>
          </w:tcPr>
          <w:p>
            <w:pPr>
              <w:jc w:val="right"/>
              <w:ind w:right="2265"/>
              <w:spacing w:after="0"/>
              <w:rPr>
                <w:sz w:val="20"/>
                <w:szCs w:val="20"/>
                <w:color w:val="auto"/>
              </w:rPr>
            </w:pPr>
            <w:r>
              <w:rPr>
                <w:rFonts w:ascii="Courier New" w:cs="Courier New" w:eastAsia="Courier New" w:hAnsi="Courier New"/>
                <w:sz w:val="15"/>
                <w:szCs w:val="15"/>
                <w:color w:val="auto"/>
              </w:rPr>
              <w:t>196,819</w:t>
            </w:r>
          </w:p>
        </w:tc>
        <w:tc>
          <w:tcPr>
            <w:tcW w:w="820" w:type="dxa"/>
            <w:vAlign w:val="bottom"/>
          </w:tcPr>
          <w:p>
            <w:pPr>
              <w:spacing w:after="0"/>
              <w:rPr>
                <w:sz w:val="14"/>
                <w:szCs w:val="14"/>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IN FISCAL</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 under</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stock plans and other,</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net of repurchases</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28,159</w:t>
            </w:r>
          </w:p>
        </w:tc>
        <w:tc>
          <w:tcPr>
            <w:tcW w:w="3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8,177</w:t>
            </w:r>
          </w:p>
        </w:tc>
      </w:tr>
      <w:tr>
        <w:trPr>
          <w:trHeight w:val="173"/>
        </w:trPr>
        <w:tc>
          <w:tcPr>
            <w:tcW w:w="90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Conversion of 3.50%</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Subordinated notes</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10,982</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1,830</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228,074</w:t>
            </w: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Compensation recognized</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under Restricted Stock Plan</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2,799</w:t>
            </w: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Tax benefit on exercise of non-</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qualified stock options and</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disqualifying dispositions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under stock plans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15,104</w:t>
            </w:r>
          </w:p>
        </w:tc>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Securities valuation adjustment</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6,629</w:t>
            </w: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(445)</w:t>
            </w:r>
          </w:p>
        </w:tc>
        <w:tc>
          <w:tcPr>
            <w:tcW w:w="820" w:type="dxa"/>
            <w:vAlign w:val="bottom"/>
          </w:tcPr>
          <w:p>
            <w:pPr>
              <w:spacing w:after="0"/>
              <w:rPr>
                <w:sz w:val="15"/>
                <w:szCs w:val="15"/>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Balance, October 30, 1999</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178,049</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29,675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523,106</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1,110,811</w:t>
            </w:r>
          </w:p>
        </w:tc>
        <w:tc>
          <w:tcPr>
            <w:tcW w:w="1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12,209   (3,162)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(59,770)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Net income - 2000</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tcPr>
          <w:p>
            <w:pPr>
              <w:jc w:val="right"/>
              <w:ind w:right="2265"/>
              <w:spacing w:after="0"/>
              <w:rPr>
                <w:sz w:val="20"/>
                <w:szCs w:val="20"/>
                <w:color w:val="auto"/>
              </w:rPr>
            </w:pPr>
            <w:r>
              <w:rPr>
                <w:rFonts w:ascii="Courier New" w:cs="Courier New" w:eastAsia="Courier New" w:hAnsi="Courier New"/>
                <w:sz w:val="15"/>
                <w:szCs w:val="15"/>
                <w:color w:val="auto"/>
              </w:rPr>
              <w:t>607,132</w:t>
            </w:r>
          </w:p>
        </w:tc>
        <w:tc>
          <w:tcPr>
            <w:tcW w:w="900" w:type="dxa"/>
            <w:vAlign w:val="bottom"/>
          </w:tcPr>
          <w:p>
            <w:pPr>
              <w:spacing w:after="0"/>
              <w:rPr>
                <w:sz w:val="14"/>
                <w:szCs w:val="14"/>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IN FISCAL</w:t>
            </w:r>
          </w:p>
        </w:tc>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 under</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stock plans and other,</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net of repurchases</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6,205</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52,148</w:t>
            </w:r>
          </w:p>
        </w:tc>
        <w:tc>
          <w:tcPr>
            <w:tcW w:w="3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w w:val="95"/>
              </w:rPr>
              <w:t>(8,850)</w:t>
            </w:r>
          </w:p>
        </w:tc>
      </w:tr>
      <w:tr>
        <w:trPr>
          <w:trHeight w:val="173"/>
        </w:trPr>
        <w:tc>
          <w:tcPr>
            <w:tcW w:w="900" w:type="dxa"/>
            <w:vAlign w:val="bottom"/>
          </w:tcPr>
          <w:p>
            <w:pPr>
              <w:spacing w:after="0"/>
              <w:rPr>
                <w:sz w:val="15"/>
                <w:szCs w:val="15"/>
                <w:color w:val="auto"/>
              </w:rPr>
            </w:pPr>
          </w:p>
        </w:tc>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Compensation recognized</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under Restricted Stock Plan</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2,231</w:t>
            </w: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Tax benefit on exercise of non-</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qualified stock options and</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disqualifying dispositions</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under stock plans</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43,566</w:t>
            </w:r>
          </w:p>
        </w:tc>
        <w:tc>
          <w:tcPr>
            <w:tcW w:w="3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Two-for-one stock split</w:t>
            </w:r>
          </w:p>
        </w:tc>
        <w:tc>
          <w:tcPr>
            <w:tcW w:w="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173,715</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28,955</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(94,231)</w:t>
            </w:r>
          </w:p>
        </w:tc>
        <w:tc>
          <w:tcPr>
            <w:tcW w:w="3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3,210</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65,003</w:t>
            </w:r>
          </w:p>
        </w:tc>
      </w:tr>
      <w:tr>
        <w:trPr>
          <w:trHeight w:val="173"/>
        </w:trPr>
        <w:tc>
          <w:tcPr>
            <w:tcW w:w="900" w:type="dxa"/>
            <w:vAlign w:val="bottom"/>
          </w:tcPr>
          <w:p>
            <w:pPr>
              <w:spacing w:after="0"/>
              <w:rPr>
                <w:sz w:val="15"/>
                <w:szCs w:val="15"/>
                <w:color w:val="auto"/>
              </w:rPr>
            </w:pPr>
          </w:p>
        </w:tc>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Securities valuation adjustment</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(6,629)</w:t>
            </w:r>
          </w:p>
        </w:tc>
        <w:tc>
          <w:tcPr>
            <w:tcW w:w="9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(2,739)</w:t>
            </w:r>
          </w:p>
        </w:tc>
        <w:tc>
          <w:tcPr>
            <w:tcW w:w="900" w:type="dxa"/>
            <w:vAlign w:val="bottom"/>
          </w:tcPr>
          <w:p>
            <w:pPr>
              <w:spacing w:after="0"/>
              <w:rPr>
                <w:sz w:val="15"/>
                <w:szCs w:val="15"/>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Balance, October 28, 2000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357,969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$59,663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$526,820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$1,717,943</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2,841</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(3,617)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jc w:val="center"/>
        <w:ind w:left="8" w:right="4760" w:hanging="8"/>
        <w:spacing w:after="0" w:line="243" w:lineRule="auto"/>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i.e., net income plus other comprehensive income, totaled $598 million in 2000, $203 million in 1999 and $82 million in 1998.</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accompanying notes.</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8"/>
          </w:cols>
          <w:pgMar w:left="232" w:top="291" w:right="1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4100" w:type="dxa"/>
            <w:vAlign w:val="bottom"/>
          </w:tcPr>
          <w:p>
            <w:pPr>
              <w:jc w:val="right"/>
              <w:ind w:right="3665"/>
              <w:spacing w:after="0"/>
              <w:rPr>
                <w:sz w:val="20"/>
                <w:szCs w:val="20"/>
                <w:color w:val="auto"/>
              </w:rPr>
            </w:pPr>
            <w:r>
              <w:rPr>
                <w:rFonts w:ascii="Courier New" w:cs="Courier New" w:eastAsia="Courier New" w:hAnsi="Courier New"/>
                <w:sz w:val="15"/>
                <w:szCs w:val="15"/>
                <w:color w:val="auto"/>
              </w:rPr>
              <w:t>4</w:t>
            </w:r>
          </w:p>
        </w:tc>
        <w:tc>
          <w:tcPr>
            <w:tcW w:w="4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ANALOG DEVICES,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CONSOLIDATED STATEMENTS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OF CASH FLOWS</w:t>
            </w: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4"/>
        </w:trPr>
        <w:tc>
          <w:tcPr>
            <w:tcW w:w="8280" w:type="dxa"/>
            <w:vAlign w:val="bottom"/>
            <w:gridSpan w:val="2"/>
          </w:tcPr>
          <w:p>
            <w:pPr>
              <w:spacing w:after="0"/>
              <w:rPr>
                <w:sz w:val="20"/>
                <w:szCs w:val="20"/>
                <w:color w:val="auto"/>
              </w:rPr>
            </w:pPr>
            <w:r>
              <w:rPr>
                <w:rFonts w:ascii="Courier New" w:cs="Courier New" w:eastAsia="Courier New" w:hAnsi="Courier New"/>
                <w:sz w:val="15"/>
                <w:szCs w:val="15"/>
                <w:color w:val="auto"/>
              </w:rPr>
              <w:t>Years ended October 28, 2000, October 30, 1999 and October 31, 1998</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4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operations: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607,132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196,819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82,408</w:t>
            </w:r>
          </w:p>
        </w:tc>
      </w:tr>
      <w:tr>
        <w:trPr>
          <w:trHeight w:val="173"/>
        </w:trPr>
        <w:tc>
          <w:tcPr>
            <w:tcW w:w="1160" w:type="dxa"/>
            <w:vAlign w:val="bottom"/>
          </w:tcPr>
          <w:p>
            <w:pPr>
              <w:spacing w:after="0"/>
              <w:rPr>
                <w:sz w:val="15"/>
                <w:szCs w:val="15"/>
                <w:color w:val="auto"/>
              </w:rPr>
            </w:pPr>
          </w:p>
        </w:tc>
        <w:tc>
          <w:tcPr>
            <w:tcW w:w="5500" w:type="dxa"/>
            <w:vAlign w:val="bottom"/>
          </w:tcPr>
          <w:p>
            <w:pPr>
              <w:ind w:left="460"/>
              <w:spacing w:after="0"/>
              <w:rPr>
                <w:sz w:val="20"/>
                <w:szCs w:val="20"/>
                <w:color w:val="auto"/>
              </w:rPr>
            </w:pPr>
            <w:r>
              <w:rPr>
                <w:rFonts w:ascii="Courier New" w:cs="Courier New" w:eastAsia="Courier New" w:hAnsi="Courier New"/>
                <w:sz w:val="15"/>
                <w:szCs w:val="15"/>
                <w:color w:val="auto"/>
              </w:rPr>
              <w:t>Adjustments to reconcile net income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to net cash provided by operations: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principle, net of $20 million of income taxes...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37,080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156,671</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142,598</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127,560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investments.........................</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(43,857)</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Noncash portion of restructuring costs..............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business............................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(13,100)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Purchased in-process research and development.......</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5,140</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 in loss of WaferTech, net of dividends.......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1,149</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10,907</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(12,544)</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16,582</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(12,372)</w:t>
            </w:r>
          </w:p>
        </w:tc>
      </w:tr>
      <w:tr>
        <w:trPr>
          <w:trHeight w:val="173"/>
        </w:trPr>
        <w:tc>
          <w:tcPr>
            <w:tcW w:w="1160" w:type="dxa"/>
            <w:vAlign w:val="bottom"/>
          </w:tcPr>
          <w:p>
            <w:pPr>
              <w:spacing w:after="0"/>
              <w:rPr>
                <w:sz w:val="15"/>
                <w:szCs w:val="15"/>
                <w:color w:val="auto"/>
              </w:rPr>
            </w:pPr>
          </w:p>
        </w:tc>
        <w:tc>
          <w:tcPr>
            <w:tcW w:w="5500" w:type="dxa"/>
            <w:vAlign w:val="bottom"/>
          </w:tcPr>
          <w:p>
            <w:pPr>
              <w:ind w:left="46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decrease in accounts receivable..........</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(213,696)</w:t>
            </w:r>
          </w:p>
        </w:tc>
        <w:tc>
          <w:tcPr>
            <w:tcW w:w="46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(55,980)</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50,603</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decrease in inventories..................</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(82,321)</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28,424</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(48,883)</w:t>
            </w:r>
          </w:p>
        </w:tc>
      </w:tr>
      <w:tr>
        <w:trPr>
          <w:trHeight w:val="173"/>
        </w:trPr>
        <w:tc>
          <w:tcPr>
            <w:tcW w:w="1160" w:type="dxa"/>
            <w:vAlign w:val="bottom"/>
          </w:tcPr>
          <w:p>
            <w:pPr>
              <w:spacing w:after="0"/>
              <w:rPr>
                <w:sz w:val="15"/>
                <w:szCs w:val="15"/>
                <w:color w:val="auto"/>
              </w:rPr>
            </w:pPr>
          </w:p>
        </w:tc>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prepaid expenses and other</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(9,706)</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4,292</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698</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investments - trading...................</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(123,165)</w:t>
            </w:r>
          </w:p>
        </w:tc>
        <w:tc>
          <w:tcPr>
            <w:tcW w:w="46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(28,098)</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(7,319)</w:t>
            </w:r>
          </w:p>
        </w:tc>
      </w:tr>
      <w:tr>
        <w:trPr>
          <w:trHeight w:val="173"/>
        </w:trPr>
        <w:tc>
          <w:tcPr>
            <w:tcW w:w="1160" w:type="dxa"/>
            <w:vAlign w:val="bottom"/>
          </w:tcPr>
          <w:p>
            <w:pPr>
              <w:spacing w:after="0"/>
              <w:rPr>
                <w:sz w:val="15"/>
                <w:szCs w:val="15"/>
                <w:color w:val="auto"/>
              </w:rPr>
            </w:pPr>
          </w:p>
        </w:tc>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accounts payable,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and accrued liabilities.........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233,408</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57,096</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(31,840)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income taxes payable....................</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20,204</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27,774</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14,476</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other liabilities.......................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172,379</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46,629</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17,896</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adjustments......................................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97,373</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245,606</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155,706</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4"/>
                <w:szCs w:val="24"/>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operations...........................</w:t>
            </w:r>
          </w:p>
        </w:tc>
        <w:tc>
          <w:tcPr>
            <w:tcW w:w="180" w:type="dxa"/>
            <w:vAlign w:val="bottom"/>
          </w:tcPr>
          <w:p>
            <w:pPr>
              <w:spacing w:after="0"/>
              <w:rPr>
                <w:sz w:val="24"/>
                <w:szCs w:val="2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704,505</w:t>
            </w:r>
          </w:p>
        </w:tc>
        <w:tc>
          <w:tcPr>
            <w:tcW w:w="46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442,425</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238,114</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investments: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Additions to property, plant and equipment, net........</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(274,837)</w:t>
            </w:r>
          </w:p>
        </w:tc>
        <w:tc>
          <w:tcPr>
            <w:tcW w:w="46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(77,500)</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(166,911)</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short-term investments available-for-sale..</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(868,394)</w:t>
            </w:r>
          </w:p>
        </w:tc>
        <w:tc>
          <w:tcPr>
            <w:tcW w:w="46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(628,823)</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(143,449)</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Maturities of short-term investments available-for-sale</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776,103</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263,845</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152,880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investment.......................</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64,641</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Change in long-term investments........................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101,501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(56,110)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Payments for acquisitions, net of cash acquired........</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(169,270)</w:t>
            </w:r>
          </w:p>
        </w:tc>
        <w:tc>
          <w:tcPr>
            <w:tcW w:w="46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(20,499)</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business.........................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27,000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Decrease (increase) in other assets....................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15,192</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3,435</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for investments.............................</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(456,217)</w:t>
            </w:r>
          </w:p>
        </w:tc>
        <w:tc>
          <w:tcPr>
            <w:tcW w:w="46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(358,041)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(186,960)</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long-term debt...............</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1,172,135</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Repurchase of common stock.............................</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(84,192)</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employee stock plans.....................</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42,864</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19,050</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14,209</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Payments on capital lease obligations..................</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(8,293)</w:t>
            </w:r>
          </w:p>
        </w:tc>
        <w:tc>
          <w:tcPr>
            <w:tcW w:w="46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(14,109)</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(11,640)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equipment financing......................</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6,094</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(decrease) increase in variable rate borrowings....</w:t>
            </w:r>
          </w:p>
        </w:tc>
        <w:tc>
          <w:tcPr>
            <w:tcW w:w="1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(76,416)</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1,776</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4"/>
                <w:szCs w:val="24"/>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180" w:type="dxa"/>
            <w:vAlign w:val="bottom"/>
          </w:tcPr>
          <w:p>
            <w:pPr>
              <w:spacing w:after="0"/>
              <w:rPr>
                <w:sz w:val="24"/>
                <w:szCs w:val="2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1,130,290</w:t>
            </w:r>
          </w:p>
        </w:tc>
        <w:tc>
          <w:tcPr>
            <w:tcW w:w="46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6,717</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(75,469)</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4"/>
                <w:szCs w:val="24"/>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24"/>
                <w:szCs w:val="2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1,952</w:t>
            </w:r>
          </w:p>
        </w:tc>
        <w:tc>
          <w:tcPr>
            <w:tcW w:w="46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1,459</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(1,955)</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4"/>
                <w:szCs w:val="24"/>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80" w:type="dxa"/>
            <w:vAlign w:val="bottom"/>
          </w:tcPr>
          <w:p>
            <w:pPr>
              <w:spacing w:after="0"/>
              <w:rPr>
                <w:sz w:val="24"/>
                <w:szCs w:val="2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1,380,530</w:t>
            </w:r>
          </w:p>
        </w:tc>
        <w:tc>
          <w:tcPr>
            <w:tcW w:w="46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92,560</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(26,270)</w:t>
            </w:r>
          </w:p>
        </w:tc>
      </w:tr>
      <w:tr>
        <w:trPr>
          <w:trHeight w:val="173"/>
        </w:trPr>
        <w:tc>
          <w:tcPr>
            <w:tcW w:w="1160" w:type="dxa"/>
            <w:vAlign w:val="bottom"/>
          </w:tcPr>
          <w:p>
            <w:pPr>
              <w:spacing w:after="0"/>
              <w:rPr>
                <w:sz w:val="15"/>
                <w:szCs w:val="15"/>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355,891</w:t>
            </w:r>
          </w:p>
        </w:tc>
        <w:tc>
          <w:tcPr>
            <w:tcW w:w="4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263,331</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289,601</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4"/>
                <w:szCs w:val="24"/>
                <w:color w:val="auto"/>
              </w:rPr>
            </w:pPr>
          </w:p>
        </w:tc>
        <w:tc>
          <w:tcPr>
            <w:tcW w:w="5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 at end of year..................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1,736,421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355,891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263,331</w:t>
            </w:r>
          </w:p>
        </w:tc>
      </w:tr>
      <w:tr>
        <w:trPr>
          <w:trHeight w:val="173"/>
        </w:trPr>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900"/>
          </w:cols>
          <w:pgMar w:left="240" w:top="291" w:right="759"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900"/>
          </w:cols>
          <w:pgMar w:left="240" w:top="291" w:right="759" w:bottom="1440" w:gutter="0" w:footer="0" w:header="0"/>
          <w:type w:val="continuous"/>
        </w:sectPr>
      </w:pPr>
    </w:p>
    <w:bookmarkStart w:id="40" w:name="page41"/>
    <w:bookmarkEnd w:id="40"/>
    <w:p>
      <w:pPr>
        <w:ind w:left="268"/>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YEARS ENDED OCTOBER 28, 2000, OCTOBER 30, 1999 AND OCTOBER 31, 1998</w:t>
      </w:r>
    </w:p>
    <w:p>
      <w:pPr>
        <w:spacing w:after="0" w:line="3"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(ALL TABULAR AMOUNTS IN THOUSANDS EXCEPT PER SHARE AMOUNTS)</w:t>
      </w:r>
    </w:p>
    <w:p>
      <w:pPr>
        <w:spacing w:after="0" w:line="177" w:lineRule="exact"/>
        <w:rPr>
          <w:sz w:val="20"/>
          <w:szCs w:val="20"/>
          <w:color w:val="auto"/>
        </w:rPr>
      </w:pPr>
    </w:p>
    <w:p>
      <w:pPr>
        <w:ind w:left="448" w:hanging="448"/>
        <w:spacing w:after="0"/>
        <w:tabs>
          <w:tab w:leader="none" w:pos="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Analog Devices, Inc. (Analog, ADI or the Company) is a world leader in the design, manufacture and marketing of high-performance analog, mixed-signal and digital signal processing (DSP) integrated circuits (ICs) used in signal processing applications.</w:t>
      </w:r>
    </w:p>
    <w:p>
      <w:pPr>
        <w:spacing w:after="0" w:line="176"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As of the end of fiscal 2000, approximately 45% of Analog's revenues came from the communications market, making it the Company's largest and fastest-growing served market. Communications applications include wireless handsets and base stations, as well as products used for high-speed access to the Internet, including ICs used in ADSL and cable modems and central office networking equipment.</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Analog serves the PC market with products that monitor and manage power usage, process signals used in flat panel displays and multimedia projectors and enable PCs to provide CD-quality audio. Analog also serves the high-end consumer market with ICs used in such products as digital cameras and camcorders, DVD players and surround sound audio systems. Analog provides a broad array of products to the industrial market, including products for automatic test equipment and for the digital speed control of AC motors.</w:t>
      </w:r>
    </w:p>
    <w:p>
      <w:pPr>
        <w:spacing w:after="0" w:line="177" w:lineRule="exact"/>
        <w:rPr>
          <w:sz w:val="20"/>
          <w:szCs w:val="20"/>
          <w:color w:val="auto"/>
        </w:rPr>
      </w:pPr>
    </w:p>
    <w:p>
      <w:pPr>
        <w:ind w:left="448" w:hanging="448"/>
        <w:spacing w:after="0"/>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7" w:lineRule="exact"/>
        <w:rPr>
          <w:sz w:val="20"/>
          <w:szCs w:val="20"/>
          <w:color w:val="auto"/>
        </w:rPr>
      </w:pPr>
    </w:p>
    <w:p>
      <w:pPr>
        <w:ind w:left="448" w:hanging="448"/>
        <w:spacing w:after="0"/>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8" w:lineRule="exact"/>
        <w:rPr>
          <w:sz w:val="20"/>
          <w:szCs w:val="20"/>
          <w:color w:val="auto"/>
        </w:rPr>
      </w:pPr>
    </w:p>
    <w:p>
      <w:pPr>
        <w:ind w:left="8" w:right="3019"/>
        <w:spacing w:after="0" w:line="266"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all of its wholly owned subsidiaries. Upon consolidation, all significant intercompany accounts and transactions are eliminated. The Company's fiscal year ends on the 52-week or 53-week period ending on the Saturday closest to the last day in October. Fiscal years 2000, 1999 and 1998 were each 52-week years.</w:t>
      </w:r>
    </w:p>
    <w:p>
      <w:pPr>
        <w:spacing w:after="0" w:line="161"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Certain amounts reported in previous years have been reclassified to conform to the fiscal 2000 presentation, such reclassifications were immaterial.</w:t>
      </w:r>
    </w:p>
    <w:p>
      <w:pPr>
        <w:spacing w:after="0" w:line="175" w:lineRule="exact"/>
        <w:rPr>
          <w:sz w:val="20"/>
          <w:szCs w:val="20"/>
          <w:color w:val="auto"/>
        </w:rPr>
      </w:pPr>
    </w:p>
    <w:p>
      <w:pPr>
        <w:ind w:left="448" w:hanging="448"/>
        <w:spacing w:after="0"/>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CASH EQUIVALENTS AND INVESTMENTS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Cash and cash equivalents are highly liquid investments with insignificant interest rate risk and maturities of three months or less at the time of acquisition. Investments with maturities between three and twelve months at time of acquisition are considered short-term investments. Cash, cash equivalents and short-term investments consist primarily of commercial paper and government agency discount notes, but also include certificates of deposit, bank time deposits, institutional money market funds and bankers' acceptances. Long-term investments consist of mutual funds, commercial paper and bank money market funds that are acquired to generate returns that offset changes in certain liabilities related to deferred compensation arrangements, as well as equity securities.</w:t>
      </w:r>
    </w:p>
    <w:p>
      <w:pPr>
        <w:spacing w:after="0" w:line="180"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classifies its investments in readily marketable debt and equity securities as "held-to-maturity," "available-for-sale" or "trading" at the time of purchase and such designation is evaluated as of each balance sheet date.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investments are classified as either available-for-sale or trading. Available-for-sale securities are carried at fair value with unrealized gains and losses, net of related tax, if any, reported as a separate component of stockholders' equity. Realized gains and losses, as well as interest, dividends and capital gains distributions on all securities, are included in earnings.</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91" w:right="1440" w:bottom="1440" w:gutter="0" w:footer="0" w:header="0"/>
        </w:sectPr>
      </w:pPr>
    </w:p>
    <w:bookmarkStart w:id="41" w:name="page42"/>
    <w:bookmarkEnd w:id="41"/>
    <w:p>
      <w:pPr>
        <w:ind w:left="268"/>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Cash equivalents and short-term investments classified as available-for-sale were $2,167 million and $707 million at October 28, 2000 and October 30, 1999, respectively and those classified as held-to-maturity were $7 million and $28 million at October 28, 2000 and October 30, 1999, respectively. All of these securities have contractual maturities of twelve months or less at time of acquisition. Because of the short term to maturity, and hence relative price insensitivity to changes in market interest rates, amortized cost approximates fair value for all of these securities. As such, no realized or unrealized gains or losses were recorded during each of these years.</w:t>
      </w:r>
    </w:p>
    <w:p>
      <w:pPr>
        <w:spacing w:after="0" w:line="179"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Long-term investments classified as trading were $182 million and $59 million at October 28, 2000 and October 30, 1999, respectively and were based on published market quotes on October 27, 2000 and October 29, 1999. Gross realized and unrealized gains and losses from trading securities were not material in fiscal 2000, fiscal 1999 and fiscal 1998. There was approximately $0 and $27 million at October 28, 2000 and October 30, 1999, respectively, of long-term investments classified as available-for-sale. Gross realized gains on available-for-sale investments were $44 million in fiscal 2000 and $0 in fiscal 1999. Gross unrealized gains were not material in fiscal 2000 and fiscal 1999. There were no long-term investments classified as held-to-maturity at October 28, 2000 and October 30, 1999.</w:t>
      </w:r>
    </w:p>
    <w:p>
      <w:pPr>
        <w:spacing w:after="0" w:line="180" w:lineRule="exact"/>
        <w:rPr>
          <w:sz w:val="20"/>
          <w:szCs w:val="20"/>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c.</w:t>
        <w:tab/>
        <w:t>SUPPLEMENTAL CASH FLOW STATEMENT INFORMATION</w:t>
      </w:r>
    </w:p>
    <w:p>
      <w:pPr>
        <w:spacing w:after="0" w:line="200" w:lineRule="exact"/>
        <w:rPr>
          <w:sz w:val="20"/>
          <w:szCs w:val="20"/>
          <w:color w:val="auto"/>
        </w:rPr>
      </w:pPr>
    </w:p>
    <w:p>
      <w:pPr>
        <w:spacing w:after="0" w:line="324" w:lineRule="exact"/>
        <w:rPr>
          <w:sz w:val="20"/>
          <w:szCs w:val="20"/>
          <w:color w:val="auto"/>
        </w:rPr>
      </w:pPr>
    </w:p>
    <w:p>
      <w:pPr>
        <w:ind w:left="7308"/>
        <w:spacing w:after="0"/>
        <w:tabs>
          <w:tab w:leader="none" w:pos="8907" w:val="left"/>
          <w:tab w:leader="none" w:pos="1034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paid during the fiscal year for:</w:t>
            </w: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1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208,441</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19,582</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23,582</w:t>
            </w:r>
          </w:p>
        </w:tc>
      </w:tr>
      <w:tr>
        <w:trPr>
          <w:trHeight w:val="173"/>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1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4,039</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10,808</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15,535</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The Company's non-cash financing activities in fiscal 1999 consisted solely of the conversion of its 3.50% Convertible Subordinated Notes into common stock as described in Note 9.</w:t>
      </w:r>
    </w:p>
    <w:p>
      <w:pPr>
        <w:spacing w:after="0" w:line="175" w:lineRule="exact"/>
        <w:rPr>
          <w:sz w:val="20"/>
          <w:szCs w:val="20"/>
          <w:color w:val="auto"/>
        </w:rPr>
      </w:pPr>
    </w:p>
    <w:p>
      <w:pPr>
        <w:ind w:left="448" w:hanging="448"/>
        <w:spacing w:after="0"/>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8" w:lineRule="exact"/>
        <w:rPr>
          <w:sz w:val="20"/>
          <w:szCs w:val="20"/>
          <w:color w:val="auto"/>
        </w:rPr>
      </w:pPr>
    </w:p>
    <w:p>
      <w:pPr>
        <w:ind w:left="8" w:right="3960"/>
        <w:spacing w:after="0" w:line="243" w:lineRule="auto"/>
        <w:rPr>
          <w:sz w:val="20"/>
          <w:szCs w:val="20"/>
          <w:color w:val="auto"/>
        </w:rPr>
      </w:pPr>
      <w:r>
        <w:rPr>
          <w:rFonts w:ascii="Courier New" w:cs="Courier New" w:eastAsia="Courier New" w:hAnsi="Courier New"/>
          <w:sz w:val="15"/>
          <w:szCs w:val="15"/>
          <w:color w:val="auto"/>
        </w:rPr>
        <w:t>Inventories are valued at the lower of cost (first-in, first-out method) or market. Inventories at October 28, 2000 and October 30, 1999 were as follows:</w:t>
      </w:r>
    </w:p>
    <w:p>
      <w:pPr>
        <w:spacing w:after="0" w:line="200" w:lineRule="exact"/>
        <w:rPr>
          <w:sz w:val="20"/>
          <w:szCs w:val="20"/>
          <w:color w:val="auto"/>
        </w:rPr>
      </w:pPr>
    </w:p>
    <w:p>
      <w:pPr>
        <w:spacing w:after="0" w:line="322" w:lineRule="exact"/>
        <w:rPr>
          <w:sz w:val="20"/>
          <w:szCs w:val="20"/>
          <w:color w:val="auto"/>
        </w:rPr>
      </w:pPr>
    </w:p>
    <w:p>
      <w:pPr>
        <w:ind w:left="7208"/>
        <w:spacing w:after="0"/>
        <w:tabs>
          <w:tab w:leader="none" w:pos="9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1268"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17,505</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13,735</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2200" w:type="dxa"/>
            <w:vAlign w:val="bottom"/>
          </w:tcPr>
          <w:p>
            <w:pPr>
              <w:spacing w:after="0"/>
              <w:rPr>
                <w:sz w:val="15"/>
                <w:szCs w:val="15"/>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179,918</w:t>
            </w:r>
          </w:p>
        </w:tc>
        <w:tc>
          <w:tcPr>
            <w:tcW w:w="7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150,427</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200" w:type="dxa"/>
            <w:vAlign w:val="bottom"/>
          </w:tcPr>
          <w:p>
            <w:pPr>
              <w:spacing w:after="0"/>
              <w:rPr>
                <w:sz w:val="15"/>
                <w:szCs w:val="15"/>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134,671</w:t>
            </w:r>
          </w:p>
        </w:tc>
        <w:tc>
          <w:tcPr>
            <w:tcW w:w="7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84,774</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1268"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3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  332,094</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  248,936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8" w:hanging="448"/>
        <w:spacing w:after="0"/>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Property, plant and equipment is recorded at cost less allowances for depreciation and amortization.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177"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&amp; Building Equipment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Up to 25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Machinery</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&amp; Equipment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3"/>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Office Equipment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Total depreciation and amortization of property, plant and equipment was $143 million, $139 million and $125 million in fiscal 2000, 1999 and 1998, respectively. Property, plant and equipment included $82 million and $75 million of capitalized leases in fiscal 2000 and 1999, net of $49 million and $36 million respectively, of accumulated depreciation.</w:t>
      </w:r>
    </w:p>
    <w:p>
      <w:pPr>
        <w:sectPr>
          <w:pgSz w:w="11900" w:h="16838" w:orient="portrait"/>
          <w:cols w:equalWidth="0" w:num="1">
            <w:col w:w="10908"/>
          </w:cols>
          <w:pgMar w:left="232" w:top="291" w:right="759" w:bottom="1440" w:gutter="0" w:footer="0" w:header="0"/>
        </w:sectPr>
      </w:pP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908"/>
          </w:cols>
          <w:pgMar w:left="232" w:top="291" w:right="759" w:bottom="1440" w:gutter="0" w:footer="0" w:header="0"/>
          <w:type w:val="continuous"/>
        </w:sectPr>
      </w:pPr>
    </w:p>
    <w:bookmarkStart w:id="42" w:name="page43"/>
    <w:bookmarkEnd w:id="42"/>
    <w:p>
      <w:pPr>
        <w:ind w:left="268"/>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0" w:lineRule="exact"/>
        <w:rPr>
          <w:sz w:val="20"/>
          <w:szCs w:val="20"/>
          <w:color w:val="auto"/>
        </w:rPr>
      </w:pPr>
    </w:p>
    <w:p>
      <w:pPr>
        <w:ind w:left="448" w:hanging="448"/>
        <w:spacing w:after="0"/>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ACQUISITION-RELATED INTANGIBLES</w:t>
      </w:r>
    </w:p>
    <w:p>
      <w:pPr>
        <w:spacing w:after="0" w:line="200" w:lineRule="exact"/>
        <w:rPr>
          <w:sz w:val="20"/>
          <w:szCs w:val="20"/>
          <w:color w:val="auto"/>
        </w:rPr>
      </w:pPr>
    </w:p>
    <w:p>
      <w:pPr>
        <w:spacing w:after="0" w:line="324" w:lineRule="exact"/>
        <w:rPr>
          <w:sz w:val="20"/>
          <w:szCs w:val="20"/>
          <w:color w:val="auto"/>
        </w:rPr>
      </w:pPr>
    </w:p>
    <w:tbl>
      <w:tblPr>
        <w:tblLayout w:type="fixed"/>
        <w:tblInd w:w="4428"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AMORTIZATION LIVES</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0" w:type="dxa"/>
            <w:vAlign w:val="bottom"/>
          </w:tcPr>
          <w:p>
            <w:pPr>
              <w:spacing w:after="0"/>
              <w:rPr>
                <w:sz w:val="24"/>
                <w:szCs w:val="24"/>
                <w:color w:val="auto"/>
              </w:rPr>
            </w:pPr>
          </w:p>
        </w:tc>
        <w:tc>
          <w:tcPr>
            <w:tcW w:w="3260" w:type="dxa"/>
            <w:vAlign w:val="bottom"/>
          </w:tcPr>
          <w:p>
            <w:pPr>
              <w:ind w:left="320"/>
              <w:spacing w:after="0"/>
              <w:rPr>
                <w:sz w:val="20"/>
                <w:szCs w:val="20"/>
                <w:color w:val="auto"/>
              </w:rPr>
            </w:pPr>
            <w:r>
              <w:rPr>
                <w:rFonts w:ascii="Courier New" w:cs="Courier New" w:eastAsia="Courier New" w:hAnsi="Courier New"/>
                <w:sz w:val="15"/>
                <w:szCs w:val="15"/>
                <w:color w:val="auto"/>
              </w:rPr>
              <w:t>Goodwill</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181,219</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16,685</w:t>
            </w:r>
          </w:p>
        </w:tc>
      </w:tr>
      <w:tr>
        <w:trPr>
          <w:trHeight w:val="173"/>
        </w:trPr>
        <w:tc>
          <w:tcPr>
            <w:tcW w:w="120" w:type="dxa"/>
            <w:vAlign w:val="bottom"/>
          </w:tcPr>
          <w:p>
            <w:pPr>
              <w:spacing w:after="0"/>
              <w:rPr>
                <w:sz w:val="15"/>
                <w:szCs w:val="15"/>
                <w:color w:val="auto"/>
              </w:rPr>
            </w:pPr>
          </w:p>
        </w:tc>
        <w:tc>
          <w:tcPr>
            <w:tcW w:w="3260" w:type="dxa"/>
            <w:vAlign w:val="bottom"/>
          </w:tcPr>
          <w:p>
            <w:pPr>
              <w:ind w:left="320"/>
              <w:spacing w:after="0"/>
              <w:rPr>
                <w:sz w:val="20"/>
                <w:szCs w:val="20"/>
                <w:color w:val="auto"/>
              </w:rPr>
            </w:pPr>
            <w:r>
              <w:rPr>
                <w:rFonts w:ascii="Courier New" w:cs="Courier New" w:eastAsia="Courier New" w:hAnsi="Courier New"/>
                <w:sz w:val="15"/>
                <w:szCs w:val="15"/>
                <w:color w:val="auto"/>
              </w:rPr>
              <w:t>Other Intangibles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54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11,479</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13,878</w:t>
            </w:r>
          </w:p>
        </w:tc>
      </w:tr>
      <w:tr>
        <w:trPr>
          <w:trHeight w:val="173"/>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0" w:type="dxa"/>
            <w:vAlign w:val="bottom"/>
          </w:tcPr>
          <w:p>
            <w:pPr>
              <w:spacing w:after="0"/>
              <w:rPr>
                <w:sz w:val="15"/>
                <w:szCs w:val="15"/>
                <w:color w:val="auto"/>
              </w:rPr>
            </w:pPr>
          </w:p>
        </w:tc>
        <w:tc>
          <w:tcPr>
            <w:tcW w:w="3260" w:type="dxa"/>
            <w:vAlign w:val="bottom"/>
          </w:tcPr>
          <w:p>
            <w:pPr>
              <w:ind w:left="320"/>
              <w:spacing w:after="0"/>
              <w:rPr>
                <w:sz w:val="20"/>
                <w:szCs w:val="20"/>
                <w:color w:val="auto"/>
              </w:rPr>
            </w:pPr>
            <w:r>
              <w:rPr>
                <w:rFonts w:ascii="Courier New" w:cs="Courier New" w:eastAsia="Courier New" w:hAnsi="Courier New"/>
                <w:sz w:val="15"/>
                <w:szCs w:val="15"/>
                <w:color w:val="auto"/>
              </w:rPr>
              <w:t>Total</w:t>
            </w: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192,698</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30,563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jc w:val="both"/>
        <w:ind w:left="8" w:right="3700"/>
        <w:spacing w:after="0" w:line="244" w:lineRule="auto"/>
        <w:rPr>
          <w:sz w:val="20"/>
          <w:szCs w:val="20"/>
          <w:color w:val="auto"/>
        </w:rPr>
      </w:pPr>
      <w:r>
        <w:rPr>
          <w:rFonts w:ascii="Courier New" w:cs="Courier New" w:eastAsia="Courier New" w:hAnsi="Courier New"/>
          <w:sz w:val="15"/>
          <w:szCs w:val="15"/>
          <w:color w:val="auto"/>
        </w:rPr>
        <w:t>Other intangibles include items such as acquired trained workforce and customer base. Goodwill and intangibles are evaluated for impairment based on the related undiscounted cash flows.</w:t>
      </w:r>
    </w:p>
    <w:p>
      <w:pPr>
        <w:spacing w:after="0" w:line="175" w:lineRule="exact"/>
        <w:rPr>
          <w:sz w:val="20"/>
          <w:szCs w:val="20"/>
          <w:color w:val="auto"/>
        </w:rPr>
      </w:pPr>
    </w:p>
    <w:p>
      <w:pPr>
        <w:ind w:left="8" w:right="3700"/>
        <w:spacing w:after="0" w:line="267" w:lineRule="auto"/>
        <w:rPr>
          <w:sz w:val="20"/>
          <w:szCs w:val="20"/>
          <w:color w:val="auto"/>
        </w:rPr>
      </w:pPr>
      <w:r>
        <w:rPr>
          <w:rFonts w:ascii="Courier New" w:cs="Courier New" w:eastAsia="Courier New" w:hAnsi="Courier New"/>
          <w:sz w:val="14"/>
          <w:szCs w:val="14"/>
          <w:color w:val="auto"/>
        </w:rPr>
        <w:t>The balances shown are net of total accumulated amortization of $35 million and $22 million as of October 28, 2000 and October 30, 1999, respectively. Amortization of goodwill and other acquisition-related intangibles was $13 million, $4 million and $3 million for fiscal 2000, 1999 and 1998, respectively.</w:t>
      </w:r>
    </w:p>
    <w:p>
      <w:pPr>
        <w:spacing w:after="0" w:line="160" w:lineRule="exact"/>
        <w:rPr>
          <w:sz w:val="20"/>
          <w:szCs w:val="20"/>
          <w:color w:val="auto"/>
        </w:rPr>
      </w:pPr>
    </w:p>
    <w:p>
      <w:pPr>
        <w:ind w:left="448" w:hanging="448"/>
        <w:spacing w:after="0"/>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ACCOUNTING</w:t>
      </w:r>
    </w:p>
    <w:p>
      <w:pPr>
        <w:spacing w:after="0" w:line="178"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78" w:lineRule="exact"/>
        <w:rPr>
          <w:sz w:val="20"/>
          <w:szCs w:val="20"/>
          <w:color w:val="auto"/>
        </w:rPr>
      </w:pPr>
    </w:p>
    <w:p>
      <w:pPr>
        <w:ind w:left="448" w:hanging="448"/>
        <w:spacing w:after="0"/>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 OF FOREIGN CURRENCIES</w:t>
      </w:r>
    </w:p>
    <w:p>
      <w:pPr>
        <w:spacing w:after="0" w:line="178"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The functional currency for the Company's foreign sales operations is the applicable local currency. Gains and losses resulting from translation of these foreign currencies into U.S. dollars are accumulated in a separate component of stockholders' equity. Transaction gains and losses are included in income currently, including those at the Company's principal foreign manufacturing operations where the functional currency is the U.S. dollar. Foreign currency transaction gains or losses included in other expenses, net, were not material in fiscal 2000, 1999 and 1998.</w:t>
      </w:r>
    </w:p>
    <w:p>
      <w:pPr>
        <w:spacing w:after="0" w:line="178" w:lineRule="exact"/>
        <w:rPr>
          <w:sz w:val="20"/>
          <w:szCs w:val="20"/>
          <w:color w:val="auto"/>
        </w:rPr>
      </w:pPr>
    </w:p>
    <w:p>
      <w:pPr>
        <w:ind w:left="448" w:hanging="448"/>
        <w:spacing w:after="0"/>
        <w:tabs>
          <w:tab w:leader="none" w:pos="4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INSTRUMENTS AND INTEREST RATE AGREEMENTS</w:t>
      </w:r>
    </w:p>
    <w:p>
      <w:pPr>
        <w:spacing w:after="0" w:line="178"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The Company enters into forward foreign exchange contracts, foreign currency option contracts and currency swap agreements to offset certain operational and balance sheet exposures from changes in foreign currency exchange rates. Such exposures result from the portion of the Company's operations, assets and liabilities that are denominated in currencies other than the U.S. dollar, primarily the Japanese yen and European currencies. These foreign exchange contracts, option and swap transactions are entered into to support product sales, purchases and financing transactions made in the normal course of business, and accordingly, are not speculative in nature.</w:t>
      </w:r>
    </w:p>
    <w:p>
      <w:pPr>
        <w:spacing w:after="0" w:line="179"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Forward foreign exchange contracts are utilized to manage the risk associated with currency fluctuations on certain firm sales and purchase commitments denominated in foreign currencies and certain non-U.S. dollar denominated asset and liability positions. The Company's forward foreign exchange contracts are primarily denominated in Japanese yen and certain European currencies and are for periods consistent with the terms of the underlying transactions, generally one year or less. The forward foreign exchange contracts that relate to firm foreign currency sales and purchase commitments are designated and effective as hedges of firm, identifiable foreign currency commitments, and accordingly, the gains and losses resulting from the impact of currency exchange rate movements on these contracts are not recognized in operations until the underlying hedged transactions are recognized. Upon recognition, such gains and losses are recorded in operations as an adjustment to the carrying amount of the underlying transactions in the period in which these transactions are recognized. Unrealized gains and losses resulting from the impact of currency exchange rate movements on forward foreign exchange contracts designated to offset certain non-U.S. dollar denominated assets and liabilities are recognized as other income or expense in the period in which the exchange rates change and offset the foreign currency gains and losses on the underlying exposures being hedged. The contract amounts of forward foreign</w:t>
      </w:r>
    </w:p>
    <w:p>
      <w:pPr>
        <w:sectPr>
          <w:pgSz w:w="11900" w:h="16838" w:orient="portrait"/>
          <w:cols w:equalWidth="0" w:num="1">
            <w:col w:w="10908"/>
          </w:cols>
          <w:pgMar w:left="232" w:top="291" w:right="759" w:bottom="1075" w:gutter="0" w:footer="0" w:header="0"/>
        </w:sectPr>
      </w:pPr>
    </w:p>
    <w:p>
      <w:pPr>
        <w:spacing w:after="0" w:line="18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908"/>
          </w:cols>
          <w:pgMar w:left="232" w:top="291" w:right="759" w:bottom="1075"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exchange contracts outstanding were $277 million and $178 million at October 28, 2000 and October 30, 1999, respectively.</w:t>
      </w:r>
    </w:p>
    <w:p>
      <w:pPr>
        <w:spacing w:after="0" w:line="176"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Company also may periodically enter into foreign currency option contracts to offset certain probable anticipated, but not firmly committed, foreign currency transactions related to the sale of product during the ensuing nine months. When the dollar strengthens significantly against the foreign currencies, the decline in value of future currency cash flows is partially offset by the gains in value of the purchased currency options designated as hedges. Conversely, when the dollar weakens, the increase in value of future foreign currency cash flows is reduced only by the premium paid to acquire the options. The Company's foreign currency option contracts are primarily denominated in Japanese yen and generally have maturities that do not exceed six months. These foreign currency option contracts are designated and effective as hedges of anticipated foreign currency sales transactions, and accordingly, the premium cost and any realized gains associated with these contracts are deferred and included in the consolidated balance sheet as prepaid expenses and accrued liabilities, respectively, until such time as the underlying sales transactions are recognized. Upon recognition, such premium costs and any realized gains are recorded in sales as a component of the underlying sales transactions being hedged. The contract amounts of foreign currency option contracts outstanding were $7 million and $39 million, at October 28, 2000 and October 30, 1999, respectively. Deferred gains or losses attributable to foreign currency option contracts were not material at October 28, 2000 and October 30, 1999.</w:t>
      </w:r>
    </w:p>
    <w:p>
      <w:pPr>
        <w:spacing w:after="0" w:line="33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uses currency swap agreements to hedge the value of its net investment in certain of its foreign subsidiaries. Realized and unrealized gains and losses on such agreements related to the net foreign investment being hedged are recognized in the cumulative translation adjustment component of stockholders' equity, with the related amounts due to or from counterparties included in accrued liabilities or other current assets. The contract amount of currency swap agreements outstanding, which were principally denominated in Japanese yen, was $0 at October 28, 2000, and $10 million at October 30, 1999.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seven years, involve the exchange of fixed rate payments for variable rate payments without the exchange of the underlying principal amounts. Variable rates are based on six-month U.S. dollar LIBOR and are reset on a semiannual basis. The differential between fixed and variable rates to be paid or received is accrued as interest rates change in accordance with the agreements and recognized over the life of the agreements as an adjustment to interest expense. The notional principal amounts of interest rate swap and cap agreements outstanding were approximately $10 million and $50 million at October 28, 2000 and October 30, 1999, respectively.</w:t>
      </w:r>
    </w:p>
    <w:p>
      <w:pPr>
        <w:spacing w:after="0" w:line="182"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The cash requirements of the above-described financial instruments approximate their fair value. Cash flows associated with these financial instruments are classified consistent with the cash flows from the transactions being hedged.</w:t>
      </w:r>
    </w:p>
    <w:p>
      <w:pPr>
        <w:spacing w:after="0" w:line="15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ectPr>
          <w:pgSz w:w="11900" w:h="16838" w:orient="portrait"/>
          <w:cols w:equalWidth="0" w:num="1">
            <w:col w:w="10219"/>
          </w:cols>
          <w:pgMar w:left="240" w:top="291" w:right="1440" w:bottom="1440" w:gutter="0" w:footer="0" w:header="0"/>
        </w:sectPr>
      </w:pPr>
    </w:p>
    <w:p>
      <w:pPr>
        <w:spacing w:after="0" w:line="3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type w:val="continuous"/>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448" w:hanging="448"/>
        <w:spacing w:after="0"/>
        <w:tabs>
          <w:tab w:leader="none" w:pos="4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 OF FINANCIAL INSTRUMENTS</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200" w:lineRule="exact"/>
        <w:rPr>
          <w:sz w:val="20"/>
          <w:szCs w:val="20"/>
          <w:color w:val="auto"/>
        </w:rPr>
      </w:pPr>
    </w:p>
    <w:p>
      <w:pPr>
        <w:spacing w:after="0" w:line="323" w:lineRule="exact"/>
        <w:rPr>
          <w:sz w:val="20"/>
          <w:szCs w:val="20"/>
          <w:color w:val="auto"/>
        </w:rPr>
      </w:pPr>
    </w:p>
    <w:p>
      <w:pPr>
        <w:ind w:left="5048"/>
        <w:spacing w:after="0"/>
        <w:tabs>
          <w:tab w:leader="none" w:pos="8627" w:val="left"/>
        </w:tabs>
        <w:rPr>
          <w:sz w:val="20"/>
          <w:szCs w:val="20"/>
          <w:color w:val="auto"/>
        </w:rPr>
      </w:pPr>
      <w:r>
        <w:rPr>
          <w:rFonts w:ascii="Courier New" w:cs="Courier New" w:eastAsia="Courier New" w:hAnsi="Courier New"/>
          <w:sz w:val="15"/>
          <w:szCs w:val="15"/>
          <w:color w:val="auto"/>
        </w:rPr>
        <w:t>OCTOBER 28, 2000</w:t>
      </w:r>
      <w:r>
        <w:rPr>
          <w:sz w:val="20"/>
          <w:szCs w:val="20"/>
          <w:color w:val="auto"/>
        </w:rPr>
        <w:tab/>
      </w:r>
      <w:r>
        <w:rPr>
          <w:rFonts w:ascii="Courier New" w:cs="Courier New" w:eastAsia="Courier New" w:hAnsi="Courier New"/>
          <w:sz w:val="15"/>
          <w:szCs w:val="15"/>
          <w:color w:val="auto"/>
        </w:rPr>
        <w:t>OCTOBER 30, 1999</w:t>
      </w:r>
    </w:p>
    <w:p>
      <w:pPr>
        <w:spacing w:after="0" w:line="3" w:lineRule="exact"/>
        <w:rPr>
          <w:sz w:val="20"/>
          <w:szCs w:val="20"/>
          <w:color w:val="auto"/>
        </w:rPr>
      </w:pPr>
    </w:p>
    <w:p>
      <w:pPr>
        <w:ind w:left="5048"/>
        <w:spacing w:after="0"/>
        <w:tabs>
          <w:tab w:leader="none" w:pos="86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4788"/>
        <w:spacing w:after="0"/>
        <w:tabs>
          <w:tab w:leader="none" w:pos="6207" w:val="left"/>
          <w:tab w:leader="none" w:pos="8447" w:val="left"/>
          <w:tab w:leader="none" w:pos="9987"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spacing w:after="0" w:line="3" w:lineRule="exact"/>
        <w:rPr>
          <w:sz w:val="20"/>
          <w:szCs w:val="20"/>
          <w:color w:val="auto"/>
        </w:rPr>
      </w:pPr>
    </w:p>
    <w:p>
      <w:pPr>
        <w:ind w:left="4868"/>
        <w:spacing w:after="0"/>
        <w:tabs>
          <w:tab w:leader="none" w:pos="6207" w:val="left"/>
          <w:tab w:leader="none" w:pos="8547" w:val="left"/>
          <w:tab w:leader="none" w:pos="9987"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$ 1,736,421</w:t>
            </w:r>
          </w:p>
        </w:tc>
        <w:tc>
          <w:tcPr>
            <w:tcW w:w="19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$ 1,736,421</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355,891</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355,891</w:t>
            </w: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Short-term investments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498,844</w:t>
            </w:r>
          </w:p>
        </w:tc>
        <w:tc>
          <w:tcPr>
            <w:tcW w:w="19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498,844</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406,553</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406,553</w:t>
            </w: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181,751</w:t>
            </w:r>
          </w:p>
        </w:tc>
        <w:tc>
          <w:tcPr>
            <w:tcW w:w="19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181,751</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85,999</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85,999</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Short-term borrowings</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(5,752)</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(5,752)</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(2,344)</w:t>
            </w: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Long-term debt, including current portion</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(1,200,261)</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(1,101,261)</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(79,978)</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Foreign Currency Instruments and</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Interest Rate Agreements:</w:t>
            </w: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Interest rate swap and cap agreements</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Forward foreign currency exchange contracts</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(3,555)</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(3,817)</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(7,658)</w:t>
            </w: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option contracts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19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22</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340</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w:t>
            </w:r>
          </w:p>
        </w:tc>
      </w:tr>
      <w:tr>
        <w:trPr>
          <w:trHeight w:val="173"/>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Currency swap agreements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8" w:right="3700"/>
        <w:spacing w:after="0" w:line="243"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its fair value disclosures for financial instruments:</w:t>
      </w:r>
    </w:p>
    <w:p>
      <w:pPr>
        <w:spacing w:after="0" w:line="176"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Cash, cash equivalents and short-term investments-The carrying amounts of these items are a reasonable estimate of their fair value due to the short term to maturity and readily available market for these types of investments.</w:t>
      </w:r>
    </w:p>
    <w:p>
      <w:pPr>
        <w:spacing w:after="0" w:line="175" w:lineRule="exact"/>
        <w:rPr>
          <w:sz w:val="20"/>
          <w:szCs w:val="20"/>
          <w:color w:val="auto"/>
        </w:rPr>
      </w:pPr>
    </w:p>
    <w:p>
      <w:pPr>
        <w:ind w:left="8" w:right="3700"/>
        <w:spacing w:after="0" w:line="243" w:lineRule="auto"/>
        <w:rPr>
          <w:sz w:val="20"/>
          <w:szCs w:val="20"/>
          <w:color w:val="auto"/>
        </w:rPr>
      </w:pPr>
      <w:r>
        <w:rPr>
          <w:rFonts w:ascii="Courier New" w:cs="Courier New" w:eastAsia="Courier New" w:hAnsi="Courier New"/>
          <w:sz w:val="15"/>
          <w:szCs w:val="15"/>
          <w:color w:val="auto"/>
        </w:rPr>
        <w:t>Long-term investments-The fair value of long-term investments is based on quoted market values.</w:t>
      </w:r>
    </w:p>
    <w:p>
      <w:pPr>
        <w:spacing w:after="0" w:line="176" w:lineRule="exact"/>
        <w:rPr>
          <w:sz w:val="20"/>
          <w:szCs w:val="20"/>
          <w:color w:val="auto"/>
        </w:rPr>
      </w:pPr>
    </w:p>
    <w:p>
      <w:pPr>
        <w:ind w:left="8" w:right="4060"/>
        <w:spacing w:after="0" w:line="278" w:lineRule="auto"/>
        <w:rPr>
          <w:sz w:val="20"/>
          <w:szCs w:val="20"/>
          <w:color w:val="auto"/>
        </w:rPr>
      </w:pPr>
      <w:r>
        <w:rPr>
          <w:rFonts w:ascii="Courier New" w:cs="Courier New" w:eastAsia="Courier New" w:hAnsi="Courier New"/>
          <w:sz w:val="14"/>
          <w:szCs w:val="14"/>
          <w:color w:val="auto"/>
        </w:rPr>
        <w:t>Short-term borrowings-The carrying amounts of these variable-rate borrowings approximate fair value due to the short period of time to maturity.</w:t>
      </w:r>
    </w:p>
    <w:p>
      <w:pPr>
        <w:spacing w:after="0" w:line="153"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Long-term debt-The fair value of long-term debt is estimated based on current interest rates available to the Company for debt instruments with similar terms, degrees of risk and remaining maturities.</w:t>
      </w:r>
    </w:p>
    <w:p>
      <w:pPr>
        <w:spacing w:after="0" w:line="175" w:lineRule="exact"/>
        <w:rPr>
          <w:sz w:val="20"/>
          <w:szCs w:val="20"/>
          <w:color w:val="auto"/>
        </w:rPr>
      </w:pPr>
    </w:p>
    <w:p>
      <w:pPr>
        <w:ind w:left="8" w:right="3880"/>
        <w:spacing w:after="0" w:line="244" w:lineRule="auto"/>
        <w:rPr>
          <w:sz w:val="20"/>
          <w:szCs w:val="20"/>
          <w:color w:val="auto"/>
        </w:rPr>
      </w:pPr>
      <w:r>
        <w:rPr>
          <w:rFonts w:ascii="Courier New" w:cs="Courier New" w:eastAsia="Courier New" w:hAnsi="Courier New"/>
          <w:sz w:val="15"/>
          <w:szCs w:val="15"/>
          <w:color w:val="auto"/>
        </w:rPr>
        <w:t>Interest rate swap and cap agreements-The fair value of interest rate swap and cap agreements is obtained from dealer quotes. These values represent the estimated amount the Company would receive or pay to terminate the agreements taking into consideration current interest rates.</w:t>
      </w:r>
    </w:p>
    <w:p>
      <w:pPr>
        <w:spacing w:after="0" w:line="176"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Forward foreign currency exchange contracts-The estimated fair value of forward foreign currency exchange contracts is based on the estimated amount at which they could be settled based on forward market exchange rates.</w:t>
      </w:r>
    </w:p>
    <w:p>
      <w:pPr>
        <w:spacing w:after="0" w:line="175"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Foreign currency option contracts and currency swap agreements-The fair values of foreign currency option contracts and currency swap agreements are obtained from dealer quotes. These values represent the estimated net amount the Company would receive or pay to terminate the agreements.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908"/>
          </w:cols>
          <w:pgMar w:left="232" w:top="291" w:right="759" w:bottom="1440" w:gutter="0" w:footer="0" w:header="0"/>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448" w:hanging="448"/>
        <w:spacing w:after="0"/>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contingencies at the date of the financial statements and the reported amounts of revenues and expenses during the reporting period. Such estimates relate to the useful lives of fixed assets, allowances for doubtful accounts and customer returns, inventory reserves, potential reserves relating to litigation matters, accrued liabilities and other reserves. Actual results could differ from those estimates, and such differences may be material to the financial statements.</w:t>
      </w:r>
    </w:p>
    <w:p>
      <w:pPr>
        <w:spacing w:after="0" w:line="178" w:lineRule="exact"/>
        <w:rPr>
          <w:sz w:val="20"/>
          <w:szCs w:val="20"/>
          <w:color w:val="auto"/>
        </w:rPr>
      </w:pPr>
    </w:p>
    <w:p>
      <w:pPr>
        <w:ind w:left="448" w:hanging="448"/>
        <w:spacing w:after="0"/>
        <w:tabs>
          <w:tab w:leader="none" w:pos="4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concentrations of credit risk consist principally of investments and trade accounts receivable.</w:t>
      </w:r>
    </w:p>
    <w:p>
      <w:pPr>
        <w:spacing w:after="0" w:line="176" w:lineRule="exact"/>
        <w:rPr>
          <w:sz w:val="20"/>
          <w:szCs w:val="20"/>
          <w:color w:val="auto"/>
        </w:rPr>
      </w:pPr>
    </w:p>
    <w:p>
      <w:pPr>
        <w:jc w:val="both"/>
        <w:ind w:left="8" w:right="3379"/>
        <w:spacing w:after="0" w:line="244" w:lineRule="auto"/>
        <w:rPr>
          <w:sz w:val="20"/>
          <w:szCs w:val="20"/>
          <w:color w:val="auto"/>
        </w:rPr>
      </w:pPr>
      <w:r>
        <w:rPr>
          <w:rFonts w:ascii="Courier New" w:cs="Courier New" w:eastAsia="Courier New" w:hAnsi="Courier New"/>
          <w:sz w:val="15"/>
          <w:szCs w:val="15"/>
          <w:color w:val="auto"/>
        </w:rPr>
        <w:t>The Company maintains cash, cash equivalents and short-term investments with high credit quality financial institutions and monitors the amount of credit exposure to any one financial institution.</w:t>
      </w:r>
    </w:p>
    <w:p>
      <w:pPr>
        <w:spacing w:after="0" w:line="175"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Company sells its products to distributors and original equipment manufacturers involved in a variety of industries including industrial automation, instrumentation, military/aerospace and, to an increasing degree, communications, computers and peripherals, and high-performance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that may not be collected.</w:t>
      </w:r>
    </w:p>
    <w:p>
      <w:pPr>
        <w:spacing w:after="0" w:line="179" w:lineRule="exact"/>
        <w:rPr>
          <w:sz w:val="20"/>
          <w:szCs w:val="20"/>
          <w:color w:val="auto"/>
        </w:rPr>
      </w:pPr>
    </w:p>
    <w:p>
      <w:pPr>
        <w:ind w:left="448" w:hanging="448"/>
        <w:spacing w:after="0"/>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OTHER RISKS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As a result, the Company may experience significant period-to-period fluctuations in future operating results due to the factors mentioned above or other factors.</w:t>
      </w:r>
    </w:p>
    <w:p>
      <w:pPr>
        <w:spacing w:after="0" w:line="181" w:lineRule="exact"/>
        <w:rPr>
          <w:sz w:val="20"/>
          <w:szCs w:val="20"/>
          <w:color w:val="auto"/>
        </w:rPr>
      </w:pPr>
    </w:p>
    <w:p>
      <w:pPr>
        <w:ind w:left="448" w:hanging="448"/>
        <w:spacing w:after="0"/>
        <w:tabs>
          <w:tab w:leader="none" w:pos="4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Revenue from product sales to end users is recognized upon shipment. As further explained in Note 5, commencing in 1998, revenue on shipments to all distributors is deferred until products are resold by the distributors to end users. Prior to 1998, revenue on most shipments to domestic distributors was deferred until resale to end users because arrangements with these distributors included returns and price concessions that could not be reasonably estimated. Revenue on all shipments to international distributors and certain shipments to domestic distributors were recognized upon shipment to the distributor, with appropriate provision of reserves for returns and allowances.</w:t>
      </w:r>
    </w:p>
    <w:p>
      <w:pPr>
        <w:spacing w:after="0" w:line="178" w:lineRule="exact"/>
        <w:rPr>
          <w:sz w:val="20"/>
          <w:szCs w:val="20"/>
          <w:color w:val="auto"/>
        </w:rPr>
      </w:pPr>
    </w:p>
    <w:p>
      <w:pPr>
        <w:ind w:left="448" w:hanging="448"/>
        <w:spacing w:after="0"/>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8" w:lineRule="exact"/>
        <w:rPr>
          <w:sz w:val="20"/>
          <w:szCs w:val="20"/>
          <w:color w:val="auto"/>
        </w:rPr>
      </w:pPr>
    </w:p>
    <w:p>
      <w:pPr>
        <w:ind w:left="8" w:right="3019"/>
        <w:spacing w:after="0" w:line="267" w:lineRule="auto"/>
        <w:rPr>
          <w:sz w:val="20"/>
          <w:szCs w:val="20"/>
          <w:color w:val="auto"/>
        </w:rPr>
      </w:pPr>
      <w:r>
        <w:rPr>
          <w:rFonts w:ascii="Courier New" w:cs="Courier New" w:eastAsia="Courier New" w:hAnsi="Courier New"/>
          <w:sz w:val="14"/>
          <w:szCs w:val="14"/>
          <w:color w:val="auto"/>
        </w:rPr>
        <w:t>Components of comprehensive income include net income and certain transactions that have generally been reported in the consolidated statement of shareholders' equity. Other comprehensive income is comprised of net income, currency translation adjustments and available-for-sale securities valuation adjustments.</w:t>
      </w: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91" w:right="1440" w:bottom="1440" w:gutter="0" w:footer="0" w:header="0"/>
        </w:sectPr>
      </w:pPr>
    </w:p>
    <w:bookmarkStart w:id="46" w:name="page47"/>
    <w:bookmarkEnd w:id="46"/>
    <w:p>
      <w:pPr>
        <w:ind w:left="268"/>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jc w:val="center"/>
        <w:ind w:right="315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15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448" w:hanging="448"/>
        <w:spacing w:after="0"/>
        <w:tabs>
          <w:tab w:leader="none" w:pos="4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160"/>
        <w:spacing w:after="0" w:line="244" w:lineRule="auto"/>
        <w:rPr>
          <w:sz w:val="20"/>
          <w:szCs w:val="20"/>
          <w:color w:val="auto"/>
        </w:rPr>
      </w:pPr>
      <w:r>
        <w:rPr>
          <w:rFonts w:ascii="Courier New" w:cs="Courier New" w:eastAsia="Courier New" w:hAnsi="Courier New"/>
          <w:sz w:val="15"/>
          <w:szCs w:val="15"/>
          <w:color w:val="auto"/>
        </w:rPr>
        <w:t>Deferred tax assets and liabilities are determined based on the differences between financial reporting and tax bases of assets and liabilities and are measured using the enacted income tax rates and laws that will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177" w:lineRule="exact"/>
        <w:rPr>
          <w:sz w:val="20"/>
          <w:szCs w:val="20"/>
          <w:color w:val="auto"/>
        </w:rPr>
      </w:pPr>
    </w:p>
    <w:p>
      <w:pPr>
        <w:ind w:left="448" w:hanging="448"/>
        <w:spacing w:after="0"/>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OF COMMON STOCK</w:t>
      </w:r>
    </w:p>
    <w:p>
      <w:pPr>
        <w:spacing w:after="0" w:line="178" w:lineRule="exact"/>
        <w:rPr>
          <w:sz w:val="20"/>
          <w:szCs w:val="20"/>
          <w:color w:val="auto"/>
        </w:rPr>
      </w:pPr>
    </w:p>
    <w:p>
      <w:pPr>
        <w:ind w:left="8" w:right="3240"/>
        <w:spacing w:after="0" w:line="244" w:lineRule="auto"/>
        <w:rPr>
          <w:sz w:val="20"/>
          <w:szCs w:val="20"/>
          <w:color w:val="auto"/>
        </w:rPr>
      </w:pPr>
      <w:r>
        <w:rPr>
          <w:rFonts w:ascii="Courier New" w:cs="Courier New" w:eastAsia="Courier New" w:hAnsi="Courier New"/>
          <w:sz w:val="15"/>
          <w:szCs w:val="15"/>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convertible debt financing. In calculating diluted earnings per share, the dilutive effect of stock options is computed using the average market price for the period. Shares related to convertible debt financing are excluded from the fiscal 2000 earnings per share calculation because the effect would be anti-dilutive. The following table sets forth the computation of basic and diluted earnings per share:</w:t>
      </w:r>
    </w:p>
    <w:p>
      <w:pPr>
        <w:spacing w:after="0" w:line="200" w:lineRule="exact"/>
        <w:rPr>
          <w:sz w:val="20"/>
          <w:szCs w:val="20"/>
          <w:color w:val="auto"/>
        </w:rPr>
      </w:pPr>
    </w:p>
    <w:p>
      <w:pPr>
        <w:spacing w:after="0" w:line="326" w:lineRule="exact"/>
        <w:rPr>
          <w:sz w:val="20"/>
          <w:szCs w:val="20"/>
          <w:color w:val="auto"/>
        </w:rPr>
      </w:pPr>
    </w:p>
    <w:p>
      <w:pPr>
        <w:ind w:left="6948"/>
        <w:spacing w:after="0"/>
        <w:tabs>
          <w:tab w:leader="none" w:pos="8367" w:val="left"/>
          <w:tab w:leader="none" w:pos="980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w:t>
            </w: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$ 607,132</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$ 196,819</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$ 119,488</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(37,080)</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$ 607,132</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$ 196,819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82,408</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Weighted shares outstanding</w:t>
            </w:r>
          </w:p>
        </w:tc>
        <w:tc>
          <w:tcPr>
            <w:tcW w:w="500" w:type="dxa"/>
            <w:vAlign w:val="bottom"/>
          </w:tcPr>
          <w:p>
            <w:pPr>
              <w:spacing w:after="0"/>
              <w:rPr>
                <w:sz w:val="24"/>
                <w:szCs w:val="2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353,363</w:t>
            </w:r>
          </w:p>
        </w:tc>
        <w:tc>
          <w:tcPr>
            <w:tcW w:w="440" w:type="dxa"/>
            <w:vAlign w:val="bottom"/>
          </w:tcPr>
          <w:p>
            <w:pPr>
              <w:spacing w:after="0"/>
              <w:rPr>
                <w:sz w:val="24"/>
                <w:szCs w:val="24"/>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336,482</w:t>
            </w:r>
          </w:p>
        </w:tc>
        <w:tc>
          <w:tcPr>
            <w:tcW w:w="44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323,148</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Earnings per share: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0.37</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0.26</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w:t>
            </w: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$ 607,132</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$ 196,819</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$ 119,488</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Interest related to convertible subordinated notes, net of tax</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1,906</w:t>
            </w:r>
          </w:p>
        </w:tc>
        <w:tc>
          <w:tcPr>
            <w:tcW w:w="44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5,686</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Income before cumulative effect of change in accounting</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principle including the effect of dilutive securities</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607,132</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198,725</w:t>
            </w:r>
          </w:p>
        </w:tc>
        <w:tc>
          <w:tcPr>
            <w:tcW w:w="44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125,174</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(37,080)</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$ 607,132</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$ 198,725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88,094</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Weighted shares outstanding</w:t>
            </w:r>
          </w:p>
        </w:tc>
        <w:tc>
          <w:tcPr>
            <w:tcW w:w="500" w:type="dxa"/>
            <w:vAlign w:val="bottom"/>
          </w:tcPr>
          <w:p>
            <w:pPr>
              <w:spacing w:after="0"/>
              <w:rPr>
                <w:sz w:val="24"/>
                <w:szCs w:val="2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353,363</w:t>
            </w:r>
          </w:p>
        </w:tc>
        <w:tc>
          <w:tcPr>
            <w:tcW w:w="440" w:type="dxa"/>
            <w:vAlign w:val="bottom"/>
          </w:tcPr>
          <w:p>
            <w:pPr>
              <w:spacing w:after="0"/>
              <w:rPr>
                <w:sz w:val="24"/>
                <w:szCs w:val="24"/>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336,482</w:t>
            </w:r>
          </w:p>
        </w:tc>
        <w:tc>
          <w:tcPr>
            <w:tcW w:w="44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323,148</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Assumed exercise of common stock equivalents</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27,794</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18,822</w:t>
            </w:r>
          </w:p>
        </w:tc>
        <w:tc>
          <w:tcPr>
            <w:tcW w:w="44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10,634</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Assumed conversion of subordinated notes</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7,600</w:t>
            </w:r>
          </w:p>
        </w:tc>
        <w:tc>
          <w:tcPr>
            <w:tcW w:w="44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21,968</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common and common equivalent shares</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381,157</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362,904</w:t>
            </w:r>
          </w:p>
        </w:tc>
        <w:tc>
          <w:tcPr>
            <w:tcW w:w="44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355,750</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Earnings per share: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0.36</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5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0.25</w:t>
            </w:r>
          </w:p>
        </w:tc>
      </w:tr>
      <w:tr>
        <w:trPr>
          <w:trHeight w:val="173"/>
        </w:trPr>
        <w:tc>
          <w:tcPr>
            <w:tcW w:w="616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368"/>
          </w:cols>
          <w:pgMar w:left="232" w:top="291" w:right="1299" w:bottom="1440" w:gutter="0" w:footer="0" w:header="0"/>
        </w:sectPr>
      </w:pP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368"/>
          </w:cols>
          <w:pgMar w:left="232" w:top="291" w:right="1299" w:bottom="1440" w:gutter="0" w:footer="0" w:header="0"/>
          <w:type w:val="continuous"/>
        </w:sectPr>
      </w:pPr>
    </w:p>
    <w:bookmarkStart w:id="47" w:name="page48"/>
    <w:bookmarkEnd w:id="47"/>
    <w:p>
      <w:pPr>
        <w:ind w:left="268"/>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448" w:hanging="448"/>
        <w:spacing w:after="0"/>
        <w:tabs>
          <w:tab w:leader="none" w:pos="4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grants stock options for a fixed number of shares to employees with an exercise price equal to the fair value of the shares at the date of grant. The Company accounts for stock option grants in accordance with APB Opinion No. 25, "Accounting for Stock Issued to Employees" and accordingly, recognizes no compensation expense for the stock option grants. The Company also grants restricted stock for a fixed number of shares to employees for nominal consideration. Compensation expense related to restricted stock awards is recorded ratably over the restriction peiod.</w:t>
      </w:r>
    </w:p>
    <w:p>
      <w:pPr>
        <w:spacing w:after="0" w:line="178" w:lineRule="exact"/>
        <w:rPr>
          <w:sz w:val="20"/>
          <w:szCs w:val="20"/>
          <w:color w:val="auto"/>
        </w:rPr>
      </w:pPr>
    </w:p>
    <w:p>
      <w:pPr>
        <w:ind w:left="448" w:hanging="448"/>
        <w:spacing w:after="0"/>
        <w:tabs>
          <w:tab w:leader="none" w:pos="4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(FAS 133), "Accounting for Derivative Instruments and Hedging Activities." This statement provides a comprehensive and consistent standard for the recognition and measurement of derivatives and hedging activities. In July 1999, the Financial Accounting Standards Board issued Statement of Financial Accounting Standards No. 137, which deferred the effective date of FAS 133 for one year. In June 2000, the Financial Accounting Standards Board issued Statement of Financial Accounting Standards No. 138, (FAS 138), "Accounting for Certain Derivative Instruments and Certain Hedging Activities-an amendment to FASB Statement No 133." This statement amended certain provisions of FAS 133. Accordingly, we will adopt FAS 133, as amended by FAS 138, effective the first quarter of fiscal 2001. FAS 133 requires that an entity recognize all derivatives as either assets or liabilities and measure such instruments at fair market value. Under certain circumstances, a portion of the derivative's gain or loss is initially reported as a component of comprehensive income until the hedged transaction affects earnings. For a derivative not designated as a hedging instrument, the gain or loss is recognized in income in the period of change. The provisions of FAS 133 allow for greater flexibility in the choice of derivative instruments. As a result, upon adoption, the Company will no longer use foreign currency option contracts to hedge anticipated foreign currency sales transactions. Based upon the derivative positions at October 28, 2000, the Company estimates that upon adoption it will record a reduction of approximately $5 million in other comprehensive income as the cumulative effect of an accounting change.</w:t>
      </w:r>
    </w:p>
    <w:p>
      <w:pPr>
        <w:spacing w:after="0" w:line="189"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101, (SAB 101), "Revenue Recognition in Financial Statements." SAB 101 summarizes the application of generally accepted accounting principles to revenue recognition in financial statements. The Company will adopt SAB 101 in the fourth quarter of fiscal 2001 and does not expect SAB 101 to have a material effect on its financial position or results of operations.</w:t>
      </w:r>
    </w:p>
    <w:p>
      <w:pPr>
        <w:spacing w:after="0" w:line="162" w:lineRule="exact"/>
        <w:rPr>
          <w:sz w:val="20"/>
          <w:szCs w:val="20"/>
          <w:color w:val="auto"/>
        </w:rPr>
      </w:pPr>
    </w:p>
    <w:p>
      <w:pPr>
        <w:ind w:left="448" w:hanging="448"/>
        <w:spacing w:after="0"/>
        <w:tabs>
          <w:tab w:leader="none" w:pos="4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On February 15, 2000, the Company's Board of Directors approved a 2-for-1 split of the Company's common stock, effected as a 100% stock dividend on March 15, 2000 by the distribution of one share of common stock for every share held on the record date of February 28, 2000. In connection with the stock split the number of common stock purchase rights that are associated with each share of common stock was reduced from one to one-half. All historical per share amounts in this report have been restated to reflect the split.</w:t>
      </w:r>
    </w:p>
    <w:p>
      <w:pPr>
        <w:spacing w:after="0" w:line="177" w:lineRule="exact"/>
        <w:rPr>
          <w:sz w:val="20"/>
          <w:szCs w:val="20"/>
          <w:color w:val="auto"/>
        </w:rPr>
      </w:pPr>
    </w:p>
    <w:p>
      <w:pPr>
        <w:ind w:left="448" w:hanging="448"/>
        <w:spacing w:after="0"/>
        <w:tabs>
          <w:tab w:leader="none" w:pos="4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DISPOSITIONS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During the third quarter of fiscal 2000, the Company acquired BCO Technologies plc (BCO), a company with operations in Belfast, Northern Ireland, in a cash-for-stock transaction valued at approximately $163 million. The acquisition was accounted for as a purchase, and the excess of the purchase price over the fair value of the assets acquired was allocated to workforce in place and goodwill, which are being amortized on the straight-line basis over five years. In connection with the acquisition, the Company recorded approximately $158 million of goodwill. There was no in-process research and development write-off related to this acquisition.</w:t>
      </w:r>
    </w:p>
    <w:p>
      <w:pPr>
        <w:spacing w:after="0" w:line="179"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During the second quarter of fiscal 1999, the Company acquired two DSP tools companies, White Mountain DSP, Inc. (WM) of Nashua, New Hampshire, and Edinburgh Portable Compilers Limited (EPC), of Edinburgh, Scotland. The total cost of these acquisitions was approximately $21 million in cash and $2 million in common stock of the Company, with additional cash consideration of up to a maximum of $10 million (to be accounted for as additional goodwill) payable if the acquired companies achieve certain revenue and operational objectives. Approximately $7 million of the contingent</w:t>
      </w:r>
    </w:p>
    <w:p>
      <w:pPr>
        <w:sectPr>
          <w:pgSz w:w="11900" w:h="16838" w:orient="portrait"/>
          <w:cols w:equalWidth="0" w:num="1">
            <w:col w:w="10227"/>
          </w:cols>
          <w:pgMar w:left="232" w:top="291" w:right="1440" w:bottom="1440" w:gutter="0" w:footer="0" w:header="0"/>
        </w:sectPr>
      </w:pP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91" w:right="1440" w:bottom="1440" w:gutter="0" w:footer="0" w:header="0"/>
          <w:type w:val="continuous"/>
        </w:sectPr>
      </w:pPr>
    </w:p>
    <w:bookmarkStart w:id="48" w:name="page49"/>
    <w:bookmarkEnd w:id="48"/>
    <w:p>
      <w:pPr>
        <w:ind w:left="268"/>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consideration has been paid. These acquisitions were accounted for as purchases, and the excess of the purchase price over the fair value of the assets acquired was allocated to existing technology, workforce in place, trade names and goodwill, which are being amortized on the straight-line basis over periods ranging from six to ten years. In connection with these acquisitions, the Company recorded a charge of $5.1 million representing the write-off of in-process research and development.</w:t>
      </w:r>
    </w:p>
    <w:p>
      <w:pPr>
        <w:spacing w:after="0" w:line="178" w:lineRule="exact"/>
        <w:rPr>
          <w:sz w:val="20"/>
          <w:szCs w:val="20"/>
          <w:color w:val="auto"/>
        </w:rPr>
      </w:pPr>
    </w:p>
    <w:p>
      <w:pPr>
        <w:ind w:left="8" w:right="3880"/>
        <w:spacing w:after="0" w:line="244" w:lineRule="auto"/>
        <w:rPr>
          <w:sz w:val="20"/>
          <w:szCs w:val="20"/>
          <w:color w:val="auto"/>
        </w:rPr>
      </w:pPr>
      <w:r>
        <w:rPr>
          <w:rFonts w:ascii="Courier New" w:cs="Courier New" w:eastAsia="Courier New" w:hAnsi="Courier New"/>
          <w:sz w:val="15"/>
          <w:szCs w:val="15"/>
          <w:color w:val="auto"/>
        </w:rPr>
        <w:t>Pro forma results of operations for BCO, WM and EPC have not been provided herein as they were not material to the Company on either an individual or an aggregate basis. The results of operations of each acquisition are included in the Company's consolidated statement of income from the date of each acquisition.</w:t>
      </w:r>
    </w:p>
    <w:p>
      <w:pPr>
        <w:spacing w:after="0" w:line="177"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During fiscal 1998, the Company completed the sale of its disk drive IC business to Adaptec, Inc. The Company received approximately $27 million in cash for the disk drive product line and, after providing for the write-off of inventory, fixed assets and other costs incurred to complete the transaction, recorded a net gain of approximately $13 million. The Company also entered into other arrangements with Adaptec that provided for payments to the Company aggregating $13 million, of which $3 million was earned in fiscal 1999 and $10 million was earned in fiscal 1998, for assisting Adaptec in research and development efforts.</w:t>
      </w:r>
    </w:p>
    <w:p>
      <w:pPr>
        <w:spacing w:after="0" w:line="178" w:lineRule="exact"/>
        <w:rPr>
          <w:sz w:val="20"/>
          <w:szCs w:val="20"/>
          <w:color w:val="auto"/>
        </w:rPr>
      </w:pPr>
    </w:p>
    <w:p>
      <w:pPr>
        <w:ind w:left="368" w:hanging="368"/>
        <w:spacing w:after="0"/>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AND GEOGRAPHIC SEGMENT INFORMATION</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Company operates in two segments: the design, manufacture and marketing of a broad range of integrated circuits, which comprises approximately 98% of the Company's revenue, and the design, manufacture and marketing of a range of assembled products, which accounts for the remaining 2% of the Company's revenue. Effectively, the Company operates in one reportable segment.</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GEOGRAPHIC INFORMATION</w:t>
      </w:r>
    </w:p>
    <w:p>
      <w:pPr>
        <w:spacing w:after="0" w:line="178" w:lineRule="exact"/>
        <w:rPr>
          <w:sz w:val="20"/>
          <w:szCs w:val="20"/>
          <w:color w:val="auto"/>
        </w:rPr>
      </w:pPr>
    </w:p>
    <w:p>
      <w:pPr>
        <w:ind w:left="8" w:right="3700"/>
        <w:spacing w:after="0" w:line="265" w:lineRule="auto"/>
        <w:rPr>
          <w:sz w:val="20"/>
          <w:szCs w:val="20"/>
          <w:color w:val="auto"/>
        </w:rPr>
      </w:pPr>
      <w:r>
        <w:rPr>
          <w:rFonts w:ascii="Courier New" w:cs="Courier New" w:eastAsia="Courier New" w:hAnsi="Courier New"/>
          <w:sz w:val="14"/>
          <w:szCs w:val="14"/>
          <w:color w:val="auto"/>
        </w:rPr>
        <w:t>The Company operates in three major geographic areas. The following geographic area data include trade sales based upon point of sale and long-lived assets based upon physical location. The predominant countries comprising European operations are England, France, Germany and Ireland. The predominant country comprising Asian operations is Japan. For segment reporting purposes, sales generated by North American operations include export sales of $570.2 million in fiscal 2000, $262.4 million in fiscal 1999 and $128.2 million in fiscal 1998.</w:t>
      </w:r>
    </w:p>
    <w:p>
      <w:pPr>
        <w:spacing w:after="0" w:line="200" w:lineRule="exact"/>
        <w:rPr>
          <w:sz w:val="20"/>
          <w:szCs w:val="20"/>
          <w:color w:val="auto"/>
        </w:rPr>
      </w:pPr>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GEOGRAPHIC SEGMENT INFORMATION</w:t>
            </w:r>
          </w:p>
        </w:tc>
        <w:tc>
          <w:tcPr>
            <w:tcW w:w="3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North America, including export.............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$ 1,722,056</w:t>
            </w:r>
          </w:p>
        </w:tc>
        <w:tc>
          <w:tcPr>
            <w:tcW w:w="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929,971</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748,283</w:t>
            </w:r>
          </w:p>
        </w:tc>
      </w:tr>
      <w:tr>
        <w:trPr>
          <w:trHeight w:val="173"/>
        </w:trPr>
        <w:tc>
          <w:tcPr>
            <w:tcW w:w="1260" w:type="dxa"/>
            <w:vAlign w:val="bottom"/>
          </w:tcPr>
          <w:p>
            <w:pPr>
              <w:spacing w:after="0"/>
              <w:rPr>
                <w:sz w:val="15"/>
                <w:szCs w:val="15"/>
                <w:color w:val="auto"/>
              </w:rPr>
            </w:pP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Europe......................................</w:t>
            </w:r>
          </w:p>
        </w:tc>
        <w:tc>
          <w:tcPr>
            <w:tcW w:w="6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504,669</w:t>
            </w:r>
          </w:p>
        </w:tc>
        <w:tc>
          <w:tcPr>
            <w:tcW w:w="6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313,598</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312,523</w:t>
            </w:r>
          </w:p>
        </w:tc>
      </w:tr>
      <w:tr>
        <w:trPr>
          <w:trHeight w:val="173"/>
        </w:trPr>
        <w:tc>
          <w:tcPr>
            <w:tcW w:w="1260" w:type="dxa"/>
            <w:vAlign w:val="bottom"/>
          </w:tcPr>
          <w:p>
            <w:pPr>
              <w:spacing w:after="0"/>
              <w:rPr>
                <w:sz w:val="15"/>
                <w:szCs w:val="15"/>
                <w:color w:val="auto"/>
              </w:rPr>
            </w:pP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Asia........................................</w:t>
            </w:r>
          </w:p>
        </w:tc>
        <w:tc>
          <w:tcPr>
            <w:tcW w:w="6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350,822</w:t>
            </w:r>
          </w:p>
        </w:tc>
        <w:tc>
          <w:tcPr>
            <w:tcW w:w="6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206,810</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169,765</w:t>
            </w:r>
          </w:p>
        </w:tc>
      </w:tr>
      <w:tr>
        <w:trPr>
          <w:trHeight w:val="173"/>
        </w:trPr>
        <w:tc>
          <w:tcPr>
            <w:tcW w:w="12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Total sales...............................</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$ 2,577,547</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$ 1,450,379</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$ 1,230,571</w:t>
            </w:r>
          </w:p>
        </w:tc>
      </w:tr>
      <w:tr>
        <w:trPr>
          <w:trHeight w:val="173"/>
        </w:trPr>
        <w:tc>
          <w:tcPr>
            <w:tcW w:w="12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LONG-LIVED</w:t>
            </w: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North America...............................</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466,612</w:t>
            </w:r>
          </w:p>
        </w:tc>
        <w:tc>
          <w:tcPr>
            <w:tcW w:w="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417,854</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448,384</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Europe......................................</w:t>
            </w:r>
          </w:p>
        </w:tc>
        <w:tc>
          <w:tcPr>
            <w:tcW w:w="6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388,439</w:t>
            </w:r>
          </w:p>
        </w:tc>
        <w:tc>
          <w:tcPr>
            <w:tcW w:w="6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178,361</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187,921</w:t>
            </w:r>
          </w:p>
        </w:tc>
      </w:tr>
      <w:tr>
        <w:trPr>
          <w:trHeight w:val="173"/>
        </w:trPr>
        <w:tc>
          <w:tcPr>
            <w:tcW w:w="1260" w:type="dxa"/>
            <w:vAlign w:val="bottom"/>
          </w:tcPr>
          <w:p>
            <w:pPr>
              <w:spacing w:after="0"/>
              <w:rPr>
                <w:sz w:val="15"/>
                <w:szCs w:val="15"/>
                <w:color w:val="auto"/>
              </w:rPr>
            </w:pP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Asia........................................</w:t>
            </w:r>
          </w:p>
        </w:tc>
        <w:tc>
          <w:tcPr>
            <w:tcW w:w="6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116,873</w:t>
            </w:r>
          </w:p>
        </w:tc>
        <w:tc>
          <w:tcPr>
            <w:tcW w:w="6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77,154</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82,941</w:t>
            </w:r>
          </w:p>
        </w:tc>
      </w:tr>
      <w:tr>
        <w:trPr>
          <w:trHeight w:val="173"/>
        </w:trPr>
        <w:tc>
          <w:tcPr>
            <w:tcW w:w="12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4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Total long-lived assets...................</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971,924</w:t>
            </w:r>
          </w:p>
        </w:tc>
        <w:tc>
          <w:tcPr>
            <w:tcW w:w="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673,369</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719,246</w:t>
            </w:r>
          </w:p>
        </w:tc>
      </w:tr>
      <w:tr>
        <w:trPr>
          <w:trHeight w:val="173"/>
        </w:trPr>
        <w:tc>
          <w:tcPr>
            <w:tcW w:w="12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ind w:left="448" w:hanging="448"/>
        <w:spacing w:after="0"/>
        <w:tabs>
          <w:tab w:leader="none" w:pos="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 - RECOGNITION OF REVENUE ON CERTAIN SALES TO DISTRIBUTORS</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While the Company has historically deferred revenue on most shipments made to domestic distributors until the products were resold by the distributors to end users, it recognized revenue on shipments to international distributors and certain shipments to domestic distributors upon shipment to the distributors, net of appropriate reserves for returns and allowances. As a result of this accounting change, revenue recognition on shipments to distributors worldwide is deferred until the products are resold to the end users. The</w:t>
      </w:r>
    </w:p>
    <w:p>
      <w:pPr>
        <w:sectPr>
          <w:pgSz w:w="11900" w:h="16838" w:orient="portrait"/>
          <w:cols w:equalWidth="0" w:num="1">
            <w:col w:w="10908"/>
          </w:cols>
          <w:pgMar w:left="232" w:top="291" w:right="759" w:bottom="1440" w:gutter="0" w:footer="0" w:header="0"/>
        </w:sectPr>
      </w:pP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908"/>
          </w:cols>
          <w:pgMar w:left="232" w:top="291" w:right="759" w:bottom="1440" w:gutter="0" w:footer="0" w:header="0"/>
          <w:type w:val="continuous"/>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Company believes that deferral of revenue and related gross margin on shipments to distributors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1998 of the change in accounting principle was a charge of approximately $37 million (net of $20 million of income taxes) or $0.11 per diluted share. The estimated pro forma effect of the accounting change on the prior years' results is as follows:</w:t>
      </w:r>
    </w:p>
    <w:p>
      <w:pPr>
        <w:spacing w:after="0" w:line="200" w:lineRule="exact"/>
        <w:rPr>
          <w:sz w:val="20"/>
          <w:szCs w:val="20"/>
          <w:color w:val="auto"/>
        </w:rPr>
      </w:pPr>
    </w:p>
    <w:p>
      <w:pPr>
        <w:spacing w:after="0" w:line="326" w:lineRule="exact"/>
        <w:rPr>
          <w:sz w:val="20"/>
          <w:szCs w:val="20"/>
          <w:color w:val="auto"/>
        </w:rPr>
      </w:pPr>
    </w:p>
    <w:p>
      <w:pPr>
        <w:ind w:left="6588"/>
        <w:spacing w:after="0"/>
        <w:rPr>
          <w:sz w:val="20"/>
          <w:szCs w:val="20"/>
          <w:color w:val="auto"/>
        </w:rPr>
      </w:pPr>
      <w:r>
        <w:rPr>
          <w:rFonts w:ascii="Courier New" w:cs="Courier New" w:eastAsia="Courier New" w:hAnsi="Courier New"/>
          <w:sz w:val="15"/>
          <w:szCs w:val="15"/>
          <w:color w:val="auto"/>
        </w:rPr>
        <w:t>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1800" w:type="dxa"/>
            <w:vAlign w:val="bottom"/>
          </w:tcPr>
          <w:p>
            <w:pPr>
              <w:spacing w:after="0"/>
              <w:rPr>
                <w:sz w:val="14"/>
                <w:szCs w:val="14"/>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Net sales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$1,230,571</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$82,408</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Basic earnings per share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Diluted earnings per share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amounts with the change in accounting</w:t>
            </w:r>
          </w:p>
        </w:tc>
        <w:tc>
          <w:tcPr>
            <w:tcW w:w="1800" w:type="dxa"/>
            <w:vAlign w:val="bottom"/>
          </w:tcPr>
          <w:p>
            <w:pPr>
              <w:spacing w:after="0"/>
              <w:rPr>
                <w:sz w:val="15"/>
                <w:szCs w:val="15"/>
                <w:color w:val="auto"/>
              </w:rPr>
            </w:pP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principle related to revenue recognition</w:t>
            </w:r>
          </w:p>
        </w:tc>
        <w:tc>
          <w:tcPr>
            <w:tcW w:w="1800" w:type="dxa"/>
            <w:vAlign w:val="bottom"/>
          </w:tcPr>
          <w:p>
            <w:pPr>
              <w:spacing w:after="0"/>
              <w:rPr>
                <w:sz w:val="15"/>
                <w:szCs w:val="15"/>
                <w:color w:val="auto"/>
              </w:rPr>
            </w:pP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applied retroactively: (unaudited)</w:t>
            </w:r>
          </w:p>
        </w:tc>
        <w:tc>
          <w:tcPr>
            <w:tcW w:w="1800" w:type="dxa"/>
            <w:vAlign w:val="bottom"/>
          </w:tcPr>
          <w:p>
            <w:pPr>
              <w:spacing w:after="0"/>
              <w:rPr>
                <w:sz w:val="15"/>
                <w:szCs w:val="15"/>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Net sales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$1,230,571</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$119,488</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Basic earnings per share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Diluted earnings per share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ind w:left="448" w:hanging="448"/>
        <w:spacing w:after="0"/>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Company recorded a restructuring charge of $17 million during the third quarter of fiscal 1998. Of this charge, $7 million related to a worldwide workforce reduction of approximately 350 employees, which was completed during the fourth quarter of fiscal 1998, in the manufacturing, selling and general and administrative areas. In addition, the Company performed a review of its business strategy and concluded that the key to success in the DSP market was to focus on opportunities in the general-purpose DSP market that could provide consistent growth, while at the same time being more selective in pursuing vertical market DSP opportunities. As a result of this review, the Company scaled back its efforts in some of the higher volume, lower margin, shorter life cycle product areas and wrote off $10 million, which was the carrying value of specific assets associated with these businesses.</w:t>
      </w:r>
    </w:p>
    <w:p>
      <w:pPr>
        <w:spacing w:after="0" w:line="180"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Investments at October 28, 2000 and October 30, 1999 were as follows:</w:t>
      </w:r>
    </w:p>
    <w:p>
      <w:pPr>
        <w:spacing w:after="0" w:line="200" w:lineRule="exact"/>
        <w:rPr>
          <w:sz w:val="20"/>
          <w:szCs w:val="20"/>
          <w:color w:val="auto"/>
        </w:rPr>
      </w:pPr>
    </w:p>
    <w:p>
      <w:pPr>
        <w:spacing w:after="0" w:line="324" w:lineRule="exact"/>
        <w:rPr>
          <w:sz w:val="20"/>
          <w:szCs w:val="20"/>
          <w:color w:val="auto"/>
        </w:rPr>
      </w:pPr>
    </w:p>
    <w:p>
      <w:pPr>
        <w:ind w:left="6848"/>
        <w:spacing w:after="0"/>
        <w:tabs>
          <w:tab w:leader="none" w:pos="908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1808"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WaferTech, LLC</w:t>
            </w:r>
          </w:p>
        </w:tc>
        <w:tc>
          <w:tcPr>
            <w:tcW w:w="1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32,852</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32,852</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CSM</w:t>
            </w:r>
          </w:p>
        </w:tc>
        <w:tc>
          <w:tcPr>
            <w:tcW w:w="1800" w:type="dxa"/>
            <w:vAlign w:val="bottom"/>
          </w:tcPr>
          <w:p>
            <w:pPr>
              <w:spacing w:after="0"/>
              <w:rPr>
                <w:sz w:val="15"/>
                <w:szCs w:val="15"/>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27,413</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5"/>
                <w:szCs w:val="15"/>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184,903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59,036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1808"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Total investments</w:t>
            </w:r>
          </w:p>
        </w:tc>
        <w:tc>
          <w:tcPr>
            <w:tcW w:w="3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217,755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119,301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In January 1999, the Company concluded an agreement to sell to other WaferTech partners 78% of its 18% equity ownership in WaferTech for cash equal to the carrying value of the 78% equity ownership at October 31, 1998. During fiscal 1999, the Company invested an additional $4 million in WaferTech. The Company no longer exercises significant influence over WaferTech's operating and financial policies and, accordingly, accounts for its remaining 4% investment under the cost method. Changes in the value of the investment are not recognized unless an impairment in the value of the investment is deemed by management to be "other than temporary." During the first quarter of fiscal 2001, the Company sold its investment in WaferTech - See Note 15.</w:t>
      </w:r>
    </w:p>
    <w:p>
      <w:pPr>
        <w:sectPr>
          <w:pgSz w:w="11900" w:h="16838" w:orient="portrait"/>
          <w:cols w:equalWidth="0" w:num="1">
            <w:col w:w="10908"/>
          </w:cols>
          <w:pgMar w:left="232" w:top="291" w:right="759" w:bottom="1440" w:gutter="0" w:footer="0" w:header="0"/>
        </w:sectPr>
      </w:pPr>
    </w:p>
    <w:p>
      <w:pPr>
        <w:spacing w:after="0" w:line="17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908"/>
          </w:cols>
          <w:pgMar w:left="232" w:top="291" w:right="759" w:bottom="1440" w:gutter="0" w:footer="0" w:header="0"/>
          <w:type w:val="continuous"/>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15</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700"/>
        <w:spacing w:after="0" w:line="266" w:lineRule="auto"/>
        <w:rPr>
          <w:sz w:val="20"/>
          <w:szCs w:val="20"/>
          <w:color w:val="auto"/>
        </w:rPr>
      </w:pPr>
      <w:r>
        <w:rPr>
          <w:rFonts w:ascii="Courier New" w:cs="Courier New" w:eastAsia="Courier New" w:hAnsi="Courier New"/>
          <w:sz w:val="14"/>
          <w:szCs w:val="14"/>
          <w:color w:val="auto"/>
        </w:rPr>
        <w:t>The Company had an equity investment in Chartered Semiconductor Manufacturing Pte., Ltd., (CSM), in Singapore of approximately $27 million which represented a less than 5% ownership interest. During fiscal 2000, the Company sold its equity investment for $65 million, realizing a $44 million gain over the original cost of $21 million. This gain is included in other nonoperting income.</w:t>
      </w:r>
    </w:p>
    <w:p>
      <w:pPr>
        <w:spacing w:after="0" w:line="161" w:lineRule="exact"/>
        <w:rPr>
          <w:sz w:val="20"/>
          <w:szCs w:val="20"/>
          <w:color w:val="auto"/>
        </w:rPr>
      </w:pPr>
    </w:p>
    <w:p>
      <w:pPr>
        <w:ind w:left="8" w:right="3700"/>
        <w:spacing w:after="0" w:line="267" w:lineRule="auto"/>
        <w:rPr>
          <w:sz w:val="20"/>
          <w:szCs w:val="20"/>
          <w:color w:val="auto"/>
        </w:rPr>
      </w:pPr>
      <w:r>
        <w:rPr>
          <w:rFonts w:ascii="Courier New" w:cs="Courier New" w:eastAsia="Courier New" w:hAnsi="Courier New"/>
          <w:sz w:val="14"/>
          <w:szCs w:val="14"/>
          <w:color w:val="auto"/>
        </w:rPr>
        <w:t>Other investments consist primarily of long-term investments in mutual funds and bank money market funds, which are related to the Company's deferred compensation plan and are largely offset by a corresponding noncurrent liability to the plan participants. These investments are classified as trading.</w:t>
      </w:r>
    </w:p>
    <w:p>
      <w:pPr>
        <w:spacing w:after="0" w:line="161"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Investments are stated at fair value, which is based on market quotes, interest rates or management estimates, as appropriate. Adjustments to fair value of investments classified as available-for-sale are recorded as an increase or decrease in stockholders' equity. Adjustments to fair value of and income pertaining to other investments are recorded in operating expense.</w:t>
      </w:r>
    </w:p>
    <w:p>
      <w:pPr>
        <w:spacing w:after="0" w:line="176" w:lineRule="exact"/>
        <w:rPr>
          <w:sz w:val="20"/>
          <w:szCs w:val="20"/>
          <w:color w:val="auto"/>
        </w:rPr>
      </w:pPr>
    </w:p>
    <w:p>
      <w:pPr>
        <w:ind w:left="448" w:hanging="448"/>
        <w:spacing w:after="0"/>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LIABILITIES</w:t>
      </w:r>
    </w:p>
    <w:p>
      <w:pPr>
        <w:spacing w:after="0" w:line="178" w:lineRule="exact"/>
        <w:rPr>
          <w:sz w:val="20"/>
          <w:szCs w:val="20"/>
          <w:color w:val="auto"/>
        </w:rPr>
      </w:pPr>
    </w:p>
    <w:p>
      <w:pPr>
        <w:ind w:left="8" w:right="3960"/>
        <w:spacing w:after="0" w:line="243" w:lineRule="auto"/>
        <w:rPr>
          <w:sz w:val="20"/>
          <w:szCs w:val="20"/>
          <w:color w:val="auto"/>
        </w:rPr>
      </w:pPr>
      <w:r>
        <w:rPr>
          <w:rFonts w:ascii="Courier New" w:cs="Courier New" w:eastAsia="Courier New" w:hAnsi="Courier New"/>
          <w:sz w:val="15"/>
          <w:szCs w:val="15"/>
          <w:color w:val="auto"/>
        </w:rPr>
        <w:t>Accrued liabilities at October 28, 2000 and October 30, 1999 consisted of the following:</w:t>
      </w:r>
    </w:p>
    <w:p>
      <w:pPr>
        <w:spacing w:after="0" w:line="200" w:lineRule="exact"/>
        <w:rPr>
          <w:sz w:val="20"/>
          <w:szCs w:val="20"/>
          <w:color w:val="auto"/>
        </w:rPr>
      </w:pPr>
    </w:p>
    <w:p>
      <w:pPr>
        <w:spacing w:after="0" w:line="322" w:lineRule="exact"/>
        <w:rPr>
          <w:sz w:val="20"/>
          <w:szCs w:val="20"/>
          <w:color w:val="auto"/>
        </w:rPr>
      </w:pPr>
    </w:p>
    <w:p>
      <w:pPr>
        <w:ind w:left="6848"/>
        <w:spacing w:after="0"/>
        <w:tabs>
          <w:tab w:leader="none" w:pos="91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1808"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3"/>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and benefits</w:t>
            </w:r>
          </w:p>
        </w:tc>
        <w:tc>
          <w:tcPr>
            <w:tcW w:w="15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99,984</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65,997</w:t>
            </w:r>
          </w:p>
        </w:tc>
      </w:tr>
      <w:tr>
        <w:trPr>
          <w:trHeight w:val="173"/>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94,033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45,288</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1808"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accrued liabilities</w:t>
            </w:r>
          </w:p>
        </w:tc>
        <w:tc>
          <w:tcPr>
            <w:tcW w:w="2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194,017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111,285</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8" w:hanging="448"/>
        <w:spacing w:after="0"/>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AND CREDIT FACILITIES</w:t>
      </w:r>
    </w:p>
    <w:p>
      <w:pPr>
        <w:spacing w:after="0" w:line="178" w:lineRule="exact"/>
        <w:rPr>
          <w:sz w:val="20"/>
          <w:szCs w:val="20"/>
          <w:color w:val="auto"/>
        </w:rPr>
      </w:pPr>
    </w:p>
    <w:p>
      <w:pPr>
        <w:ind w:left="8" w:right="4420"/>
        <w:spacing w:after="0" w:line="243" w:lineRule="auto"/>
        <w:rPr>
          <w:sz w:val="20"/>
          <w:szCs w:val="20"/>
          <w:color w:val="auto"/>
        </w:rPr>
      </w:pPr>
      <w:r>
        <w:rPr>
          <w:rFonts w:ascii="Courier New" w:cs="Courier New" w:eastAsia="Courier New" w:hAnsi="Courier New"/>
          <w:sz w:val="15"/>
          <w:szCs w:val="15"/>
          <w:color w:val="auto"/>
        </w:rPr>
        <w:t>Long-term debt at October 28, 2000 and October 30, 1999 consisted of the following:</w:t>
      </w:r>
    </w:p>
    <w:p>
      <w:pPr>
        <w:spacing w:after="0" w:line="200" w:lineRule="exact"/>
        <w:rPr>
          <w:sz w:val="20"/>
          <w:szCs w:val="20"/>
          <w:color w:val="auto"/>
        </w:rPr>
      </w:pPr>
    </w:p>
    <w:p>
      <w:pPr>
        <w:spacing w:after="0" w:line="322" w:lineRule="exact"/>
        <w:rPr>
          <w:sz w:val="20"/>
          <w:szCs w:val="20"/>
          <w:color w:val="auto"/>
        </w:rPr>
      </w:pPr>
    </w:p>
    <w:p>
      <w:pPr>
        <w:ind w:left="7128"/>
        <w:spacing w:after="0"/>
        <w:tabs>
          <w:tab w:leader="none" w:pos="91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1628" w:type="dxa"/>
        <w:tblCellMar>
          <w:top w:w="0" w:type="dxa"/>
          <w:left w:w="0" w:type="dxa"/>
          <w:bottom w:w="0" w:type="dxa"/>
          <w:right w:w="0" w:type="dxa"/>
        </w:tblCellMar>
      </w:tblP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4.75% Convertible Subordinated</w:t>
            </w:r>
          </w:p>
        </w:tc>
        <w:tc>
          <w:tcPr>
            <w:tcW w:w="2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Notes due October 1,</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c>
          <w:tcPr>
            <w:tcW w:w="2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$1,200,000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6.625% Notes due March</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1, 2000</w:t>
            </w:r>
          </w:p>
        </w:tc>
        <w:tc>
          <w:tcPr>
            <w:tcW w:w="2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5"/>
                <w:szCs w:val="15"/>
                <w:color w:val="auto"/>
              </w:rPr>
            </w:pPr>
          </w:p>
        </w:tc>
        <w:tc>
          <w:tcPr>
            <w:tcW w:w="2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261</w:t>
            </w:r>
          </w:p>
        </w:tc>
        <w:tc>
          <w:tcPr>
            <w:tcW w:w="8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08"/>
        <w:spacing w:after="0"/>
        <w:tabs>
          <w:tab w:leader="none" w:pos="6647" w:val="left"/>
          <w:tab w:leader="none" w:pos="8987" w:val="left"/>
        </w:tabs>
        <w:rPr>
          <w:sz w:val="20"/>
          <w:szCs w:val="20"/>
          <w:color w:val="auto"/>
        </w:rPr>
      </w:pPr>
      <w:r>
        <w:rPr>
          <w:rFonts w:ascii="Courier New" w:cs="Courier New" w:eastAsia="Courier New" w:hAnsi="Courier New"/>
          <w:sz w:val="15"/>
          <w:szCs w:val="15"/>
          <w:color w:val="auto"/>
        </w:rPr>
        <w:t>Long-term debt</w:t>
      </w:r>
      <w:r>
        <w:rPr>
          <w:sz w:val="20"/>
          <w:szCs w:val="20"/>
          <w:color w:val="auto"/>
        </w:rPr>
        <w:tab/>
      </w:r>
      <w:r>
        <w:rPr>
          <w:rFonts w:ascii="Courier New" w:cs="Courier New" w:eastAsia="Courier New" w:hAnsi="Courier New"/>
          <w:sz w:val="15"/>
          <w:szCs w:val="15"/>
          <w:color w:val="auto"/>
        </w:rPr>
        <w:t>1,200,261</w:t>
      </w:r>
      <w:r>
        <w:rPr>
          <w:sz w:val="20"/>
          <w:szCs w:val="20"/>
          <w:color w:val="auto"/>
        </w:rPr>
        <w:tab/>
      </w:r>
      <w:r>
        <w:rPr>
          <w:rFonts w:ascii="Courier New" w:cs="Courier New" w:eastAsia="Courier New" w:hAnsi="Courier New"/>
          <w:sz w:val="15"/>
          <w:szCs w:val="15"/>
          <w:color w:val="auto"/>
        </w:rPr>
        <w:t>80,000</w:t>
      </w:r>
    </w:p>
    <w:p>
      <w:pPr>
        <w:spacing w:after="0" w:line="3" w:lineRule="exact"/>
        <w:rPr>
          <w:sz w:val="20"/>
          <w:szCs w:val="20"/>
          <w:color w:val="auto"/>
        </w:rPr>
      </w:pPr>
    </w:p>
    <w:p>
      <w:pPr>
        <w:ind w:left="1628"/>
        <w:spacing w:after="0"/>
        <w:tabs>
          <w:tab w:leader="none" w:pos="7367" w:val="left"/>
          <w:tab w:leader="none" w:pos="8907" w:val="left"/>
        </w:tabs>
        <w:rPr>
          <w:sz w:val="20"/>
          <w:szCs w:val="20"/>
          <w:color w:val="auto"/>
        </w:rPr>
      </w:pPr>
      <w:r>
        <w:rPr>
          <w:rFonts w:ascii="Courier New" w:cs="Courier New" w:eastAsia="Courier New" w:hAnsi="Courier New"/>
          <w:sz w:val="15"/>
          <w:szCs w:val="15"/>
          <w:color w:val="auto"/>
        </w:rPr>
        <w:t>Less: Current portion long-term debt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(80,000)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08"/>
        <w:spacing w:after="0"/>
        <w:tabs>
          <w:tab w:leader="none" w:pos="6567" w:val="left"/>
          <w:tab w:leader="none" w:pos="8547" w:val="left"/>
          <w:tab w:leader="none" w:pos="9447" w:val="left"/>
        </w:tabs>
        <w:rPr>
          <w:sz w:val="20"/>
          <w:szCs w:val="20"/>
          <w:color w:val="auto"/>
        </w:rPr>
      </w:pPr>
      <w:r>
        <w:rPr>
          <w:rFonts w:ascii="Courier New" w:cs="Courier New" w:eastAsia="Courier New" w:hAnsi="Courier New"/>
          <w:sz w:val="15"/>
          <w:szCs w:val="15"/>
          <w:color w:val="auto"/>
        </w:rPr>
        <w:t>Total long-term debt</w:t>
      </w:r>
      <w:r>
        <w:rPr>
          <w:sz w:val="20"/>
          <w:szCs w:val="20"/>
          <w:color w:val="auto"/>
        </w:rPr>
        <w:tab/>
      </w:r>
      <w:r>
        <w:rPr>
          <w:rFonts w:ascii="Courier New" w:cs="Courier New" w:eastAsia="Courier New" w:hAnsi="Courier New"/>
          <w:sz w:val="15"/>
          <w:szCs w:val="15"/>
          <w:color w:val="auto"/>
        </w:rPr>
        <w:t>$1,200,261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On October 1, 2000, the Company issued $1,200 million of 4.75% Convertible Subordinated Notes due October 1, 2005 (2005 Notes) with semiannual interest payments on April 1 and October 1 of each year, commencing April 1, 2001. The 2005 Notes are convertible, at the option of the holder, into the Company's common stock at any time unless previously redeemed or repurchased, at a conversion price of $129.78 per share, subject to adjustment in certain events. The net proceeds of the offering were $1,172 million after payment of the underwriting discount and expenses of the offering, which will be amortized over the term of the 2005 Notes.</w:t>
      </w:r>
    </w:p>
    <w:p>
      <w:pPr>
        <w:spacing w:after="0" w:line="179"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As of March 11, 1999, the Company had converted $229,967,000 of the $230 million principal amount of its 3.50% Convertible Subordinated Notes due 2000 (2000 Notes) into an aggregate of 10,983,163 shares of the Company's common stock, and the remaining 2000 Notes were redeemed by a cash payment of $33,000. This conversion did not have an impact on diluted earnings per share.</w:t>
      </w:r>
    </w:p>
    <w:p>
      <w:pPr>
        <w:spacing w:after="0" w:line="177"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Simultaneous with the sale of the 6.625% Notes, the Company entered into an interest rate swap and cap agreement for the term of the 6.625% Notes having a notional principal amount of $40 million whereby the effective net interest rate on $40 million of the 6.625% Notes will be the six-month LIBOR rate (up to a maximum of 7%) plus 1.4%. The notes were repaid in March 2000. While outstanding in the year ended October 28, 2000, the net effective interest rate on $40 million of the 6.625% 2000 Notes was 8.2% after giving effect to the interest rate swap agreement.</w:t>
      </w:r>
    </w:p>
    <w:p>
      <w:pPr>
        <w:sectPr>
          <w:pgSz w:w="11900" w:h="16838" w:orient="portrait"/>
          <w:cols w:equalWidth="0" w:num="1">
            <w:col w:w="10908"/>
          </w:cols>
          <w:pgMar w:left="232" w:top="291" w:right="759" w:bottom="728" w:gutter="0" w:footer="0" w:header="0"/>
        </w:sectPr>
      </w:pP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908"/>
          </w:cols>
          <w:pgMar w:left="232" w:top="291" w:right="759" w:bottom="728" w:gutter="0" w:footer="0" w:header="0"/>
          <w:type w:val="continuous"/>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There were $5.8 million and $2.3 million of foreign currency borrowings outstanding at October 28, 2000 and October 30, 1999, respectively, which were at prevailing market rates for the respective currencies. Borrowings under the Company's credit agreement and lines of credit are generally due within six months.</w:t>
      </w:r>
    </w:p>
    <w:p>
      <w:pPr>
        <w:spacing w:after="0" w:line="176" w:lineRule="exact"/>
        <w:rPr>
          <w:sz w:val="20"/>
          <w:szCs w:val="20"/>
          <w:color w:val="auto"/>
        </w:rPr>
      </w:pP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leases certain of its facilities and equipment under various operating and capital leases that expire at various dates through 2030. The lease agreements frequently include renewal and purchase provisions and require the Company to pay taxes, insurance and maintenance costs.</w:t>
      </w:r>
    </w:p>
    <w:p>
      <w:pPr>
        <w:spacing w:after="0" w:line="176"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Total rental expense under operating leases was approximately $19 million in fiscal 2000, $17 million in fiscal 1999 and $16 million in fiscal 1998.</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following is a schedule of future minimum lease payments under capital leases and rental payments required under long-term operating leases at October 28, 2000:</w:t>
      </w:r>
    </w:p>
    <w:p>
      <w:pPr>
        <w:spacing w:after="0" w:line="200" w:lineRule="exact"/>
        <w:rPr>
          <w:sz w:val="20"/>
          <w:szCs w:val="20"/>
          <w:color w:val="auto"/>
        </w:rPr>
      </w:pPr>
    </w:p>
    <w:p>
      <w:pPr>
        <w:spacing w:after="0" w:line="321" w:lineRule="exact"/>
        <w:rPr>
          <w:sz w:val="20"/>
          <w:szCs w:val="20"/>
          <w:color w:val="auto"/>
        </w:rPr>
      </w:pPr>
    </w:p>
    <w:p>
      <w:pPr>
        <w:ind w:left="4688"/>
        <w:spacing w:after="0"/>
        <w:tabs>
          <w:tab w:leader="none" w:pos="7547" w:val="left"/>
        </w:tabs>
        <w:rPr>
          <w:sz w:val="20"/>
          <w:szCs w:val="20"/>
          <w:color w:val="auto"/>
        </w:rPr>
      </w:pP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CAPITAL</w:t>
      </w:r>
    </w:p>
    <w:p>
      <w:pPr>
        <w:spacing w:after="0" w:line="3" w:lineRule="exact"/>
        <w:rPr>
          <w:sz w:val="20"/>
          <w:szCs w:val="20"/>
          <w:color w:val="auto"/>
        </w:rPr>
      </w:pPr>
    </w:p>
    <w:p>
      <w:pPr>
        <w:ind w:left="8"/>
        <w:spacing w:after="0"/>
        <w:tabs>
          <w:tab w:leader="none" w:pos="4947" w:val="left"/>
          <w:tab w:leader="none" w:pos="7647" w:val="left"/>
        </w:tabs>
        <w:rPr>
          <w:sz w:val="20"/>
          <w:szCs w:val="20"/>
          <w:color w:val="auto"/>
        </w:rPr>
      </w:pPr>
      <w:r>
        <w:rPr>
          <w:rFonts w:ascii="Courier New" w:cs="Courier New" w:eastAsia="Courier New" w:hAnsi="Courier New"/>
          <w:sz w:val="15"/>
          <w:szCs w:val="15"/>
          <w:color w:val="auto"/>
        </w:rPr>
        <w:t>FISCAL YEARS</w:t>
      </w:r>
      <w:r>
        <w:rPr>
          <w:sz w:val="20"/>
          <w:szCs w:val="20"/>
          <w:color w:val="auto"/>
        </w:rPr>
        <w:tab/>
      </w:r>
      <w:r>
        <w:rPr>
          <w:rFonts w:ascii="Courier New" w:cs="Courier New" w:eastAsia="Courier New" w:hAnsi="Courier New"/>
          <w:sz w:val="15"/>
          <w:szCs w:val="15"/>
          <w:color w:val="auto"/>
        </w:rPr>
        <w:t>LEASES</w:t>
      </w:r>
      <w:r>
        <w:rPr>
          <w:sz w:val="20"/>
          <w:szCs w:val="20"/>
          <w:color w:val="auto"/>
        </w:rPr>
        <w:tab/>
      </w:r>
      <w:r>
        <w:rPr>
          <w:rFonts w:ascii="Courier New" w:cs="Courier New" w:eastAsia="Courier New" w:hAnsi="Courier New"/>
          <w:sz w:val="15"/>
          <w:szCs w:val="15"/>
          <w:color w:val="auto"/>
        </w:rPr>
        <w:t>LEASES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  14,298</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10,689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10,143</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9,376</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7,335</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3,930</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5,723</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3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4,804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Later Years</w:t>
            </w:r>
          </w:p>
        </w:tc>
        <w:tc>
          <w:tcPr>
            <w:tcW w:w="3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12,849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  55,152</w:t>
            </w: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24,052</w:t>
            </w:r>
          </w:p>
        </w:tc>
      </w:tr>
      <w:tr>
        <w:trPr>
          <w:trHeight w:val="173"/>
        </w:trPr>
        <w:tc>
          <w:tcPr>
            <w:tcW w:w="4100" w:type="dxa"/>
            <w:vAlign w:val="bottom"/>
          </w:tcPr>
          <w:p>
            <w:pPr>
              <w:spacing w:after="0"/>
              <w:rPr>
                <w:sz w:val="15"/>
                <w:szCs w:val="15"/>
                <w:color w:val="auto"/>
              </w:rPr>
            </w:pPr>
          </w:p>
        </w:tc>
        <w:tc>
          <w:tcPr>
            <w:tcW w:w="23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5"/>
                <w:szCs w:val="15"/>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23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r>
      <w:tr>
        <w:trPr>
          <w:trHeight w:val="173"/>
        </w:trPr>
        <w:tc>
          <w:tcPr>
            <w:tcW w:w="4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2340" w:type="dxa"/>
            <w:vAlign w:val="bottom"/>
          </w:tcPr>
          <w:p>
            <w:pPr>
              <w:spacing w:after="0"/>
              <w:rPr>
                <w:sz w:val="15"/>
                <w:szCs w:val="15"/>
                <w:color w:val="auto"/>
              </w:rPr>
            </w:pP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22,637</w:t>
            </w:r>
          </w:p>
        </w:tc>
      </w:tr>
      <w:tr>
        <w:trPr>
          <w:trHeight w:val="173"/>
        </w:trPr>
        <w:tc>
          <w:tcPr>
            <w:tcW w:w="4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7159" w:hanging="8"/>
        <w:spacing w:after="0" w:line="488" w:lineRule="auto"/>
        <w:tabs>
          <w:tab w:leader="none" w:pos="45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is a defendant in a federal lawsuit brought in the Southern District of New York by U.S. Philips Corporation (Philips). On October 2, 2000, Philips filed suit against the Company, Cirrus Logic, Inc., Cypress Semiconductor Corporation, Linear Technology Corporation and Standard Microsystems Corporation alleging patent infringement and seeking injunctive relief and unspecified damages. Because the lawsuit is in pre-trial stages, management is unable to estimate the effect of this lawsuit on its consolidated financial position or consolidated results of operations.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is a defendant in a federal lawsuit brought in Florida by Jordan Spencer Jacobs (Jacobs). On May 12, 2000, Jacobs filed suit against the Company, Microsoft Corporation and Pelican Accessories, Inc. alleging patent infringement and seeking injunctive relief and unspecified damages. The parties are presently engaged in discovery. Because the lawsuit is in pre-trial stages, management is unable to estimate the effect of this lawsuit on its consolidated financial position or consolidated results of operations.</w:t>
      </w:r>
    </w:p>
    <w:p>
      <w:pPr>
        <w:spacing w:after="0" w:line="178" w:lineRule="exact"/>
        <w:rPr>
          <w:sz w:val="20"/>
          <w:szCs w:val="20"/>
          <w:color w:val="auto"/>
        </w:rPr>
      </w:pPr>
    </w:p>
    <w:p>
      <w:pPr>
        <w:ind w:left="8" w:right="3019"/>
        <w:spacing w:after="0" w:line="266" w:lineRule="auto"/>
        <w:rPr>
          <w:sz w:val="20"/>
          <w:szCs w:val="20"/>
          <w:color w:val="auto"/>
        </w:rPr>
      </w:pPr>
      <w:r>
        <w:rPr>
          <w:rFonts w:ascii="Courier New" w:cs="Courier New" w:eastAsia="Courier New" w:hAnsi="Courier New"/>
          <w:sz w:val="14"/>
          <w:szCs w:val="14"/>
          <w:color w:val="auto"/>
        </w:rPr>
        <w:t>On January 18, 2000, the Company became aware that Silicon Laboratories, Inc. (Silicon) had named ADI as a defendant in a lawsuit filed in the United States District Court for the Western District of Texas, which alleged misappropriation of trade secrets and patent infringement by the Company. Subsequent to fiscal 2000, the Company entered into a settlement with Silicon that was not material.</w:t>
      </w:r>
    </w:p>
    <w:p>
      <w:pPr>
        <w:spacing w:after="0" w:line="16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was a defendant in a federal lawsuit brought in Arizona by the Lemelson Medical, Education &amp; Research Foundation, L.P. (Lemelson). On July 31, 1998, Lemelson commenced an action in federal court against the Company and 26 other companies alleging infringement of 16 patents allegedly covering various manufacturing processes and techniques used in the fabrication of semiconductor products. Lemelson served the Company with a complaint on</w:t>
      </w:r>
    </w:p>
    <w:p>
      <w:pPr>
        <w:sectPr>
          <w:pgSz w:w="11900" w:h="16838" w:orient="portrait"/>
          <w:cols w:equalWidth="0" w:num="1">
            <w:col w:w="10227"/>
          </w:cols>
          <w:pgMar w:left="232" w:top="291" w:right="1440" w:bottom="1440" w:gutter="0" w:footer="0" w:header="0"/>
        </w:sectPr>
      </w:pP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291" w:right="1440" w:bottom="1440" w:gutter="0" w:footer="0" w:header="0"/>
          <w:type w:val="continuous"/>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November 24, 1998 seeking unspecified damages, treble damages for willful infringement and injunctive relief. During fiscal 2000, the Company entered into a settlement agreement with Lemelson that was not material.</w:t>
      </w:r>
    </w:p>
    <w:p>
      <w:pPr>
        <w:spacing w:after="0" w:line="175"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The Company is a defendant in a federal lawsuit brought in California by Linear Technology Corporation (LTC). On June 26, 1997, LTC filed suit against the Company, Impala Linear Corporation, Toyoda Automatic Loom Works, Ltd., Maxim Integrated Products, Inc. and Unitrode Corporation alleging patent infringement and seeking injunctive relief and unspecified damages. The parties are presently engaged in discovery. The case was originally scheduled for trial on liability issues beginning on September 7, 1999. The original district judge recused himself and the case has not yet been rescheduled for trial. While the Company can give no assurance that it will prevail in this litigation, it believes that resolution of this litigation will not have a material adverse effect on the Company's consolidated financial position, although an unfavorable outcome could have a material adverse effect on the Company's results of operations or cash flow in the quarter, or annual period in which this matter is resolved.</w:t>
      </w:r>
    </w:p>
    <w:p>
      <w:pPr>
        <w:spacing w:after="0" w:line="16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Patent infringement suits were pending against the Company by Sextant Avionique, S.A. (Sextant) in France claiming that the Company's accelerometer infringes certain patents. Sextant has obtained a court ruling that the Company infringed Sextant's French patents, and therefore, unless the decision is reversed, the Company will be unable to manufacture or sell any infringing accelerometers in France. The Company is currently appealing the French court's decision. The Company does not believe that the French court's decision will have a material adverse effect on its consolidated financial position or consolidated results of operations.</w:t>
      </w:r>
    </w:p>
    <w:p>
      <w:pPr>
        <w:spacing w:after="0" w:line="179"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However, the Company does not believe that these matters will have a material adverse effect on the Company's consolidated financial position, although an adverse outcome of any of these matters could have a material adverse effect on the Company's consolidated results of operations or cash flow in the quarter, or annual period in which one or more of these matters are resolved.</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WAFER SUPPLY AGREEMENTS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Company maintained a deposit of $20 million with Chartered Semiconductor Manufacturing Pte., Ltd., (CSM). This deposit was classified in the balance sheet line item "Other assets." The outstanding balance of the deposit is refunded in proportion to the Company's purchases of wafers from CSM. Approximately $1 million of the deposit was outstanding as of October 28, 2000 and has since been refunded.</w:t>
      </w:r>
    </w:p>
    <w:p>
      <w:pPr>
        <w:spacing w:after="0" w:line="177" w:lineRule="exact"/>
        <w:rPr>
          <w:sz w:val="20"/>
          <w:szCs w:val="20"/>
          <w:color w:val="auto"/>
        </w:rPr>
      </w:pPr>
    </w:p>
    <w:p>
      <w:pPr>
        <w:ind w:left="8" w:right="7979" w:hanging="8"/>
        <w:spacing w:after="0" w:line="488" w:lineRule="auto"/>
        <w:tabs>
          <w:tab w:leader="none" w:pos="45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STOCK PLANS</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fiscal 1998, the stockholders approved the 1998 Stock Option Plan (1998 Plan), which provides for the issuance of nonstatutory and incentive stock options to purchase up to 30 million shares of common stock. In March 2000, the stockholders approved an amendment to the 1998 Plan to increase the shares reserved for issuance by an additional 34 million shares. Officers, employees, directors, consultants and advisors of the Company and its subsidiaries are eligible to be granted options under this plan at a price not less than 100% (110% in the case of incentive stock options granted to 10% or greater stockholders) of the fair market value of the common stock at the time the option is granted. The Company's 1988 Stock Option Plan was terminated upon adoption of the 1998 Stock Option Plan; however, options to purchase common stock remain outstanding under the plan. There are no remaining options outstanding under the Company's 1980 Stock Option Plan.</w:t>
      </w:r>
    </w:p>
    <w:p>
      <w:pPr>
        <w:spacing w:after="0" w:line="182"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While the Company may grant options to employees, which become exercisable at different times or within different periods, the Company has generally granted options to employees that are exercisable on a cumulative basis in annual installments of 33 1/3% each on the third, fourth and fifth anniversaries of the date of grant.</w:t>
      </w:r>
    </w:p>
    <w:p>
      <w:pPr>
        <w:sectPr>
          <w:pgSz w:w="11900" w:h="16838" w:orient="portrait"/>
          <w:cols w:equalWidth="0" w:num="1">
            <w:col w:w="10227"/>
          </w:cols>
          <w:pgMar w:left="232" w:top="291" w:right="1440" w:bottom="1440" w:gutter="0" w:footer="0" w:header="0"/>
        </w:sectPr>
      </w:pP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Under the 1994 Director Option Plan, which was amended in 1998, each non-employee director was granted annually a non-statutory option to purchase 21,000 shares of common stock at an exercise price equal to the fair market value on the date of grant. Up to 1999, each newly elected non-employee director received a grant of an option to purchase 21,000 shares of Common Stock upon his or her election to the Board (the "Initial Grant"). The 1994 Director Plan was amended in 1999 whereby the number of shares of Common Stock underlying the Initial Grant was increased from 21,000 to 60,000. On December 8, 1999, the 1994 Director Option Plan was terminated (effective March 14, 2000), and the Board of Directors authorized that from and after March 14, 2000, all options granted to non-employee directors will be granted under the Company's 1998 Stock Option Plan. The options granted under the 1998 Stock Option Plan, as well as the options previously granted under the 1994 Director Option Plan, are exercisable on a cumulative basis in annual installments of 33 1/3% each on the first, second and third anniversaries of the date of grant. The Company also has options outstanding under the 1992 Director Option Plan that are exercisable on a cumulative basis in annual installments of 33 1/3% each on the third, fourth and fifth anniversaries of the date of grant.</w:t>
      </w:r>
    </w:p>
    <w:p>
      <w:pPr>
        <w:spacing w:after="0" w:line="185" w:lineRule="exact"/>
        <w:rPr>
          <w:sz w:val="20"/>
          <w:szCs w:val="20"/>
          <w:color w:val="auto"/>
        </w:rPr>
      </w:pPr>
    </w:p>
    <w:p>
      <w:pPr>
        <w:ind w:right="3880"/>
        <w:spacing w:after="0" w:line="243" w:lineRule="auto"/>
        <w:rPr>
          <w:sz w:val="20"/>
          <w:szCs w:val="20"/>
          <w:color w:val="auto"/>
        </w:rPr>
      </w:pPr>
      <w:r>
        <w:rPr>
          <w:rFonts w:ascii="Courier New" w:cs="Courier New" w:eastAsia="Courier New" w:hAnsi="Courier New"/>
          <w:sz w:val="15"/>
          <w:szCs w:val="15"/>
          <w:color w:val="auto"/>
        </w:rPr>
        <w:t>Information with respect to activity under the stock option plans is set forth below:</w:t>
      </w:r>
    </w:p>
    <w:p>
      <w:pPr>
        <w:spacing w:after="0" w:line="200" w:lineRule="exact"/>
        <w:rPr>
          <w:sz w:val="20"/>
          <w:szCs w:val="20"/>
          <w:color w:val="auto"/>
        </w:rPr>
      </w:pPr>
    </w:p>
    <w:p>
      <w:pPr>
        <w:spacing w:after="0" w:line="322" w:lineRule="exact"/>
        <w:rPr>
          <w:sz w:val="20"/>
          <w:szCs w:val="20"/>
          <w:color w:val="auto"/>
        </w:rPr>
      </w:pPr>
    </w:p>
    <w:p>
      <w:pPr>
        <w:ind w:left="8100"/>
        <w:spacing w:after="0"/>
        <w:rPr>
          <w:sz w:val="20"/>
          <w:szCs w:val="20"/>
          <w:color w:val="auto"/>
        </w:rPr>
      </w:pPr>
      <w:r>
        <w:rPr>
          <w:rFonts w:ascii="Courier New" w:cs="Courier New" w:eastAsia="Courier New" w:hAnsi="Courier New"/>
          <w:sz w:val="15"/>
          <w:szCs w:val="15"/>
          <w:color w:val="auto"/>
        </w:rPr>
        <w:t>OPTIONS OUTSTANDING</w:t>
      </w:r>
    </w:p>
    <w:p>
      <w:pPr>
        <w:spacing w:after="0" w:line="3" w:lineRule="exact"/>
        <w:rPr>
          <w:sz w:val="20"/>
          <w:szCs w:val="20"/>
          <w:color w:val="auto"/>
        </w:rPr>
      </w:pPr>
    </w:p>
    <w:p>
      <w:pPr>
        <w:ind w:left="5400"/>
        <w:spacing w:after="0"/>
        <w:tabs>
          <w:tab w:leader="none" w:pos="7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5140"/>
        <w:spacing w:after="0"/>
        <w:tabs>
          <w:tab w:leader="none" w:pos="8980" w:val="left"/>
        </w:tabs>
        <w:rPr>
          <w:sz w:val="20"/>
          <w:szCs w:val="20"/>
          <w:color w:val="auto"/>
        </w:rPr>
      </w:pPr>
      <w:r>
        <w:rPr>
          <w:rFonts w:ascii="Courier New" w:cs="Courier New" w:eastAsia="Courier New" w:hAnsi="Courier New"/>
          <w:sz w:val="15"/>
          <w:szCs w:val="15"/>
          <w:color w:val="auto"/>
        </w:rPr>
        <w:t>AVAILABLE</w:t>
      </w:r>
      <w:r>
        <w:rPr>
          <w:sz w:val="20"/>
          <w:szCs w:val="20"/>
          <w:color w:val="auto"/>
        </w:rPr>
        <w:tab/>
      </w:r>
      <w:r>
        <w:rPr>
          <w:rFonts w:ascii="Courier New" w:cs="Courier New" w:eastAsia="Courier New" w:hAnsi="Courier New"/>
          <w:sz w:val="15"/>
          <w:szCs w:val="15"/>
          <w:color w:val="auto"/>
        </w:rPr>
        <w:t>WEIGHTED AVERAGE</w:t>
      </w:r>
    </w:p>
    <w:p>
      <w:pPr>
        <w:spacing w:after="0" w:line="3" w:lineRule="exact"/>
        <w:rPr>
          <w:sz w:val="20"/>
          <w:szCs w:val="20"/>
          <w:color w:val="auto"/>
        </w:rPr>
      </w:pPr>
    </w:p>
    <w:p>
      <w:pPr>
        <w:spacing w:after="0"/>
        <w:tabs>
          <w:tab w:leader="none" w:pos="5120" w:val="left"/>
          <w:tab w:leader="none" w:pos="7540" w:val="left"/>
          <w:tab w:leader="none" w:pos="9080" w:val="left"/>
        </w:tabs>
        <w:rPr>
          <w:sz w:val="20"/>
          <w:szCs w:val="20"/>
          <w:color w:val="auto"/>
        </w:rPr>
      </w:pPr>
      <w:r>
        <w:rPr>
          <w:rFonts w:ascii="Courier New" w:cs="Courier New" w:eastAsia="Courier New" w:hAnsi="Courier New"/>
          <w:sz w:val="15"/>
          <w:szCs w:val="15"/>
          <w:color w:val="auto"/>
        </w:rPr>
        <w:t>STOCK OPTION ACTIVITY</w:t>
      </w:r>
      <w:r>
        <w:rPr>
          <w:sz w:val="20"/>
          <w:szCs w:val="20"/>
          <w:color w:val="auto"/>
        </w:rPr>
        <w:tab/>
      </w:r>
      <w:r>
        <w:rPr>
          <w:rFonts w:ascii="Courier New" w:cs="Courier New" w:eastAsia="Courier New" w:hAnsi="Courier New"/>
          <w:sz w:val="15"/>
          <w:szCs w:val="15"/>
          <w:color w:val="auto"/>
        </w:rPr>
        <w:t>FOR GRANT</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PRICE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November 1, 1997</w:t>
            </w:r>
          </w:p>
        </w:tc>
        <w:tc>
          <w:tcPr>
            <w:tcW w:w="29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13,996</w:t>
            </w:r>
          </w:p>
        </w:tc>
        <w:tc>
          <w:tcPr>
            <w:tcW w:w="2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33,810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6.46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Shares authorized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for 1998 Stock Option Plan</w:t>
            </w:r>
          </w:p>
        </w:tc>
        <w:tc>
          <w:tcPr>
            <w:tcW w:w="17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30,000</w:t>
            </w:r>
          </w:p>
        </w:tc>
        <w:tc>
          <w:tcPr>
            <w:tcW w:w="22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Additional shares</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authorized for 1994 Director Stock</w:t>
            </w:r>
          </w:p>
        </w:tc>
        <w:tc>
          <w:tcPr>
            <w:tcW w:w="1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Option Plan</w:t>
            </w:r>
          </w:p>
        </w:tc>
        <w:tc>
          <w:tcPr>
            <w:tcW w:w="3420" w:type="dxa"/>
            <w:vAlign w:val="bottom"/>
          </w:tcPr>
          <w:p>
            <w:pPr>
              <w:spacing w:after="0"/>
              <w:rPr>
                <w:sz w:val="15"/>
                <w:szCs w:val="15"/>
                <w:color w:val="auto"/>
              </w:rPr>
            </w:pPr>
          </w:p>
        </w:tc>
        <w:tc>
          <w:tcPr>
            <w:tcW w:w="17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300</w:t>
            </w:r>
          </w:p>
        </w:tc>
        <w:tc>
          <w:tcPr>
            <w:tcW w:w="22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Shares authorized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for Medialight acquisition</w:t>
            </w:r>
          </w:p>
        </w:tc>
        <w:tc>
          <w:tcPr>
            <w:tcW w:w="17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204</w:t>
            </w:r>
          </w:p>
        </w:tc>
        <w:tc>
          <w:tcPr>
            <w:tcW w:w="22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3420" w:type="dxa"/>
            <w:vAlign w:val="bottom"/>
          </w:tcPr>
          <w:p>
            <w:pPr>
              <w:spacing w:after="0"/>
              <w:rPr>
                <w:sz w:val="15"/>
                <w:szCs w:val="15"/>
                <w:color w:val="auto"/>
              </w:rPr>
            </w:pP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(39,892)</w:t>
            </w:r>
          </w:p>
        </w:tc>
        <w:tc>
          <w:tcPr>
            <w:tcW w:w="22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39,892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8.37</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3420" w:type="dxa"/>
            <w:vAlign w:val="bottom"/>
          </w:tcPr>
          <w:p>
            <w:pPr>
              <w:spacing w:after="0"/>
              <w:rPr>
                <w:sz w:val="15"/>
                <w:szCs w:val="15"/>
                <w:color w:val="auto"/>
              </w:rPr>
            </w:pPr>
          </w:p>
        </w:tc>
        <w:tc>
          <w:tcPr>
            <w:tcW w:w="17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(4,028)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3420" w:type="dxa"/>
            <w:vAlign w:val="bottom"/>
          </w:tcPr>
          <w:p>
            <w:pPr>
              <w:spacing w:after="0"/>
              <w:rPr>
                <w:sz w:val="15"/>
                <w:szCs w:val="15"/>
                <w:color w:val="auto"/>
              </w:rPr>
            </w:pPr>
          </w:p>
        </w:tc>
        <w:tc>
          <w:tcPr>
            <w:tcW w:w="17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18,256</w:t>
            </w:r>
          </w:p>
        </w:tc>
        <w:tc>
          <w:tcPr>
            <w:tcW w:w="22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(18,256)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11.58</w:t>
            </w:r>
          </w:p>
        </w:tc>
      </w:tr>
      <w:tr>
        <w:trPr>
          <w:trHeight w:val="173"/>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Shares canceled upon termination of 1988 Stock</w:t>
            </w:r>
          </w:p>
        </w:tc>
        <w:tc>
          <w:tcPr>
            <w:tcW w:w="1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Option Plan</w:t>
            </w:r>
          </w:p>
        </w:tc>
        <w:tc>
          <w:tcPr>
            <w:tcW w:w="3420" w:type="dxa"/>
            <w:vAlign w:val="bottom"/>
          </w:tcPr>
          <w:p>
            <w:pPr>
              <w:spacing w:after="0"/>
              <w:rPr>
                <w:sz w:val="15"/>
                <w:szCs w:val="15"/>
                <w:color w:val="auto"/>
              </w:rPr>
            </w:pP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(5,158)</w:t>
            </w:r>
          </w:p>
        </w:tc>
        <w:tc>
          <w:tcPr>
            <w:tcW w:w="22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29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17,706</w:t>
            </w:r>
          </w:p>
        </w:tc>
        <w:tc>
          <w:tcPr>
            <w:tcW w:w="2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51,418</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6.39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33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(1,320)</w:t>
            </w:r>
          </w:p>
        </w:tc>
        <w:tc>
          <w:tcPr>
            <w:tcW w:w="2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1,320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17.26</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exercised</w:t>
            </w:r>
          </w:p>
        </w:tc>
        <w:tc>
          <w:tcPr>
            <w:tcW w:w="33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(6,054)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canceled</w:t>
            </w:r>
          </w:p>
        </w:tc>
        <w:tc>
          <w:tcPr>
            <w:tcW w:w="33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1,302</w:t>
            </w:r>
          </w:p>
        </w:tc>
        <w:tc>
          <w:tcPr>
            <w:tcW w:w="2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(1,302)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October 30, 1999</w:t>
            </w:r>
          </w:p>
        </w:tc>
        <w:tc>
          <w:tcPr>
            <w:tcW w:w="29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17,688</w:t>
            </w:r>
          </w:p>
        </w:tc>
        <w:tc>
          <w:tcPr>
            <w:tcW w:w="2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45,382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6.97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Additional shares authorized for 1998 Stock Option Plan</w:t>
            </w:r>
          </w:p>
        </w:tc>
        <w:tc>
          <w:tcPr>
            <w:tcW w:w="16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34,000</w:t>
            </w:r>
          </w:p>
        </w:tc>
        <w:tc>
          <w:tcPr>
            <w:tcW w:w="2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(15,833)</w:t>
            </w:r>
          </w:p>
        </w:tc>
        <w:tc>
          <w:tcPr>
            <w:tcW w:w="2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15,833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31.03</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4480" w:type="dxa"/>
            <w:vAlign w:val="bottom"/>
          </w:tcPr>
          <w:p>
            <w:pPr>
              <w:ind w:left="60"/>
              <w:spacing w:after="0"/>
              <w:rPr>
                <w:sz w:val="20"/>
                <w:szCs w:val="20"/>
                <w:color w:val="auto"/>
              </w:rPr>
            </w:pPr>
            <w:r>
              <w:rPr>
                <w:rFonts w:ascii="Courier New" w:cs="Courier New" w:eastAsia="Courier New" w:hAnsi="Courier New"/>
                <w:sz w:val="15"/>
                <w:szCs w:val="15"/>
                <w:color w:val="auto"/>
              </w:rPr>
              <w:t>exercised</w:t>
            </w:r>
          </w:p>
        </w:tc>
        <w:tc>
          <w:tcPr>
            <w:tcW w:w="16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(7,210)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4480" w:type="dxa"/>
            <w:vAlign w:val="bottom"/>
          </w:tcPr>
          <w:p>
            <w:pPr>
              <w:ind w:left="60"/>
              <w:spacing w:after="0"/>
              <w:rPr>
                <w:sz w:val="20"/>
                <w:szCs w:val="20"/>
                <w:color w:val="auto"/>
              </w:rPr>
            </w:pPr>
            <w:r>
              <w:rPr>
                <w:rFonts w:ascii="Courier New" w:cs="Courier New" w:eastAsia="Courier New" w:hAnsi="Courier New"/>
                <w:sz w:val="15"/>
                <w:szCs w:val="15"/>
                <w:color w:val="auto"/>
              </w:rPr>
              <w:t>canceled</w:t>
            </w:r>
          </w:p>
        </w:tc>
        <w:tc>
          <w:tcPr>
            <w:tcW w:w="16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1,755</w:t>
            </w:r>
          </w:p>
        </w:tc>
        <w:tc>
          <w:tcPr>
            <w:tcW w:w="2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(1,755)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October 28, 2000</w:t>
            </w:r>
          </w:p>
        </w:tc>
        <w:tc>
          <w:tcPr>
            <w:tcW w:w="29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37,610</w:t>
            </w:r>
          </w:p>
        </w:tc>
        <w:tc>
          <w:tcPr>
            <w:tcW w:w="2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52,250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$ 14.31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AMENDMENT</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In September 1998, the Board of Directors approved a stock option program amendment pursuant to which all employees with stock options granted during the period beginning December 1, 1996 and ending on August 3, 1998 could elect to reduce the option exercise price to $7.38 per share (equal to the then fair market value). Upon such election, the vesting schedule for the affected options was reset, whereby one-third vest on September 8, 2001, one-third on September 8, 2002 and the final one-third on September 8, 2003. A total of 16,442,996 options with exercise prices ranging from $11.13 to $17.13 per share were amended under the program. The activity as a result of this option program amendment is presented in the preceding table as cancellations and subsequent grants.</w:t>
      </w:r>
    </w:p>
    <w:p>
      <w:pPr>
        <w:sectPr>
          <w:pgSz w:w="11900" w:h="16838" w:orient="portrait"/>
          <w:cols w:equalWidth="0" w:num="1">
            <w:col w:w="10900"/>
          </w:cols>
          <w:pgMar w:left="240" w:top="291" w:right="759"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900"/>
          </w:cols>
          <w:pgMar w:left="240" w:top="291" w:right="759"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780"/>
        <w:spacing w:after="0" w:line="243" w:lineRule="auto"/>
        <w:rPr>
          <w:sz w:val="20"/>
          <w:szCs w:val="20"/>
          <w:color w:val="auto"/>
        </w:rPr>
      </w:pPr>
      <w:r>
        <w:rPr>
          <w:rFonts w:ascii="Courier New" w:cs="Courier New" w:eastAsia="Courier New" w:hAnsi="Courier New"/>
          <w:sz w:val="15"/>
          <w:szCs w:val="15"/>
          <w:color w:val="auto"/>
        </w:rPr>
        <w:t>The following table summarizes information about options outstanding at October 28, 2000:</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OUTSTANDING OPTIONS</w:t>
            </w:r>
          </w:p>
        </w:tc>
        <w:tc>
          <w:tcPr>
            <w:tcW w:w="1660" w:type="dxa"/>
            <w:vAlign w:val="bottom"/>
          </w:tcPr>
          <w:p>
            <w:pPr>
              <w:spacing w:after="0"/>
              <w:rPr>
                <w:sz w:val="14"/>
                <w:szCs w:val="14"/>
                <w:color w:val="auto"/>
              </w:rPr>
            </w:pPr>
          </w:p>
        </w:tc>
        <w:tc>
          <w:tcPr>
            <w:tcW w:w="3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1380" w:type="dxa"/>
            <w:vAlign w:val="bottom"/>
          </w:tcPr>
          <w:p>
            <w:pPr>
              <w:spacing w:after="0"/>
              <w:rPr>
                <w:sz w:val="15"/>
                <w:szCs w:val="15"/>
                <w:color w:val="auto"/>
              </w:rPr>
            </w:pPr>
          </w:p>
        </w:tc>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w:t>
            </w:r>
          </w:p>
        </w:tc>
        <w:tc>
          <w:tcPr>
            <w:tcW w:w="1660" w:type="dxa"/>
            <w:vAlign w:val="bottom"/>
          </w:tcPr>
          <w:p>
            <w:pPr>
              <w:spacing w:after="0"/>
              <w:rPr>
                <w:sz w:val="15"/>
                <w:szCs w:val="15"/>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WEIGHTED AVERAGE</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WEIGHTED</w:t>
            </w:r>
          </w:p>
        </w:tc>
        <w:tc>
          <w:tcPr>
            <w:tcW w:w="2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REMAINING</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AVERAGE</w:t>
            </w:r>
          </w:p>
        </w:tc>
        <w:tc>
          <w:tcPr>
            <w:tcW w:w="2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NUMBER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OUTSTANDING AT</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CONTRACTUAL</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EXERCISE</w:t>
            </w:r>
          </w:p>
        </w:tc>
        <w:tc>
          <w:tcPr>
            <w:tcW w:w="2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EXERCISABLE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10/28/00</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LIFE (YEARS)</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PRICE</w:t>
            </w:r>
          </w:p>
        </w:tc>
        <w:tc>
          <w:tcPr>
            <w:tcW w:w="2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AT 10/28/00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9.93</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35,115</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6.87</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5,369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5.38</w:t>
            </w:r>
          </w:p>
        </w:tc>
      </w:tr>
      <w:tr>
        <w:trPr>
          <w:trHeight w:val="173"/>
        </w:trPr>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9.94</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19.85</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1,293</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13.11</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13.11</w:t>
            </w:r>
          </w:p>
        </w:tc>
      </w:tr>
      <w:tr>
        <w:trPr>
          <w:trHeight w:val="173"/>
        </w:trPr>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19.86</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29.78</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14,828</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28.67</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28.54</w:t>
            </w:r>
          </w:p>
        </w:tc>
      </w:tr>
      <w:tr>
        <w:trPr>
          <w:trHeight w:val="173"/>
        </w:trPr>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59.55</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390</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42.52</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59.56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99.25</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76.99</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tabs>
          <w:tab w:leader="none" w:pos="340" w:val="left"/>
          <w:tab w:leader="none" w:pos="2760" w:val="left"/>
          <w:tab w:leader="none" w:pos="4760" w:val="left"/>
          <w:tab w:leader="none" w:pos="5740" w:val="left"/>
          <w:tab w:leader="none" w:pos="6020" w:val="left"/>
          <w:tab w:leader="none" w:pos="8180" w:val="left"/>
          <w:tab w:leader="none" w:pos="9620" w:val="left"/>
          <w:tab w:leader="none" w:pos="9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0.98 - $ 99.25</w:t>
      </w:r>
      <w:r>
        <w:rPr>
          <w:sz w:val="20"/>
          <w:szCs w:val="20"/>
          <w:color w:val="auto"/>
        </w:rPr>
        <w:tab/>
      </w:r>
      <w:r>
        <w:rPr>
          <w:rFonts w:ascii="Courier New" w:cs="Courier New" w:eastAsia="Courier New" w:hAnsi="Courier New"/>
          <w:sz w:val="15"/>
          <w:szCs w:val="15"/>
          <w:color w:val="auto"/>
        </w:rPr>
        <w:t>52,250</w:t>
      </w:r>
      <w:r>
        <w:rPr>
          <w:sz w:val="20"/>
          <w:szCs w:val="20"/>
          <w:color w:val="auto"/>
        </w:rPr>
        <w:tab/>
      </w: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w:t>
        <w:tab/>
        <w:t>14.31</w:t>
      </w:r>
      <w:r>
        <w:rPr>
          <w:sz w:val="20"/>
          <w:szCs w:val="20"/>
          <w:color w:val="auto"/>
        </w:rPr>
        <w:tab/>
      </w:r>
      <w:r>
        <w:rPr>
          <w:rFonts w:ascii="Courier New" w:cs="Courier New" w:eastAsia="Courier New" w:hAnsi="Courier New"/>
          <w:sz w:val="15"/>
          <w:szCs w:val="15"/>
          <w:color w:val="auto"/>
        </w:rPr>
        <w:t>5,528</w:t>
      </w:r>
      <w:r>
        <w:rPr>
          <w:sz w:val="20"/>
          <w:szCs w:val="20"/>
          <w:color w:val="auto"/>
        </w:rPr>
        <w:tab/>
      </w:r>
      <w:r>
        <w:rPr>
          <w:rFonts w:ascii="Courier New" w:cs="Courier New" w:eastAsia="Courier New" w:hAnsi="Courier New"/>
          <w:sz w:val="15"/>
          <w:szCs w:val="15"/>
          <w:color w:val="auto"/>
        </w:rPr>
        <w:t>$</w:t>
        <w:tab/>
        <w:t>5.62</w:t>
      </w:r>
    </w:p>
    <w:p>
      <w:pPr>
        <w:spacing w:after="0" w:line="3" w:lineRule="exact"/>
        <w:rPr>
          <w:sz w:val="20"/>
          <w:szCs w:val="20"/>
          <w:color w:val="auto"/>
        </w:rPr>
      </w:pPr>
    </w:p>
    <w:p>
      <w:pPr>
        <w:ind w:left="2780"/>
        <w:spacing w:after="0"/>
        <w:tabs>
          <w:tab w:leader="none" w:pos="8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1"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The Company has an employee stock purchase plan (ESPP) that allows eligible employees to purchase, through payroll deductions, shares of the Company's common stock at 85% of the fair market value at specified dates. Employees purchased 1,011,624 shares in fiscal 2000 (1,312,800 and 1,205,000 in fiscal 1999 and 1998, respectively) for $16.5 million ($12.9 million and $11.8 million in fiscal 1999 and 1998, respectively). At October 28, 2000, approximately 3,382,000 common shares, net of retirements, remained available for issuance under the stock purchase plan.</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Under the 1991 Restricted Stock Plan, a maximum of 5,400,000 shares of common stock was authorized for awards by the Company to key employees for nominal consideration. This plan succeeded the Company's 1978 Restricted Stock Plan that provided for the issuance of up to 14,745,600 shares of common stock. Shares awarded from both plans are restricted as to transfer, usually for a period of five years and, under certain conditions, may be subject to repurchase by the Company at the original purchase price per share. There were no additional shares awarded under the restricted stock plans in fiscal 2000 and fiscal 1999. Shares awarded under the Company's restricted stock plans, net of cancellations, for fiscal 1998 were 435,000. The fair market value of the shares at the date of award was $6,293,000 in fiscal 1998 and was accounted for as deferred compensation and is being amortized over the restriction period. During fiscal 2000, 1999 and 1998, $2,231,000, $2,799,000 and $2,918,000, respectively, of such compensation was charged to expense. At October 28, 2000, there were 1,196,982 shares of common stock, net of forfeitures, available for issuance under the 1991 Restricted Stock Plan.</w:t>
      </w:r>
    </w:p>
    <w:p>
      <w:pPr>
        <w:spacing w:after="0" w:line="183" w:lineRule="exact"/>
        <w:rPr>
          <w:sz w:val="20"/>
          <w:szCs w:val="20"/>
          <w:color w:val="auto"/>
        </w:rPr>
      </w:pPr>
    </w:p>
    <w:p>
      <w:pPr>
        <w:ind w:right="3960"/>
        <w:spacing w:after="0" w:line="243" w:lineRule="auto"/>
        <w:rPr>
          <w:sz w:val="20"/>
          <w:szCs w:val="20"/>
          <w:color w:val="auto"/>
        </w:rPr>
      </w:pPr>
      <w:r>
        <w:rPr>
          <w:rFonts w:ascii="Courier New" w:cs="Courier New" w:eastAsia="Courier New" w:hAnsi="Courier New"/>
          <w:sz w:val="15"/>
          <w:szCs w:val="15"/>
          <w:color w:val="auto"/>
        </w:rPr>
        <w:t>As of October 28, 2000, a total of 94,439,169 common shares were reserved for issuance under the Company's stock plans.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REPURCHASE</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In November 2000, the Board of Directors authorized the Company to repurchase up to 15 million shares of its common stock. The repurchased shares will be held as treasury shares and will be available for issuance under the Company's stock option plans, employee stock purchase plan and other benefit plans.</w:t>
      </w:r>
    </w:p>
    <w:p>
      <w:pPr>
        <w:spacing w:after="0" w:line="176"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In May and October of 1998, the Board of Directors authorized the Company to repurchase up to 8 million and 16 million shares, respectively, of its common stock over the succeeding 12 months. At October 31, 1998, the Company had purchased 8,800,000 shares of its common stock at an average purchase price of $9.57 per share. The Company did not purchase any shares in fiscal 2000 and fiscal 1999. The repurchased shares were held as treasury shares, and were used to partially fund the Company's employee stock plans and the two-for-one stock split effected March 15,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As permitted under Statement of Financial Accounting Standards No. 123 (FAS 123), "Accounting for Stock-Based Compensation," the Company has elected to follow Accounting Principles Board Opinion No. 25, "Accounting for Stock Issued to Employees," and related Interpretations, in accounting for stock-based awards to employees. Under APB 25, the Company generally recognizes no compensation expense with respect to such awards.</w:t>
      </w:r>
    </w:p>
    <w:p>
      <w:pPr>
        <w:sectPr>
          <w:pgSz w:w="11900" w:h="16838" w:orient="portrait"/>
          <w:cols w:equalWidth="0" w:num="1">
            <w:col w:w="10900"/>
          </w:cols>
          <w:pgMar w:left="240" w:top="291" w:right="759"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900"/>
          </w:cols>
          <w:pgMar w:left="240" w:top="291" w:right="759"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Pro forma information regarding net income and earnings per share is required by FAS 123 for awards granted after October 28, 1995 as if the Company had accounted for its stock-based awards to employees under the fair value method of FAS 123. The fair value of the Company's stock-based awards to employees was estimated using a Black-Scholes option pricing model. The Black-Scholes option valuation model was developed for use in estimating the fair value of traded options that have no vesting restrictions and are fully transferable. In addition, option valuation models require the input of highly subjective assumptions, including the expected stock price volatility. Because the Company's stock-based awards to employees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stock-based awards to employees. The fair value of the Company's stock-based awards to employees was estimated assuming no expected dividends and the following weighted average assumptions:</w:t>
      </w:r>
    </w:p>
    <w:p>
      <w:pPr>
        <w:spacing w:after="0" w:line="200" w:lineRule="exact"/>
        <w:rPr>
          <w:sz w:val="20"/>
          <w:szCs w:val="20"/>
          <w:color w:val="auto"/>
        </w:rPr>
      </w:pPr>
    </w:p>
    <w:p>
      <w:pPr>
        <w:spacing w:after="0" w:line="329" w:lineRule="exact"/>
        <w:rPr>
          <w:sz w:val="20"/>
          <w:szCs w:val="20"/>
          <w:color w:val="auto"/>
        </w:rPr>
      </w:pPr>
    </w:p>
    <w:tbl>
      <w:tblPr>
        <w:tblLayout w:type="fixed"/>
        <w:tblInd w:w="396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OPTIONS</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ESPP</w:t>
            </w:r>
          </w:p>
        </w:tc>
        <w:tc>
          <w:tcPr>
            <w:tcW w:w="860" w:type="dxa"/>
            <w:vAlign w:val="bottom"/>
          </w:tcPr>
          <w:p>
            <w:pPr>
              <w:spacing w:after="0"/>
              <w:rPr>
                <w:sz w:val="14"/>
                <w:szCs w:val="14"/>
                <w:color w:val="auto"/>
              </w:rPr>
            </w:pPr>
          </w:p>
        </w:tc>
      </w:tr>
      <w:tr>
        <w:trPr>
          <w:trHeight w:val="173"/>
        </w:trPr>
        <w:tc>
          <w:tcPr>
            <w:tcW w:w="2020" w:type="dxa"/>
            <w:vAlign w:val="bottom"/>
            <w:gridSpan w:val="2"/>
          </w:tcPr>
          <w:p>
            <w:pPr>
              <w:spacing w:after="0"/>
              <w:rPr>
                <w:sz w:val="20"/>
                <w:szCs w:val="20"/>
                <w:color w:val="auto"/>
              </w:rPr>
            </w:pPr>
            <w:r>
              <w:rPr>
                <w:rFonts w:ascii="Courier New" w:cs="Courier New" w:eastAsia="Courier New" w:hAnsi="Courier New"/>
                <w:sz w:val="14"/>
                <w:szCs w:val="14"/>
                <w:color w:val="auto"/>
                <w:w w:val="74"/>
              </w:rPr>
              <w:t>--------------------------------</w:t>
            </w:r>
          </w:p>
        </w:tc>
        <w:tc>
          <w:tcPr>
            <w:tcW w:w="1040" w:type="dxa"/>
            <w:vAlign w:val="bottom"/>
          </w:tcPr>
          <w:p>
            <w:pPr>
              <w:spacing w:after="0"/>
              <w:rPr>
                <w:sz w:val="15"/>
                <w:szCs w:val="15"/>
                <w:color w:val="auto"/>
              </w:rPr>
            </w:pPr>
          </w:p>
        </w:tc>
        <w:tc>
          <w:tcPr>
            <w:tcW w:w="3080" w:type="dxa"/>
            <w:vAlign w:val="bottom"/>
            <w:gridSpan w:val="3"/>
          </w:tcPr>
          <w:p>
            <w:pPr>
              <w:ind w:left="2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0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0" w:type="dxa"/>
            <w:vAlign w:val="bottom"/>
          </w:tcPr>
          <w:p>
            <w:pPr>
              <w:spacing w:after="0"/>
              <w:rPr>
                <w:sz w:val="24"/>
                <w:szCs w:val="24"/>
                <w:color w:val="auto"/>
              </w:rPr>
            </w:pPr>
          </w:p>
        </w:tc>
        <w:tc>
          <w:tcPr>
            <w:tcW w:w="1460" w:type="dxa"/>
            <w:vAlign w:val="bottom"/>
          </w:tcPr>
          <w:p>
            <w:pPr>
              <w:ind w:left="680"/>
              <w:spacing w:after="0"/>
              <w:rPr>
                <w:sz w:val="20"/>
                <w:szCs w:val="20"/>
                <w:color w:val="auto"/>
              </w:rPr>
            </w:pPr>
            <w:r>
              <w:rPr>
                <w:rFonts w:ascii="Courier New" w:cs="Courier New" w:eastAsia="Courier New" w:hAnsi="Courier New"/>
                <w:sz w:val="15"/>
                <w:szCs w:val="15"/>
                <w:color w:val="auto"/>
              </w:rPr>
              <w:t>Expected</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life (years)</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6.1</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120" w:type="dxa"/>
            <w:vAlign w:val="bottom"/>
          </w:tcPr>
          <w:p>
            <w:pPr>
              <w:spacing w:after="0"/>
              <w:rPr>
                <w:sz w:val="15"/>
                <w:szCs w:val="15"/>
                <w:color w:val="auto"/>
              </w:rPr>
            </w:pPr>
          </w:p>
        </w:tc>
        <w:tc>
          <w:tcPr>
            <w:tcW w:w="1460" w:type="dxa"/>
            <w:vAlign w:val="bottom"/>
          </w:tcPr>
          <w:p>
            <w:pPr>
              <w:ind w:left="680"/>
              <w:spacing w:after="0"/>
              <w:rPr>
                <w:sz w:val="20"/>
                <w:szCs w:val="20"/>
                <w:color w:val="auto"/>
              </w:rPr>
            </w:pPr>
            <w:r>
              <w:rPr>
                <w:rFonts w:ascii="Courier New" w:cs="Courier New" w:eastAsia="Courier New" w:hAnsi="Courier New"/>
                <w:sz w:val="15"/>
                <w:szCs w:val="15"/>
                <w:color w:val="auto"/>
              </w:rPr>
              <w:t>Expected</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stock price volatility</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56.6%</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52.9%</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72.5%</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64.1%</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57.6%</w:t>
            </w:r>
          </w:p>
        </w:tc>
      </w:tr>
      <w:tr>
        <w:trPr>
          <w:trHeight w:val="173"/>
        </w:trPr>
        <w:tc>
          <w:tcPr>
            <w:tcW w:w="120" w:type="dxa"/>
            <w:vAlign w:val="bottom"/>
          </w:tcPr>
          <w:p>
            <w:pPr>
              <w:spacing w:after="0"/>
              <w:rPr>
                <w:sz w:val="15"/>
                <w:szCs w:val="15"/>
                <w:color w:val="auto"/>
              </w:rPr>
            </w:pPr>
          </w:p>
        </w:tc>
        <w:tc>
          <w:tcPr>
            <w:tcW w:w="37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Risk-free interest rate</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5.4%</w:t>
            </w:r>
          </w:p>
        </w:tc>
      </w:tr>
      <w:tr>
        <w:trPr>
          <w:trHeight w:val="173"/>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960"/>
        <w:spacing w:after="0" w:line="243" w:lineRule="auto"/>
        <w:rPr>
          <w:sz w:val="20"/>
          <w:szCs w:val="20"/>
          <w:color w:val="auto"/>
        </w:rPr>
      </w:pPr>
      <w:r>
        <w:rPr>
          <w:rFonts w:ascii="Courier New" w:cs="Courier New" w:eastAsia="Courier New" w:hAnsi="Courier New"/>
          <w:sz w:val="15"/>
          <w:szCs w:val="15"/>
          <w:color w:val="auto"/>
        </w:rPr>
        <w:t>The following is a summary of weighted average grant date values generated by application of the Black-Scholes model:</w:t>
      </w:r>
    </w:p>
    <w:p>
      <w:pPr>
        <w:spacing w:after="0" w:line="200" w:lineRule="exact"/>
        <w:rPr>
          <w:sz w:val="20"/>
          <w:szCs w:val="20"/>
          <w:color w:val="auto"/>
        </w:rPr>
      </w:pPr>
    </w:p>
    <w:p>
      <w:pPr>
        <w:spacing w:after="0" w:line="322"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WEIGHTED AVERAGE GRANT DATE VALUE</w:t>
      </w:r>
    </w:p>
    <w:p>
      <w:pPr>
        <w:spacing w:after="0" w:line="3" w:lineRule="exact"/>
        <w:rPr>
          <w:sz w:val="20"/>
          <w:szCs w:val="20"/>
          <w:color w:val="auto"/>
        </w:rPr>
      </w:pPr>
    </w:p>
    <w:p>
      <w:pPr>
        <w:ind w:left="7300"/>
        <w:spacing w:after="0"/>
        <w:tabs>
          <w:tab w:leader="none" w:pos="8440" w:val="left"/>
          <w:tab w:leader="none" w:pos="96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16.90</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9.77</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ESPP</w:t>
            </w: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4.40</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As required under FAS 123, the reported net income and diluted earnings per share have been presented to reflect the impact had the Company been required to include the amortization of the Black-Scholes option value as expense. For purposes of this disclosure, the estimated fair value of the options is amortized to expense over the options' vesting periods. The Company's pro forma information follows:</w:t>
      </w:r>
    </w:p>
    <w:p>
      <w:pPr>
        <w:spacing w:after="0" w:line="200" w:lineRule="exact"/>
        <w:rPr>
          <w:sz w:val="20"/>
          <w:szCs w:val="20"/>
          <w:color w:val="auto"/>
        </w:rPr>
      </w:pPr>
    </w:p>
    <w:p>
      <w:pPr>
        <w:spacing w:after="0" w:line="323" w:lineRule="exact"/>
        <w:rPr>
          <w:sz w:val="20"/>
          <w:szCs w:val="20"/>
          <w:color w:val="auto"/>
        </w:rPr>
      </w:pPr>
    </w:p>
    <w:p>
      <w:pPr>
        <w:ind w:left="7300"/>
        <w:spacing w:after="0"/>
        <w:tabs>
          <w:tab w:leader="none" w:pos="8440" w:val="left"/>
          <w:tab w:leader="none" w:pos="96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forma</w:t>
            </w:r>
          </w:p>
        </w:tc>
        <w:tc>
          <w:tcPr>
            <w:tcW w:w="4240" w:type="dxa"/>
            <w:vAlign w:val="bottom"/>
          </w:tcPr>
          <w:p>
            <w:pPr>
              <w:ind w:left="60"/>
              <w:spacing w:after="0"/>
              <w:rPr>
                <w:sz w:val="20"/>
                <w:szCs w:val="20"/>
                <w:color w:val="auto"/>
              </w:rPr>
            </w:pPr>
            <w:r>
              <w:rPr>
                <w:rFonts w:ascii="Courier New" w:cs="Courier New" w:eastAsia="Courier New" w:hAnsi="Courier New"/>
                <w:sz w:val="15"/>
                <w:szCs w:val="15"/>
                <w:color w:val="auto"/>
              </w:rPr>
              <w:t>net income</w:t>
            </w:r>
          </w:p>
        </w:tc>
        <w:tc>
          <w:tcPr>
            <w:tcW w:w="2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$ 526,615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$162,872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$56,719</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forma</w:t>
            </w:r>
          </w:p>
        </w:tc>
        <w:tc>
          <w:tcPr>
            <w:tcW w:w="4240" w:type="dxa"/>
            <w:vAlign w:val="bottom"/>
          </w:tcPr>
          <w:p>
            <w:pPr>
              <w:ind w:left="60"/>
              <w:spacing w:after="0"/>
              <w:rPr>
                <w:sz w:val="20"/>
                <w:szCs w:val="20"/>
                <w:color w:val="auto"/>
              </w:rPr>
            </w:pPr>
            <w:r>
              <w:rPr>
                <w:rFonts w:ascii="Courier New" w:cs="Courier New" w:eastAsia="Courier New" w:hAnsi="Courier New"/>
                <w:sz w:val="15"/>
                <w:szCs w:val="15"/>
                <w:color w:val="auto"/>
              </w:rPr>
              <w:t>diluted earnings per share</w:t>
            </w:r>
          </w:p>
        </w:tc>
        <w:tc>
          <w:tcPr>
            <w:tcW w:w="2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The effects on pro forma disclosures of applying FAS 123 are not likely to be representative of the effects on pro forma disclosures of future years. Because FAS 123 is applicable only to options granted subsequent to October 28, 1995, the pro forma effect is not fully reflected for fiscal years 1999 and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The Company has 471,934 authorized shares of $1.00 par value Preferred Stock. The Board of Directors is authorized to fix designations, relative rights, preferences and limitations on the preferred stock at the time of issuance. An aggregate of 300,000 shares of preferred stock have been designated as Series A Junior Participating Preferred Stock for issuance in connection with the Company's Stockholder Rights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RIGHTS</w:t>
      </w:r>
    </w:p>
    <w:p>
      <w:pPr>
        <w:spacing w:after="0" w:line="178"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In March 1998, the Board of Directors adopted a Stockholder Rights Plan (the Stockholder Rights Plan) that replaced a plan adopted by the Board in 1988. Pursuant to the Stockholder Rights Plan, after giving effect to the Company's two-for-one stock split effected on March 15, 2000, each share of the Company's Common Stock (Common Stock) currently has an associated one-half of a right. Under certain circumstances, each whole right would entitle the registered holder to purchase from the Company one one-thousandth share of Series A Junior Participating Preferred Stock at a purchase price of $180 in cash, subject to adjustment.</w:t>
      </w:r>
    </w:p>
    <w:p>
      <w:pPr>
        <w:sectPr>
          <w:pgSz w:w="11900" w:h="16838" w:orient="portrait"/>
          <w:cols w:equalWidth="0" w:num="1">
            <w:col w:w="10900"/>
          </w:cols>
          <w:pgMar w:left="240" w:top="291" w:right="759" w:bottom="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900"/>
          </w:cols>
          <w:pgMar w:left="240" w:top="291" w:right="759" w:bottom="0" w:gutter="0" w:footer="0" w:header="0"/>
          <w:type w:val="continuous"/>
        </w:sectPr>
      </w:pPr>
    </w:p>
    <w:bookmarkStart w:id="56" w:name="page57"/>
    <w:bookmarkEnd w:id="56"/>
    <w:p>
      <w:pPr>
        <w:ind w:left="268"/>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rights are not exercisable and cannot be transferred separately from the Common Stock until ten business days (or such later date as may be determined by the Board of Directors) after (i) the public announcement that a person or group of affiliated or associated persons has acquired (or obtained rights to acquire) beneficial ownership of 15% or more of Common Stock or (ii) the commencement of a tender offer or exchange offer that would result in a person or group beneficially owning 20% or more of the outstanding Common Stock. If and when the rights become exercisable, each holder of a right shall have the right to receive, upon exercise, that number of shares of Common Stock (or in certain circumstances, cash property or other securities of the Company) that equals the exercise price of the right divided by 50% of the current market price (as defined in the Stockholder Rights Plan) per share of Common Stock at the date of the occurrence of such event. In the event at any time after any person becomes an acquiring person, (i) the Company is consolidated with, or merged with and into, another entity and the Company is not the surviving entity of such consolidation or merger or if the Company is the surviving entity, but shares of its outstanding common stock are changed or exchanged for stock or securities or cash or any other property, or (ii) 50% or more of the Company's assets or earning power is sold or transferred, each holder of a right shall thereafter have the right to receive upon exercise, that number of shares of common stock of the acquiring company that equals the exercise price of the right divided by 50% of the current market price of such common stock at the date of the occurrence of the event.</w:t>
      </w:r>
    </w:p>
    <w:p>
      <w:pPr>
        <w:spacing w:after="0" w:line="18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rights expire on March 17, 2008 but may be redeemed by the Company for $.001 per right at any time prior to the tenth day following a person's acquisition of 15% or more of the Company's Common Stock. So long as the rights are not separately transferable, each new share of Common Stock issued will have one-half of a right associated with it.</w:t>
      </w:r>
    </w:p>
    <w:p>
      <w:pPr>
        <w:spacing w:after="0" w:line="178"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contribution, if any, up to a maximum of 2% of each participant's total eligible compensation, plus 50% of the contributions between 2% and 4%. The Company also has various defined benefit pension and other retirement plans for certain foreign employees that are consistent with local statutes and practices. The total expense related to all of the Company's retirement plans was approximately $26 million in fiscal 2000 and $21 million in fiscal years 1999 and 1998, which primarily consisted of costs related to the U.S. defined contribution plan. Also included in total expense is pension expense related to foreign defined benefit plans of approximately $3 million for each of the fiscal years 2000, 1999 and 1998.</w:t>
      </w:r>
    </w:p>
    <w:p>
      <w:pPr>
        <w:spacing w:after="0" w:line="18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NON-U.S. PLAN DISCLOSURES</w:t>
      </w:r>
    </w:p>
    <w:p>
      <w:pPr>
        <w:spacing w:after="0" w:line="178" w:lineRule="exact"/>
        <w:rPr>
          <w:sz w:val="20"/>
          <w:szCs w:val="20"/>
          <w:color w:val="auto"/>
        </w:rPr>
      </w:pPr>
    </w:p>
    <w:p>
      <w:pPr>
        <w:ind w:left="8" w:right="3960"/>
        <w:spacing w:after="0" w:line="244" w:lineRule="auto"/>
        <w:rPr>
          <w:sz w:val="20"/>
          <w:szCs w:val="20"/>
          <w:color w:val="auto"/>
        </w:rPr>
      </w:pPr>
      <w:r>
        <w:rPr>
          <w:rFonts w:ascii="Courier New" w:cs="Courier New" w:eastAsia="Courier New" w:hAnsi="Courier New"/>
          <w:sz w:val="15"/>
          <w:szCs w:val="15"/>
          <w:color w:val="auto"/>
        </w:rPr>
        <w:t>The Company's funding policy for its foreign defined benefit pension plans is consistent with the local requirements of each country. The plans' assets consist primarily of U.S. and foreign equity securities, bonds, property and cash.</w:t>
      </w:r>
    </w:p>
    <w:p>
      <w:pPr>
        <w:spacing w:after="0" w:line="176" w:lineRule="exact"/>
        <w:rPr>
          <w:sz w:val="20"/>
          <w:szCs w:val="20"/>
          <w:color w:val="auto"/>
        </w:rPr>
      </w:pPr>
    </w:p>
    <w:p>
      <w:pPr>
        <w:ind w:left="8" w:right="3700"/>
        <w:spacing w:after="0" w:line="243" w:lineRule="auto"/>
        <w:rPr>
          <w:sz w:val="20"/>
          <w:szCs w:val="20"/>
          <w:color w:val="auto"/>
        </w:rPr>
      </w:pPr>
      <w:r>
        <w:rPr>
          <w:rFonts w:ascii="Courier New" w:cs="Courier New" w:eastAsia="Courier New" w:hAnsi="Courier New"/>
          <w:sz w:val="15"/>
          <w:szCs w:val="15"/>
          <w:color w:val="auto"/>
        </w:rPr>
        <w:t>Net annual periodic pension cost of non-U.S. plans is presented in the following table:</w:t>
      </w:r>
    </w:p>
    <w:p>
      <w:pPr>
        <w:spacing w:after="0" w:line="200" w:lineRule="exact"/>
        <w:rPr>
          <w:sz w:val="20"/>
          <w:szCs w:val="20"/>
          <w:color w:val="auto"/>
        </w:rPr>
      </w:pPr>
    </w:p>
    <w:p>
      <w:pPr>
        <w:spacing w:after="0" w:line="322" w:lineRule="exact"/>
        <w:rPr>
          <w:sz w:val="20"/>
          <w:szCs w:val="20"/>
          <w:color w:val="auto"/>
        </w:rPr>
      </w:pPr>
    </w:p>
    <w:p>
      <w:pPr>
        <w:ind w:left="7028"/>
        <w:spacing w:after="0"/>
        <w:tabs>
          <w:tab w:leader="none" w:pos="8627" w:val="left"/>
          <w:tab w:leader="none" w:pos="10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Service cost of</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benefits earned during the year</w:t>
            </w:r>
          </w:p>
        </w:tc>
        <w:tc>
          <w:tcPr>
            <w:tcW w:w="2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4,110</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4,079</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3,208</w:t>
            </w:r>
          </w:p>
        </w:tc>
      </w:tr>
      <w:tr>
        <w:trPr>
          <w:trHeight w:val="173"/>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2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3,085</w:t>
            </w:r>
          </w:p>
        </w:tc>
        <w:tc>
          <w:tcPr>
            <w:tcW w:w="540" w:type="dxa"/>
            <w:vAlign w:val="bottom"/>
          </w:tcPr>
          <w:p>
            <w:pPr>
              <w:spacing w:after="0"/>
              <w:rPr>
                <w:sz w:val="15"/>
                <w:szCs w:val="15"/>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3,273</w:t>
            </w:r>
          </w:p>
        </w:tc>
        <w:tc>
          <w:tcPr>
            <w:tcW w:w="48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3,246</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Expected return</w:t>
            </w:r>
          </w:p>
        </w:tc>
        <w:tc>
          <w:tcPr>
            <w:tcW w:w="4020" w:type="dxa"/>
            <w:vAlign w:val="bottom"/>
          </w:tcPr>
          <w:p>
            <w:pPr>
              <w:ind w:left="60"/>
              <w:spacing w:after="0"/>
              <w:rPr>
                <w:sz w:val="20"/>
                <w:szCs w:val="20"/>
                <w:color w:val="auto"/>
              </w:rPr>
            </w:pPr>
            <w:r>
              <w:rPr>
                <w:rFonts w:ascii="Courier New" w:cs="Courier New" w:eastAsia="Courier New" w:hAnsi="Courier New"/>
                <w:sz w:val="15"/>
                <w:szCs w:val="15"/>
                <w:color w:val="auto"/>
              </w:rPr>
              <w:t>on plan assets</w:t>
            </w:r>
          </w:p>
        </w:tc>
        <w:tc>
          <w:tcPr>
            <w:tcW w:w="2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(8,819)</w:t>
            </w:r>
          </w:p>
        </w:tc>
        <w:tc>
          <w:tcPr>
            <w:tcW w:w="5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(6,052)</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(12,623)</w:t>
            </w:r>
          </w:p>
        </w:tc>
      </w:tr>
      <w:tr>
        <w:trPr>
          <w:trHeight w:val="173"/>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Net amortization and deferrals</w:t>
            </w:r>
          </w:p>
        </w:tc>
        <w:tc>
          <w:tcPr>
            <w:tcW w:w="2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4,588</w:t>
            </w:r>
          </w:p>
        </w:tc>
        <w:tc>
          <w:tcPr>
            <w:tcW w:w="540" w:type="dxa"/>
            <w:vAlign w:val="bottom"/>
          </w:tcPr>
          <w:p>
            <w:pPr>
              <w:spacing w:after="0"/>
              <w:rPr>
                <w:sz w:val="15"/>
                <w:szCs w:val="15"/>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1,846</w:t>
            </w:r>
          </w:p>
        </w:tc>
        <w:tc>
          <w:tcPr>
            <w:tcW w:w="48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9,440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6567" w:val="left"/>
          <w:tab w:leader="none" w:pos="6927" w:val="left"/>
          <w:tab w:leader="none" w:pos="8087" w:val="left"/>
          <w:tab w:leader="none" w:pos="8547" w:val="left"/>
          <w:tab w:leader="none" w:pos="9707" w:val="left"/>
          <w:tab w:leader="none" w:pos="10167" w:val="left"/>
        </w:tabs>
        <w:rPr>
          <w:sz w:val="20"/>
          <w:szCs w:val="20"/>
          <w:color w:val="auto"/>
        </w:rPr>
      </w:pPr>
      <w:r>
        <w:rPr>
          <w:rFonts w:ascii="Courier New" w:cs="Courier New" w:eastAsia="Courier New" w:hAnsi="Courier New"/>
          <w:sz w:val="15"/>
          <w:szCs w:val="15"/>
          <w:color w:val="auto"/>
        </w:rPr>
        <w:t>Net periodic pension cost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2,964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3,146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3,271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908"/>
          </w:cols>
          <w:pgMar w:left="232" w:top="291" w:right="759" w:bottom="1440" w:gutter="0" w:footer="0" w:header="0"/>
        </w:sectPr>
      </w:pP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908"/>
          </w:cols>
          <w:pgMar w:left="232" w:top="291" w:right="759" w:bottom="1440" w:gutter="0" w:footer="0" w:header="0"/>
          <w:type w:val="continuous"/>
        </w:sectPr>
      </w:pPr>
    </w:p>
    <w:bookmarkStart w:id="57" w:name="page58"/>
    <w:bookmarkEnd w:id="57"/>
    <w:p>
      <w:pPr>
        <w:ind w:left="268"/>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960"/>
        <w:spacing w:after="0" w:line="243" w:lineRule="auto"/>
        <w:rPr>
          <w:sz w:val="20"/>
          <w:szCs w:val="20"/>
          <w:color w:val="auto"/>
        </w:rPr>
      </w:pPr>
      <w:r>
        <w:rPr>
          <w:rFonts w:ascii="Courier New" w:cs="Courier New" w:eastAsia="Courier New" w:hAnsi="Courier New"/>
          <w:sz w:val="15"/>
          <w:szCs w:val="15"/>
          <w:color w:val="auto"/>
        </w:rPr>
        <w:t>Obligation and asset data of the plans at fiscal year end is presented in the following table:</w:t>
      </w:r>
    </w:p>
    <w:p>
      <w:pPr>
        <w:spacing w:after="0" w:line="200" w:lineRule="exact"/>
        <w:rPr>
          <w:sz w:val="20"/>
          <w:szCs w:val="20"/>
          <w:color w:val="auto"/>
        </w:rPr>
      </w:pPr>
    </w:p>
    <w:p>
      <w:pPr>
        <w:spacing w:after="0" w:line="322" w:lineRule="exact"/>
        <w:rPr>
          <w:sz w:val="20"/>
          <w:szCs w:val="20"/>
          <w:color w:val="auto"/>
        </w:rPr>
      </w:pPr>
    </w:p>
    <w:p>
      <w:pPr>
        <w:ind w:left="8648"/>
        <w:spacing w:after="0"/>
        <w:tabs>
          <w:tab w:leader="none" w:pos="10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BENEFIT OBLIGATION:</w:t>
            </w:r>
          </w:p>
        </w:tc>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54,914</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56,485</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4,110</w:t>
            </w:r>
          </w:p>
        </w:tc>
        <w:tc>
          <w:tcPr>
            <w:tcW w:w="5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4,079</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3,085</w:t>
            </w:r>
          </w:p>
        </w:tc>
        <w:tc>
          <w:tcPr>
            <w:tcW w:w="5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3,273</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1,299</w:t>
            </w:r>
          </w:p>
        </w:tc>
        <w:tc>
          <w:tcPr>
            <w:tcW w:w="5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1,267</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3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(709)</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(1,540)</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Actuarial (gain)/loss</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5,773</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(7,939)</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Exchange rate adjustment</w:t>
            </w:r>
          </w:p>
        </w:tc>
        <w:tc>
          <w:tcPr>
            <w:tcW w:w="3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(5,166)</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8087" w:val="left"/>
          <w:tab w:leader="none" w:pos="8447" w:val="left"/>
          <w:tab w:leader="none" w:pos="9707" w:val="left"/>
          <w:tab w:leader="none" w:pos="10087" w:val="left"/>
        </w:tabs>
        <w:rPr>
          <w:sz w:val="20"/>
          <w:szCs w:val="20"/>
          <w:color w:val="auto"/>
        </w:rPr>
      </w:pPr>
      <w:r>
        <w:rPr>
          <w:rFonts w:ascii="Courier New" w:cs="Courier New" w:eastAsia="Courier New" w:hAnsi="Courier New"/>
          <w:sz w:val="15"/>
          <w:szCs w:val="15"/>
          <w:color w:val="auto"/>
        </w:rPr>
        <w:t>Ending balance</w:t>
      </w:r>
      <w:r>
        <w:rPr>
          <w:sz w:val="20"/>
          <w:szCs w:val="20"/>
          <w:color w:val="auto"/>
        </w:rPr>
        <w:tab/>
      </w:r>
      <w:r>
        <w:rPr>
          <w:rFonts w:ascii="Courier New" w:cs="Courier New" w:eastAsia="Courier New" w:hAnsi="Courier New"/>
          <w:sz w:val="15"/>
          <w:szCs w:val="15"/>
          <w:color w:val="auto"/>
        </w:rPr>
        <w:t>$</w:t>
        <w:tab/>
        <w:t>63,306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54,914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PLAN ASSETS AT FAIR VALUE:</w:t>
            </w:r>
          </w:p>
        </w:tc>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66,157</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58,784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8,583</w:t>
            </w:r>
          </w:p>
        </w:tc>
        <w:tc>
          <w:tcPr>
            <w:tcW w:w="5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6,052</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Company contributions</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2,125</w:t>
            </w:r>
          </w:p>
        </w:tc>
        <w:tc>
          <w:tcPr>
            <w:tcW w:w="5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39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1,299</w:t>
            </w:r>
          </w:p>
        </w:tc>
        <w:tc>
          <w:tcPr>
            <w:tcW w:w="5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1,267</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3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(709)</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(1,540)</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Exchange rate adjustment</w:t>
            </w:r>
          </w:p>
        </w:tc>
        <w:tc>
          <w:tcPr>
            <w:tcW w:w="3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(7,091)</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8087" w:val="left"/>
          <w:tab w:leader="none" w:pos="8447" w:val="left"/>
          <w:tab w:leader="none" w:pos="9707" w:val="left"/>
          <w:tab w:leader="none" w:pos="10087" w:val="left"/>
        </w:tabs>
        <w:rPr>
          <w:sz w:val="20"/>
          <w:szCs w:val="20"/>
          <w:color w:val="auto"/>
        </w:rPr>
      </w:pPr>
      <w:r>
        <w:rPr>
          <w:rFonts w:ascii="Courier New" w:cs="Courier New" w:eastAsia="Courier New" w:hAnsi="Courier New"/>
          <w:sz w:val="15"/>
          <w:szCs w:val="15"/>
          <w:color w:val="auto"/>
        </w:rPr>
        <w:t>Ending balance</w:t>
      </w:r>
      <w:r>
        <w:rPr>
          <w:sz w:val="20"/>
          <w:szCs w:val="20"/>
          <w:color w:val="auto"/>
        </w:rPr>
        <w:tab/>
      </w:r>
      <w:r>
        <w:rPr>
          <w:rFonts w:ascii="Courier New" w:cs="Courier New" w:eastAsia="Courier New" w:hAnsi="Courier New"/>
          <w:sz w:val="15"/>
          <w:szCs w:val="15"/>
          <w:color w:val="auto"/>
        </w:rPr>
        <w:t>$</w:t>
        <w:tab/>
        <w:t>70,364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66,157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RECONCILIATION OF FUNDED STATUS: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Fund status - Plan assets in excess of benefit obligation</w:t>
            </w:r>
          </w:p>
        </w:tc>
        <w:tc>
          <w:tcPr>
            <w:tcW w:w="2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(7,058)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(11,243)</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Unrecognized</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net gain</w:t>
            </w:r>
          </w:p>
        </w:tc>
        <w:tc>
          <w:tcPr>
            <w:tcW w:w="2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13,496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15,148</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Unrecognized</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prior service cost</w:t>
            </w:r>
          </w:p>
        </w:tc>
        <w:tc>
          <w:tcPr>
            <w:tcW w:w="2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(1,477)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(1,077)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8087" w:val="left"/>
          <w:tab w:leader="none" w:pos="8547" w:val="left"/>
          <w:tab w:leader="none" w:pos="9707" w:val="left"/>
          <w:tab w:leader="none" w:pos="10167" w:val="left"/>
        </w:tabs>
        <w:rPr>
          <w:sz w:val="20"/>
          <w:szCs w:val="20"/>
          <w:color w:val="auto"/>
        </w:rPr>
      </w:pPr>
      <w:r>
        <w:rPr>
          <w:rFonts w:ascii="Courier New" w:cs="Courier New" w:eastAsia="Courier New" w:hAnsi="Courier New"/>
          <w:sz w:val="15"/>
          <w:szCs w:val="15"/>
          <w:color w:val="auto"/>
        </w:rPr>
        <w:t>Net amount recognized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4,961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2,828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rPr>
              <w:t>AMOUNTS RECOGNIZED IN THE BALANCE SHEET CONSIST OF:</w:t>
            </w: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Prepaid</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benefit</w:t>
            </w:r>
          </w:p>
        </w:tc>
        <w:tc>
          <w:tcPr>
            <w:tcW w:w="4960" w:type="dxa"/>
            <w:vAlign w:val="bottom"/>
          </w:tcPr>
          <w:p>
            <w:pPr>
              <w:ind w:left="60"/>
              <w:spacing w:after="0"/>
              <w:rPr>
                <w:sz w:val="20"/>
                <w:szCs w:val="20"/>
                <w:color w:val="auto"/>
              </w:rPr>
            </w:pPr>
            <w:r>
              <w:rPr>
                <w:rFonts w:ascii="Courier New" w:cs="Courier New" w:eastAsia="Courier New" w:hAnsi="Courier New"/>
                <w:sz w:val="15"/>
                <w:szCs w:val="15"/>
                <w:color w:val="auto"/>
              </w:rPr>
              <w:t>cost</w:t>
            </w:r>
          </w:p>
        </w:tc>
        <w:tc>
          <w:tcPr>
            <w:tcW w:w="3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(2,587)</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(4,201)</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benefit</w:t>
            </w:r>
          </w:p>
        </w:tc>
        <w:tc>
          <w:tcPr>
            <w:tcW w:w="4960" w:type="dxa"/>
            <w:vAlign w:val="bottom"/>
          </w:tcPr>
          <w:p>
            <w:pPr>
              <w:ind w:left="60"/>
              <w:spacing w:after="0"/>
              <w:rPr>
                <w:sz w:val="20"/>
                <w:szCs w:val="20"/>
                <w:color w:val="auto"/>
              </w:rPr>
            </w:pPr>
            <w:r>
              <w:rPr>
                <w:rFonts w:ascii="Courier New" w:cs="Courier New" w:eastAsia="Courier New" w:hAnsi="Courier New"/>
                <w:sz w:val="15"/>
                <w:szCs w:val="15"/>
                <w:color w:val="auto"/>
              </w:rPr>
              <w:t>cost</w:t>
            </w:r>
          </w:p>
        </w:tc>
        <w:tc>
          <w:tcPr>
            <w:tcW w:w="3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7,548</w:t>
            </w:r>
          </w:p>
        </w:tc>
        <w:tc>
          <w:tcPr>
            <w:tcW w:w="5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7,029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8087" w:val="left"/>
          <w:tab w:leader="none" w:pos="8547" w:val="left"/>
          <w:tab w:leader="none" w:pos="9707" w:val="left"/>
          <w:tab w:leader="none" w:pos="10167"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4,961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2,828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Accrued benefit cost at October 28, 2000 includes projected benefit obligations of $13.2 million and accumulated benefit obligations of $9.7 million, versus plan assets of $4.9 million for three plans whose obligations exceeded their assets. Accrued benefit cost at October 30, 1999 includes projected benefit obligations of $14.8 million and accumulated benefit obligations of $8.7 million, versus plan assets of $6.4 million for four plans whose obligations exceeded their assets.</w:t>
      </w:r>
    </w:p>
    <w:p>
      <w:pPr>
        <w:spacing w:after="0" w:line="178" w:lineRule="exact"/>
        <w:rPr>
          <w:sz w:val="20"/>
          <w:szCs w:val="20"/>
          <w:color w:val="auto"/>
        </w:rPr>
      </w:pPr>
    </w:p>
    <w:p>
      <w:pPr>
        <w:ind w:left="8" w:right="3780"/>
        <w:spacing w:after="0" w:line="244" w:lineRule="auto"/>
        <w:rPr>
          <w:sz w:val="20"/>
          <w:szCs w:val="20"/>
          <w:color w:val="auto"/>
        </w:rPr>
      </w:pPr>
      <w:r>
        <w:rPr>
          <w:rFonts w:ascii="Courier New" w:cs="Courier New" w:eastAsia="Courier New" w:hAnsi="Courier New"/>
          <w:sz w:val="15"/>
          <w:szCs w:val="15"/>
          <w:color w:val="auto"/>
        </w:rPr>
        <w:t>The range of assumptions used for the non-U.S. defined benefit plans reflects the different economic environments within the various countries. The projected benefit obligation was determined using the following assumptions:</w:t>
      </w:r>
    </w:p>
    <w:p>
      <w:pPr>
        <w:spacing w:after="0" w:line="200" w:lineRule="exact"/>
        <w:rPr>
          <w:sz w:val="20"/>
          <w:szCs w:val="20"/>
          <w:color w:val="auto"/>
        </w:rPr>
      </w:pPr>
    </w:p>
    <w:p>
      <w:pPr>
        <w:spacing w:after="0" w:line="321" w:lineRule="exact"/>
        <w:rPr>
          <w:sz w:val="20"/>
          <w:szCs w:val="20"/>
          <w:color w:val="auto"/>
        </w:rPr>
      </w:pPr>
    </w:p>
    <w:p>
      <w:pPr>
        <w:ind w:left="8648"/>
        <w:spacing w:after="0"/>
        <w:tabs>
          <w:tab w:leader="none" w:pos="10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9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- 12%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Rate of increase in compensation levels</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Expected long-term returns on assets</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3" w:lineRule="exact"/>
        <w:rPr>
          <w:sz w:val="20"/>
          <w:szCs w:val="20"/>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3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w:t>
      </w:r>
    </w:p>
    <w:p>
      <w:pPr>
        <w:sectPr>
          <w:pgSz w:w="11900" w:h="16838" w:orient="portrait"/>
          <w:cols w:equalWidth="0" w:num="1">
            <w:col w:w="10908"/>
          </w:cols>
          <w:pgMar w:left="232" w:top="291" w:right="759" w:bottom="1440" w:gutter="0" w:footer="0" w:header="0"/>
        </w:sectPr>
      </w:pPr>
    </w:p>
    <w:bookmarkStart w:id="58" w:name="page59"/>
    <w:bookmarkEnd w:id="58"/>
    <w:p>
      <w:pPr>
        <w:ind w:left="268"/>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700"/>
        <w:spacing w:after="0" w:line="243" w:lineRule="auto"/>
        <w:rPr>
          <w:sz w:val="20"/>
          <w:szCs w:val="20"/>
          <w:color w:val="auto"/>
        </w:rPr>
      </w:pPr>
      <w:r>
        <w:rPr>
          <w:rFonts w:ascii="Courier New" w:cs="Courier New" w:eastAsia="Courier New" w:hAnsi="Courier New"/>
          <w:sz w:val="15"/>
          <w:szCs w:val="15"/>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322" w:lineRule="exact"/>
        <w:rPr>
          <w:sz w:val="20"/>
          <w:szCs w:val="20"/>
          <w:color w:val="auto"/>
        </w:rPr>
      </w:pPr>
    </w:p>
    <w:p>
      <w:pPr>
        <w:ind w:left="7128"/>
        <w:spacing w:after="0"/>
        <w:tabs>
          <w:tab w:leader="none" w:pos="8627" w:val="left"/>
          <w:tab w:leader="none" w:pos="10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U.S. federal statutory tax rate</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w:t>
            </w:r>
          </w:p>
        </w:tc>
        <w:tc>
          <w:tcPr>
            <w:tcW w:w="500" w:type="dxa"/>
            <w:vAlign w:val="bottom"/>
          </w:tcPr>
          <w:p>
            <w:pPr>
              <w:spacing w:after="0"/>
              <w:rPr>
                <w:sz w:val="14"/>
                <w:szCs w:val="14"/>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tax provision reconciliation:</w:t>
            </w:r>
          </w:p>
        </w:tc>
        <w:tc>
          <w:tcPr>
            <w:tcW w:w="2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Tax at statutory rate</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302,999</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90,139</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52,660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Irish income subject to lower tax rate</w:t>
            </w:r>
          </w:p>
        </w:tc>
        <w:tc>
          <w:tcPr>
            <w:tcW w:w="2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(35,605)</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(25,557)</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(10,960)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Change in valuation allowance</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(5,559)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State income taxes, net of federal benefit</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6,448</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w:t>
            </w:r>
          </w:p>
        </w:tc>
        <w:tc>
          <w:tcPr>
            <w:tcW w:w="50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 tax credits</w:t>
            </w:r>
          </w:p>
        </w:tc>
        <w:tc>
          <w:tcPr>
            <w:tcW w:w="2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(11,288)</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(2,700)</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Foreign Sales Corporation</w:t>
            </w:r>
          </w:p>
        </w:tc>
        <w:tc>
          <w:tcPr>
            <w:tcW w:w="2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(5,392)</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(4,923)</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(1,745)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1,037</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1,189</w:t>
            </w:r>
          </w:p>
        </w:tc>
        <w:tc>
          <w:tcPr>
            <w:tcW w:w="50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foreign tax in excess of</w:t>
            </w:r>
          </w:p>
        </w:tc>
        <w:tc>
          <w:tcPr>
            <w:tcW w:w="2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U.S. federal statutory tax rate</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428</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w:t>
            </w:r>
          </w:p>
        </w:tc>
        <w:tc>
          <w:tcPr>
            <w:tcW w:w="50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2,469</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spacing w:after="0"/>
        <w:tabs>
          <w:tab w:leader="none" w:pos="6567" w:val="left"/>
          <w:tab w:leader="none" w:pos="6827" w:val="left"/>
          <w:tab w:leader="none" w:pos="8087" w:val="left"/>
          <w:tab w:leader="none" w:pos="8447" w:val="left"/>
          <w:tab w:leader="none" w:pos="9627" w:val="left"/>
          <w:tab w:leader="none" w:pos="10087" w:val="left"/>
        </w:tabs>
        <w:rPr>
          <w:sz w:val="20"/>
          <w:szCs w:val="20"/>
          <w:color w:val="auto"/>
        </w:rPr>
      </w:pPr>
      <w:r>
        <w:rPr>
          <w:rFonts w:ascii="Courier New" w:cs="Courier New" w:eastAsia="Courier New" w:hAnsi="Courier New"/>
          <w:sz w:val="15"/>
          <w:szCs w:val="15"/>
          <w:color w:val="auto"/>
        </w:rPr>
        <w:t>Total income tax provision</w:t>
      </w:r>
      <w:r>
        <w:rPr>
          <w:sz w:val="20"/>
          <w:szCs w:val="20"/>
          <w:color w:val="auto"/>
        </w:rPr>
        <w:tab/>
      </w:r>
      <w:r>
        <w:rPr>
          <w:rFonts w:ascii="Courier New" w:cs="Courier New" w:eastAsia="Courier New" w:hAnsi="Courier New"/>
          <w:sz w:val="15"/>
          <w:szCs w:val="15"/>
          <w:color w:val="auto"/>
        </w:rPr>
        <w:t>$</w:t>
        <w:tab/>
        <w:t>258,579</w:t>
      </w:r>
      <w:r>
        <w:rPr>
          <w:sz w:val="20"/>
          <w:szCs w:val="20"/>
          <w:color w:val="auto"/>
        </w:rPr>
        <w:tab/>
      </w:r>
      <w:r>
        <w:rPr>
          <w:rFonts w:ascii="Courier New" w:cs="Courier New" w:eastAsia="Courier New" w:hAnsi="Courier New"/>
          <w:sz w:val="15"/>
          <w:szCs w:val="15"/>
          <w:color w:val="auto"/>
        </w:rPr>
        <w:t>$</w:t>
        <w:tab/>
        <w:t>60,721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30,971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right="4320"/>
        <w:spacing w:after="0" w:line="243" w:lineRule="auto"/>
        <w:rPr>
          <w:sz w:val="20"/>
          <w:szCs w:val="20"/>
          <w:color w:val="auto"/>
        </w:rPr>
      </w:pPr>
      <w:r>
        <w:rPr>
          <w:rFonts w:ascii="Courier New" w:cs="Courier New" w:eastAsia="Courier New" w:hAnsi="Courier New"/>
          <w:sz w:val="15"/>
          <w:szCs w:val="15"/>
          <w:color w:val="auto"/>
        </w:rPr>
        <w:t>For financial reporting purposes, income before income taxes includes the following components:</w:t>
      </w:r>
    </w:p>
    <w:p>
      <w:pPr>
        <w:spacing w:after="0" w:line="200" w:lineRule="exact"/>
        <w:rPr>
          <w:sz w:val="20"/>
          <w:szCs w:val="20"/>
          <w:color w:val="auto"/>
        </w:rPr>
      </w:pPr>
    </w:p>
    <w:p>
      <w:pPr>
        <w:spacing w:after="0" w:line="322" w:lineRule="exact"/>
        <w:rPr>
          <w:sz w:val="20"/>
          <w:szCs w:val="20"/>
          <w:color w:val="auto"/>
        </w:rPr>
      </w:pPr>
    </w:p>
    <w:p>
      <w:pPr>
        <w:ind w:left="7128"/>
        <w:spacing w:after="0"/>
        <w:tabs>
          <w:tab w:leader="none" w:pos="8627" w:val="left"/>
          <w:tab w:leader="none" w:pos="10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3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Domestic</w:t>
            </w:r>
          </w:p>
        </w:tc>
        <w:tc>
          <w:tcPr>
            <w:tcW w:w="3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622,331</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114,333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34,290</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3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243,380</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143,207</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116,169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6588"/>
        <w:spacing w:after="0"/>
        <w:tabs>
          <w:tab w:leader="none" w:pos="6827" w:val="left"/>
          <w:tab w:leader="none" w:pos="8087" w:val="left"/>
          <w:tab w:leader="none" w:pos="8367" w:val="left"/>
          <w:tab w:leader="none" w:pos="9707" w:val="left"/>
          <w:tab w:leader="none" w:pos="9987" w:val="left"/>
        </w:tabs>
        <w:rPr>
          <w:sz w:val="20"/>
          <w:szCs w:val="20"/>
          <w:color w:val="auto"/>
        </w:rPr>
      </w:pPr>
      <w:r>
        <w:rPr>
          <w:rFonts w:ascii="Courier New" w:cs="Courier New" w:eastAsia="Courier New" w:hAnsi="Courier New"/>
          <w:sz w:val="15"/>
          <w:szCs w:val="15"/>
          <w:color w:val="auto"/>
        </w:rPr>
        <w:t>$</w:t>
        <w:tab/>
        <w:t>865,711</w:t>
      </w:r>
      <w:r>
        <w:rPr>
          <w:sz w:val="20"/>
          <w:szCs w:val="20"/>
          <w:color w:val="auto"/>
        </w:rPr>
        <w:tab/>
      </w:r>
      <w:r>
        <w:rPr>
          <w:rFonts w:ascii="Courier New" w:cs="Courier New" w:eastAsia="Courier New" w:hAnsi="Courier New"/>
          <w:sz w:val="15"/>
          <w:szCs w:val="15"/>
          <w:color w:val="auto"/>
        </w:rPr>
        <w:t>$</w:t>
        <w:tab/>
        <w:t>257,540</w:t>
      </w:r>
      <w:r>
        <w:rPr>
          <w:sz w:val="20"/>
          <w:szCs w:val="20"/>
          <w:color w:val="auto"/>
        </w:rPr>
        <w:tab/>
      </w:r>
      <w:r>
        <w:rPr>
          <w:rFonts w:ascii="Courier New" w:cs="Courier New" w:eastAsia="Courier New" w:hAnsi="Courier New"/>
          <w:sz w:val="15"/>
          <w:szCs w:val="15"/>
          <w:color w:val="auto"/>
        </w:rPr>
        <w:t>$</w:t>
        <w:tab/>
        <w:t>150,459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24" w:lineRule="exact"/>
        <w:rPr>
          <w:sz w:val="20"/>
          <w:szCs w:val="20"/>
          <w:color w:val="auto"/>
        </w:rPr>
      </w:pPr>
    </w:p>
    <w:p>
      <w:pPr>
        <w:ind w:left="7128"/>
        <w:spacing w:after="0"/>
        <w:tabs>
          <w:tab w:leader="none" w:pos="8627" w:val="left"/>
          <w:tab w:leader="none" w:pos="10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224,413</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19,949</w:t>
            </w:r>
          </w:p>
        </w:tc>
        <w:tc>
          <w:tcPr>
            <w:tcW w:w="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24,588</w:t>
            </w:r>
          </w:p>
        </w:tc>
      </w:tr>
      <w:tr>
        <w:trPr>
          <w:trHeight w:val="173"/>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37,205</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23,790</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17,983</w:t>
            </w:r>
          </w:p>
        </w:tc>
      </w:tr>
      <w:tr>
        <w:trPr>
          <w:trHeight w:val="173"/>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9,505</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400</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772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6567" w:val="left"/>
          <w:tab w:leader="none" w:pos="6827" w:val="left"/>
          <w:tab w:leader="none" w:pos="8087" w:val="left"/>
          <w:tab w:leader="none" w:pos="8447" w:val="left"/>
          <w:tab w:leader="none" w:pos="9707" w:val="left"/>
          <w:tab w:leader="none" w:pos="10087" w:val="left"/>
        </w:tabs>
        <w:rPr>
          <w:sz w:val="20"/>
          <w:szCs w:val="20"/>
          <w:color w:val="auto"/>
        </w:rPr>
      </w:pPr>
      <w:r>
        <w:rPr>
          <w:rFonts w:ascii="Courier New" w:cs="Courier New" w:eastAsia="Courier New" w:hAnsi="Courier New"/>
          <w:sz w:val="15"/>
          <w:szCs w:val="15"/>
          <w:color w:val="auto"/>
        </w:rPr>
        <w:t>Total current</w:t>
      </w:r>
      <w:r>
        <w:rPr>
          <w:sz w:val="20"/>
          <w:szCs w:val="20"/>
          <w:color w:val="auto"/>
        </w:rPr>
        <w:tab/>
      </w:r>
      <w:r>
        <w:rPr>
          <w:rFonts w:ascii="Courier New" w:cs="Courier New" w:eastAsia="Courier New" w:hAnsi="Courier New"/>
          <w:sz w:val="15"/>
          <w:szCs w:val="15"/>
          <w:color w:val="auto"/>
        </w:rPr>
        <w:t>$</w:t>
        <w:tab/>
        <w:t>271,123</w:t>
      </w:r>
      <w:r>
        <w:rPr>
          <w:sz w:val="20"/>
          <w:szCs w:val="20"/>
          <w:color w:val="auto"/>
        </w:rPr>
        <w:tab/>
      </w:r>
      <w:r>
        <w:rPr>
          <w:rFonts w:ascii="Courier New" w:cs="Courier New" w:eastAsia="Courier New" w:hAnsi="Courier New"/>
          <w:sz w:val="15"/>
          <w:szCs w:val="15"/>
          <w:color w:val="auto"/>
        </w:rPr>
        <w:t>$</w:t>
        <w:tab/>
        <w:t>44,139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43,343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(prepaid):</w:t>
            </w:r>
          </w:p>
        </w:tc>
        <w:tc>
          <w:tcPr>
            <w:tcW w:w="3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3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(11,807)</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16,262</w:t>
            </w:r>
          </w:p>
        </w:tc>
        <w:tc>
          <w:tcPr>
            <w:tcW w:w="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(7,792)</w:t>
            </w: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3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(737)</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w:t>
            </w: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(4,580)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deferred (prepaid)</w:t>
            </w:r>
          </w:p>
        </w:tc>
        <w:tc>
          <w:tcPr>
            <w:tcW w:w="3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(12,544)</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16,582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(12,372)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908"/>
          </w:cols>
          <w:pgMar w:left="232" w:top="291" w:right="759"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Company's practice is to reinvest indefinitely the earnings of certain international subsidiaries. Accordingly, no U.S. income taxes have been provided for approximately $714,467,000 of unremitted earnings of international subsidiaries.</w:t>
      </w:r>
    </w:p>
    <w:p>
      <w:pPr>
        <w:spacing w:after="0" w:line="176" w:lineRule="exact"/>
        <w:rPr>
          <w:sz w:val="20"/>
          <w:szCs w:val="20"/>
          <w:color w:val="auto"/>
        </w:rPr>
      </w:pPr>
    </w:p>
    <w:p>
      <w:pPr>
        <w:ind w:left="8" w:right="3700"/>
        <w:spacing w:after="0" w:line="278" w:lineRule="auto"/>
        <w:rPr>
          <w:sz w:val="20"/>
          <w:szCs w:val="20"/>
          <w:color w:val="auto"/>
        </w:rPr>
      </w:pPr>
      <w:r>
        <w:rPr>
          <w:rFonts w:ascii="Courier New" w:cs="Courier New" w:eastAsia="Courier New" w:hAnsi="Courier New"/>
          <w:sz w:val="14"/>
          <w:szCs w:val="14"/>
          <w:color w:val="auto"/>
        </w:rPr>
        <w:t>The significant components of the Company's deferred tax assets and liabilities for the fiscal years ended October 28, 2000 and October 30, 1999 are as follows:</w:t>
      </w:r>
    </w:p>
    <w:p>
      <w:pPr>
        <w:spacing w:after="0" w:line="200" w:lineRule="exact"/>
        <w:rPr>
          <w:sz w:val="20"/>
          <w:szCs w:val="20"/>
          <w:color w:val="auto"/>
        </w:rPr>
      </w:pPr>
    </w:p>
    <w:p>
      <w:pPr>
        <w:spacing w:after="0" w:line="299" w:lineRule="exact"/>
        <w:rPr>
          <w:sz w:val="20"/>
          <w:szCs w:val="20"/>
          <w:color w:val="auto"/>
        </w:rPr>
      </w:pPr>
    </w:p>
    <w:p>
      <w:pPr>
        <w:ind w:left="8388"/>
        <w:spacing w:after="0"/>
        <w:tabs>
          <w:tab w:leader="none" w:pos="10267"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6040" w:type="dxa"/>
            <w:vAlign w:val="bottom"/>
          </w:tcPr>
          <w:p>
            <w:pPr>
              <w:ind w:left="260"/>
              <w:spacing w:after="0"/>
              <w:rPr>
                <w:sz w:val="20"/>
                <w:szCs w:val="20"/>
                <w:color w:val="auto"/>
              </w:rPr>
            </w:pPr>
            <w:r>
              <w:rPr>
                <w:rFonts w:ascii="Courier New" w:cs="Courier New" w:eastAsia="Courier New" w:hAnsi="Courier New"/>
                <w:sz w:val="15"/>
                <w:szCs w:val="15"/>
                <w:color w:val="auto"/>
              </w:rPr>
              <w:t>Inventory reserves</w:t>
            </w:r>
          </w:p>
        </w:tc>
        <w:tc>
          <w:tcPr>
            <w:tcW w:w="3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34,702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32,816</w:t>
            </w:r>
          </w:p>
        </w:tc>
      </w:tr>
      <w:tr>
        <w:trPr>
          <w:trHeight w:val="173"/>
        </w:trPr>
        <w:tc>
          <w:tcPr>
            <w:tcW w:w="60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on shipments to distributors</w:t>
            </w:r>
          </w:p>
        </w:tc>
        <w:tc>
          <w:tcPr>
            <w:tcW w:w="3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45,864</w:t>
            </w:r>
          </w:p>
        </w:tc>
        <w:tc>
          <w:tcPr>
            <w:tcW w:w="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34,750</w:t>
            </w:r>
          </w:p>
        </w:tc>
      </w:tr>
      <w:tr>
        <w:trPr>
          <w:trHeight w:val="173"/>
        </w:trPr>
        <w:tc>
          <w:tcPr>
            <w:tcW w:w="6040" w:type="dxa"/>
            <w:vAlign w:val="bottom"/>
          </w:tcPr>
          <w:p>
            <w:pPr>
              <w:ind w:left="260"/>
              <w:spacing w:after="0"/>
              <w:rPr>
                <w:sz w:val="20"/>
                <w:szCs w:val="20"/>
                <w:color w:val="auto"/>
              </w:rPr>
            </w:pPr>
            <w:r>
              <w:rPr>
                <w:rFonts w:ascii="Courier New" w:cs="Courier New" w:eastAsia="Courier New" w:hAnsi="Courier New"/>
                <w:sz w:val="15"/>
                <w:szCs w:val="15"/>
                <w:color w:val="auto"/>
              </w:rPr>
              <w:t>Reserves for compensation and benefits</w:t>
            </w:r>
          </w:p>
        </w:tc>
        <w:tc>
          <w:tcPr>
            <w:tcW w:w="3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21,968</w:t>
            </w:r>
          </w:p>
        </w:tc>
        <w:tc>
          <w:tcPr>
            <w:tcW w:w="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12,769</w:t>
            </w:r>
          </w:p>
        </w:tc>
      </w:tr>
      <w:tr>
        <w:trPr>
          <w:trHeight w:val="173"/>
        </w:trPr>
        <w:tc>
          <w:tcPr>
            <w:tcW w:w="6040" w:type="dxa"/>
            <w:vAlign w:val="bottom"/>
          </w:tcPr>
          <w:p>
            <w:pPr>
              <w:ind w:left="260"/>
              <w:spacing w:after="0"/>
              <w:rPr>
                <w:sz w:val="20"/>
                <w:szCs w:val="20"/>
                <w:color w:val="auto"/>
              </w:rPr>
            </w:pPr>
            <w:r>
              <w:rPr>
                <w:rFonts w:ascii="Courier New" w:cs="Courier New" w:eastAsia="Courier New" w:hAnsi="Courier New"/>
                <w:sz w:val="15"/>
                <w:szCs w:val="15"/>
                <w:color w:val="auto"/>
              </w:rPr>
              <w:t>Intercompany profits in foreign inventories</w:t>
            </w:r>
          </w:p>
        </w:tc>
        <w:tc>
          <w:tcPr>
            <w:tcW w:w="3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2,945</w:t>
            </w:r>
          </w:p>
        </w:tc>
        <w:tc>
          <w:tcPr>
            <w:tcW w:w="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5,181</w:t>
            </w:r>
          </w:p>
        </w:tc>
      </w:tr>
      <w:tr>
        <w:trPr>
          <w:trHeight w:val="173"/>
        </w:trPr>
        <w:tc>
          <w:tcPr>
            <w:tcW w:w="60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3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8,730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gross deferred tax assets</w:t>
            </w:r>
          </w:p>
        </w:tc>
        <w:tc>
          <w:tcPr>
            <w:tcW w:w="37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105,479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94,246</w:t>
            </w:r>
          </w:p>
        </w:tc>
      </w:tr>
    </w:tbl>
    <w:p>
      <w:pPr>
        <w:spacing w:after="0" w:line="3" w:lineRule="exact"/>
        <w:rPr>
          <w:sz w:val="20"/>
          <w:szCs w:val="20"/>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liabilities:</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47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(46,729)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(44,468)</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7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(966)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spacing w:after="0"/>
        <w:tabs>
          <w:tab w:leader="none" w:pos="8087" w:val="left"/>
          <w:tab w:leader="none" w:pos="9987" w:val="left"/>
        </w:tabs>
        <w:rPr>
          <w:sz w:val="20"/>
          <w:szCs w:val="20"/>
          <w:color w:val="auto"/>
        </w:rPr>
      </w:pPr>
      <w:r>
        <w:rPr>
          <w:rFonts w:ascii="Courier New" w:cs="Courier New" w:eastAsia="Courier New" w:hAnsi="Courier New"/>
          <w:sz w:val="15"/>
          <w:szCs w:val="15"/>
          <w:color w:val="auto"/>
        </w:rPr>
        <w:t>Total gross deferred tax liabilities</w:t>
      </w:r>
      <w:r>
        <w:rPr>
          <w:sz w:val="20"/>
          <w:szCs w:val="20"/>
          <w:color w:val="auto"/>
        </w:rPr>
        <w:tab/>
      </w:r>
      <w:r>
        <w:rPr>
          <w:rFonts w:ascii="Courier New" w:cs="Courier New" w:eastAsia="Courier New" w:hAnsi="Courier New"/>
          <w:sz w:val="15"/>
          <w:szCs w:val="15"/>
          <w:color w:val="auto"/>
        </w:rPr>
        <w:t>(47,695)</w:t>
      </w:r>
      <w:r>
        <w:rPr>
          <w:sz w:val="20"/>
          <w:szCs w:val="20"/>
          <w:color w:val="auto"/>
        </w:rPr>
        <w:tab/>
      </w:r>
      <w:r>
        <w:rPr>
          <w:rFonts w:ascii="Courier New" w:cs="Courier New" w:eastAsia="Courier New" w:hAnsi="Courier New"/>
          <w:sz w:val="15"/>
          <w:szCs w:val="15"/>
          <w:color w:val="auto"/>
        </w:rPr>
        <w:t>(44,468)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628"/>
        <w:spacing w:after="0"/>
        <w:tabs>
          <w:tab w:leader="none" w:pos="7827" w:val="left"/>
          <w:tab w:leader="none" w:pos="8187" w:val="left"/>
          <w:tab w:leader="none" w:pos="9707" w:val="left"/>
          <w:tab w:leader="none" w:pos="10087" w:val="left"/>
        </w:tabs>
        <w:rPr>
          <w:sz w:val="20"/>
          <w:szCs w:val="20"/>
          <w:color w:val="auto"/>
        </w:rPr>
      </w:pPr>
      <w:r>
        <w:rPr>
          <w:rFonts w:ascii="Courier New" w:cs="Courier New" w:eastAsia="Courier New" w:hAnsi="Courier New"/>
          <w:sz w:val="15"/>
          <w:szCs w:val="15"/>
          <w:color w:val="auto"/>
        </w:rPr>
        <w:t>Net deferred tax assets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57,784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49,778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Company completed the acquisition of ChipLogic, Inc. (ChipLogic) of Santa Clara, California on January 4, 2001, in a transaction valued at approximately $86 million. ChipLogic is a developer of high-performance integrated circuits and software focused on the convergence of voice, broadband access and network protocol processing. The Company has filed a registration statement in connection with this transaction with the Securities and Exchange Commission. The transaction is being effected in the form of a merger of a wholly owned subsidiary of the Company into ChipLogic under which the Company will issue one share of common stock for each share of ChipLogic common stock. ChipLogic had approximately 1.65 million shares of common stock outstanding on a fully diluted basis.</w:t>
      </w:r>
    </w:p>
    <w:p>
      <w:pPr>
        <w:spacing w:after="0" w:line="180"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Through January 17, 2001, the Company also completed four smaller acquisitions in transactions that had a total value of approximately $50 million, including contingent consideration. These transactions are expected to be accounted for as purchases.</w:t>
      </w:r>
    </w:p>
    <w:p>
      <w:pPr>
        <w:spacing w:after="0" w:line="176"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On December 27, 2000, the Company sold its investment in WaferTech, LLC to Taiwan Semiconductor Manufacturing Company for approximately $61 million. In the first quarter of fiscal 2001, the Company will record a pretax realized gain on the sale of this investment of approximately $28 million.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908"/>
          </w:cols>
          <w:pgMar w:left="232" w:top="291" w:right="759"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Analog Devices, Inc. as of October 28, 2000 and October 30, 1999, and the related consolidated statements of income, stockholders' equity and cash flows for each of the three years in the period ended October 28, 2000.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Analog Devices, Inc. at October 28, 2000 and October 30, 1999, and the consolidated results of its operations and its cash flows for each of the three years in the period ended October 28, 2000, in conformity with accounting principles generally accepted in the United States.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As discussed in Notes 2(n) and 5 to the consolidated financial statements, in the fiscal year ended October 31, 1998, the Company changed its method for recognizing revenue on certain shipments to distributors.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 Ernst &amp; Young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13, 2000, except for Note 15,</w:t>
      </w:r>
    </w:p>
    <w:p>
      <w:pPr>
        <w:spacing w:after="0" w:line="4"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4"/>
          <w:szCs w:val="14"/>
          <w:color w:val="auto"/>
        </w:rPr>
        <w:t>as to which the date is January 17, 2001.</w:t>
      </w:r>
    </w:p>
    <w:p>
      <w:pPr>
        <w:spacing w:after="0" w:line="187"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1"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592"/>
        <w:spacing w:after="0"/>
        <w:rPr>
          <w:sz w:val="20"/>
          <w:szCs w:val="20"/>
          <w:color w:val="auto"/>
        </w:rPr>
      </w:pPr>
      <w:r>
        <w:rPr>
          <w:rFonts w:ascii="Courier New" w:cs="Courier New" w:eastAsia="Courier New" w:hAnsi="Courier New"/>
          <w:sz w:val="15"/>
          <w:szCs w:val="15"/>
          <w:color w:val="auto"/>
        </w:rPr>
        <w:t>SUPPLEMENTARY FINANCIAL INFORMATION (UNAUDITED)</w:t>
      </w:r>
    </w:p>
    <w:p>
      <w:pPr>
        <w:spacing w:after="0" w:line="178" w:lineRule="exact"/>
        <w:rPr>
          <w:sz w:val="20"/>
          <w:szCs w:val="20"/>
          <w:color w:val="auto"/>
        </w:rPr>
      </w:pPr>
    </w:p>
    <w:p>
      <w:pPr>
        <w:ind w:left="8" w:right="4240"/>
        <w:spacing w:after="0" w:line="243" w:lineRule="auto"/>
        <w:rPr>
          <w:sz w:val="20"/>
          <w:szCs w:val="20"/>
          <w:color w:val="auto"/>
        </w:rPr>
      </w:pPr>
      <w:r>
        <w:rPr>
          <w:rFonts w:ascii="Courier New" w:cs="Courier New" w:eastAsia="Courier New" w:hAnsi="Courier New"/>
          <w:sz w:val="15"/>
          <w:szCs w:val="15"/>
          <w:color w:val="auto"/>
        </w:rPr>
        <w:t>Quarterly financial information for fiscal 2000 and fiscal 1999 (thousands except as noted):</w:t>
      </w:r>
    </w:p>
    <w:p>
      <w:pPr>
        <w:spacing w:after="0" w:line="200" w:lineRule="exact"/>
        <w:rPr>
          <w:sz w:val="20"/>
          <w:szCs w:val="20"/>
          <w:color w:val="auto"/>
        </w:rPr>
      </w:pPr>
    </w:p>
    <w:p>
      <w:pPr>
        <w:spacing w:after="0" w:line="322" w:lineRule="exact"/>
        <w:rPr>
          <w:sz w:val="20"/>
          <w:szCs w:val="20"/>
          <w:color w:val="auto"/>
        </w:rPr>
      </w:pPr>
    </w:p>
    <w:p>
      <w:pPr>
        <w:ind w:left="3328"/>
        <w:spacing w:after="0"/>
        <w:tabs>
          <w:tab w:leader="none" w:pos="4307" w:val="left"/>
          <w:tab w:leader="none" w:pos="5307" w:val="left"/>
          <w:tab w:leader="none" w:pos="6287" w:val="left"/>
          <w:tab w:leader="none" w:pos="7287" w:val="left"/>
          <w:tab w:leader="none" w:pos="8267" w:val="left"/>
          <w:tab w:leader="none" w:pos="9267" w:val="left"/>
          <w:tab w:leader="none" w:pos="10267" w:val="left"/>
        </w:tabs>
        <w:rPr>
          <w:sz w:val="20"/>
          <w:szCs w:val="20"/>
          <w:color w:val="auto"/>
        </w:rPr>
      </w:pPr>
      <w:r>
        <w:rPr>
          <w:rFonts w:ascii="Courier New" w:cs="Courier New" w:eastAsia="Courier New" w:hAnsi="Courier New"/>
          <w:sz w:val="15"/>
          <w:szCs w:val="15"/>
          <w:color w:val="auto"/>
        </w:rPr>
        <w:t>4Q00</w:t>
      </w:r>
      <w:r>
        <w:rPr>
          <w:sz w:val="20"/>
          <w:szCs w:val="20"/>
          <w:color w:val="auto"/>
        </w:rPr>
        <w:tab/>
      </w:r>
      <w:r>
        <w:rPr>
          <w:rFonts w:ascii="Courier New" w:cs="Courier New" w:eastAsia="Courier New" w:hAnsi="Courier New"/>
          <w:sz w:val="15"/>
          <w:szCs w:val="15"/>
          <w:color w:val="auto"/>
        </w:rPr>
        <w:t>3Q00</w:t>
      </w:r>
      <w:r>
        <w:rPr>
          <w:sz w:val="20"/>
          <w:szCs w:val="20"/>
          <w:color w:val="auto"/>
        </w:rPr>
        <w:tab/>
      </w:r>
      <w:r>
        <w:rPr>
          <w:rFonts w:ascii="Courier New" w:cs="Courier New" w:eastAsia="Courier New" w:hAnsi="Courier New"/>
          <w:sz w:val="15"/>
          <w:szCs w:val="15"/>
          <w:color w:val="auto"/>
        </w:rPr>
        <w:t>2Q00</w:t>
      </w:r>
      <w:r>
        <w:rPr>
          <w:sz w:val="20"/>
          <w:szCs w:val="20"/>
          <w:color w:val="auto"/>
        </w:rPr>
        <w:tab/>
      </w:r>
      <w:r>
        <w:rPr>
          <w:rFonts w:ascii="Courier New" w:cs="Courier New" w:eastAsia="Courier New" w:hAnsi="Courier New"/>
          <w:sz w:val="15"/>
          <w:szCs w:val="15"/>
          <w:color w:val="auto"/>
        </w:rPr>
        <w:t>1Q00</w:t>
      </w:r>
      <w:r>
        <w:rPr>
          <w:sz w:val="20"/>
          <w:szCs w:val="20"/>
          <w:color w:val="auto"/>
        </w:rPr>
        <w:tab/>
      </w:r>
      <w:r>
        <w:rPr>
          <w:rFonts w:ascii="Courier New" w:cs="Courier New" w:eastAsia="Courier New" w:hAnsi="Courier New"/>
          <w:sz w:val="15"/>
          <w:szCs w:val="15"/>
          <w:color w:val="auto"/>
        </w:rPr>
        <w:t>4Q99</w:t>
      </w:r>
      <w:r>
        <w:rPr>
          <w:sz w:val="20"/>
          <w:szCs w:val="20"/>
          <w:color w:val="auto"/>
        </w:rPr>
        <w:tab/>
      </w:r>
      <w:r>
        <w:rPr>
          <w:rFonts w:ascii="Courier New" w:cs="Courier New" w:eastAsia="Courier New" w:hAnsi="Courier New"/>
          <w:sz w:val="15"/>
          <w:szCs w:val="15"/>
          <w:color w:val="auto"/>
        </w:rPr>
        <w:t>3Q99</w:t>
      </w:r>
      <w:r>
        <w:rPr>
          <w:sz w:val="20"/>
          <w:szCs w:val="20"/>
          <w:color w:val="auto"/>
        </w:rPr>
        <w:tab/>
      </w:r>
      <w:r>
        <w:rPr>
          <w:rFonts w:ascii="Courier New" w:cs="Courier New" w:eastAsia="Courier New" w:hAnsi="Courier New"/>
          <w:sz w:val="15"/>
          <w:szCs w:val="15"/>
          <w:color w:val="auto"/>
        </w:rPr>
        <w:t>2Q99</w:t>
      </w:r>
      <w:r>
        <w:rPr>
          <w:sz w:val="20"/>
          <w:szCs w:val="20"/>
          <w:color w:val="auto"/>
        </w:rPr>
        <w:tab/>
      </w:r>
      <w:r>
        <w:rPr>
          <w:rFonts w:ascii="Courier New" w:cs="Courier New" w:eastAsia="Courier New" w:hAnsi="Courier New"/>
          <w:sz w:val="15"/>
          <w:szCs w:val="15"/>
          <w:color w:val="auto"/>
        </w:rPr>
        <w:t>1Q99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805,617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700,658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490,277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431,036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378,776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300,500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Cost</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333,730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300,519</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257,184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225,087</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205,922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190,481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176,435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162,805</w:t>
            </w:r>
          </w:p>
        </w:tc>
      </w:tr>
      <w:tr>
        <w:trPr>
          <w:trHeight w:val="173"/>
        </w:trPr>
        <w:tc>
          <w:tcPr>
            <w:tcW w:w="2120" w:type="dxa"/>
            <w:vAlign w:val="bottom"/>
            <w:gridSpan w:val="3"/>
          </w:tcPr>
          <w:p>
            <w:pPr>
              <w:jc w:val="center"/>
              <w:ind w:right="965"/>
              <w:spacing w:after="0"/>
              <w:rPr>
                <w:sz w:val="20"/>
                <w:szCs w:val="20"/>
                <w:color w:val="auto"/>
              </w:rPr>
            </w:pPr>
            <w:r>
              <w:rPr>
                <w:rFonts w:ascii="Courier New" w:cs="Courier New" w:eastAsia="Courier New" w:hAnsi="Courier New"/>
                <w:sz w:val="15"/>
                <w:szCs w:val="15"/>
                <w:color w:val="auto"/>
                <w:w w:val="99"/>
              </w:rPr>
              <w:t>Gross margin</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471,887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400,139</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323,811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265,190</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225,114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188,295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163,632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137,695</w:t>
            </w:r>
          </w:p>
        </w:tc>
      </w:tr>
      <w:tr>
        <w:trPr>
          <w:trHeight w:val="17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1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bl>
    <w:p>
      <w:pPr>
        <w:spacing w:after="0" w:line="3"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Research</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and development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123,423</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103,429</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90,702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83,012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75,414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67,142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61,899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52,584</w:t>
            </w:r>
          </w:p>
        </w:tc>
      </w:tr>
      <w:tr>
        <w:trPr>
          <w:trHeight w:val="173"/>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Purchased in- process research</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development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Selling,</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marketing, general</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administrative</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80,569</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77,198</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71,073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64,524</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59,702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54,589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49,167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46,181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203,992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180,627</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161,775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147,536</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135,116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121,731</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116,206</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98,765</w:t>
            </w:r>
          </w:p>
        </w:tc>
      </w:tr>
      <w:tr>
        <w:trPr>
          <w:trHeight w:val="173"/>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 of sales</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7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Operating</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267,895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219,512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162,036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117,654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89,998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66,564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47,426</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38,930</w:t>
            </w:r>
          </w:p>
        </w:tc>
      </w:tr>
      <w:tr>
        <w:trPr>
          <w:trHeight w:val="173"/>
        </w:trPr>
        <w:tc>
          <w:tcPr>
            <w:tcW w:w="12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of sales</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7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Equity in</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loss of WaferTech</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1,149</w:t>
            </w:r>
          </w:p>
        </w:tc>
      </w:tr>
    </w:tbl>
    <w:p>
      <w:pPr>
        <w:spacing w:after="0" w:line="3" w:lineRule="exact"/>
        <w:rPr>
          <w:sz w:val="20"/>
          <w:szCs w:val="20"/>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Nonoperating expenses (income):</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5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2,978</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2,439</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4,111</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(22,160)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(15,769)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(13,595)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(11,906)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(9,428)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(6,881)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1,732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(44,020)*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609</w:t>
            </w:r>
          </w:p>
        </w:tc>
      </w:tr>
    </w:tbl>
    <w:p>
      <w:pPr>
        <w:spacing w:after="0" w:line="3" w:lineRule="exact"/>
        <w:rPr>
          <w:sz w:val="20"/>
          <w:szCs w:val="20"/>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nonoperating</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(income) expense</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(17,450)</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(59,429)   (12,324)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(9,411)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(7,633)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(5,280)</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(3,278)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285,345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278,941</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174,360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127,065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97,631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71,844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50,704</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37,361</w:t>
            </w:r>
          </w:p>
        </w:tc>
      </w:tr>
      <w:tr>
        <w:trPr>
          <w:trHeight w:val="173"/>
        </w:trPr>
        <w:tc>
          <w:tcPr>
            <w:tcW w:w="2700" w:type="dxa"/>
            <w:vAlign w:val="bottom"/>
          </w:tcPr>
          <w:p>
            <w:pPr>
              <w:ind w:left="260"/>
              <w:spacing w:after="0"/>
              <w:rPr>
                <w:sz w:val="20"/>
                <w:szCs w:val="20"/>
                <w:color w:val="auto"/>
              </w:rPr>
            </w:pPr>
            <w:r>
              <w:rPr>
                <w:rFonts w:ascii="Courier New" w:cs="Courier New" w:eastAsia="Courier New" w:hAnsi="Courier New"/>
                <w:sz w:val="15"/>
                <w:szCs w:val="15"/>
                <w:color w:val="auto"/>
              </w:rPr>
              <w:t>% of sales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85,473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86,740</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52,308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34,058</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24,413</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17,243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7,467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199,872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192,201</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122,052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93,007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73,218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54,601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39,106</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29,894</w:t>
            </w:r>
          </w:p>
        </w:tc>
      </w:tr>
      <w:tr>
        <w:trPr>
          <w:trHeight w:val="173"/>
        </w:trPr>
        <w:tc>
          <w:tcPr>
            <w:tcW w:w="2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 of sales</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Per</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share - basic</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Per</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share - diluted</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r>
    </w:tbl>
    <w:p>
      <w:pPr>
        <w:spacing w:after="0" w:line="3" w:lineRule="exact"/>
        <w:rPr>
          <w:sz w:val="20"/>
          <w:szCs w:val="20"/>
          <w:color w:val="auto"/>
        </w:rPr>
      </w:pPr>
    </w:p>
    <w:p>
      <w:pPr>
        <w:ind w:left="188" w:hanging="188"/>
        <w:spacing w:after="0"/>
        <w:tabs>
          <w:tab w:leader="none" w:pos="18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8" w:right="8120" w:hanging="27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used to compute earnings per share (in thousands)</w:t>
      </w:r>
    </w:p>
    <w:p>
      <w:pPr>
        <w:spacing w:after="0" w:line="2"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356,376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355,018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352,706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349,352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347,340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345,420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334,024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319,144</w:t>
            </w:r>
          </w:p>
        </w:tc>
      </w:tr>
      <w:tr>
        <w:trPr>
          <w:trHeight w:val="173"/>
        </w:trPr>
        <w:tc>
          <w:tcPr>
            <w:tcW w:w="17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384,307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383,544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382,321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374,458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369,548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366,960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361,396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353,714</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8" w:right="4320"/>
        <w:spacing w:after="0" w:line="243" w:lineRule="auto"/>
        <w:rPr>
          <w:sz w:val="20"/>
          <w:szCs w:val="20"/>
          <w:color w:val="auto"/>
        </w:rPr>
      </w:pPr>
      <w:r>
        <w:rPr>
          <w:rFonts w:ascii="Courier New" w:cs="Courier New" w:eastAsia="Courier New" w:hAnsi="Courier New"/>
          <w:sz w:val="15"/>
          <w:szCs w:val="15"/>
          <w:color w:val="auto"/>
        </w:rPr>
        <w:t>*Includes $44 million of realized gain on sale of investment in Chartered Semiconductor Manufacturing Pte., Ltd.</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908"/>
          </w:cols>
          <w:pgMar w:left="232" w:top="291" w:right="759"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EXHIBIT 21</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SUBSIDIARIES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is a list of the Company's subsidiaries: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PERCENTAGE OF VOTING</w:t>
            </w:r>
          </w:p>
        </w:tc>
      </w:tr>
      <w:tr>
        <w:trPr>
          <w:trHeight w:val="173"/>
        </w:trPr>
        <w:tc>
          <w:tcPr>
            <w:tcW w:w="48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SECURITIES OWNED BY</w:t>
            </w:r>
          </w:p>
        </w:tc>
      </w:tr>
      <w:tr>
        <w:trPr>
          <w:trHeight w:val="173"/>
        </w:trPr>
        <w:tc>
          <w:tcPr>
            <w:tcW w:w="4860" w:type="dxa"/>
            <w:vAlign w:val="bottom"/>
          </w:tcPr>
          <w:p>
            <w:pPr>
              <w:spacing w:after="0"/>
              <w:rPr>
                <w:sz w:val="15"/>
                <w:szCs w:val="15"/>
                <w:color w:val="auto"/>
              </w:rPr>
            </w:pPr>
          </w:p>
        </w:tc>
        <w:tc>
          <w:tcPr>
            <w:tcW w:w="2260" w:type="dxa"/>
            <w:vAlign w:val="bottom"/>
          </w:tcPr>
          <w:p>
            <w:pPr>
              <w:ind w:left="720"/>
              <w:spacing w:after="0"/>
              <w:rPr>
                <w:sz w:val="20"/>
                <w:szCs w:val="20"/>
                <w:color w:val="auto"/>
              </w:rPr>
            </w:pPr>
            <w:r>
              <w:rPr>
                <w:rFonts w:ascii="Courier New" w:cs="Courier New" w:eastAsia="Courier New" w:hAnsi="Courier New"/>
                <w:sz w:val="15"/>
                <w:szCs w:val="15"/>
                <w:color w:val="auto"/>
              </w:rPr>
              <w:t>ORGANIZED</w:t>
            </w:r>
          </w:p>
        </w:tc>
        <w:tc>
          <w:tcPr>
            <w:tcW w:w="18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REGISTRANT AS OF</w:t>
            </w:r>
          </w:p>
        </w:tc>
      </w:tr>
      <w:tr>
        <w:trPr>
          <w:trHeight w:val="173"/>
        </w:trPr>
        <w:tc>
          <w:tcPr>
            <w:tcW w:w="486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UNDER LAW OF</w:t>
            </w:r>
          </w:p>
        </w:tc>
        <w:tc>
          <w:tcPr>
            <w:tcW w:w="18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OCTOBER 28, 2000</w:t>
            </w:r>
          </w:p>
        </w:tc>
      </w:tr>
      <w:tr>
        <w:trPr>
          <w:trHeight w:val="173"/>
        </w:trPr>
        <w:tc>
          <w:tcPr>
            <w:tcW w:w="486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Limited...............................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GmbH.................................</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Germany</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S.A..................................</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France</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K.K..................................</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Japan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APS...................................</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Denmark</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Nederland, B.V........................</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The Netherlands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International,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Massachusetts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Israel,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Israel</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A.B...................................</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Sweden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SRL...................................</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Italy</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HANDELSGESELLSCHAFT, M.B.H...........</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Austria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Korea,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Korea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B.V..................................</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The Netherlands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Finance N.V...........................</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Netherlands Antilles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Holdings, B.V.........................</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The Netherlands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Research &amp; Development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Ireland</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(Philippines),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The Philippines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Foreign Sales Corporation, B.V........</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The Netherlands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Foundry Services,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Asian Sales,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Taiwan,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Taiwan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Ireland,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Ireland</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Hong Kong,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Hong Kong</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Pty,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Australia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India Private Limited.................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India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Gen. Trias,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The Philippines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International Financial Services</w:t>
            </w:r>
          </w:p>
        </w:tc>
        <w:tc>
          <w:tcPr>
            <w:tcW w:w="22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Ireland</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Foreign Sales Corporation.............</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Barbados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Development (Israel) 1996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Israel</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(China) Co.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China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Canada,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Canada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Edinburgh Portable Compilers Limited.................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Scotland</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Micromachines,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Micromachines,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BCO Technologies,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Belfast,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CAD,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Massachusetts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IMI Acquisition Sub,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California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SSI Acquisition Sub,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California</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Analog/NCT Supply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Devices Realty Holdings, Inc..................</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The Philippines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Analog Supplies Company..............................</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Japan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Analyzed Investment, Ltd.............................</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Ireland</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7.4%</w:t>
            </w:r>
          </w:p>
        </w:tc>
      </w:tr>
    </w:tbl>
    <w:p>
      <w:pPr>
        <w:sectPr>
          <w:pgSz w:w="11900" w:h="16838" w:orient="portrait"/>
          <w:cols w:equalWidth="0" w:num="1">
            <w:col w:w="10219"/>
          </w:cols>
          <w:pgMar w:left="240" w:top="141"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Analog Devices, Inc. of our report dated November 13, 2000 (except for Note 15, as to which the date is January 17, 2001), included in the 2000 Annual Report to Shareholders of Analog Devices, Inc.</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audits also included the financial statement schedule of Analog Devices, Inc. listed in Item 14(a).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77" w:lineRule="exact"/>
        <w:rPr>
          <w:sz w:val="20"/>
          <w:szCs w:val="20"/>
          <w:color w:val="auto"/>
        </w:rPr>
      </w:pPr>
    </w:p>
    <w:p>
      <w:pPr>
        <w:jc w:val="both"/>
        <w:ind w:right="3019" w:firstLine="451"/>
        <w:spacing w:after="0" w:line="262"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2-63561, 2-90023, 2-95495, 33-2502, 33-4067, 33-22604, 33-22605, 33-29484, 33-39851, 33-39852, 33-43128, 33-46520, 33-46521, 33-60696, 33-60642, 33-61427, 33-64849, 333-04771, 333-04819, 333-04821 333-08493, 333-47789,</w:t>
      </w:r>
    </w:p>
    <w:p>
      <w:pPr>
        <w:spacing w:after="0"/>
        <w:rPr>
          <w:sz w:val="20"/>
          <w:szCs w:val="20"/>
          <w:color w:val="auto"/>
        </w:rPr>
      </w:pPr>
      <w:r>
        <w:rPr>
          <w:rFonts w:ascii="Courier New" w:cs="Courier New" w:eastAsia="Courier New" w:hAnsi="Courier New"/>
          <w:sz w:val="15"/>
          <w:szCs w:val="15"/>
          <w:color w:val="auto"/>
        </w:rPr>
        <w:t>333-47787, 333-48243, 333-56529, 333-69359, 333-79551, 333-87055, 333-50092,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333-53314 and 333-53828 and Form S-3 Nos. 333-08505, 333-08509, 333-17651,</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333-87053, 333-48928, 333-51530 and 333-53660) of Analog Devices, Inc. and in the related Prospectuses of our report dated November 13, 2000 (except for Note 15, as to which the date is January 17, 2001), with respect to the consolidated financial statements and schedule of Analog Devices, Inc. included or incorporated by reference in this Annual Report (Form 10-K) for the year ended October 28, 2000.</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 2001</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upperLetter"/>
      <w:start w:val="24"/>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lowerRoman"/>
      <w:start w:val="3"/>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lowerLetter"/>
    </w:lvl>
    <w:lvl w:ilvl="1">
      <w:lvlJc w:val="left"/>
      <w:lvlText w:val="--"/>
      <w:numFmt w:val="bullet"/>
      <w:start w:val="1"/>
    </w:lvl>
  </w:abstractNum>
  <w:abstractNum w:abstractNumId="7">
    <w:nsid w:val="77465F01"/>
    <w:multiLevelType w:val="hybridMultilevel"/>
    <w:lvl w:ilvl="0">
      <w:lvlJc w:val="left"/>
      <w:lvlText w:val="-"/>
      <w:numFmt w:val="bullet"/>
      <w:start w:val="1"/>
    </w:lvl>
    <w:lvl w:ilvl="1">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2"/>
      <w:numFmt w:val="upperLetter"/>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o"/>
      <w:numFmt w:val="bullet"/>
      <w:start w:val="1"/>
    </w:lvl>
  </w:abstractNum>
  <w:abstractNum w:abstractNumId="18">
    <w:nsid w:val="6A2342EC"/>
    <w:multiLevelType w:val="hybridMultilevel"/>
    <w:lvl w:ilvl="0">
      <w:lvlJc w:val="left"/>
      <w:lvlText w:val="o"/>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lvl w:ilvl="1">
      <w:lvlJc w:val="left"/>
      <w:lvlText w:val="(%2)"/>
      <w:numFmt w:val="lowerLetter"/>
      <w:start w:val="1"/>
    </w:lvl>
  </w:abstractNum>
  <w:abstractNum w:abstractNumId="22">
    <w:nsid w:val="2CD89A32"/>
    <w:multiLevelType w:val="hybridMultilevel"/>
    <w:lvl w:ilvl="0">
      <w:lvlJc w:val="left"/>
      <w:lvlText w:val="%1"/>
      <w:numFmt w:val="decimal"/>
      <w:start w:val="1"/>
    </w:lvl>
    <w:lvl w:ilvl="1">
      <w:lvlJc w:val="left"/>
      <w:lvlText w:val="(%2)"/>
      <w:numFmt w:val="lowerLetter"/>
      <w:start w:val="5"/>
    </w:lvl>
  </w:abstractNum>
  <w:abstractNum w:abstractNumId="23">
    <w:nsid w:val="57E4CCAF"/>
    <w:multiLevelType w:val="hybridMultilevel"/>
    <w:lvl w:ilvl="0">
      <w:lvlJc w:val="left"/>
      <w:lvlText w:val="%1."/>
      <w:numFmt w:val="decimal"/>
      <w:start w:val="2"/>
    </w:lvl>
    <w:lvl w:ilvl="1">
      <w:lvlJc w:val="left"/>
      <w:lvlText w:val="(%2)"/>
      <w:numFmt w:val="lowerLetter"/>
      <w:start w:val="1"/>
    </w:lvl>
  </w:abstractNum>
  <w:abstractNum w:abstractNumId="24">
    <w:nsid w:val="7A6D8D3C"/>
    <w:multiLevelType w:val="hybridMultilevel"/>
    <w:lvl w:ilvl="0">
      <w:lvlJc w:val="left"/>
      <w:lvlText w:val="(%1)"/>
      <w:numFmt w:val="lowerLetter"/>
      <w:start w:val="2"/>
    </w:lvl>
    <w:lvl w:ilvl="1">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2"/>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lowerLetter"/>
      <w:start w:val="2"/>
    </w:lvl>
  </w:abstractNum>
  <w:abstractNum w:abstractNumId="30">
    <w:nsid w:val="32FFF902"/>
    <w:multiLevelType w:val="hybridMultilevel"/>
    <w:lvl w:ilvl="0">
      <w:lvlJc w:val="left"/>
      <w:lvlText w:val="%1."/>
      <w:numFmt w:val="lowerLetter"/>
      <w:start w:val="4"/>
    </w:lvl>
  </w:abstractNum>
  <w:abstractNum w:abstractNumId="31">
    <w:nsid w:val="684A481A"/>
    <w:multiLevelType w:val="hybridMultilevel"/>
    <w:lvl w:ilvl="0">
      <w:lvlJc w:val="left"/>
      <w:lvlText w:val="%1."/>
      <w:numFmt w:val="lowerLetter"/>
      <w:start w:val="5"/>
    </w:lvl>
  </w:abstractNum>
  <w:abstractNum w:abstractNumId="32">
    <w:nsid w:val="579478FE"/>
    <w:multiLevelType w:val="hybridMultilevel"/>
    <w:lvl w:ilvl="0">
      <w:lvlJc w:val="left"/>
      <w:lvlText w:val="%1."/>
      <w:numFmt w:val="lowerLetter"/>
      <w:start w:val="6"/>
    </w:lvl>
  </w:abstractNum>
  <w:abstractNum w:abstractNumId="33">
    <w:nsid w:val="749ABB43"/>
    <w:multiLevelType w:val="hybridMultilevel"/>
    <w:lvl w:ilvl="0">
      <w:lvlJc w:val="left"/>
      <w:lvlText w:val="%1."/>
      <w:numFmt w:val="lowerLetter"/>
      <w:start w:val="7"/>
    </w:lvl>
  </w:abstractNum>
  <w:abstractNum w:abstractNumId="34">
    <w:nsid w:val="3DC240FB"/>
    <w:multiLevelType w:val="hybridMultilevel"/>
    <w:lvl w:ilvl="0">
      <w:lvlJc w:val="left"/>
      <w:lvlText w:val="%1."/>
      <w:numFmt w:val="lowerLetter"/>
      <w:start w:val="8"/>
    </w:lvl>
  </w:abstractNum>
  <w:abstractNum w:abstractNumId="35">
    <w:nsid w:val="1BA026FA"/>
    <w:multiLevelType w:val="hybridMultilevel"/>
    <w:lvl w:ilvl="0">
      <w:lvlJc w:val="left"/>
      <w:lvlText w:val="%1."/>
      <w:numFmt w:val="lowerRoman"/>
      <w:start w:val="1"/>
    </w:lvl>
  </w:abstractNum>
  <w:abstractNum w:abstractNumId="36">
    <w:nsid w:val="79A1DEAA"/>
    <w:multiLevelType w:val="hybridMultilevel"/>
    <w:lvl w:ilvl="0">
      <w:lvlJc w:val="left"/>
      <w:lvlText w:val="%1."/>
      <w:numFmt w:val="lowerLetter"/>
      <w:start w:val="10"/>
    </w:lvl>
  </w:abstractNum>
  <w:abstractNum w:abstractNumId="37">
    <w:nsid w:val="75C6C33A"/>
    <w:multiLevelType w:val="hybridMultilevel"/>
    <w:lvl w:ilvl="0">
      <w:lvlJc w:val="left"/>
      <w:lvlText w:val="%1."/>
      <w:numFmt w:val="lowerLetter"/>
      <w:start w:val="11"/>
    </w:lvl>
  </w:abstractNum>
  <w:abstractNum w:abstractNumId="38">
    <w:nsid w:val="12E685FB"/>
    <w:multiLevelType w:val="hybridMultilevel"/>
    <w:lvl w:ilvl="0">
      <w:lvlJc w:val="left"/>
      <w:lvlText w:val="%1."/>
      <w:numFmt w:val="lowerLetter"/>
      <w:start w:val="12"/>
    </w:lvl>
  </w:abstractNum>
  <w:abstractNum w:abstractNumId="39">
    <w:nsid w:val="70C6A529"/>
    <w:multiLevelType w:val="hybridMultilevel"/>
    <w:lvl w:ilvl="0">
      <w:lvlJc w:val="left"/>
      <w:lvlText w:val="%1."/>
      <w:numFmt w:val="lowerLetter"/>
      <w:start w:val="13"/>
    </w:lvl>
  </w:abstractNum>
  <w:abstractNum w:abstractNumId="40">
    <w:nsid w:val="520EEDD1"/>
    <w:multiLevelType w:val="hybridMultilevel"/>
    <w:lvl w:ilvl="0">
      <w:lvlJc w:val="left"/>
      <w:lvlText w:val="%1."/>
      <w:numFmt w:val="lowerLetter"/>
      <w:start w:val="14"/>
    </w:lvl>
  </w:abstractNum>
  <w:abstractNum w:abstractNumId="41">
    <w:nsid w:val="374A3FE6"/>
    <w:multiLevelType w:val="hybridMultilevel"/>
    <w:lvl w:ilvl="0">
      <w:lvlJc w:val="left"/>
      <w:lvlText w:val="%1."/>
      <w:numFmt w:val="lowerLetter"/>
      <w:start w:val="15"/>
    </w:lvl>
  </w:abstractNum>
  <w:abstractNum w:abstractNumId="42">
    <w:nsid w:val="4F4EF005"/>
    <w:multiLevelType w:val="hybridMultilevel"/>
    <w:lvl w:ilvl="0">
      <w:lvlJc w:val="left"/>
      <w:lvlText w:val="%1."/>
      <w:numFmt w:val="lowerLetter"/>
      <w:start w:val="16"/>
    </w:lvl>
  </w:abstractNum>
  <w:abstractNum w:abstractNumId="43">
    <w:nsid w:val="23F9C13C"/>
    <w:multiLevelType w:val="hybridMultilevel"/>
    <w:lvl w:ilvl="0">
      <w:lvlJc w:val="left"/>
      <w:lvlText w:val="%1."/>
      <w:numFmt w:val="lowerLetter"/>
      <w:start w:val="17"/>
    </w:lvl>
  </w:abstractNum>
  <w:abstractNum w:abstractNumId="44">
    <w:nsid w:val="649BB77C"/>
    <w:multiLevelType w:val="hybridMultilevel"/>
    <w:lvl w:ilvl="0">
      <w:lvlJc w:val="left"/>
      <w:lvlText w:val="%1."/>
      <w:numFmt w:val="lowerLetter"/>
      <w:start w:val="18"/>
    </w:lvl>
  </w:abstractNum>
  <w:abstractNum w:abstractNumId="45">
    <w:nsid w:val="275AC794"/>
    <w:multiLevelType w:val="hybridMultilevel"/>
    <w:lvl w:ilvl="0">
      <w:lvlJc w:val="left"/>
      <w:lvlText w:val="%1."/>
      <w:numFmt w:val="lowerLetter"/>
      <w:start w:val="19"/>
    </w:lvl>
  </w:abstractNum>
  <w:abstractNum w:abstractNumId="46">
    <w:nsid w:val="39386575"/>
    <w:multiLevelType w:val="hybridMultilevel"/>
    <w:lvl w:ilvl="0">
      <w:lvlJc w:val="left"/>
      <w:lvlText w:val="%1."/>
      <w:numFmt w:val="lowerLetter"/>
      <w:start w:val="20"/>
    </w:lvl>
  </w:abstractNum>
  <w:abstractNum w:abstractNumId="47">
    <w:nsid w:val="1CF10FD8"/>
    <w:multiLevelType w:val="hybridMultilevel"/>
    <w:lvl w:ilvl="0">
      <w:lvlJc w:val="left"/>
      <w:lvlText w:val="%1."/>
      <w:numFmt w:val="decimal"/>
      <w:start w:val="3"/>
    </w:lvl>
  </w:abstractNum>
  <w:abstractNum w:abstractNumId="48">
    <w:nsid w:val="180115BE"/>
    <w:multiLevelType w:val="hybridMultilevel"/>
    <w:lvl w:ilvl="0">
      <w:lvlJc w:val="left"/>
      <w:lvlText w:val="%1."/>
      <w:numFmt w:val="decimal"/>
      <w:start w:val="4"/>
    </w:lvl>
  </w:abstractNum>
  <w:abstractNum w:abstractNumId="49">
    <w:nsid w:val="235BA861"/>
    <w:multiLevelType w:val="hybridMultilevel"/>
    <w:lvl w:ilvl="0">
      <w:lvlJc w:val="left"/>
      <w:lvlText w:val="%1."/>
      <w:numFmt w:val="decimal"/>
      <w:start w:val="5"/>
    </w:lvl>
  </w:abstractNum>
  <w:abstractNum w:abstractNumId="50">
    <w:nsid w:val="47398C89"/>
    <w:multiLevelType w:val="hybridMultilevel"/>
    <w:lvl w:ilvl="0">
      <w:lvlJc w:val="left"/>
      <w:lvlText w:val="%1."/>
      <w:numFmt w:val="decimal"/>
      <w:start w:val="6"/>
    </w:lvl>
  </w:abstractNum>
  <w:abstractNum w:abstractNumId="51">
    <w:nsid w:val="354FE9F9"/>
    <w:multiLevelType w:val="hybridMultilevel"/>
    <w:lvl w:ilvl="0">
      <w:lvlJc w:val="left"/>
      <w:lvlText w:val="%1."/>
      <w:numFmt w:val="decimal"/>
      <w:start w:val="7"/>
    </w:lvl>
  </w:abstractNum>
  <w:abstractNum w:abstractNumId="52">
    <w:nsid w:val="15B5AF5C"/>
    <w:multiLevelType w:val="hybridMultilevel"/>
    <w:lvl w:ilvl="0">
      <w:lvlJc w:val="left"/>
      <w:lvlText w:val="%1."/>
      <w:numFmt w:val="decimal"/>
      <w:start w:val="8"/>
    </w:lvl>
  </w:abstractNum>
  <w:abstractNum w:abstractNumId="53">
    <w:nsid w:val="741226BB"/>
    <w:multiLevelType w:val="hybridMultilevel"/>
    <w:lvl w:ilvl="0">
      <w:lvlJc w:val="left"/>
      <w:lvlText w:val="%1."/>
      <w:numFmt w:val="decimal"/>
      <w:start w:val="9"/>
    </w:lvl>
  </w:abstractNum>
  <w:abstractNum w:abstractNumId="54">
    <w:nsid w:val="D34B6A8"/>
    <w:multiLevelType w:val="hybridMultilevel"/>
    <w:lvl w:ilvl="0">
      <w:lvlJc w:val="left"/>
      <w:lvlText w:val="%1."/>
      <w:numFmt w:val="decimal"/>
      <w:start w:val="10"/>
    </w:lvl>
  </w:abstractNum>
  <w:abstractNum w:abstractNumId="55">
    <w:nsid w:val="10233C99"/>
    <w:multiLevelType w:val="hybridMultilevel"/>
    <w:lvl w:ilvl="0">
      <w:lvlJc w:val="left"/>
      <w:lvlText w:val="%1."/>
      <w:numFmt w:val="decimal"/>
      <w:start w:val="11"/>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14"/>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5"/>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2019-12-11T17:25:19Z</dcterms:created>
  <dcterms:modified xsi:type="dcterms:W3CDTF">2019-12-11T17:25:19Z</dcterms:modified>
</cp:coreProperties>
</file>