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jc w:val="center"/>
        <w:ind w:right="2859"/>
        <w:spacing w:after="0"/>
        <w:rPr>
          <w:sz w:val="20"/>
          <w:szCs w:val="20"/>
          <w:color w:val="auto"/>
        </w:rPr>
      </w:pPr>
      <w:r>
        <w:rPr>
          <w:rFonts w:ascii="Courier New" w:cs="Courier New" w:eastAsia="Courier New" w:hAnsi="Courier New"/>
          <w:sz w:val="18"/>
          <w:szCs w:val="18"/>
          <w:color w:val="auto"/>
        </w:rPr>
        <w:t>UNITED STATES</w:t>
      </w:r>
    </w:p>
    <w:p>
      <w:pPr>
        <w:jc w:val="center"/>
        <w:ind w:right="29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9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Under the Securities Exchange Act of 1934</w:t>
      </w:r>
    </w:p>
    <w:p>
      <w:pPr>
        <w:sectPr>
          <w:pgSz w:w="11900" w:h="16848" w:orient="portrait"/>
          <w:cols w:equalWidth="0" w:num="1">
            <w:col w:w="10139"/>
          </w:cols>
          <w:pgMar w:left="32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ANALOG DEVICES INC</w:t>
      </w:r>
    </w:p>
    <w:p>
      <w:pPr>
        <w:spacing w:after="0" w:line="200" w:lineRule="exact"/>
        <w:rPr>
          <w:sz w:val="24"/>
          <w:szCs w:val="24"/>
          <w:color w:val="auto"/>
        </w:rPr>
      </w:pPr>
    </w:p>
    <w:p>
      <w:pPr>
        <w:sectPr>
          <w:pgSz w:w="11900" w:h="16848" w:orient="portrait"/>
          <w:cols w:equalWidth="0" w:num="2">
            <w:col w:w="2440" w:space="720"/>
            <w:col w:w="6979"/>
          </w:cols>
          <w:pgMar w:left="32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w:t>
      </w:r>
    </w:p>
    <w:p>
      <w:pPr>
        <w:spacing w:after="0" w:line="200" w:lineRule="exact"/>
        <w:rPr>
          <w:sz w:val="24"/>
          <w:szCs w:val="24"/>
          <w:color w:val="auto"/>
        </w:rPr>
      </w:pPr>
    </w:p>
    <w:p>
      <w:pPr>
        <w:sectPr>
          <w:pgSz w:w="11900" w:h="16848" w:orient="portrait"/>
          <w:cols w:equalWidth="0" w:num="2">
            <w:col w:w="2980" w:space="720"/>
            <w:col w:w="6439"/>
          </w:cols>
          <w:pgMar w:left="32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032654105</w:t>
      </w:r>
    </w:p>
    <w:p>
      <w:pPr>
        <w:spacing w:after="0" w:line="200" w:lineRule="exact"/>
        <w:rPr>
          <w:sz w:val="24"/>
          <w:szCs w:val="24"/>
          <w:color w:val="auto"/>
        </w:rPr>
      </w:pPr>
    </w:p>
    <w:p>
      <w:pPr>
        <w:sectPr>
          <w:pgSz w:w="11900" w:h="16848" w:orient="portrait"/>
          <w:cols w:equalWidth="0" w:num="2">
            <w:col w:w="2440" w:space="720"/>
            <w:col w:w="6979"/>
          </w:cols>
          <w:pgMar w:left="320" w:top="244" w:right="1440" w:bottom="0" w:gutter="0" w:footer="0" w:header="0"/>
          <w:type w:val="continuous"/>
        </w:sectPr>
      </w:pPr>
    </w:p>
    <w:p>
      <w:pPr>
        <w:spacing w:after="0" w:line="226" w:lineRule="exact"/>
        <w:rPr>
          <w:sz w:val="24"/>
          <w:szCs w:val="24"/>
          <w:color w:val="auto"/>
        </w:rPr>
      </w:pPr>
    </w:p>
    <w:p>
      <w:pPr>
        <w:ind w:right="29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8" w:lineRule="exact"/>
        <w:rPr>
          <w:sz w:val="24"/>
          <w:szCs w:val="24"/>
          <w:color w:val="auto"/>
        </w:rPr>
      </w:pPr>
    </w:p>
    <w:p>
      <w:pPr>
        <w:ind w:right="307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Page 1 of 10 Pages</w:t>
      </w:r>
    </w:p>
    <w:p>
      <w:pPr>
        <w:spacing w:after="0" w:line="201" w:lineRule="exact"/>
        <w:rPr>
          <w:sz w:val="24"/>
          <w:szCs w:val="24"/>
          <w:color w:val="auto"/>
        </w:rPr>
      </w:pPr>
    </w:p>
    <w:p>
      <w:pPr>
        <w:jc w:val="center"/>
        <w:ind w:right="2859"/>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4"/>
          <w:szCs w:val="24"/>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CUSIP No. 032654105</w:t>
      </w:r>
      <w:r>
        <w:rPr>
          <w:sz w:val="20"/>
          <w:szCs w:val="20"/>
          <w:color w:val="auto"/>
        </w:rPr>
        <w:tab/>
      </w:r>
      <w:r>
        <w:rPr>
          <w:rFonts w:ascii="Courier New" w:cs="Courier New" w:eastAsia="Courier New" w:hAnsi="Courier New"/>
          <w:sz w:val="16"/>
          <w:szCs w:val="16"/>
          <w:color w:val="auto"/>
        </w:rPr>
        <w:t>Page 2 of 10 Pages</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Marsh &amp; McLennan Companies, Inc.</w:t>
      </w:r>
    </w:p>
    <w:p>
      <w:pPr>
        <w:ind w:left="540"/>
        <w:spacing w:after="0" w:line="238" w:lineRule="auto"/>
        <w:rPr>
          <w:sz w:val="20"/>
          <w:szCs w:val="20"/>
          <w:color w:val="auto"/>
        </w:rPr>
      </w:pPr>
      <w:r>
        <w:rPr>
          <w:rFonts w:ascii="Courier New" w:cs="Courier New" w:eastAsia="Courier New" w:hAnsi="Courier New"/>
          <w:sz w:val="18"/>
          <w:szCs w:val="18"/>
          <w:color w:val="auto"/>
        </w:rPr>
        <w:t>36-2668272</w:t>
      </w:r>
    </w:p>
    <w:p>
      <w:pPr>
        <w:spacing w:after="0" w:line="5"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40"/>
        <w:spacing w:after="0"/>
        <w:tabs>
          <w:tab w:leader="none" w:pos="1260" w:val="left"/>
          <w:tab w:leader="none" w:pos="2100" w:val="left"/>
          <w:tab w:leader="none" w:pos="28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w:t>
      </w:r>
    </w:p>
    <w:p>
      <w:pPr>
        <w:spacing w:after="0" w:line="3"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hanging="527"/>
        <w:spacing w:after="0" w:line="238" w:lineRule="auto"/>
        <w:tabs>
          <w:tab w:leader="none" w:pos="58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w:t>
      </w: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Power</w:t>
      </w:r>
    </w:p>
    <w:p>
      <w:pPr>
        <w:sectPr>
          <w:pgSz w:w="11900" w:h="16848" w:orient="portrait"/>
          <w:cols w:equalWidth="0" w:num="1">
            <w:col w:w="10139"/>
          </w:cols>
          <w:pgMar w:left="320" w:top="244"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20" w:type="dxa"/>
            <w:vAlign w:val="bottom"/>
          </w:tcPr>
          <w:p>
            <w:pPr>
              <w:ind w:left="1800"/>
              <w:spacing w:after="0"/>
              <w:rPr>
                <w:sz w:val="20"/>
                <w:szCs w:val="20"/>
                <w:color w:val="auto"/>
              </w:rPr>
            </w:pPr>
            <w:r>
              <w:rPr>
                <w:rFonts w:ascii="Courier New" w:cs="Courier New" w:eastAsia="Courier New" w:hAnsi="Courier New"/>
                <w:sz w:val="18"/>
                <w:szCs w:val="18"/>
                <w:color w:val="auto"/>
              </w:rPr>
              <w:t>NONE</w:t>
            </w:r>
          </w:p>
        </w:tc>
        <w:tc>
          <w:tcPr>
            <w:tcW w:w="36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160" w:type="dxa"/>
            <w:vAlign w:val="bottom"/>
            <w:gridSpan w:val="3"/>
          </w:tcPr>
          <w:p>
            <w:pPr>
              <w:ind w:left="12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Number of shares</w:t>
            </w:r>
          </w:p>
        </w:tc>
        <w:tc>
          <w:tcPr>
            <w:tcW w:w="232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2"/>
              </w:rPr>
              <w:t>6.</w:t>
            </w: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2"/>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NONE</w:t>
            </w:r>
          </w:p>
        </w:tc>
        <w:tc>
          <w:tcPr>
            <w:tcW w:w="36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20" w:type="dxa"/>
            <w:vAlign w:val="bottom"/>
          </w:tcPr>
          <w:p>
            <w:pPr>
              <w:spacing w:after="0"/>
              <w:rPr>
                <w:sz w:val="17"/>
                <w:szCs w:val="17"/>
                <w:color w:val="auto"/>
              </w:rPr>
            </w:pPr>
          </w:p>
        </w:tc>
        <w:tc>
          <w:tcPr>
            <w:tcW w:w="26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2"/>
              </w:rPr>
              <w:t>)</w:t>
            </w:r>
            <w:r>
              <w:rPr>
                <w:rFonts w:ascii="Courier New" w:cs="Courier New" w:eastAsia="Courier New" w:hAnsi="Courier New"/>
                <w:sz w:val="7"/>
                <w:szCs w:val="7"/>
                <w:color w:val="auto"/>
                <w:w w:val="72"/>
              </w:rPr>
              <w:t>-----------------------------</w:t>
            </w:r>
          </w:p>
        </w:tc>
        <w:tc>
          <w:tcPr>
            <w:tcW w:w="24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20" w:type="dxa"/>
            <w:vAlign w:val="bottom"/>
          </w:tcPr>
          <w:p>
            <w:pPr>
              <w:spacing w:after="0"/>
              <w:rPr>
                <w:sz w:val="17"/>
                <w:szCs w:val="17"/>
                <w:color w:val="auto"/>
              </w:rPr>
            </w:pPr>
          </w:p>
        </w:tc>
        <w:tc>
          <w:tcPr>
            <w:tcW w:w="232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2"/>
              </w:rPr>
              <w:t>7.</w:t>
            </w: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bl>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line="238" w:lineRule="auto"/>
        <w:tabs>
          <w:tab w:leader="none" w:pos="578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w:t>
      </w:r>
    </w:p>
    <w:p>
      <w:pPr>
        <w:ind w:left="3700"/>
        <w:spacing w:after="0"/>
        <w:rPr>
          <w:sz w:val="20"/>
          <w:szCs w:val="20"/>
          <w:color w:val="auto"/>
        </w:rPr>
      </w:pPr>
      <w:r>
        <w:rPr>
          <w:rFonts w:ascii="Courier New" w:cs="Courier New" w:eastAsia="Courier New" w:hAnsi="Courier New"/>
          <w:sz w:val="18"/>
          <w:szCs w:val="18"/>
          <w:color w:val="auto"/>
        </w:rPr>
        <w:t>Dispositive Power</w:t>
      </w:r>
    </w:p>
    <w:p>
      <w:pPr>
        <w:spacing w:after="0" w:line="20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860" w:right="3699" w:hanging="852"/>
        <w:spacing w:after="0" w:line="235"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8"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line="238" w:lineRule="auto"/>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line="238"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CUSIP No. 032654105</w:t>
      </w:r>
      <w:r>
        <w:rPr>
          <w:sz w:val="20"/>
          <w:szCs w:val="20"/>
          <w:color w:val="auto"/>
        </w:rPr>
        <w:tab/>
      </w:r>
      <w:r>
        <w:rPr>
          <w:rFonts w:ascii="Courier New" w:cs="Courier New" w:eastAsia="Courier New" w:hAnsi="Courier New"/>
          <w:sz w:val="16"/>
          <w:szCs w:val="16"/>
          <w:color w:val="auto"/>
        </w:rPr>
        <w:t>Page 3 of 10 Pages</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Putnam Investments, Inc.</w:t>
      </w:r>
    </w:p>
    <w:p>
      <w:pPr>
        <w:ind w:left="740"/>
        <w:spacing w:after="0" w:line="238" w:lineRule="auto"/>
        <w:rPr>
          <w:sz w:val="20"/>
          <w:szCs w:val="20"/>
          <w:color w:val="auto"/>
        </w:rPr>
      </w:pPr>
      <w:r>
        <w:rPr>
          <w:rFonts w:ascii="Courier New" w:cs="Courier New" w:eastAsia="Courier New" w:hAnsi="Courier New"/>
          <w:sz w:val="18"/>
          <w:szCs w:val="18"/>
          <w:color w:val="auto"/>
        </w:rPr>
        <w:t>04-2539558</w:t>
      </w:r>
    </w:p>
    <w:p>
      <w:pPr>
        <w:spacing w:after="0" w:line="5"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060"/>
        <w:spacing w:after="0"/>
        <w:tabs>
          <w:tab w:leader="none" w:pos="1780" w:val="left"/>
          <w:tab w:leader="none" w:pos="2620" w:val="left"/>
          <w:tab w:leader="none" w:pos="3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line="238"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line="238" w:lineRule="auto"/>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hanging="527"/>
        <w:spacing w:after="0" w:line="238" w:lineRule="auto"/>
        <w:tabs>
          <w:tab w:leader="none" w:pos="580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w:t>
      </w: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Power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139"/>
          </w:cols>
          <w:pgMar w:left="320" w:top="339" w:right="1440" w:bottom="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tabs>
          <w:tab w:leader="none" w:pos="92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3">
            <w:col w:w="980" w:space="720"/>
            <w:col w:w="1800" w:space="720"/>
            <w:col w:w="5919"/>
          </w:cols>
          <w:pgMar w:left="320" w:top="339"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139"/>
          </w:cols>
          <w:pgMar w:left="320" w:top="339"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Beneficially</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Shared Voting Power</w:t>
      </w:r>
    </w:p>
    <w:p>
      <w:pPr>
        <w:spacing w:after="0" w:line="16" w:lineRule="exact"/>
        <w:rPr>
          <w:sz w:val="20"/>
          <w:szCs w:val="20"/>
          <w:color w:val="auto"/>
        </w:rPr>
      </w:pPr>
    </w:p>
    <w:p>
      <w:pPr>
        <w:sectPr>
          <w:pgSz w:w="11900" w:h="16838" w:orient="portrait"/>
          <w:cols w:equalWidth="0" w:num="3">
            <w:col w:w="2980" w:space="720"/>
            <w:col w:w="100" w:space="420"/>
            <w:col w:w="5919"/>
          </w:cols>
          <w:pgMar w:left="320" w:top="339"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by 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ectPr>
          <w:pgSz w:w="11900" w:h="16838" w:orient="portrait"/>
          <w:cols w:equalWidth="0" w:num="2">
            <w:col w:w="1380" w:space="200"/>
            <w:col w:w="8559"/>
          </w:cols>
          <w:pgMar w:left="320" w:top="339" w:right="1440" w:bottom="0" w:gutter="0" w:footer="0" w:header="0"/>
          <w:type w:val="continuous"/>
        </w:sectPr>
      </w:pPr>
    </w:p>
    <w:p>
      <w:pPr>
        <w:ind w:left="3700"/>
        <w:spacing w:after="0"/>
        <w:rPr>
          <w:sz w:val="20"/>
          <w:szCs w:val="20"/>
          <w:color w:val="auto"/>
        </w:rPr>
      </w:pPr>
      <w:r>
        <w:rPr>
          <w:rFonts w:ascii="Courier New" w:cs="Courier New" w:eastAsia="Courier New" w:hAnsi="Courier New"/>
          <w:sz w:val="16"/>
          <w:szCs w:val="16"/>
          <w:color w:val="auto"/>
        </w:rPr>
        <w:t>232,700</w:t>
      </w:r>
    </w:p>
    <w:p>
      <w:pPr>
        <w:sectPr>
          <w:pgSz w:w="11900" w:h="16838" w:orient="portrait"/>
          <w:cols w:equalWidth="0" w:num="1">
            <w:col w:w="10139"/>
          </w:cols>
          <w:pgMar w:left="320" w:top="339"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1400" w:space="720"/>
            <w:col w:w="8019"/>
          </w:cols>
          <w:pgMar w:left="320" w:top="339"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120"/>
        <w:spacing w:after="0"/>
        <w:tabs>
          <w:tab w:leader="none" w:pos="2620" w:val="left"/>
        </w:tabs>
        <w:rPr>
          <w:sz w:val="20"/>
          <w:szCs w:val="20"/>
          <w:color w:val="auto"/>
        </w:rPr>
      </w:pPr>
      <w:r>
        <w:rPr>
          <w:rFonts w:ascii="Courier New" w:cs="Courier New" w:eastAsia="Courier New" w:hAnsi="Courier New"/>
          <w:sz w:val="16"/>
          <w:szCs w:val="16"/>
          <w:color w:val="auto"/>
        </w:rPr>
        <w:t>7.</w:t>
      </w:r>
      <w:r>
        <w:rPr>
          <w:sz w:val="20"/>
          <w:szCs w:val="20"/>
          <w:color w:val="auto"/>
        </w:rPr>
        <w:tab/>
      </w:r>
      <w:r>
        <w:rPr>
          <w:rFonts w:ascii="Courier New" w:cs="Courier New" w:eastAsia="Courier New" w:hAnsi="Courier New"/>
          <w:sz w:val="16"/>
          <w:szCs w:val="16"/>
          <w:color w:val="auto"/>
        </w:rPr>
        <w:t>Sole</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Dispositive Power</w:t>
      </w:r>
    </w:p>
    <w:p>
      <w:pPr>
        <w:spacing w:after="0" w:line="200" w:lineRule="exact"/>
        <w:rPr>
          <w:sz w:val="20"/>
          <w:szCs w:val="20"/>
          <w:color w:val="auto"/>
        </w:rPr>
      </w:pPr>
    </w:p>
    <w:p>
      <w:pPr>
        <w:sectPr>
          <w:pgSz w:w="11900" w:h="16838" w:orient="portrait"/>
          <w:cols w:equalWidth="0" w:num="3">
            <w:col w:w="1280" w:space="300"/>
            <w:col w:w="860" w:space="720"/>
            <w:col w:w="6979"/>
          </w:cols>
          <w:pgMar w:left="320" w:top="339" w:right="1440" w:bottom="0" w:gutter="0" w:footer="0" w:header="0"/>
          <w:type w:val="continuous"/>
        </w:sectPr>
      </w:pP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80"/>
        <w:spacing w:after="0"/>
        <w:tabs>
          <w:tab w:leader="none" w:pos="5780" w:val="left"/>
        </w:tabs>
        <w:rPr>
          <w:sz w:val="20"/>
          <w:szCs w:val="20"/>
          <w:color w:val="auto"/>
        </w:rPr>
      </w:pPr>
      <w:r>
        <w:rPr>
          <w:rFonts w:ascii="Courier New" w:cs="Courier New" w:eastAsia="Courier New" w:hAnsi="Courier New"/>
          <w:sz w:val="16"/>
          <w:szCs w:val="16"/>
          <w:color w:val="auto"/>
        </w:rPr>
        <w:t>8.</w:t>
      </w:r>
      <w:r>
        <w:rPr>
          <w:sz w:val="20"/>
          <w:szCs w:val="20"/>
          <w:color w:val="auto"/>
        </w:rPr>
        <w:tab/>
      </w:r>
      <w:r>
        <w:rPr>
          <w:rFonts w:ascii="Courier New" w:cs="Courier New" w:eastAsia="Courier New" w:hAnsi="Courier New"/>
          <w:sz w:val="16"/>
          <w:szCs w:val="16"/>
          <w:color w:val="auto"/>
        </w:rPr>
        <w:t>Shared</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Dispositive Power</w:t>
      </w:r>
    </w:p>
    <w:p>
      <w:pPr>
        <w:sectPr>
          <w:pgSz w:w="11900" w:h="16838" w:orient="portrait"/>
          <w:cols w:equalWidth="0" w:num="1">
            <w:col w:w="10139"/>
          </w:cols>
          <w:pgMar w:left="320" w:top="339" w:right="1440" w:bottom="0" w:gutter="0" w:footer="0" w:header="0"/>
          <w:type w:val="continuous"/>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9,765,134</w:t>
      </w:r>
    </w:p>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580" w:right="3279" w:hanging="1572"/>
        <w:spacing w:after="0" w:line="469" w:lineRule="auto"/>
        <w:tabs>
          <w:tab w:leader="none" w:pos="527"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9,765,134</w:t>
      </w:r>
    </w:p>
    <w:p>
      <w:pPr>
        <w:spacing w:after="0" w:line="13"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860" w:right="3699" w:hanging="852"/>
        <w:spacing w:after="0" w:line="235"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8"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line="238" w:lineRule="auto"/>
        <w:tabs>
          <w:tab w:leader="none" w:pos="8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5.6%</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line="238" w:lineRule="auto"/>
        <w:tabs>
          <w:tab w:leader="none" w:pos="8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CUSIP No. 032654105</w:t>
      </w:r>
      <w:r>
        <w:rPr>
          <w:sz w:val="20"/>
          <w:szCs w:val="20"/>
          <w:color w:val="auto"/>
        </w:rPr>
        <w:tab/>
      </w:r>
      <w:r>
        <w:rPr>
          <w:rFonts w:ascii="Courier New" w:cs="Courier New" w:eastAsia="Courier New" w:hAnsi="Courier New"/>
          <w:sz w:val="16"/>
          <w:szCs w:val="16"/>
          <w:color w:val="auto"/>
        </w:rPr>
        <w:t>Page 4 of 10 Pages</w:t>
      </w:r>
    </w:p>
    <w:p>
      <w:pPr>
        <w:spacing w:after="0" w:line="4"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line="238" w:lineRule="auto"/>
        <w:tabs>
          <w:tab w:leader="none" w:pos="8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Putnam Investment Management, Inc.</w:t>
      </w:r>
    </w:p>
    <w:p>
      <w:pPr>
        <w:ind w:left="740"/>
        <w:spacing w:after="0" w:line="238" w:lineRule="auto"/>
        <w:rPr>
          <w:sz w:val="20"/>
          <w:szCs w:val="20"/>
          <w:color w:val="auto"/>
        </w:rPr>
      </w:pPr>
      <w:r>
        <w:rPr>
          <w:rFonts w:ascii="Courier New" w:cs="Courier New" w:eastAsia="Courier New" w:hAnsi="Courier New"/>
          <w:sz w:val="18"/>
          <w:szCs w:val="18"/>
          <w:color w:val="auto"/>
        </w:rPr>
        <w:t>04-2471937</w:t>
      </w:r>
    </w:p>
    <w:p>
      <w:pPr>
        <w:spacing w:after="0" w:line="5"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line="238" w:lineRule="auto"/>
        <w:tabs>
          <w:tab w:leader="none" w:pos="8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060"/>
        <w:spacing w:after="0"/>
        <w:tabs>
          <w:tab w:leader="none" w:pos="1780" w:val="left"/>
          <w:tab w:leader="none" w:pos="2620" w:val="left"/>
          <w:tab w:leader="none" w:pos="3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line="238" w:lineRule="auto"/>
        <w:tabs>
          <w:tab w:leader="none" w:pos="8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hanging="527"/>
        <w:spacing w:after="0" w:line="238" w:lineRule="auto"/>
        <w:tabs>
          <w:tab w:leader="none" w:pos="580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w:t>
      </w: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Power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139"/>
          </w:cols>
          <w:pgMar w:left="320" w:top="339" w:right="1440" w:bottom="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tabs>
          <w:tab w:leader="none" w:pos="92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3">
            <w:col w:w="980" w:space="720"/>
            <w:col w:w="1800" w:space="720"/>
            <w:col w:w="5919"/>
          </w:cols>
          <w:pgMar w:left="320" w:top="339"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139"/>
          </w:cols>
          <w:pgMar w:left="320" w:top="339"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Beneficially</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Shared Voting Power</w:t>
      </w:r>
    </w:p>
    <w:p>
      <w:pPr>
        <w:spacing w:after="0" w:line="16" w:lineRule="exact"/>
        <w:rPr>
          <w:sz w:val="20"/>
          <w:szCs w:val="20"/>
          <w:color w:val="auto"/>
        </w:rPr>
      </w:pPr>
    </w:p>
    <w:p>
      <w:pPr>
        <w:sectPr>
          <w:pgSz w:w="11900" w:h="16838" w:orient="portrait"/>
          <w:cols w:equalWidth="0" w:num="3">
            <w:col w:w="2980" w:space="720"/>
            <w:col w:w="100" w:space="420"/>
            <w:col w:w="5919"/>
          </w:cols>
          <w:pgMar w:left="320" w:top="339"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by 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1" w:lineRule="exact"/>
        <w:rPr>
          <w:sz w:val="20"/>
          <w:szCs w:val="20"/>
          <w:color w:val="auto"/>
        </w:rPr>
      </w:pPr>
    </w:p>
    <w:p>
      <w:pPr>
        <w:sectPr>
          <w:pgSz w:w="11900" w:h="16838" w:orient="portrait"/>
          <w:cols w:equalWidth="0" w:num="2">
            <w:col w:w="1380" w:space="200"/>
            <w:col w:w="8559"/>
          </w:cols>
          <w:pgMar w:left="320" w:top="339" w:right="1440" w:bottom="0" w:gutter="0" w:footer="0" w:header="0"/>
          <w:type w:val="continuous"/>
        </w:sectPr>
      </w:pPr>
    </w:p>
    <w:p>
      <w:pPr>
        <w:spacing w:after="0" w:line="3"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Reporting Person with:</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540"/>
        <w:spacing w:after="0" w:line="238"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120"/>
        <w:spacing w:after="0"/>
        <w:tabs>
          <w:tab w:leader="none" w:pos="2620" w:val="left"/>
        </w:tabs>
        <w:rPr>
          <w:sz w:val="20"/>
          <w:szCs w:val="20"/>
          <w:color w:val="auto"/>
        </w:rPr>
      </w:pPr>
      <w:r>
        <w:rPr>
          <w:rFonts w:ascii="Courier New" w:cs="Courier New" w:eastAsia="Courier New" w:hAnsi="Courier New"/>
          <w:sz w:val="16"/>
          <w:szCs w:val="16"/>
          <w:color w:val="auto"/>
        </w:rPr>
        <w:t>7.</w:t>
      </w:r>
      <w:r>
        <w:rPr>
          <w:sz w:val="20"/>
          <w:szCs w:val="20"/>
          <w:color w:val="auto"/>
        </w:rPr>
        <w:tab/>
      </w:r>
      <w:r>
        <w:rPr>
          <w:rFonts w:ascii="Courier New" w:cs="Courier New" w:eastAsia="Courier New" w:hAnsi="Courier New"/>
          <w:sz w:val="16"/>
          <w:szCs w:val="16"/>
          <w:color w:val="auto"/>
        </w:rPr>
        <w:t>Sole</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Dispositive Power</w:t>
      </w:r>
    </w:p>
    <w:p>
      <w:pPr>
        <w:spacing w:after="0" w:line="200" w:lineRule="exact"/>
        <w:rPr>
          <w:sz w:val="20"/>
          <w:szCs w:val="20"/>
          <w:color w:val="auto"/>
        </w:rPr>
      </w:pPr>
    </w:p>
    <w:p>
      <w:pPr>
        <w:sectPr>
          <w:pgSz w:w="11900" w:h="16838" w:orient="portrait"/>
          <w:cols w:equalWidth="0" w:num="4">
            <w:col w:w="1280" w:space="300"/>
            <w:col w:w="120" w:space="420"/>
            <w:col w:w="320" w:space="720"/>
            <w:col w:w="6979"/>
          </w:cols>
          <w:pgMar w:left="320" w:top="339" w:right="1440" w:bottom="0" w:gutter="0" w:footer="0" w:header="0"/>
          <w:type w:val="continuous"/>
        </w:sectPr>
      </w:pP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740"/>
        <w:spacing w:after="0"/>
        <w:tabs>
          <w:tab w:leader="none" w:pos="5260" w:val="left"/>
        </w:tabs>
        <w:rPr>
          <w:sz w:val="20"/>
          <w:szCs w:val="20"/>
          <w:color w:val="auto"/>
        </w:rPr>
      </w:pPr>
      <w:r>
        <w:rPr>
          <w:rFonts w:ascii="Courier New" w:cs="Courier New" w:eastAsia="Courier New" w:hAnsi="Courier New"/>
          <w:sz w:val="16"/>
          <w:szCs w:val="16"/>
          <w:color w:val="auto"/>
        </w:rPr>
        <w:t>8.</w:t>
      </w:r>
      <w:r>
        <w:rPr>
          <w:sz w:val="20"/>
          <w:szCs w:val="20"/>
          <w:color w:val="auto"/>
        </w:rPr>
        <w:tab/>
      </w:r>
      <w:r>
        <w:rPr>
          <w:rFonts w:ascii="Courier New" w:cs="Courier New" w:eastAsia="Courier New" w:hAnsi="Courier New"/>
          <w:sz w:val="16"/>
          <w:szCs w:val="16"/>
          <w:color w:val="auto"/>
        </w:rPr>
        <w:t>Shared Dispositive</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Power</w:t>
      </w:r>
    </w:p>
    <w:p>
      <w:pPr>
        <w:sectPr>
          <w:pgSz w:w="11900" w:h="16838" w:orient="portrait"/>
          <w:cols w:equalWidth="0" w:num="1">
            <w:col w:w="10139"/>
          </w:cols>
          <w:pgMar w:left="320" w:top="339" w:right="1440" w:bottom="0" w:gutter="0" w:footer="0" w:header="0"/>
          <w:type w:val="continuous"/>
        </w:sectPr>
      </w:pP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8,598,301</w:t>
      </w:r>
    </w:p>
    <w:p>
      <w:pPr>
        <w:spacing w:after="0" w:line="4"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line="238" w:lineRule="auto"/>
        <w:tabs>
          <w:tab w:leader="none" w:pos="86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8,598,301</w:t>
      </w:r>
    </w:p>
    <w:p>
      <w:pPr>
        <w:spacing w:after="0" w:line="4"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860" w:right="3699" w:hanging="852"/>
        <w:spacing w:after="0" w:line="235" w:lineRule="auto"/>
        <w:tabs>
          <w:tab w:leader="none" w:pos="8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139"/>
          </w:cols>
          <w:pgMar w:left="320" w:top="339"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4.9%</w:t>
      </w:r>
    </w:p>
    <w:p>
      <w:pPr>
        <w:spacing w:after="0" w:line="4"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line="238" w:lineRule="auto"/>
        <w:tabs>
          <w:tab w:leader="none" w:pos="8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CUSIP No. 032654105</w:t>
      </w:r>
      <w:r>
        <w:rPr>
          <w:sz w:val="20"/>
          <w:szCs w:val="20"/>
          <w:color w:val="auto"/>
        </w:rPr>
        <w:tab/>
      </w:r>
      <w:r>
        <w:rPr>
          <w:rFonts w:ascii="Courier New" w:cs="Courier New" w:eastAsia="Courier New" w:hAnsi="Courier New"/>
          <w:sz w:val="16"/>
          <w:szCs w:val="16"/>
          <w:color w:val="auto"/>
        </w:rPr>
        <w:t>Page 5 of 10 Pages</w:t>
      </w:r>
    </w:p>
    <w:p>
      <w:pPr>
        <w:spacing w:after="0" w:line="4"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Putnam Advisory Company, Inc.</w:t>
      </w:r>
    </w:p>
    <w:p>
      <w:pPr>
        <w:ind w:left="860"/>
        <w:spacing w:after="0" w:line="238" w:lineRule="auto"/>
        <w:rPr>
          <w:sz w:val="20"/>
          <w:szCs w:val="20"/>
          <w:color w:val="auto"/>
        </w:rPr>
      </w:pPr>
      <w:r>
        <w:rPr>
          <w:rFonts w:ascii="Courier New" w:cs="Courier New" w:eastAsia="Courier New" w:hAnsi="Courier New"/>
          <w:sz w:val="18"/>
          <w:szCs w:val="18"/>
          <w:color w:val="auto"/>
        </w:rPr>
        <w:t>04-6187127</w:t>
      </w:r>
    </w:p>
    <w:p>
      <w:pPr>
        <w:spacing w:after="0" w:line="5"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line="238" w:lineRule="auto"/>
        <w:tabs>
          <w:tab w:leader="none" w:pos="86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060"/>
        <w:spacing w:after="0"/>
        <w:tabs>
          <w:tab w:leader="none" w:pos="1780" w:val="left"/>
          <w:tab w:leader="none" w:pos="2620" w:val="left"/>
          <w:tab w:leader="none" w:pos="3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line="238" w:lineRule="auto"/>
        <w:tabs>
          <w:tab w:leader="none" w:pos="86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line="238" w:lineRule="auto"/>
        <w:tabs>
          <w:tab w:leader="none" w:pos="8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hanging="527"/>
        <w:spacing w:after="0" w:line="238" w:lineRule="auto"/>
        <w:tabs>
          <w:tab w:leader="none" w:pos="580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w:t>
      </w: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Power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139"/>
          </w:cols>
          <w:pgMar w:left="320" w:top="136" w:right="1440" w:bottom="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tabs>
          <w:tab w:leader="none" w:pos="92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3">
            <w:col w:w="980" w:space="720"/>
            <w:col w:w="1800" w:space="720"/>
            <w:col w:w="5919"/>
          </w:cols>
          <w:pgMar w:left="320" w:top="136"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139"/>
          </w:cols>
          <w:pgMar w:left="320" w:top="136"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Beneficially</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Shared Voting Power</w:t>
      </w:r>
    </w:p>
    <w:p>
      <w:pPr>
        <w:spacing w:after="0" w:line="16" w:lineRule="exact"/>
        <w:rPr>
          <w:sz w:val="20"/>
          <w:szCs w:val="20"/>
          <w:color w:val="auto"/>
        </w:rPr>
      </w:pPr>
    </w:p>
    <w:p>
      <w:pPr>
        <w:sectPr>
          <w:pgSz w:w="11900" w:h="16838" w:orient="portrait"/>
          <w:cols w:equalWidth="0" w:num="3">
            <w:col w:w="2980" w:space="720"/>
            <w:col w:w="100" w:space="420"/>
            <w:col w:w="5919"/>
          </w:cols>
          <w:pgMar w:left="320" w:top="136"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by 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1" w:lineRule="exact"/>
        <w:rPr>
          <w:sz w:val="20"/>
          <w:szCs w:val="20"/>
          <w:color w:val="auto"/>
        </w:rPr>
      </w:pPr>
    </w:p>
    <w:p>
      <w:pPr>
        <w:sectPr>
          <w:pgSz w:w="11900" w:h="16838" w:orient="portrait"/>
          <w:cols w:equalWidth="0" w:num="2">
            <w:col w:w="1380" w:space="200"/>
            <w:col w:w="8559"/>
          </w:cols>
          <w:pgMar w:left="320" w:top="136" w:right="1440" w:bottom="0" w:gutter="0" w:footer="0" w:header="0"/>
          <w:type w:val="continuous"/>
        </w:sectPr>
      </w:pPr>
    </w:p>
    <w:p>
      <w:pPr>
        <w:spacing w:after="0" w:line="3"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Reporting Person with:</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540"/>
        <w:spacing w:after="0" w:line="238" w:lineRule="auto"/>
        <w:rPr>
          <w:sz w:val="20"/>
          <w:szCs w:val="20"/>
          <w:color w:val="auto"/>
        </w:rPr>
      </w:pPr>
      <w:r>
        <w:rPr>
          <w:rFonts w:ascii="Courier New" w:cs="Courier New" w:eastAsia="Courier New" w:hAnsi="Courier New"/>
          <w:sz w:val="18"/>
          <w:szCs w:val="18"/>
          <w:color w:val="auto"/>
        </w:rPr>
        <w:t>232,700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120"/>
        <w:spacing w:after="0"/>
        <w:tabs>
          <w:tab w:leader="none" w:pos="2620" w:val="left"/>
        </w:tabs>
        <w:rPr>
          <w:sz w:val="20"/>
          <w:szCs w:val="20"/>
          <w:color w:val="auto"/>
        </w:rPr>
      </w:pPr>
      <w:r>
        <w:rPr>
          <w:rFonts w:ascii="Courier New" w:cs="Courier New" w:eastAsia="Courier New" w:hAnsi="Courier New"/>
          <w:sz w:val="16"/>
          <w:szCs w:val="16"/>
          <w:color w:val="auto"/>
        </w:rPr>
        <w:t>7.</w:t>
      </w:r>
      <w:r>
        <w:rPr>
          <w:sz w:val="20"/>
          <w:szCs w:val="20"/>
          <w:color w:val="auto"/>
        </w:rPr>
        <w:tab/>
      </w:r>
      <w:r>
        <w:rPr>
          <w:rFonts w:ascii="Courier New" w:cs="Courier New" w:eastAsia="Courier New" w:hAnsi="Courier New"/>
          <w:sz w:val="16"/>
          <w:szCs w:val="16"/>
          <w:color w:val="auto"/>
        </w:rPr>
        <w:t>Sole</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Dispositive Power</w:t>
      </w:r>
    </w:p>
    <w:p>
      <w:pPr>
        <w:spacing w:after="0" w:line="200" w:lineRule="exact"/>
        <w:rPr>
          <w:sz w:val="20"/>
          <w:szCs w:val="20"/>
          <w:color w:val="auto"/>
        </w:rPr>
      </w:pPr>
    </w:p>
    <w:p>
      <w:pPr>
        <w:sectPr>
          <w:pgSz w:w="11900" w:h="16838" w:orient="portrait"/>
          <w:cols w:equalWidth="0" w:num="4">
            <w:col w:w="1280" w:space="300"/>
            <w:col w:w="120" w:space="420"/>
            <w:col w:w="320" w:space="720"/>
            <w:col w:w="6979"/>
          </w:cols>
          <w:pgMar w:left="320" w:top="136" w:right="1440" w:bottom="0" w:gutter="0" w:footer="0" w:header="0"/>
          <w:type w:val="continuous"/>
        </w:sectPr>
      </w:pP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80"/>
        <w:spacing w:after="0"/>
        <w:tabs>
          <w:tab w:leader="none" w:pos="5780" w:val="left"/>
        </w:tabs>
        <w:rPr>
          <w:sz w:val="20"/>
          <w:szCs w:val="20"/>
          <w:color w:val="auto"/>
        </w:rPr>
      </w:pPr>
      <w:r>
        <w:rPr>
          <w:rFonts w:ascii="Courier New" w:cs="Courier New" w:eastAsia="Courier New" w:hAnsi="Courier New"/>
          <w:sz w:val="16"/>
          <w:szCs w:val="16"/>
          <w:color w:val="auto"/>
        </w:rPr>
        <w:t>8.</w:t>
      </w:r>
      <w:r>
        <w:rPr>
          <w:sz w:val="20"/>
          <w:szCs w:val="20"/>
          <w:color w:val="auto"/>
        </w:rPr>
        <w:tab/>
      </w:r>
      <w:r>
        <w:rPr>
          <w:rFonts w:ascii="Courier New" w:cs="Courier New" w:eastAsia="Courier New" w:hAnsi="Courier New"/>
          <w:sz w:val="16"/>
          <w:szCs w:val="16"/>
          <w:color w:val="auto"/>
        </w:rPr>
        <w:t>Shared</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Dispositive Power</w:t>
      </w:r>
    </w:p>
    <w:p>
      <w:pPr>
        <w:sectPr>
          <w:pgSz w:w="11900" w:h="16838" w:orient="portrait"/>
          <w:cols w:equalWidth="0" w:num="1">
            <w:col w:w="10139"/>
          </w:cols>
          <w:pgMar w:left="320" w:top="136" w:right="1440" w:bottom="0" w:gutter="0" w:footer="0" w:header="0"/>
          <w:type w:val="continuous"/>
        </w:sectPr>
      </w:pP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1,166,833</w:t>
      </w:r>
    </w:p>
    <w:p>
      <w:pPr>
        <w:spacing w:after="0" w:line="4"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1,166,833</w:t>
      </w:r>
    </w:p>
    <w:p>
      <w:pPr>
        <w:spacing w:after="0" w:line="4"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3179" w:firstLine="8"/>
        <w:spacing w:after="0" w:line="235" w:lineRule="auto"/>
        <w:tabs>
          <w:tab w:leader="none" w:pos="526"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8"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0.7%</w:t>
      </w:r>
    </w:p>
    <w:p>
      <w:pPr>
        <w:spacing w:after="0" w:line="4"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959"/>
        <w:spacing w:after="0" w:line="238" w:lineRule="auto"/>
        <w:tabs>
          <w:tab w:leader="none" w:pos="180" w:val="left"/>
        </w:tabs>
        <w:rPr>
          <w:sz w:val="20"/>
          <w:szCs w:val="20"/>
          <w:color w:val="auto"/>
        </w:rPr>
      </w:pPr>
      <w:r>
        <w:rPr>
          <w:rFonts w:ascii="Courier New" w:cs="Courier New" w:eastAsia="Courier New" w:hAnsi="Courier New"/>
          <w:sz w:val="18"/>
          <w:szCs w:val="18"/>
          <w:color w:val="auto"/>
        </w:rPr>
        <w:t>Washington, D. C.</w:t>
        <w:tab/>
        <w:t>20549</w:t>
      </w:r>
    </w:p>
    <w:p>
      <w:pPr>
        <w:sectPr>
          <w:pgSz w:w="11900" w:h="16838" w:orient="portrait"/>
          <w:cols w:equalWidth="0" w:num="1">
            <w:col w:w="10139"/>
          </w:cols>
          <w:pgMar w:left="320" w:top="136" w:right="1440" w:bottom="0" w:gutter="0" w:footer="0" w:header="0"/>
          <w:type w:val="continuous"/>
        </w:sectPr>
      </w:pPr>
    </w:p>
    <w:bookmarkStart w:id="4" w:name="page5"/>
    <w:bookmarkEnd w:id="4"/>
    <w:p>
      <w:pPr>
        <w:jc w:val="center"/>
        <w:ind w:right="29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285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2260" w:type="dxa"/>
            <w:vAlign w:val="bottom"/>
          </w:tcPr>
          <w:p>
            <w:pPr>
              <w:ind w:left="200"/>
              <w:spacing w:after="0"/>
              <w:rPr>
                <w:sz w:val="20"/>
                <w:szCs w:val="20"/>
                <w:color w:val="auto"/>
              </w:rPr>
            </w:pPr>
            <w:r>
              <w:rPr>
                <w:rFonts w:ascii="Courier New" w:cs="Courier New" w:eastAsia="Courier New" w:hAnsi="Courier New"/>
                <w:sz w:val="18"/>
                <w:szCs w:val="18"/>
                <w:color w:val="auto"/>
              </w:rPr>
              <w:t>Name of Issuer:</w:t>
            </w:r>
          </w:p>
        </w:tc>
        <w:tc>
          <w:tcPr>
            <w:tcW w:w="3420" w:type="dxa"/>
            <w:vAlign w:val="bottom"/>
          </w:tcPr>
          <w:p>
            <w:pPr>
              <w:ind w:left="580"/>
              <w:spacing w:after="0"/>
              <w:rPr>
                <w:sz w:val="20"/>
                <w:szCs w:val="20"/>
                <w:color w:val="auto"/>
              </w:rPr>
            </w:pPr>
            <w:r>
              <w:rPr>
                <w:rFonts w:ascii="Courier New" w:cs="Courier New" w:eastAsia="Courier New" w:hAnsi="Courier New"/>
                <w:sz w:val="18"/>
                <w:szCs w:val="18"/>
                <w:color w:val="auto"/>
              </w:rPr>
              <w:t>ANALOG DEVICES INC</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5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7060" w:type="dxa"/>
            <w:vAlign w:val="bottom"/>
            <w:gridSpan w:val="3"/>
          </w:tcPr>
          <w:p>
            <w:pPr>
              <w:spacing w:after="0"/>
              <w:rPr>
                <w:sz w:val="20"/>
                <w:szCs w:val="20"/>
                <w:color w:val="auto"/>
              </w:rPr>
            </w:pPr>
            <w:r>
              <w:rPr>
                <w:rFonts w:ascii="Courier New" w:cs="Courier New" w:eastAsia="Courier New" w:hAnsi="Courier New"/>
                <w:sz w:val="18"/>
                <w:szCs w:val="18"/>
                <w:color w:val="auto"/>
              </w:rPr>
              <w:t>One Technology Way, Norwood, MA 02062,</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2260" w:type="dxa"/>
            <w:vAlign w:val="bottom"/>
          </w:tcPr>
          <w:p>
            <w:pPr>
              <w:spacing w:after="0"/>
              <w:rPr>
                <w:sz w:val="24"/>
                <w:szCs w:val="24"/>
                <w:color w:val="auto"/>
              </w:rPr>
            </w:pPr>
          </w:p>
        </w:tc>
        <w:tc>
          <w:tcPr>
            <w:tcW w:w="3420" w:type="dxa"/>
            <w:vAlign w:val="bottom"/>
          </w:tcPr>
          <w:p>
            <w:pPr>
              <w:ind w:left="580"/>
              <w:spacing w:after="0"/>
              <w:rPr>
                <w:sz w:val="20"/>
                <w:szCs w:val="20"/>
                <w:color w:val="auto"/>
              </w:rPr>
            </w:pPr>
            <w:r>
              <w:rPr>
                <w:rFonts w:ascii="Courier New" w:cs="Courier New" w:eastAsia="Courier New" w:hAnsi="Courier New"/>
                <w:sz w:val="18"/>
                <w:szCs w:val="18"/>
                <w:color w:val="auto"/>
              </w:rPr>
              <w:t>Item 2(b)</w:t>
            </w:r>
          </w:p>
        </w:tc>
      </w:tr>
      <w:tr>
        <w:trPr>
          <w:trHeight w:val="405"/>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Name of Person Filing:</w:t>
            </w:r>
          </w:p>
        </w:tc>
        <w:tc>
          <w:tcPr>
            <w:tcW w:w="3420" w:type="dxa"/>
            <w:vAlign w:val="bottom"/>
          </w:tcPr>
          <w:p>
            <w:pPr>
              <w:ind w:left="1640"/>
              <w:spacing w:after="0"/>
              <w:rPr>
                <w:sz w:val="20"/>
                <w:szCs w:val="20"/>
                <w:color w:val="auto"/>
              </w:rPr>
            </w:pPr>
            <w:r>
              <w:rPr>
                <w:rFonts w:ascii="Courier New" w:cs="Courier New" w:eastAsia="Courier New" w:hAnsi="Courier New"/>
                <w:sz w:val="18"/>
                <w:szCs w:val="18"/>
                <w:color w:val="auto"/>
              </w:rPr>
              <w:t>Address or</w:t>
            </w:r>
          </w:p>
        </w:tc>
      </w:tr>
      <w:tr>
        <w:trPr>
          <w:trHeight w:val="203"/>
        </w:trPr>
        <w:tc>
          <w:tcPr>
            <w:tcW w:w="13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Principal Office or, if NONE,</w:t>
            </w:r>
          </w:p>
        </w:tc>
      </w:tr>
      <w:tr>
        <w:trPr>
          <w:trHeight w:val="203"/>
        </w:trPr>
        <w:tc>
          <w:tcPr>
            <w:tcW w:w="13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Residence:</w:t>
            </w:r>
          </w:p>
        </w:tc>
      </w:tr>
      <w:tr>
        <w:trPr>
          <w:trHeight w:val="405"/>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Putnam Investments, Inc.</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One Post Office Square</w:t>
            </w:r>
          </w:p>
        </w:tc>
      </w:tr>
      <w:tr>
        <w:trPr>
          <w:trHeight w:val="203"/>
        </w:trPr>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("PI")</w:t>
            </w:r>
          </w:p>
        </w:tc>
        <w:tc>
          <w:tcPr>
            <w:tcW w:w="2260" w:type="dxa"/>
            <w:vAlign w:val="bottom"/>
          </w:tcPr>
          <w:p>
            <w:pPr>
              <w:spacing w:after="0"/>
              <w:rPr>
                <w:sz w:val="17"/>
                <w:szCs w:val="17"/>
                <w:color w:val="auto"/>
              </w:rPr>
            </w:pPr>
          </w:p>
        </w:tc>
        <w:tc>
          <w:tcPr>
            <w:tcW w:w="3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Boston, Massachusetts 02109</w:t>
            </w: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on behalf of itself and:</w:t>
            </w:r>
          </w:p>
        </w:tc>
        <w:tc>
          <w:tcPr>
            <w:tcW w:w="3420" w:type="dxa"/>
            <w:vAlign w:val="bottom"/>
          </w:tcPr>
          <w:p>
            <w:pPr>
              <w:spacing w:after="0"/>
              <w:rPr>
                <w:sz w:val="17"/>
                <w:szCs w:val="17"/>
                <w:color w:val="auto"/>
              </w:rPr>
            </w:pPr>
          </w:p>
        </w:tc>
      </w:tr>
      <w:tr>
        <w:trPr>
          <w:trHeight w:val="405"/>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*Marsh &amp; McLennan Companies, Inc.</w:t>
            </w:r>
          </w:p>
        </w:tc>
        <w:tc>
          <w:tcPr>
            <w:tcW w:w="3420" w:type="dxa"/>
            <w:vAlign w:val="bottom"/>
          </w:tcPr>
          <w:p>
            <w:pPr>
              <w:ind w:left="580"/>
              <w:spacing w:after="0"/>
              <w:rPr>
                <w:sz w:val="20"/>
                <w:szCs w:val="20"/>
                <w:color w:val="auto"/>
              </w:rPr>
            </w:pPr>
            <w:r>
              <w:rPr>
                <w:rFonts w:ascii="Courier New" w:cs="Courier New" w:eastAsia="Courier New" w:hAnsi="Courier New"/>
                <w:sz w:val="18"/>
                <w:szCs w:val="18"/>
                <w:color w:val="auto"/>
                <w:w w:val="96"/>
              </w:rPr>
              <w:t>1166 Avenue of the Americas</w:t>
            </w:r>
          </w:p>
        </w:tc>
      </w:tr>
      <w:tr>
        <w:trPr>
          <w:trHeight w:val="203"/>
        </w:trPr>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("MMC")</w:t>
            </w:r>
          </w:p>
        </w:tc>
        <w:tc>
          <w:tcPr>
            <w:tcW w:w="2260" w:type="dxa"/>
            <w:vAlign w:val="bottom"/>
          </w:tcPr>
          <w:p>
            <w:pPr>
              <w:spacing w:after="0"/>
              <w:rPr>
                <w:sz w:val="17"/>
                <w:szCs w:val="17"/>
                <w:color w:val="auto"/>
              </w:rPr>
            </w:pPr>
          </w:p>
        </w:tc>
        <w:tc>
          <w:tcPr>
            <w:tcW w:w="3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New York, NY  10036</w:t>
            </w:r>
          </w:p>
        </w:tc>
      </w:tr>
      <w:tr>
        <w:trPr>
          <w:trHeight w:val="405"/>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w w:val="98"/>
              </w:rPr>
              <w:t>Putnam Investment Management, Inc.</w:t>
            </w:r>
          </w:p>
        </w:tc>
        <w:tc>
          <w:tcPr>
            <w:tcW w:w="3420" w:type="dxa"/>
            <w:vAlign w:val="bottom"/>
          </w:tcPr>
          <w:p>
            <w:pPr>
              <w:ind w:left="580"/>
              <w:spacing w:after="0"/>
              <w:rPr>
                <w:sz w:val="20"/>
                <w:szCs w:val="20"/>
                <w:color w:val="auto"/>
              </w:rPr>
            </w:pPr>
            <w:r>
              <w:rPr>
                <w:rFonts w:ascii="Courier New" w:cs="Courier New" w:eastAsia="Courier New" w:hAnsi="Courier New"/>
                <w:sz w:val="18"/>
                <w:szCs w:val="18"/>
                <w:color w:val="auto"/>
              </w:rPr>
              <w:t>One Post Office Square</w:t>
            </w:r>
          </w:p>
        </w:tc>
      </w:tr>
      <w:tr>
        <w:trPr>
          <w:trHeight w:val="203"/>
        </w:trPr>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("PIM")</w:t>
            </w:r>
          </w:p>
        </w:tc>
        <w:tc>
          <w:tcPr>
            <w:tcW w:w="2260" w:type="dxa"/>
            <w:vAlign w:val="bottom"/>
          </w:tcPr>
          <w:p>
            <w:pPr>
              <w:spacing w:after="0"/>
              <w:rPr>
                <w:sz w:val="17"/>
                <w:szCs w:val="17"/>
                <w:color w:val="auto"/>
              </w:rPr>
            </w:pPr>
          </w:p>
        </w:tc>
        <w:tc>
          <w:tcPr>
            <w:tcW w:w="3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Boston, Massachusetts 02109</w:t>
            </w:r>
          </w:p>
        </w:tc>
      </w:tr>
      <w:tr>
        <w:trPr>
          <w:trHeight w:val="405"/>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The Putnam Advisory Company, Inc.</w:t>
            </w:r>
          </w:p>
        </w:tc>
        <w:tc>
          <w:tcPr>
            <w:tcW w:w="3420" w:type="dxa"/>
            <w:vAlign w:val="bottom"/>
          </w:tcPr>
          <w:p>
            <w:pPr>
              <w:ind w:left="580"/>
              <w:spacing w:after="0"/>
              <w:rPr>
                <w:sz w:val="20"/>
                <w:szCs w:val="20"/>
                <w:color w:val="auto"/>
              </w:rPr>
            </w:pPr>
            <w:r>
              <w:rPr>
                <w:rFonts w:ascii="Courier New" w:cs="Courier New" w:eastAsia="Courier New" w:hAnsi="Courier New"/>
                <w:sz w:val="18"/>
                <w:szCs w:val="18"/>
                <w:color w:val="auto"/>
              </w:rPr>
              <w:t>One Post Office Square</w:t>
            </w:r>
          </w:p>
        </w:tc>
      </w:tr>
      <w:tr>
        <w:trPr>
          <w:trHeight w:val="203"/>
        </w:trPr>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("PAC")</w:t>
            </w:r>
          </w:p>
        </w:tc>
        <w:tc>
          <w:tcPr>
            <w:tcW w:w="2260" w:type="dxa"/>
            <w:vAlign w:val="bottom"/>
          </w:tcPr>
          <w:p>
            <w:pPr>
              <w:spacing w:after="0"/>
              <w:rPr>
                <w:sz w:val="17"/>
                <w:szCs w:val="17"/>
                <w:color w:val="auto"/>
              </w:rPr>
            </w:pPr>
          </w:p>
        </w:tc>
        <w:tc>
          <w:tcPr>
            <w:tcW w:w="3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Boston, Massachusetts 02109</w:t>
            </w:r>
          </w:p>
        </w:tc>
      </w:tr>
    </w:tbl>
    <w:p>
      <w:pPr>
        <w:spacing w:after="0" w:line="200" w:lineRule="exact"/>
        <w:rPr>
          <w:sz w:val="20"/>
          <w:szCs w:val="20"/>
          <w:color w:val="auto"/>
        </w:rPr>
      </w:pPr>
    </w:p>
    <w:p>
      <w:pPr>
        <w:sectPr>
          <w:pgSz w:w="11900" w:h="16838" w:orient="portrait"/>
          <w:cols w:equalWidth="0" w:num="1">
            <w:col w:w="10139"/>
          </w:cols>
          <w:pgMar w:left="320" w:top="339" w:right="1440" w:bottom="1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right="3179" w:firstLine="527"/>
        <w:spacing w:after="0" w:line="237" w:lineRule="auto"/>
        <w:rPr>
          <w:sz w:val="20"/>
          <w:szCs w:val="20"/>
          <w:color w:val="auto"/>
        </w:rPr>
      </w:pPr>
      <w:r>
        <w:rPr>
          <w:rFonts w:ascii="Courier New" w:cs="Courier New" w:eastAsia="Courier New" w:hAnsi="Courier New"/>
          <w:sz w:val="18"/>
          <w:szCs w:val="18"/>
          <w:color w:val="auto"/>
        </w:rPr>
        <w:t>Citizenship: PI, PIM and PAC are corporations organized under Massachusetts law. The citizenship of other persons identified in Item 2(a) is designated as follows:</w:t>
      </w:r>
    </w:p>
    <w:p>
      <w:pPr>
        <w:spacing w:after="0" w:line="200" w:lineRule="exact"/>
        <w:rPr>
          <w:sz w:val="20"/>
          <w:szCs w:val="20"/>
          <w:color w:val="auto"/>
        </w:rPr>
      </w:pPr>
    </w:p>
    <w:p>
      <w:pPr>
        <w:sectPr>
          <w:pgSz w:w="11900" w:h="16838" w:orient="portrait"/>
          <w:cols w:equalWidth="0" w:num="2">
            <w:col w:w="960" w:space="620"/>
            <w:col w:w="8559"/>
          </w:cols>
          <w:pgMar w:left="320" w:top="339" w:right="1440" w:bottom="139" w:gutter="0" w:footer="0" w:header="0"/>
          <w:type w:val="continuous"/>
        </w:sectPr>
      </w:pPr>
    </w:p>
    <w:p>
      <w:pPr>
        <w:spacing w:after="0" w:line="1" w:lineRule="exact"/>
        <w:rPr>
          <w:sz w:val="20"/>
          <w:szCs w:val="20"/>
          <w:color w:val="auto"/>
        </w:rPr>
      </w:pPr>
    </w:p>
    <w:p>
      <w:pPr>
        <w:ind w:left="2120" w:hanging="533"/>
        <w:spacing w:after="0"/>
        <w:tabs>
          <w:tab w:leader="none" w:pos="21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Corporation - Delaware law</w:t>
      </w:r>
    </w:p>
    <w:p>
      <w:pPr>
        <w:spacing w:after="0" w:line="4" w:lineRule="exact"/>
        <w:rPr>
          <w:rFonts w:ascii="Courier New" w:cs="Courier New" w:eastAsia="Courier New" w:hAnsi="Courier New"/>
          <w:sz w:val="18"/>
          <w:szCs w:val="18"/>
          <w:color w:val="auto"/>
        </w:rPr>
      </w:pPr>
    </w:p>
    <w:p>
      <w:pPr>
        <w:ind w:left="2120" w:right="2979" w:firstLine="1047"/>
        <w:spacing w:after="0" w:line="290" w:lineRule="auto"/>
        <w:tabs>
          <w:tab w:leader="none" w:pos="3699"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association known as Massachusetts business trust - Massachusetts law</w:t>
      </w:r>
    </w:p>
    <w:p>
      <w:pPr>
        <w:spacing w:after="0" w:line="36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 Common</w:t>
      </w:r>
    </w:p>
    <w:p>
      <w:pPr>
        <w:spacing w:after="0" w:line="201" w:lineRule="exact"/>
        <w:rPr>
          <w:sz w:val="20"/>
          <w:szCs w:val="20"/>
          <w:color w:val="auto"/>
        </w:rPr>
      </w:pPr>
    </w:p>
    <w:p>
      <w:pPr>
        <w:spacing w:after="0"/>
        <w:tabs>
          <w:tab w:leader="none" w:pos="1560" w:val="left"/>
          <w:tab w:leader="none" w:pos="31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032654105</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Page 6 of 10 Pages</w:t>
      </w:r>
    </w:p>
    <w:p>
      <w:pPr>
        <w:spacing w:after="0" w:line="200" w:lineRule="exact"/>
        <w:rPr>
          <w:sz w:val="20"/>
          <w:szCs w:val="20"/>
          <w:color w:val="auto"/>
        </w:rPr>
      </w:pPr>
    </w:p>
    <w:p>
      <w:pPr>
        <w:spacing w:after="0" w:line="204" w:lineRule="exact"/>
        <w:rPr>
          <w:sz w:val="20"/>
          <w:szCs w:val="20"/>
          <w:color w:val="auto"/>
        </w:rPr>
      </w:pPr>
    </w:p>
    <w:p>
      <w:pPr>
        <w:jc w:val="center"/>
        <w:ind w:right="3079"/>
        <w:spacing w:after="0"/>
        <w:tabs>
          <w:tab w:leader="none" w:pos="3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w:t>
      </w:r>
    </w:p>
    <w:p>
      <w:pPr>
        <w:jc w:val="center"/>
        <w:ind w:right="3059"/>
        <w:spacing w:after="0" w:line="238" w:lineRule="auto"/>
        <w:rPr>
          <w:sz w:val="20"/>
          <w:szCs w:val="20"/>
          <w:color w:val="auto"/>
        </w:rPr>
      </w:pPr>
      <w:r>
        <w:rPr>
          <w:rFonts w:ascii="Courier New" w:cs="Courier New" w:eastAsia="Courier New" w:hAnsi="Courier New"/>
          <w:sz w:val="18"/>
          <w:szCs w:val="18"/>
          <w:color w:val="auto"/>
        </w:rPr>
        <w:t>13d-2(b), check whether the person filing is a:</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00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Broker or Dealer registered under Section 15 of the Act</w:t>
            </w:r>
          </w:p>
        </w:tc>
      </w:tr>
      <w:tr>
        <w:trPr>
          <w:trHeight w:val="608"/>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000" w:type="dxa"/>
            <w:vAlign w:val="bottom"/>
          </w:tcPr>
          <w:p>
            <w:pPr>
              <w:ind w:left="200"/>
              <w:spacing w:after="0"/>
              <w:rPr>
                <w:sz w:val="20"/>
                <w:szCs w:val="20"/>
                <w:color w:val="auto"/>
              </w:rPr>
            </w:pPr>
            <w:r>
              <w:rPr>
                <w:rFonts w:ascii="Courier New" w:cs="Courier New" w:eastAsia="Courier New" w:hAnsi="Courier New"/>
                <w:sz w:val="18"/>
                <w:szCs w:val="18"/>
                <w:color w:val="auto"/>
                <w:w w:val="98"/>
              </w:rPr>
              <w:t>Bank as defined in Section 3(a)(6) of the Act</w:t>
            </w:r>
          </w:p>
        </w:tc>
        <w:tc>
          <w:tcPr>
            <w:tcW w:w="1000" w:type="dxa"/>
            <w:vAlign w:val="bottom"/>
          </w:tcPr>
          <w:p>
            <w:pPr>
              <w:spacing w:after="0"/>
              <w:rPr>
                <w:sz w:val="24"/>
                <w:szCs w:val="24"/>
                <w:color w:val="auto"/>
              </w:rPr>
            </w:pPr>
          </w:p>
        </w:tc>
      </w:tr>
      <w:tr>
        <w:trPr>
          <w:trHeight w:val="608"/>
        </w:trPr>
        <w:tc>
          <w:tcPr>
            <w:tcW w:w="580" w:type="dxa"/>
            <w:vAlign w:val="bottom"/>
          </w:tcPr>
          <w:p>
            <w:pPr>
              <w:spacing w:after="0"/>
              <w:rPr>
                <w:sz w:val="20"/>
                <w:szCs w:val="20"/>
                <w:color w:val="auto"/>
              </w:rPr>
            </w:pPr>
            <w:r>
              <w:rPr>
                <w:rFonts w:ascii="Courier New" w:cs="Courier New" w:eastAsia="Courier New" w:hAnsi="Courier New"/>
                <w:sz w:val="18"/>
                <w:szCs w:val="18"/>
                <w:color w:val="auto"/>
              </w:rPr>
              <w:t>(c)(</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00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Insurance Company as defined in Section 3(a)(19) of the</w:t>
            </w:r>
          </w:p>
        </w:tc>
      </w:tr>
      <w:tr>
        <w:trPr>
          <w:trHeight w:val="203"/>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Act</w:t>
            </w:r>
          </w:p>
        </w:tc>
        <w:tc>
          <w:tcPr>
            <w:tcW w:w="1000" w:type="dxa"/>
            <w:vAlign w:val="bottom"/>
          </w:tcPr>
          <w:p>
            <w:pPr>
              <w:spacing w:after="0"/>
              <w:rPr>
                <w:sz w:val="17"/>
                <w:szCs w:val="17"/>
                <w:color w:val="auto"/>
              </w:rPr>
            </w:pPr>
          </w:p>
        </w:tc>
      </w:tr>
      <w:tr>
        <w:trPr>
          <w:trHeight w:val="607"/>
        </w:trPr>
        <w:tc>
          <w:tcPr>
            <w:tcW w:w="580" w:type="dxa"/>
            <w:vAlign w:val="bottom"/>
          </w:tcPr>
          <w:p>
            <w:pPr>
              <w:spacing w:after="0"/>
              <w:rPr>
                <w:sz w:val="20"/>
                <w:szCs w:val="20"/>
                <w:color w:val="auto"/>
              </w:rPr>
            </w:pPr>
            <w:r>
              <w:rPr>
                <w:rFonts w:ascii="Courier New" w:cs="Courier New" w:eastAsia="Courier New" w:hAnsi="Courier New"/>
                <w:sz w:val="18"/>
                <w:szCs w:val="18"/>
                <w:color w:val="auto"/>
              </w:rPr>
              <w:t>(d)(</w:t>
            </w:r>
          </w:p>
        </w:tc>
        <w:tc>
          <w:tcPr>
            <w:tcW w:w="280" w:type="dxa"/>
            <w:vAlign w:val="bottom"/>
          </w:tcPr>
          <w:p>
            <w:pPr>
              <w:spacing w:after="0"/>
              <w:rPr>
                <w:sz w:val="24"/>
                <w:szCs w:val="24"/>
                <w:color w:val="auto"/>
              </w:rPr>
            </w:pPr>
          </w:p>
        </w:tc>
        <w:tc>
          <w:tcPr>
            <w:tcW w:w="5000" w:type="dxa"/>
            <w:vAlign w:val="bottom"/>
          </w:tcPr>
          <w:p>
            <w:pPr>
              <w:spacing w:after="0"/>
              <w:rPr>
                <w:sz w:val="20"/>
                <w:szCs w:val="20"/>
                <w:color w:val="auto"/>
              </w:rPr>
            </w:pPr>
            <w:r>
              <w:rPr>
                <w:rFonts w:ascii="Courier New" w:cs="Courier New" w:eastAsia="Courier New" w:hAnsi="Courier New"/>
                <w:sz w:val="18"/>
                <w:szCs w:val="18"/>
                <w:color w:val="auto"/>
                <w:w w:val="98"/>
              </w:rPr>
              <w:t>) Investment Company registered under Section 8</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of the</w:t>
            </w:r>
          </w:p>
        </w:tc>
      </w:tr>
      <w:tr>
        <w:trPr>
          <w:trHeight w:val="203"/>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Investment Company Act</w:t>
            </w:r>
          </w:p>
        </w:tc>
        <w:tc>
          <w:tcPr>
            <w:tcW w:w="10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1060" w:right="33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(e)( X )</w:t>
        <w:tab/>
        <w:t>Investment Adviser registered under Section 203 of the Investment Advisers Act of 1940</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(f)(   )  Employee Benefit Plan, Pension</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Fund which</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is subject to</w:t>
            </w:r>
          </w:p>
        </w:tc>
      </w:tr>
      <w:tr>
        <w:trPr>
          <w:trHeight w:val="202"/>
        </w:trPr>
        <w:tc>
          <w:tcPr>
            <w:tcW w:w="14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the</w:t>
            </w:r>
          </w:p>
        </w:tc>
        <w:tc>
          <w:tcPr>
            <w:tcW w:w="2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provisions of the Employee</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Retirement</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Income Security</w:t>
            </w:r>
          </w:p>
        </w:tc>
      </w:tr>
      <w:tr>
        <w:trPr>
          <w:trHeight w:val="203"/>
        </w:trPr>
        <w:tc>
          <w:tcPr>
            <w:tcW w:w="14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Act</w:t>
            </w:r>
          </w:p>
        </w:tc>
        <w:tc>
          <w:tcPr>
            <w:tcW w:w="2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of 1974 or Endowment Fund;</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see (Section</w:t>
            </w:r>
          </w:p>
        </w:tc>
      </w:tr>
    </w:tbl>
    <w:p>
      <w:pPr>
        <w:ind w:left="1060"/>
        <w:spacing w:after="0" w:line="238" w:lineRule="auto"/>
        <w:rPr>
          <w:sz w:val="20"/>
          <w:szCs w:val="20"/>
          <w:color w:val="auto"/>
        </w:rPr>
      </w:pPr>
      <w:r>
        <w:rPr>
          <w:rFonts w:ascii="Courier New" w:cs="Courier New" w:eastAsia="Courier New" w:hAnsi="Courier New"/>
          <w:sz w:val="18"/>
          <w:szCs w:val="18"/>
          <w:color w:val="auto"/>
        </w:rPr>
        <w:t>240.13d-1(b)(1)(ii)(F)</w:t>
      </w:r>
    </w:p>
    <w:p>
      <w:pPr>
        <w:sectPr>
          <w:pgSz w:w="11900" w:h="16838" w:orient="portrait"/>
          <w:cols w:equalWidth="0" w:num="1">
            <w:col w:w="10139"/>
          </w:cols>
          <w:pgMar w:left="320" w:top="339" w:right="1440" w:bottom="139" w:gutter="0" w:footer="0" w:header="0"/>
          <w:type w:val="continuous"/>
        </w:sectPr>
      </w:pPr>
    </w:p>
    <w:bookmarkStart w:id="5" w:name="page6"/>
    <w:bookmarkEnd w:id="5"/>
    <w:p>
      <w:pPr>
        <w:ind w:left="1060" w:right="4220"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(g)( X )</w:t>
        <w:tab/>
        <w:t>Parent Holding Company, in accordance with Section 240.13d-1(b)(ii)(G)</w:t>
      </w:r>
    </w:p>
    <w:p>
      <w:pPr>
        <w:spacing w:after="0" w:line="200" w:lineRule="exact"/>
        <w:rPr>
          <w:sz w:val="20"/>
          <w:szCs w:val="20"/>
          <w:color w:val="auto"/>
        </w:rPr>
      </w:pPr>
    </w:p>
    <w:p>
      <w:pPr>
        <w:spacing w:after="0" w:line="205" w:lineRule="exact"/>
        <w:rPr>
          <w:sz w:val="20"/>
          <w:szCs w:val="20"/>
          <w:color w:val="auto"/>
        </w:rPr>
      </w:pPr>
    </w:p>
    <w:p>
      <w:pPr>
        <w:spacing w:after="0"/>
        <w:tabs>
          <w:tab w:leader="none" w:pos="720" w:val="left"/>
          <w:tab w:leader="none" w:pos="1040" w:val="left"/>
        </w:tabs>
        <w:rPr>
          <w:sz w:val="20"/>
          <w:szCs w:val="20"/>
          <w:color w:val="auto"/>
        </w:rPr>
      </w:pPr>
      <w:r>
        <w:rPr>
          <w:rFonts w:ascii="Courier New" w:cs="Courier New" w:eastAsia="Courier New" w:hAnsi="Courier New"/>
          <w:sz w:val="18"/>
          <w:szCs w:val="18"/>
          <w:color w:val="auto"/>
        </w:rPr>
        <w:t>(h)(</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Group, in accordance with Section 240.13d-1(b)(1)(ii)(H)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Page 7 of 10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w:t>
      </w:r>
    </w:p>
    <w:p>
      <w:pPr>
        <w:spacing w:after="0" w:line="238" w:lineRule="auto"/>
        <w:rPr>
          <w:sz w:val="20"/>
          <w:szCs w:val="20"/>
          <w:color w:val="auto"/>
        </w:rPr>
      </w:pPr>
      <w:r>
        <w:rPr>
          <w:rFonts w:ascii="Courier New" w:cs="Courier New" w:eastAsia="Courier New" w:hAnsi="Courier New"/>
          <w:sz w:val="18"/>
          <w:szCs w:val="18"/>
          <w:color w:val="auto"/>
        </w:rPr>
        <w:t>Ownership.</w:t>
      </w:r>
    </w:p>
    <w:p>
      <w:pPr>
        <w:sectPr>
          <w:pgSz w:w="11900" w:h="16838" w:orient="portrait"/>
          <w:cols w:equalWidth="0" w:num="1">
            <w:col w:w="10540"/>
          </w:cols>
          <w:pgMar w:left="320" w:top="142" w:right="1039" w:bottom="0" w:gutter="0" w:footer="0" w:header="0"/>
        </w:sect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M&amp;MC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560"/>
        <w:spacing w:after="0"/>
        <w:rPr>
          <w:sz w:val="20"/>
          <w:szCs w:val="20"/>
          <w:color w:val="auto"/>
        </w:rPr>
      </w:pPr>
      <w:r>
        <w:rPr>
          <w:rFonts w:ascii="Courier New" w:cs="Courier New" w:eastAsia="Courier New" w:hAnsi="Courier New"/>
          <w:sz w:val="16"/>
          <w:szCs w:val="16"/>
          <w:color w:val="auto"/>
        </w:rPr>
        <w:t>PAC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w:t>
      </w:r>
    </w:p>
    <w:p>
      <w:pPr>
        <w:spacing w:after="0" w:line="16" w:lineRule="exact"/>
        <w:rPr>
          <w:sz w:val="20"/>
          <w:szCs w:val="20"/>
          <w:color w:val="auto"/>
        </w:rPr>
      </w:pPr>
    </w:p>
    <w:p>
      <w:pPr>
        <w:sectPr>
          <w:pgSz w:w="11900" w:h="16838" w:orient="portrait"/>
          <w:cols w:equalWidth="0" w:num="4">
            <w:col w:w="4560" w:space="720"/>
            <w:col w:w="860" w:space="720"/>
            <w:col w:w="860" w:space="720"/>
            <w:col w:w="2100"/>
          </w:cols>
          <w:pgMar w:left="320" w:top="142" w:right="1039" w:bottom="0" w:gutter="0" w:footer="0" w:header="0"/>
          <w:type w:val="continuous"/>
        </w:sect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(Parent holding</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company to PI)</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(Investment advisers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&amp; subsidiaries of PI)</w:t>
      </w:r>
    </w:p>
    <w:p>
      <w:pPr>
        <w:spacing w:after="0" w:line="20" w:lineRule="exact"/>
        <w:rPr>
          <w:sz w:val="20"/>
          <w:szCs w:val="20"/>
          <w:color w:val="auto"/>
        </w:rPr>
      </w:pPr>
      <w:r>
        <w:rPr>
          <w:sz w:val="20"/>
          <w:szCs w:val="20"/>
          <w:color w:val="auto"/>
        </w:rPr>
        <w:br w:type="column"/>
      </w:r>
    </w:p>
    <w:p>
      <w:pPr>
        <w:spacing w:after="0"/>
        <w:tabs>
          <w:tab w:leader="none" w:pos="1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(Parent company</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 PIM and PAC)</w:t>
      </w:r>
    </w:p>
    <w:p>
      <w:pPr>
        <w:spacing w:after="0" w:line="200" w:lineRule="exact"/>
        <w:rPr>
          <w:sz w:val="20"/>
          <w:szCs w:val="20"/>
          <w:color w:val="auto"/>
        </w:rPr>
      </w:pPr>
    </w:p>
    <w:p>
      <w:pPr>
        <w:sectPr>
          <w:pgSz w:w="11900" w:h="16838" w:orient="portrait"/>
          <w:cols w:equalWidth="0" w:num="3">
            <w:col w:w="4560" w:space="720"/>
            <w:col w:w="2620" w:space="0"/>
            <w:col w:w="2640"/>
          </w:cols>
          <w:pgMar w:left="320" w:top="142" w:right="1039" w:bottom="0" w:gutter="0" w:footer="0" w:header="0"/>
          <w:type w:val="continuous"/>
        </w:sectPr>
      </w:pPr>
    </w:p>
    <w:p>
      <w:pPr>
        <w:spacing w:after="0" w:line="204" w:lineRule="exact"/>
        <w:rPr>
          <w:sz w:val="20"/>
          <w:szCs w:val="20"/>
          <w:color w:val="auto"/>
        </w:rPr>
      </w:pPr>
    </w:p>
    <w:p>
      <w:pPr>
        <w:ind w:left="540" w:hanging="532"/>
        <w:spacing w:after="0"/>
        <w:tabs>
          <w:tab w:leader="none" w:pos="54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w:t>
      </w:r>
    </w:p>
    <w:tbl>
      <w:tblPr>
        <w:tblLayout w:type="fixed"/>
        <w:tblInd w:w="0" w:type="dxa"/>
        <w:tblCellMar>
          <w:top w:w="0" w:type="dxa"/>
          <w:left w:w="0" w:type="dxa"/>
          <w:bottom w:w="0" w:type="dxa"/>
          <w:right w:w="0" w:type="dxa"/>
        </w:tblCellMar>
      </w:tblPr>
      <w:tr>
        <w:trPr>
          <w:trHeight w:val="203"/>
        </w:trPr>
        <w:tc>
          <w:tcPr>
            <w:tcW w:w="2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Owned:</w:t>
            </w:r>
          </w:p>
        </w:tc>
        <w:tc>
          <w:tcPr>
            <w:tcW w:w="1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NONE</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8,598,301</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1,166,833</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9,765,134</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(b)  Percent of Class:</w:t>
            </w:r>
          </w:p>
        </w:tc>
        <w:tc>
          <w:tcPr>
            <w:tcW w:w="1960" w:type="dxa"/>
            <w:vAlign w:val="bottom"/>
          </w:tcPr>
          <w:p>
            <w:pPr>
              <w:ind w:left="960"/>
              <w:spacing w:after="0"/>
              <w:rPr>
                <w:sz w:val="20"/>
                <w:szCs w:val="20"/>
                <w:color w:val="auto"/>
              </w:rPr>
            </w:pPr>
            <w:r>
              <w:rPr>
                <w:rFonts w:ascii="Courier New" w:cs="Courier New" w:eastAsia="Courier New" w:hAnsi="Courier New"/>
                <w:sz w:val="18"/>
                <w:szCs w:val="18"/>
                <w:color w:val="auto"/>
              </w:rPr>
              <w:t>NONE</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4.9%</w:t>
            </w:r>
          </w:p>
        </w:tc>
        <w:tc>
          <w:tcPr>
            <w:tcW w:w="360" w:type="dxa"/>
            <w:vAlign w:val="bottom"/>
          </w:tcPr>
          <w:p>
            <w:pPr>
              <w:spacing w:after="0"/>
              <w:rPr>
                <w:sz w:val="24"/>
                <w:szCs w:val="24"/>
                <w:color w:val="auto"/>
              </w:rPr>
            </w:pP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0.7%</w:t>
            </w:r>
          </w:p>
        </w:tc>
        <w:tc>
          <w:tcPr>
            <w:tcW w:w="360" w:type="dxa"/>
            <w:vAlign w:val="bottom"/>
          </w:tcPr>
          <w:p>
            <w:pPr>
              <w:spacing w:after="0"/>
              <w:rPr>
                <w:sz w:val="24"/>
                <w:szCs w:val="24"/>
                <w:color w:val="auto"/>
              </w:rPr>
            </w:pP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5.6%</w:t>
            </w:r>
          </w:p>
        </w:tc>
      </w:tr>
    </w:tbl>
    <w:p>
      <w:pPr>
        <w:spacing w:after="0" w:line="201" w:lineRule="exact"/>
        <w:rPr>
          <w:sz w:val="20"/>
          <w:szCs w:val="20"/>
          <w:color w:val="auto"/>
        </w:rPr>
      </w:pPr>
    </w:p>
    <w:p>
      <w:pPr>
        <w:ind w:left="540" w:hanging="532"/>
        <w:spacing w:after="0"/>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which such person has:</w:t>
      </w:r>
    </w:p>
    <w:p>
      <w:pPr>
        <w:spacing w:after="0" w:line="201" w:lineRule="exact"/>
        <w:rPr>
          <w:sz w:val="20"/>
          <w:szCs w:val="20"/>
          <w:color w:val="auto"/>
        </w:rPr>
      </w:pPr>
    </w:p>
    <w:p>
      <w:pPr>
        <w:ind w:left="540" w:hanging="532"/>
        <w:spacing w:after="0"/>
        <w:tabs>
          <w:tab w:leader="none" w:pos="54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to direct the vote;</w:t>
      </w:r>
    </w:p>
    <w:p>
      <w:pPr>
        <w:sectPr>
          <w:pgSz w:w="11900" w:h="16838" w:orient="portrait"/>
          <w:cols w:equalWidth="0" w:num="1">
            <w:col w:w="10540"/>
          </w:cols>
          <w:pgMar w:left="320" w:top="142" w:right="1039" w:bottom="0" w:gutter="0" w:footer="0" w:header="0"/>
          <w:type w:val="continuous"/>
        </w:sectPr>
      </w:pPr>
    </w:p>
    <w:p>
      <w:pPr>
        <w:ind w:left="540"/>
        <w:spacing w:after="0" w:line="238" w:lineRule="auto"/>
        <w:rPr>
          <w:sz w:val="20"/>
          <w:szCs w:val="20"/>
          <w:color w:val="auto"/>
        </w:rPr>
      </w:pPr>
      <w:r>
        <w:rPr>
          <w:rFonts w:ascii="Courier New" w:cs="Courier New" w:eastAsia="Courier New" w:hAnsi="Courier New"/>
          <w:sz w:val="18"/>
          <w:szCs w:val="18"/>
          <w:color w:val="auto"/>
        </w:rPr>
        <w:t>(but see Item 7)</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shared power to vote</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or to direct the vote;</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(but see 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232,700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232,700</w:t>
      </w:r>
    </w:p>
    <w:p>
      <w:pPr>
        <w:spacing w:after="0" w:line="216" w:lineRule="exact"/>
        <w:rPr>
          <w:sz w:val="20"/>
          <w:szCs w:val="20"/>
          <w:color w:val="auto"/>
        </w:rPr>
      </w:pPr>
    </w:p>
    <w:p>
      <w:pPr>
        <w:sectPr>
          <w:pgSz w:w="11900" w:h="16838" w:orient="portrait"/>
          <w:cols w:equalWidth="0" w:num="6">
            <w:col w:w="2980" w:space="720"/>
            <w:col w:w="1380" w:space="720"/>
            <w:col w:w="860" w:space="720"/>
            <w:col w:w="860" w:space="720"/>
            <w:col w:w="420" w:space="100"/>
            <w:col w:w="1060"/>
          </w:cols>
          <w:pgMar w:left="320" w:top="142" w:right="1039" w:bottom="0" w:gutter="0" w:footer="0" w:header="0"/>
          <w:type w:val="continuous"/>
        </w:sectPr>
      </w:pPr>
    </w:p>
    <w:p>
      <w:pPr>
        <w:spacing w:after="0" w:line="7" w:lineRule="exact"/>
        <w:rPr>
          <w:sz w:val="20"/>
          <w:szCs w:val="20"/>
          <w:color w:val="auto"/>
        </w:rPr>
      </w:pPr>
    </w:p>
    <w:p>
      <w:pPr>
        <w:ind w:left="540" w:right="7800" w:hanging="532"/>
        <w:spacing w:after="0" w:line="236" w:lineRule="auto"/>
        <w:tabs>
          <w:tab w:leader="none" w:pos="54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ectPr>
          <w:pgSz w:w="11900" w:h="16838" w:orient="portrait"/>
          <w:cols w:equalWidth="0" w:num="1">
            <w:col w:w="10540"/>
          </w:cols>
          <w:pgMar w:left="320" w:top="142" w:right="1039" w:bottom="0" w:gutter="0" w:footer="0" w:header="0"/>
          <w:type w:val="continuous"/>
        </w:sectPr>
      </w:pPr>
    </w:p>
    <w:p>
      <w:pPr>
        <w:spacing w:after="0" w:line="6" w:lineRule="exact"/>
        <w:rPr>
          <w:sz w:val="20"/>
          <w:szCs w:val="20"/>
          <w:color w:val="auto"/>
        </w:rPr>
      </w:pPr>
    </w:p>
    <w:p>
      <w:pPr>
        <w:ind w:right="340" w:firstLine="526"/>
        <w:spacing w:after="0" w:line="296" w:lineRule="auto"/>
        <w:rPr>
          <w:sz w:val="20"/>
          <w:szCs w:val="20"/>
          <w:color w:val="auto"/>
        </w:rPr>
      </w:pPr>
      <w:r>
        <w:rPr>
          <w:rFonts w:ascii="Courier New" w:cs="Courier New" w:eastAsia="Courier New" w:hAnsi="Courier New"/>
          <w:sz w:val="18"/>
          <w:szCs w:val="18"/>
          <w:color w:val="auto"/>
        </w:rPr>
        <w:t>(but see Item 7) (4) shared power to dispose or to direct the disposition of; (but see 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w:t>
      </w:r>
    </w:p>
    <w:p>
      <w:pPr>
        <w:spacing w:after="0" w:line="246" w:lineRule="exact"/>
        <w:rPr>
          <w:sz w:val="20"/>
          <w:szCs w:val="20"/>
          <w:color w:val="auto"/>
        </w:rPr>
      </w:pPr>
    </w:p>
    <w:p>
      <w:pPr>
        <w:sectPr>
          <w:pgSz w:w="11900" w:h="16838" w:orient="portrait"/>
          <w:cols w:equalWidth="0" w:num="5">
            <w:col w:w="2980" w:space="720"/>
            <w:col w:w="1380" w:space="720"/>
            <w:col w:w="860" w:space="720"/>
            <w:col w:w="860" w:space="720"/>
            <w:col w:w="1580"/>
          </w:cols>
          <w:pgMar w:left="320" w:top="142" w:right="1039" w:bottom="0" w:gutter="0" w:footer="0" w:header="0"/>
          <w:type w:val="continuous"/>
        </w:sectPr>
      </w:pPr>
    </w:p>
    <w:p>
      <w:pPr>
        <w:spacing w:after="0" w:line="365"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Page 8 of 10 Pages</w:t>
      </w:r>
    </w:p>
    <w:p>
      <w:pPr>
        <w:sectPr>
          <w:pgSz w:w="11900" w:h="16838" w:orient="portrait"/>
          <w:cols w:equalWidth="0" w:num="1">
            <w:col w:w="10540"/>
          </w:cols>
          <w:pgMar w:left="320" w:top="142" w:right="10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4320"/>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thereof the reporting person has ceased to be the beneficial owner of more than five percent of the class of securities, check the following ( ).</w:t>
      </w:r>
    </w:p>
    <w:p>
      <w:pPr>
        <w:spacing w:after="0" w:line="207" w:lineRule="exact"/>
        <w:rPr>
          <w:sz w:val="20"/>
          <w:szCs w:val="20"/>
          <w:color w:val="auto"/>
        </w:rPr>
      </w:pPr>
    </w:p>
    <w:p>
      <w:pPr>
        <w:ind w:right="4320"/>
        <w:spacing w:after="0" w:line="235" w:lineRule="auto"/>
        <w:rPr>
          <w:sz w:val="20"/>
          <w:szCs w:val="20"/>
          <w:color w:val="auto"/>
        </w:rPr>
      </w:pPr>
      <w:r>
        <w:rPr>
          <w:rFonts w:ascii="Courier New" w:cs="Courier New" w:eastAsia="Courier New" w:hAnsi="Courier New"/>
          <w:sz w:val="18"/>
          <w:szCs w:val="18"/>
          <w:color w:val="auto"/>
        </w:rPr>
        <w:t>Item 6. Ownership of More than Five/Ten Percent on Behalf of Another Person:</w:t>
      </w:r>
    </w:p>
    <w:p>
      <w:pPr>
        <w:spacing w:after="0" w:line="6" w:lineRule="exact"/>
        <w:rPr>
          <w:sz w:val="20"/>
          <w:szCs w:val="20"/>
          <w:color w:val="auto"/>
        </w:rPr>
      </w:pPr>
    </w:p>
    <w:p>
      <w:pPr>
        <w:ind w:right="4320"/>
        <w:spacing w:after="0" w:line="237" w:lineRule="auto"/>
        <w:rPr>
          <w:sz w:val="20"/>
          <w:szCs w:val="20"/>
          <w:color w:val="auto"/>
        </w:rPr>
      </w:pPr>
      <w:r>
        <w:rPr>
          <w:rFonts w:ascii="Courier New" w:cs="Courier New" w:eastAsia="Courier New" w:hAnsi="Courier New"/>
          <w:sz w:val="18"/>
          <w:szCs w:val="18"/>
          <w:color w:val="auto"/>
        </w:rPr>
        <w:t>No persons other than the persons filing this Schedule 13G have an economic interest in the securities reported on which relates to more than five percent of the class of securities. Securities reported on this Schedule 13G as being beneficially owned by M&amp;MC and PI consist of securities beneficially owned by subsidiaries of PI which are registered investment advisers, which in turn include securities beneficially owned by clients of such investment advisers, which clients may include investment companies registered under the Investment Company Act and/or employee benefit plans, pension funds, endowment funds or other institutional clients.</w:t>
      </w:r>
    </w:p>
    <w:p>
      <w:pPr>
        <w:spacing w:after="0" w:line="216" w:lineRule="exact"/>
        <w:rPr>
          <w:sz w:val="20"/>
          <w:szCs w:val="20"/>
          <w:color w:val="auto"/>
        </w:rPr>
      </w:pPr>
    </w:p>
    <w:p>
      <w:pPr>
        <w:ind w:right="4320"/>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 which is a wholly-owned subsidiary of M&amp;MC, wholly owns</w:t>
      </w:r>
    </w:p>
    <w:p>
      <w:pPr>
        <w:sectPr>
          <w:pgSz w:w="11900" w:h="16838" w:orient="portrait"/>
          <w:cols w:equalWidth="0" w:num="1">
            <w:col w:w="10540"/>
          </w:cols>
          <w:pgMar w:left="320" w:top="142" w:right="1039" w:bottom="0" w:gutter="0" w:footer="0" w:header="0"/>
          <w:type w:val="continuous"/>
        </w:sectPr>
      </w:pPr>
    </w:p>
    <w:bookmarkStart w:id="6" w:name="page7"/>
    <w:bookmarkEnd w:id="6"/>
    <w:p>
      <w:pPr>
        <w:ind w:right="3819"/>
        <w:spacing w:after="0" w:line="238" w:lineRule="auto"/>
        <w:rPr>
          <w:sz w:val="20"/>
          <w:szCs w:val="20"/>
          <w:color w:val="auto"/>
        </w:rPr>
      </w:pPr>
      <w:r>
        <w:rPr>
          <w:rFonts w:ascii="Courier New" w:cs="Courier New" w:eastAsia="Courier New" w:hAnsi="Courier New"/>
          <w:sz w:val="18"/>
          <w:szCs w:val="18"/>
          <w:color w:val="auto"/>
        </w:rPr>
        <w:t>two registered investment advisers: Putnam Investment Management, Inc., which is the investment adviser to the Putnam family of mutual funds and The Putnam Advisory Company, Inc., which is the investment adviser to Putnam's institutional clients. Both subsidiaries have dispository power over the shares as investment managers, but each of the mutual fund's trustees have voting power over the shares held by each fund, and The Putnam Advisory Company, Inc. has shared voting power over the shares held by the institutional clients. Pursuant to Rule 13d-4, M&amp;MC and PI declare that the filing of this Schedule 13G shall not be deemed an admission by either or both of them that they are, for the purposes of Section 13(d) or 13(g) the beneficial owner of any securities covered by this Section 13G, and further state that neither of them have any power to vote or dispose of, or direct the voting or disposition of, any of the securities covered by this Schedule 13G.</w:t>
      </w:r>
    </w:p>
    <w:p>
      <w:pPr>
        <w:spacing w:after="0" w:line="207" w:lineRule="exact"/>
        <w:rPr>
          <w:sz w:val="20"/>
          <w:szCs w:val="20"/>
          <w:color w:val="auto"/>
        </w:rPr>
      </w:pPr>
    </w:p>
    <w:p>
      <w:pPr>
        <w:ind w:right="41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8"/>
          <w:szCs w:val="18"/>
          <w:color w:val="auto"/>
        </w:rPr>
        <w:t>Page 9 of 10 Pages</w:t>
      </w:r>
    </w:p>
    <w:p>
      <w:pPr>
        <w:spacing w:after="0" w:line="207" w:lineRule="exact"/>
        <w:rPr>
          <w:sz w:val="20"/>
          <w:szCs w:val="20"/>
          <w:color w:val="auto"/>
        </w:rPr>
      </w:pPr>
    </w:p>
    <w:p>
      <w:pPr>
        <w:ind w:right="381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390" w:lineRule="exact"/>
        <w:rPr>
          <w:sz w:val="20"/>
          <w:szCs w:val="20"/>
          <w:color w:val="auto"/>
        </w:rPr>
      </w:pPr>
    </w:p>
    <w:p>
      <w:pPr>
        <w:ind w:right="38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PUTNAM INVESTMENTS, INC.</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/s/Andrew J. Hachey</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BY:</w:t>
        <w:tab/>
        <w:t>-------------------------------------------</w:t>
      </w:r>
    </w:p>
    <w:p>
      <w:pPr>
        <w:ind w:left="54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Andrew J. Hachey</w:t>
      </w:r>
    </w:p>
    <w:p>
      <w:pPr>
        <w:ind w:left="540"/>
        <w:spacing w:after="0" w:line="238" w:lineRule="auto"/>
        <w:rPr>
          <w:sz w:val="20"/>
          <w:szCs w:val="20"/>
          <w:color w:val="auto"/>
        </w:rPr>
      </w:pPr>
      <w:r>
        <w:rPr>
          <w:rFonts w:ascii="Courier New" w:cs="Courier New" w:eastAsia="Courier New" w:hAnsi="Courier New"/>
          <w:sz w:val="18"/>
          <w:szCs w:val="18"/>
          <w:color w:val="auto"/>
        </w:rPr>
        <w:t>Assistant Vice President and</w:t>
      </w:r>
    </w:p>
    <w:p>
      <w:pPr>
        <w:ind w:left="540"/>
        <w:spacing w:after="0" w:line="238" w:lineRule="auto"/>
        <w:rPr>
          <w:sz w:val="20"/>
          <w:szCs w:val="20"/>
          <w:color w:val="auto"/>
        </w:rPr>
      </w:pPr>
      <w:r>
        <w:rPr>
          <w:rFonts w:ascii="Courier New" w:cs="Courier New" w:eastAsia="Courier New" w:hAnsi="Courier New"/>
          <w:sz w:val="18"/>
          <w:szCs w:val="18"/>
          <w:color w:val="auto"/>
        </w:rPr>
        <w:t>Regulatory Compliance Counsel</w:t>
      </w:r>
    </w:p>
    <w:p>
      <w:pPr>
        <w:spacing w:after="0" w:line="202"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7, 2000</w:t>
      </w:r>
    </w:p>
    <w:p>
      <w:pPr>
        <w:spacing w:after="0" w:line="200" w:lineRule="exact"/>
        <w:rPr>
          <w:sz w:val="20"/>
          <w:szCs w:val="20"/>
          <w:color w:val="auto"/>
        </w:rPr>
      </w:pPr>
    </w:p>
    <w:p>
      <w:pPr>
        <w:spacing w:after="0" w:line="209" w:lineRule="exact"/>
        <w:rPr>
          <w:sz w:val="20"/>
          <w:szCs w:val="20"/>
          <w:color w:val="auto"/>
        </w:rPr>
      </w:pPr>
    </w:p>
    <w:p>
      <w:pPr>
        <w:ind w:right="3819"/>
        <w:spacing w:after="0" w:line="237" w:lineRule="auto"/>
        <w:rPr>
          <w:sz w:val="20"/>
          <w:szCs w:val="20"/>
          <w:color w:val="auto"/>
        </w:rPr>
      </w:pPr>
      <w:r>
        <w:rPr>
          <w:rFonts w:ascii="Courier New" w:cs="Courier New" w:eastAsia="Courier New" w:hAnsi="Courier New"/>
          <w:sz w:val="18"/>
          <w:szCs w:val="18"/>
          <w:color w:val="auto"/>
        </w:rPr>
        <w:t>For this and all future filings, reference is made to Power of Attorney dated April 30, 1999, with respect to duly authorized signatures on behalf of Marsh &amp; McLennan Companies, Inc., Putnam Investments, Inc., Putnam Investment Management, Inc., The Putnam Advisory Company, Inc. and any Putnam Fund wherever applicable.</w:t>
      </w:r>
    </w:p>
    <w:p>
      <w:pPr>
        <w:spacing w:after="0" w:line="209" w:lineRule="exact"/>
        <w:rPr>
          <w:sz w:val="20"/>
          <w:szCs w:val="20"/>
          <w:color w:val="auto"/>
        </w:rPr>
      </w:pPr>
    </w:p>
    <w:p>
      <w:pPr>
        <w:ind w:right="3819"/>
        <w:spacing w:after="0" w:line="237" w:lineRule="auto"/>
        <w:rPr>
          <w:sz w:val="20"/>
          <w:szCs w:val="20"/>
          <w:color w:val="auto"/>
        </w:rPr>
      </w:pPr>
      <w:r>
        <w:rPr>
          <w:rFonts w:ascii="Courier New" w:cs="Courier New" w:eastAsia="Courier New" w:hAnsi="Courier New"/>
          <w:sz w:val="18"/>
          <w:szCs w:val="18"/>
          <w:color w:val="auto"/>
        </w:rPr>
        <w:t>For this and all future filings, reference is made to an Agreement dated June 28, 1990, with respect to one filing of Schedule 13G on behalf of said entities, pursuant to Rule 13d-1(f)(1).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Page 10 of 10 Pages</w:t>
      </w:r>
    </w:p>
    <w:sectPr>
      <w:pgSz w:w="11900" w:h="16838" w:orient="portrait"/>
      <w:cols w:equalWidth="0" w:num="1">
        <w:col w:w="10139"/>
      </w:cols>
      <w:pgMar w:left="320" w:top="142" w:right="1440" w:bottom="74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1."/>
      <w:numFmt w:val="decimal"/>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1."/>
      <w:numFmt w:val="decimal"/>
      <w:start w:val="2"/>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1."/>
      <w:numFmt w:val="decimal"/>
      <w:start w:val="3"/>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1."/>
      <w:numFmt w:val="decimal"/>
      <w:start w:val="4"/>
    </w:lvl>
  </w:abstractNum>
  <w:abstractNum w:abstractNumId="8">
    <w:nsid w:val="6A2342EC"/>
    <w:multiLevelType w:val="hybridMultilevel"/>
    <w:lvl w:ilvl="0">
      <w:lvlJc w:val="left"/>
      <w:lvlText w:val="-"/>
      <w:numFmt w:val="bullet"/>
      <w:start w:val="1"/>
    </w:lvl>
    <w:lvl w:ilvl="1">
      <w:lvlJc w:val="left"/>
      <w:lvlText w:val="%2."/>
      <w:numFmt w:val="decimal"/>
      <w:start w:val="5"/>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1."/>
      <w:numFmt w:val="decimal"/>
      <w:start w:val="9"/>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1."/>
      <w:numFmt w:val="decimal"/>
      <w:start w:val="10"/>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1."/>
      <w:numFmt w:val="decimal"/>
      <w:start w:val="1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1."/>
      <w:numFmt w:val="decimal"/>
      <w:start w:val="12"/>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1."/>
      <w:numFmt w:val="decimal"/>
      <w:start w:val="1"/>
    </w:lvl>
    <w:lvl w:ilvl="1">
      <w:lvlJc w:val="left"/>
      <w:lvlText w:val="%2"/>
      <w:numFmt w:val="upperLetter"/>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1."/>
      <w:numFmt w:val="decimal"/>
      <w:start w:val="2"/>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1."/>
      <w:numFmt w:val="decimal"/>
      <w:start w:val="3"/>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1."/>
      <w:numFmt w:val="decimal"/>
      <w:start w:val="4"/>
    </w:lvl>
  </w:abstractNum>
  <w:abstractNum w:abstractNumId="26">
    <w:nsid w:val="79A1DEAA"/>
    <w:multiLevelType w:val="hybridMultilevel"/>
    <w:lvl w:ilvl="0">
      <w:lvlJc w:val="left"/>
      <w:lvlText w:val="-"/>
      <w:numFmt w:val="bullet"/>
      <w:start w:val="1"/>
    </w:lvl>
    <w:lvl w:ilvl="1">
      <w:lvlJc w:val="left"/>
      <w:lvlText w:val="%2."/>
      <w:numFmt w:val="decimal"/>
      <w:start w:val="5"/>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1."/>
      <w:numFmt w:val="decimal"/>
      <w:start w:val="9"/>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1."/>
      <w:numFmt w:val="decimal"/>
      <w:start w:val="10"/>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1."/>
      <w:numFmt w:val="decimal"/>
      <w:start w:val="1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1."/>
      <w:numFmt w:val="decimal"/>
      <w:start w:val="12"/>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1."/>
      <w:numFmt w:val="decimal"/>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1."/>
      <w:numFmt w:val="decimal"/>
      <w:start w:val="2"/>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1."/>
      <w:numFmt w:val="decimal"/>
      <w:start w:val="3"/>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1."/>
      <w:numFmt w:val="decimal"/>
      <w:start w:val="4"/>
    </w:lvl>
  </w:abstractNum>
  <w:abstractNum w:abstractNumId="44">
    <w:nsid w:val="D34B6A8"/>
    <w:multiLevelType w:val="hybridMultilevel"/>
    <w:lvl w:ilvl="0">
      <w:lvlJc w:val="left"/>
      <w:lvlText w:val="-"/>
      <w:numFmt w:val="bullet"/>
      <w:start w:val="1"/>
    </w:lvl>
    <w:lvl w:ilvl="1">
      <w:lvlJc w:val="left"/>
      <w:lvlText w:val="%2."/>
      <w:numFmt w:val="decimal"/>
      <w:start w:val="5"/>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1."/>
      <w:numFmt w:val="decimal"/>
      <w:start w:val="9"/>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1."/>
      <w:numFmt w:val="decimal"/>
      <w:start w:val="10"/>
    </w:lvl>
  </w:abstractNum>
  <w:abstractNum w:abstractNumId="49">
    <w:nsid w:val="77AE35EB"/>
    <w:multiLevelType w:val="hybridMultilevel"/>
    <w:lvl w:ilvl="0">
      <w:lvlJc w:val="left"/>
      <w:lvlText w:val="%1."/>
      <w:numFmt w:val="decimal"/>
      <w:start w:val="1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1."/>
      <w:numFmt w:val="decimal"/>
      <w:start w:val="12"/>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1."/>
      <w:numFmt w:val="decimal"/>
      <w:start w:val="1"/>
    </w:lvl>
    <w:lvl w:ilvl="1">
      <w:lvlJc w:val="left"/>
      <w:lvlText w:val="%2"/>
      <w:numFmt w:val="upperLetter"/>
      <w:start w:val="1"/>
    </w:lvl>
  </w:abstractNum>
  <w:abstractNum w:abstractNumId="55">
    <w:nsid w:val="1DBABF00"/>
    <w:multiLevelType w:val="hybridMultilevel"/>
    <w:lvl w:ilvl="0">
      <w:lvlJc w:val="left"/>
      <w:lvlText w:val="-"/>
      <w:numFmt w:val="bullet"/>
      <w:start w:val="1"/>
    </w:lvl>
  </w:abstractNum>
  <w:abstractNum w:abstractNumId="56">
    <w:nsid w:val="4AD084E9"/>
    <w:multiLevelType w:val="hybridMultilevel"/>
    <w:lvl w:ilvl="0">
      <w:lvlJc w:val="left"/>
      <w:lvlText w:val="%1."/>
      <w:numFmt w:val="decimal"/>
      <w:start w:val="2"/>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1."/>
      <w:numFmt w:val="decimal"/>
      <w:start w:val="3"/>
    </w:lvl>
  </w:abstractNum>
  <w:abstractNum w:abstractNumId="59">
    <w:nsid w:val="5DB70AE5"/>
    <w:multiLevelType w:val="hybridMultilevel"/>
    <w:lvl w:ilvl="0">
      <w:lvlJc w:val="left"/>
      <w:lvlText w:val="-"/>
      <w:numFmt w:val="bullet"/>
      <w:start w:val="1"/>
    </w:lvl>
  </w:abstractNum>
  <w:abstractNum w:abstractNumId="60">
    <w:nsid w:val="100F8FCA"/>
    <w:multiLevelType w:val="hybridMultilevel"/>
    <w:lvl w:ilvl="0">
      <w:lvlJc w:val="left"/>
      <w:lvlText w:val="%1."/>
      <w:numFmt w:val="decimal"/>
      <w:start w:val="4"/>
    </w:lvl>
  </w:abstractNum>
  <w:abstractNum w:abstractNumId="61">
    <w:nsid w:val="6590700B"/>
    <w:multiLevelType w:val="hybridMultilevel"/>
    <w:lvl w:ilvl="0">
      <w:lvlJc w:val="left"/>
      <w:lvlText w:val="-"/>
      <w:numFmt w:val="bullet"/>
      <w:start w:val="1"/>
    </w:lvl>
    <w:lvl w:ilvl="1">
      <w:lvlJc w:val="left"/>
      <w:lvlText w:val="%2."/>
      <w:numFmt w:val="decimal"/>
      <w:start w:val="5"/>
    </w:lvl>
  </w:abstractNum>
  <w:abstractNum w:abstractNumId="62">
    <w:nsid w:val="15014ACB"/>
    <w:multiLevelType w:val="hybridMultilevel"/>
    <w:lvl w:ilvl="0">
      <w:lvlJc w:val="left"/>
      <w:lvlText w:val="-"/>
      <w:numFmt w:val="bullet"/>
      <w:start w:val="1"/>
    </w:lvl>
  </w:abstractNum>
  <w:abstractNum w:abstractNumId="63">
    <w:nsid w:val="5F5E7FD0"/>
    <w:multiLevelType w:val="hybridMultilevel"/>
    <w:lvl w:ilvl="0">
      <w:lvlJc w:val="left"/>
      <w:lvlText w:val="%1."/>
      <w:numFmt w:val="decimal"/>
      <w:start w:val="9"/>
    </w:lvl>
  </w:abstractNum>
  <w:abstractNum w:abstractNumId="64">
    <w:nsid w:val="98A3148"/>
    <w:multiLevelType w:val="hybridMultilevel"/>
    <w:lvl w:ilvl="0">
      <w:lvlJc w:val="left"/>
      <w:lvlText w:val="-"/>
      <w:numFmt w:val="bullet"/>
      <w:start w:val="1"/>
    </w:lvl>
  </w:abstractNum>
  <w:abstractNum w:abstractNumId="65">
    <w:nsid w:val="799D0247"/>
    <w:multiLevelType w:val="hybridMultilevel"/>
    <w:lvl w:ilvl="0">
      <w:lvlJc w:val="left"/>
      <w:lvlText w:val="%1."/>
      <w:numFmt w:val="decimal"/>
      <w:start w:val="10"/>
    </w:lvl>
  </w:abstractNum>
  <w:abstractNum w:abstractNumId="66">
    <w:nsid w:val="6B94764"/>
    <w:multiLevelType w:val="hybridMultilevel"/>
    <w:lvl w:ilvl="0">
      <w:lvlJc w:val="left"/>
      <w:lvlText w:val="-"/>
      <w:numFmt w:val="bullet"/>
      <w:start w:val="1"/>
    </w:lvl>
  </w:abstractNum>
  <w:abstractNum w:abstractNumId="67">
    <w:nsid w:val="42C296BD"/>
    <w:multiLevelType w:val="hybridMultilevel"/>
    <w:lvl w:ilvl="0">
      <w:lvlJc w:val="left"/>
      <w:lvlText w:val="%1."/>
      <w:numFmt w:val="decimal"/>
      <w:start w:val="11"/>
    </w:lvl>
  </w:abstractNum>
  <w:abstractNum w:abstractNumId="68">
    <w:nsid w:val="168E121F"/>
    <w:multiLevelType w:val="hybridMultilevel"/>
    <w:lvl w:ilvl="0">
      <w:lvlJc w:val="left"/>
      <w:lvlText w:val="-"/>
      <w:numFmt w:val="bullet"/>
      <w:start w:val="1"/>
    </w:lvl>
  </w:abstractNum>
  <w:abstractNum w:abstractNumId="69">
    <w:nsid w:val="1EBA5D23"/>
    <w:multiLevelType w:val="hybridMultilevel"/>
    <w:lvl w:ilvl="0">
      <w:lvlJc w:val="left"/>
      <w:lvlText w:val="%1."/>
      <w:numFmt w:val="decimal"/>
      <w:start w:val="12"/>
    </w:lvl>
  </w:abstractNum>
  <w:abstractNum w:abstractNumId="70">
    <w:nsid w:val="661E3F1E"/>
    <w:multiLevelType w:val="hybridMultilevel"/>
    <w:lvl w:ilvl="0">
      <w:lvlJc w:val="left"/>
      <w:lvlText w:val="-"/>
      <w:numFmt w:val="bullet"/>
      <w:start w:val="1"/>
    </w:lvl>
  </w:abstractNum>
  <w:abstractNum w:abstractNumId="71">
    <w:nsid w:val="5DC79EA8"/>
    <w:multiLevelType w:val="hybridMultilevel"/>
    <w:lvl w:ilvl="0">
      <w:lvlJc w:val="left"/>
      <w:lvlText w:val="*"/>
      <w:numFmt w:val="bullet"/>
      <w:start w:val="1"/>
    </w:lvl>
    <w:lvl w:ilvl="1">
      <w:lvlJc w:val="left"/>
      <w:lvlText w:val="**"/>
      <w:numFmt w:val="bullet"/>
      <w:start w:val="1"/>
    </w:lvl>
  </w:abstractNum>
  <w:abstractNum w:abstractNumId="72">
    <w:nsid w:val="540A471C"/>
    <w:multiLevelType w:val="hybridMultilevel"/>
    <w:lvl w:ilvl="0">
      <w:lvlJc w:val="left"/>
      <w:lvlText w:val="(%1)"/>
      <w:numFmt w:val="lowerLetter"/>
      <w:start w:val="1"/>
    </w:lvl>
  </w:abstractNum>
  <w:abstractNum w:abstractNumId="73">
    <w:nsid w:val="7BD3EE7B"/>
    <w:multiLevelType w:val="hybridMultilevel"/>
    <w:lvl w:ilvl="0">
      <w:lvlJc w:val="left"/>
      <w:lvlText w:val="(%1)"/>
      <w:numFmt w:val="lowerLetter"/>
      <w:start w:val="3"/>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2020-10-06T21:26:39Z</dcterms:created>
  <dcterms:modified xsi:type="dcterms:W3CDTF">2020-10-06T21:26:39Z</dcterms:modified>
</cp:coreProperties>
</file>