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18, 2022</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-19050</wp:posOffset>
            </wp:positionV>
            <wp:extent cx="342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484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04-2348234</w:t>
            </w:r>
          </w:p>
        </w:tc>
      </w:tr>
      <w:tr>
        <w:trPr>
          <w:trHeight w:val="148"/>
        </w:trPr>
        <w:tc>
          <w:tcPr>
            <w:tcW w:w="2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840" w:type="dxa"/>
            <w:vAlign w:val="bottom"/>
          </w:tcPr>
          <w:p>
            <w:pPr>
              <w:jc w:val="center"/>
              <w:ind w:left="36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840" w:type="dxa"/>
            <w:vAlign w:val="bottom"/>
          </w:tcPr>
          <w:p>
            <w:pPr>
              <w:jc w:val="center"/>
              <w:ind w:left="36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One Analog Way</w:t>
            </w:r>
          </w:p>
        </w:tc>
        <w:tc>
          <w:tcPr>
            <w:tcW w:w="4840" w:type="dxa"/>
            <w:vAlign w:val="bottom"/>
          </w:tcPr>
          <w:p>
            <w:pPr>
              <w:spacing w:after="0"/>
              <w:rPr>
                <w:sz w:val="24"/>
                <w:szCs w:val="24"/>
                <w:color w:val="auto"/>
              </w:rPr>
            </w:pPr>
          </w:p>
        </w:tc>
      </w:tr>
      <w:tr>
        <w:trPr>
          <w:trHeight w:val="22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Wilmington, MA</w:t>
            </w:r>
          </w:p>
        </w:tc>
        <w:tc>
          <w:tcPr>
            <w:tcW w:w="484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01887</w:t>
            </w: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40" w:type="dxa"/>
            <w:vAlign w:val="bottom"/>
          </w:tcPr>
          <w:p>
            <w:pPr>
              <w:jc w:val="center"/>
              <w:ind w:left="36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2520" w:type="dxa"/>
            <w:vAlign w:val="bottom"/>
          </w:tcPr>
          <w:p>
            <w:pPr>
              <w:spacing w:after="0"/>
              <w:rPr>
                <w:sz w:val="24"/>
                <w:szCs w:val="24"/>
                <w:color w:val="auto"/>
              </w:rPr>
            </w:pPr>
          </w:p>
        </w:tc>
        <w:tc>
          <w:tcPr>
            <w:tcW w:w="48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9"/>
              </w:rPr>
              <w:t>Analog Devices, Inc.</w:t>
            </w:r>
          </w:p>
        </w:tc>
      </w:tr>
      <w:tr>
        <w:trPr>
          <w:trHeight w:val="214"/>
        </w:trPr>
        <w:tc>
          <w:tcPr>
            <w:tcW w:w="2520" w:type="dxa"/>
            <w:vAlign w:val="bottom"/>
          </w:tcPr>
          <w:p>
            <w:pPr>
              <w:spacing w:after="0"/>
              <w:rPr>
                <w:sz w:val="18"/>
                <w:szCs w:val="18"/>
                <w:color w:val="auto"/>
              </w:rPr>
            </w:pPr>
          </w:p>
        </w:tc>
        <w:tc>
          <w:tcPr>
            <w:tcW w:w="484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9"/>
              </w:rPr>
              <w:t>2022 Employee Stock Purchase Plan</w:t>
            </w:r>
          </w:p>
        </w:tc>
      </w:tr>
      <w:tr>
        <w:trPr>
          <w:trHeight w:val="190"/>
        </w:trPr>
        <w:tc>
          <w:tcPr>
            <w:tcW w:w="2520" w:type="dxa"/>
            <w:vAlign w:val="bottom"/>
          </w:tcPr>
          <w:p>
            <w:pPr>
              <w:spacing w:after="0"/>
              <w:rPr>
                <w:sz w:val="16"/>
                <w:szCs w:val="16"/>
                <w:color w:val="auto"/>
              </w:rPr>
            </w:pPr>
          </w:p>
        </w:tc>
        <w:tc>
          <w:tcPr>
            <w:tcW w:w="484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Janene I. Asgeirsson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Legal Officer and Chief Risk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Analog Way</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Wilmington, MA 01887</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(781) 329-4700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 is included in documents sent or given to participants in the plans covered by this registration statement pursuant to Rule 428(b)(1) of the Securities Act of 1933, as amended (the “Securities Act”).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121"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The written statement required by Item 2 is included in documents sent or given to participants in the plans covered by this registration statement pursuant to Rule 428(b)(1) of the Securities Act.</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spacing w:after="0" w:line="180" w:lineRule="exact"/>
        <w:rPr>
          <w:sz w:val="20"/>
          <w:szCs w:val="20"/>
          <w:color w:val="auto"/>
        </w:rPr>
      </w:pPr>
    </w:p>
    <w:p>
      <w:pPr>
        <w:ind w:left="4" w:hanging="4"/>
        <w:spacing w:after="0" w:line="282" w:lineRule="auto"/>
        <w:tabs>
          <w:tab w:leader="none" w:pos="2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latest annual report filed pursuant to Section 13(a) or 15(d) of the Exchange Act or the latest prospectus filed pursuant to Rule 424(b) under the Securities Act that contains audited financial statements for the registrant’s latest fiscal year for which such statements have been filed.</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Exchange Act since the end of the fiscal year covered by the document referred to in</w:t>
      </w:r>
    </w:p>
    <w:p>
      <w:pPr>
        <w:spacing w:after="0" w:line="2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6"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securities contained in the registrant’s registration statement on Form 8-A filed under the Exchange Act, as the description</w:t>
      </w:r>
    </w:p>
    <w:p>
      <w:pPr>
        <w:spacing w:after="0" w:line="27" w:lineRule="exact"/>
        <w:rPr>
          <w:rFonts w:ascii="Times New Roman" w:cs="Times New Roman" w:eastAsia="Times New Roman" w:hAnsi="Times New Roman"/>
          <w:sz w:val="18"/>
          <w:szCs w:val="18"/>
          <w:color w:val="auto"/>
        </w:rPr>
      </w:pPr>
    </w:p>
    <w:p>
      <w:pPr>
        <w:jc w:val="both"/>
        <w:ind w:left="4"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therein has been updated and superseded by the description of the registrant’s capital stock contained in Exhibit 4.6 to the registrant’s Annual Report on Form 10-K for the fiscal year ended November 2, 2019, as filed with the Commission on November 26, 2019, including any amendment or report filed for the purpose of updating such description.</w:t>
      </w:r>
    </w:p>
    <w:p>
      <w:pPr>
        <w:spacing w:after="0" w:line="186"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Wilmer Cutler Pickering Hale and Dorr LLP has opined as to the legality of the securities being offered by this registration statement.</w:t>
      </w:r>
    </w:p>
    <w:p>
      <w:pPr>
        <w:sectPr>
          <w:pgSz w:w="11900" w:h="16838" w:orient="portrait"/>
          <w:cols w:equalWidth="0" w:num="1">
            <w:col w:w="11004"/>
          </w:cols>
          <w:pgMar w:left="436"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6. Indemnification of Directors and Officers.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Article 6A of the registrant’s Restated Articles of Organization, as amended (the “Restated Articles”) provides that the registrant shall indemnify each person who is, or was, a director or officer of the registrant or who is or was a director or employee of the registrant and is serving or has served as a director or officer of another organization at the request of the registrant or in any capacity with respect to an employee benefit plan of the registrant,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the registrant or as a result of his having served with respect to any such employee benefit plan. Article 6A further provides that the registrant shall provide no indemnification with respect to any matter as to which any director or officer shall be finally adjudicated in such action, suit or proceeding not to have acted in good faith in the reasonable belief that his action was in the best interests of the registrant or, if the matter relates to an employee benefit plan, the participants or beneficiaries of such employee benefit plan. The right to indemnification conferred by Article 6A includes the right to be paid by the registrant for liabilities and expenses incurred in connection with settlement or compromise of any such action pursuant to a consent decree or otherwise, unless a determination is made by the board of directors that such settlement or compromise is not in the best interests of the registrant or, if the matter relates to an employee benefit plan, the participants or beneficiaries of such employee benefit plan.</w:t>
      </w:r>
    </w:p>
    <w:p>
      <w:pPr>
        <w:spacing w:after="0" w:line="19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Article 6A of the Restated Articles includes the right to payment by the registrant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Restated Articles. However, no advance may be made if the board of directors reasonably and promptly determines, by a majority vote of a quorum consisting of disinterested directors (or, if such quorum is not obtainable, by a majority of the disinterested directors of the registrant or if two disinterested directors are not then in office, by independent legal counsel in a written opinion), based on facts known to the board of directors or such independent legal counsel at such time, that such person did not act in good faith in the reasonable belief that his action was in the best interest of the registrant or the participants or beneficiaries of such employee benefit plan, as the case may be.</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Article 6A of the Restated Articles, if an individual is entitled under any provision of Article 6 of the Restated Articles to indemnification by the registrant for some or a portion of the liabilities or expenses imposed upon or incurred by such individual in the investigation, defense, appeal or settlement of any action, suit or proceeding but not, however, for the total amount thereof, the registrant shall nevertheless indemnify such individual for the portion of such liabilities or expenses to which such individual is entitled. The registrant’s obligation to provide indemnification under the Restated Articles shall be offset to the extent of any other source of indemnification or any otherwise applicable insurance coverage under a policy maintained by the registrant or any other person.</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Article 6D of the Restated Articles, to the fullest extent permitted by the Massachusetts Business Corporation Act, as may be amended from time to time, no director shall be personally liable to the registrant or its stockholders for monetary damages for breach of his fiduciary duty as a director, notwithstanding any provision of law imposing such liability.</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registrant has also entered into indemnification agreements with its directors and executive officers, each of which creates a direct contractual obligation of the registrant to indemnify the individual under certain circumstances. Each agreement generally provides that the registrant will indemnify the director or officer to the fullest extent permitted under Massachusetts law for claims arising in such individual’s capacity as a director or officer of the registrant or in connection with his or her service at the request of the registrant for another entity. Each agreement, among other things, establishes certain remedies for claims and contains deadlines and procedures to be followed in connection with a request for indemnification and/or advancement of expenses, including in the event of a change in control of the registrant.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registrant has directors and officers liability insurance for the benefit of its directors and officers.</w:t>
      </w:r>
    </w:p>
    <w:p>
      <w:pPr>
        <w:sectPr>
          <w:pgSz w:w="11900" w:h="16838" w:orient="portrait"/>
          <w:cols w:equalWidth="0" w:num="1">
            <w:col w:w="11000"/>
          </w:cols>
          <w:pgMar w:left="440" w:top="266"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 Exemption from Registration Claimed.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exhibits are incorporated herein by reference:</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9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gridSpan w:val="8"/>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940" w:type="dxa"/>
            <w:vAlign w:val="bottom"/>
          </w:tcPr>
          <w:p>
            <w:pPr>
              <w:jc w:val="right"/>
              <w:ind w:right="533"/>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0080" w:type="dxa"/>
            <w:vAlign w:val="bottom"/>
            <w:gridSpan w:val="11"/>
          </w:tcPr>
          <w:p>
            <w:pPr>
              <w:spacing w:after="0" w:line="169"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Restated Articles of Organization of Analog Devices, Inc., as amended (incorporated by reference to Exhibit 3.1 to the registrant’s</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80" w:type="dxa"/>
            <w:vAlign w:val="bottom"/>
            <w:gridSpan w:val="11"/>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Quarterly Report on Form 10-Q for the fiscal quarter ended May 3, 2008, as filed with the Securities and Exchange Commission on</w:t>
              </w:r>
            </w:hyperlink>
          </w:p>
        </w:tc>
      </w:tr>
      <w:tr>
        <w:trPr>
          <w:trHeight w:val="196"/>
        </w:trPr>
        <w:tc>
          <w:tcPr>
            <w:tcW w:w="94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May 20, 2008 (File No. 001-07819)).</w:t>
              </w:r>
            </w:hyperlink>
          </w:p>
        </w:tc>
        <w:tc>
          <w:tcPr>
            <w:tcW w:w="6780" w:type="dxa"/>
            <w:vAlign w:val="bottom"/>
            <w:tcBorders>
              <w:top w:val="single" w:sz="8" w:color="0000EE"/>
            </w:tcBorders>
            <w:gridSpan w:val="6"/>
          </w:tcPr>
          <w:p>
            <w:pPr>
              <w:spacing w:after="0"/>
              <w:rPr>
                <w:sz w:val="17"/>
                <w:szCs w:val="17"/>
                <w:color w:val="auto"/>
              </w:rPr>
            </w:pPr>
          </w:p>
        </w:tc>
        <w:tc>
          <w:tcPr>
            <w:tcW w:w="620" w:type="dxa"/>
            <w:vAlign w:val="bottom"/>
            <w:gridSpan w:val="2"/>
          </w:tcPr>
          <w:p>
            <w:pPr>
              <w:spacing w:after="0"/>
              <w:rPr>
                <w:sz w:val="17"/>
                <w:szCs w:val="17"/>
                <w:color w:val="auto"/>
              </w:rPr>
            </w:pPr>
          </w:p>
        </w:tc>
      </w:tr>
      <w:tr>
        <w:trPr>
          <w:trHeight w:val="304"/>
        </w:trPr>
        <w:tc>
          <w:tcPr>
            <w:tcW w:w="94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4.2</w:t>
            </w:r>
          </w:p>
        </w:tc>
        <w:tc>
          <w:tcPr>
            <w:tcW w:w="95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Amendment to Restated Articles of Organization of Analog Devices, Inc. (incorporated by reference to Exhibit 3.1 to the registrant’s</w:t>
              </w:r>
            </w:hyperlink>
          </w:p>
        </w:tc>
        <w:tc>
          <w:tcPr>
            <w:tcW w:w="52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80" w:type="dxa"/>
            <w:vAlign w:val="bottom"/>
            <w:gridSpan w:val="11"/>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Current Report on Form 8-K, as filed with the Securities and Exchange Commission on December 8, 2008 (File No. 001-07819)).</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r>
      <w:tr>
        <w:trPr>
          <w:trHeight w:val="304"/>
        </w:trPr>
        <w:tc>
          <w:tcPr>
            <w:tcW w:w="94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4.3</w:t>
            </w:r>
          </w:p>
        </w:tc>
        <w:tc>
          <w:tcPr>
            <w:tcW w:w="93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Amended and Restated Bylaws of Analog Devices, Inc., as of December 13, 2018 (incorporated by reference to Exhibit 3.1 to the</w:t>
              </w:r>
            </w:hyperlink>
          </w:p>
        </w:tc>
        <w:tc>
          <w:tcPr>
            <w:tcW w:w="700" w:type="dxa"/>
            <w:vAlign w:val="bottom"/>
            <w:gridSpan w:val="3"/>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80" w:type="dxa"/>
            <w:vAlign w:val="bottom"/>
            <w:gridSpan w:val="11"/>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registrant’s Current Report on Form 8-K, as filed with the Securities and Exchange Commission on December 17, 2018 (File</w:t>
              </w:r>
            </w:hyperlink>
          </w:p>
        </w:tc>
      </w:tr>
      <w:tr>
        <w:trPr>
          <w:trHeight w:val="196"/>
        </w:trPr>
        <w:tc>
          <w:tcPr>
            <w:tcW w:w="940" w:type="dxa"/>
            <w:vAlign w:val="bottom"/>
          </w:tcPr>
          <w:p>
            <w:pPr>
              <w:spacing w:after="0"/>
              <w:rPr>
                <w:sz w:val="17"/>
                <w:szCs w:val="17"/>
                <w:color w:val="auto"/>
              </w:rPr>
            </w:pPr>
          </w:p>
        </w:tc>
        <w:tc>
          <w:tcPr>
            <w:tcW w:w="89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No. 001-07819)).</w:t>
              </w:r>
            </w:hyperlink>
          </w:p>
        </w:tc>
        <w:tc>
          <w:tcPr>
            <w:tcW w:w="1100" w:type="dxa"/>
            <w:vAlign w:val="bottom"/>
            <w:gridSpan w:val="5"/>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r>
      <w:tr>
        <w:trPr>
          <w:trHeight w:val="304"/>
        </w:trPr>
        <w:tc>
          <w:tcPr>
            <w:tcW w:w="9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5.1*</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Opinion of Wilmer Cutler Pickering Hale and Dorr LLP, counsel to the registrant.</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r>
      <w:tr>
        <w:trPr>
          <w:trHeight w:val="304"/>
        </w:trPr>
        <w:tc>
          <w:tcPr>
            <w:tcW w:w="9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w w:val="93"/>
              </w:rPr>
              <w:t>23.1*</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Wilmer Cutler Pickering Hale and Dorr LLP (included in Exhibit 5.1).</w:t>
            </w:r>
          </w:p>
        </w:tc>
      </w:tr>
      <w:tr>
        <w:trPr>
          <w:trHeight w:val="304"/>
        </w:trPr>
        <w:tc>
          <w:tcPr>
            <w:tcW w:w="9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w w:val="93"/>
              </w:rPr>
              <w:t>23.2*</w:t>
            </w:r>
          </w:p>
        </w:tc>
        <w:tc>
          <w:tcPr>
            <w:tcW w:w="58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Consent of Ernst &amp; Young LLP.</w:t>
            </w:r>
          </w:p>
        </w:tc>
        <w:tc>
          <w:tcPr>
            <w:tcW w:w="4200" w:type="dxa"/>
            <w:vAlign w:val="bottom"/>
            <w:gridSpan w:val="6"/>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17" w:lineRule="exact"/>
        <w:rPr>
          <w:sz w:val="20"/>
          <w:szCs w:val="20"/>
          <w:color w:val="auto"/>
        </w:rPr>
      </w:pPr>
    </w:p>
    <w:p>
      <w:pPr>
        <w:ind w:left="924" w:hanging="924"/>
        <w:spacing w:after="0"/>
        <w:tabs>
          <w:tab w:leader="none" w:pos="9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Power of Attorney (included on the signature pages of this registration statement).</w:t>
      </w:r>
    </w:p>
    <w:p>
      <w:pPr>
        <w:spacing w:after="0" w:line="10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7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Analog Devices, Inc. 2022 Employee Stock Purchase Plan (incorporated by reference to Appendix B to the registrant’s definitive proxy</w:t>
              </w:r>
            </w:hyperlink>
          </w:p>
        </w:tc>
      </w:tr>
      <w:tr>
        <w:trPr>
          <w:trHeight w:val="196"/>
        </w:trPr>
        <w:tc>
          <w:tcPr>
            <w:tcW w:w="920" w:type="dxa"/>
            <w:vAlign w:val="bottom"/>
          </w:tcPr>
          <w:p>
            <w:pPr>
              <w:spacing w:after="0"/>
              <w:rPr>
                <w:sz w:val="17"/>
                <w:szCs w:val="17"/>
                <w:color w:val="auto"/>
              </w:rPr>
            </w:pPr>
          </w:p>
        </w:tc>
        <w:tc>
          <w:tcPr>
            <w:tcW w:w="9780" w:type="dxa"/>
            <w:vAlign w:val="bottom"/>
            <w:gridSpan w:val="3"/>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statement on Schedule 14A, as filed with the Securities and Exchange Commission on January 21, 2022 (File No. 001-07819)).</w:t>
              </w:r>
            </w:hyperlink>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1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6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30" w:lineRule="exact"/>
        <w:rPr>
          <w:sz w:val="20"/>
          <w:szCs w:val="20"/>
          <w:color w:val="auto"/>
        </w:rPr>
      </w:pPr>
    </w:p>
    <w:p>
      <w:pPr>
        <w:ind w:left="224" w:hanging="224"/>
        <w:spacing w:after="0"/>
        <w:tabs>
          <w:tab w:leader="none" w:pos="2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Filed herewith</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u w:val="single" w:color="auto"/>
          <w:color w:val="auto"/>
        </w:rPr>
        <w:t>Item 512(a) of Regulation S-K</w:t>
      </w:r>
      <w:r>
        <w:rPr>
          <w:rFonts w:ascii="Times New Roman" w:cs="Times New Roman" w:eastAsia="Times New Roman" w:hAnsi="Times New Roman"/>
          <w:sz w:val="18"/>
          <w:szCs w:val="18"/>
          <w:color w:val="auto"/>
        </w:rPr>
        <w:t>. The undersigned registrant hereby undertakes:</w:t>
      </w:r>
    </w:p>
    <w:p>
      <w:pPr>
        <w:spacing w:after="0" w:line="119" w:lineRule="exact"/>
        <w:rPr>
          <w:sz w:val="20"/>
          <w:szCs w:val="20"/>
          <w:color w:val="auto"/>
        </w:rPr>
      </w:pPr>
    </w:p>
    <w:p>
      <w:pPr>
        <w:ind w:left="264" w:hanging="264"/>
        <w:spacing w:after="0"/>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5" w:lineRule="exact"/>
        <w:rPr>
          <w:sz w:val="20"/>
          <w:szCs w:val="20"/>
          <w:color w:val="auto"/>
        </w:rPr>
      </w:pPr>
    </w:p>
    <w:p>
      <w:pPr>
        <w:ind w:left="4" w:right="180" w:hanging="4"/>
        <w:spacing w:after="0" w:line="256"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left="4" w:right="340" w:hanging="4"/>
        <w:spacing w:after="0" w:line="282" w:lineRule="auto"/>
        <w:tabs>
          <w:tab w:leader="none" w:pos="3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4"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(1)(i) and (ii)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ectPr>
          <w:pgSz w:w="11900" w:h="16838" w:orient="portrait"/>
          <w:cols w:equalWidth="0" w:num="1">
            <w:col w:w="11024"/>
          </w:cols>
          <w:pgMar w:left="436" w:top="266" w:right="439" w:bottom="1440" w:gutter="0" w:footer="0" w:header="0"/>
        </w:sectPr>
      </w:pPr>
    </w:p>
    <w:bookmarkStart w:id="4" w:name="page5"/>
    <w:bookmarkEnd w:id="4"/>
    <w:p>
      <w:pPr>
        <w:ind w:left="4" w:right="140" w:hanging="4"/>
        <w:spacing w:after="0" w:line="266"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left="4" w:hanging="4"/>
        <w:spacing w:after="0" w:line="282"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0" w:lineRule="exact"/>
        <w:rPr>
          <w:sz w:val="20"/>
          <w:szCs w:val="20"/>
          <w:color w:val="auto"/>
        </w:rPr>
      </w:pPr>
    </w:p>
    <w:p>
      <w:pPr>
        <w:ind w:left="4" w:right="40" w:hanging="4"/>
        <w:spacing w:after="0" w:line="258" w:lineRule="auto"/>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Item 512(b) of Regulation S-K</w:t>
      </w:r>
      <w:r>
        <w:rPr>
          <w:rFonts w:ascii="Times New Roman" w:cs="Times New Roman" w:eastAsia="Times New Roman" w:hAnsi="Times New Roman"/>
          <w:sz w:val="18"/>
          <w:szCs w:val="18"/>
          <w:color w:val="auto"/>
        </w:rPr>
        <w:t>. The undersigned registrant hereby undertakes that, for purposes of determining any liability under the Securities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ind w:left="4" w:hanging="4"/>
        <w:spacing w:after="0" w:line="255" w:lineRule="auto"/>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Item 512(h) of Regulation S-K</w:t>
      </w:r>
      <w:r>
        <w:rPr>
          <w:rFonts w:ascii="Times New Roman" w:cs="Times New Roman" w:eastAsia="Times New Roman" w:hAnsi="Times New Roman"/>
          <w:sz w:val="18"/>
          <w:szCs w:val="18"/>
          <w:color w:val="auto"/>
        </w:rPr>
        <w:t>. Insofar as indemnification for liabilities arising under the Securities Act may be permitted to directors, officers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0" w:right="459" w:bottom="1440" w:gutter="0" w:footer="0" w:header="0"/>
        </w:sectPr>
      </w:pPr>
    </w:p>
    <w:bookmarkStart w:id="5" w:name="page6"/>
    <w:bookmarkEnd w:id="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Wilmington, Commonwealth of Massachusetts, on this 18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May, 2022.</w:t>
      </w:r>
    </w:p>
    <w:p>
      <w:pPr>
        <w:spacing w:after="0" w:line="2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25" w:lineRule="exact"/>
        <w:rPr>
          <w:sz w:val="20"/>
          <w:szCs w:val="20"/>
          <w:color w:val="auto"/>
        </w:rPr>
      </w:pPr>
    </w:p>
    <w:p>
      <w:pPr>
        <w:ind w:left="5500"/>
        <w:spacing w:after="0"/>
        <w:tabs>
          <w:tab w:leader="none" w:pos="5920" w:val="left"/>
        </w:tabs>
        <w:rPr>
          <w:sz w:val="20"/>
          <w:szCs w:val="20"/>
          <w:color w:val="auto"/>
        </w:rPr>
      </w:pPr>
      <w:r>
        <w:rPr>
          <w:rFonts w:ascii="Times New Roman" w:cs="Times New Roman" w:eastAsia="Times New Roman" w:hAnsi="Times New Roman"/>
          <w:sz w:val="18"/>
          <w:szCs w:val="18"/>
          <w:color w:val="auto"/>
        </w:rPr>
        <w:t>By:</w:t>
        <w:tab/>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17145</wp:posOffset>
            </wp:positionV>
            <wp:extent cx="32486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Vincent Roche</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the undersigned officers and directors of Analog Devices, Inc., hereby severally constitute and appoint Vincent Roche, Prashanth Mahendra-Rajah and Janene I. Asgeirsson,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340" w:type="dxa"/>
            <w:vAlign w:val="bottom"/>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5"/>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Vincent Roche</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c>
          <w:tcPr>
            <w:tcW w:w="134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Vincent Roche</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34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Prashanth Mahendra-Rajah</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Finance and Chief Financial Officer</w:t>
            </w:r>
          </w:p>
        </w:tc>
        <w:tc>
          <w:tcPr>
            <w:tcW w:w="134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Prashanth Mahendra-Rajah</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 (Principal Financial Officer)</w:t>
            </w:r>
          </w:p>
        </w:tc>
        <w:tc>
          <w:tcPr>
            <w:tcW w:w="134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Sondel</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Corporate Vice President and Chief</w:t>
            </w:r>
          </w:p>
        </w:tc>
        <w:tc>
          <w:tcPr>
            <w:tcW w:w="134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Michael Sondel</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Accounting Officer (Principal Accounting Officer)</w:t>
            </w:r>
          </w:p>
        </w:tc>
        <w:tc>
          <w:tcPr>
            <w:tcW w:w="134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 Stata</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34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Ray Stata</w:t>
            </w:r>
          </w:p>
        </w:tc>
        <w:tc>
          <w:tcPr>
            <w:tcW w:w="5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A. Champy</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34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James A. Champy</w:t>
            </w:r>
          </w:p>
        </w:tc>
        <w:tc>
          <w:tcPr>
            <w:tcW w:w="5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Anantha P. Chandrakasan</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34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Anantha P. Chandrakasan</w:t>
            </w:r>
          </w:p>
        </w:tc>
        <w:tc>
          <w:tcPr>
            <w:tcW w:w="5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Tunç Doluca</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34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Tunç Doluca</w:t>
            </w:r>
          </w:p>
        </w:tc>
        <w:tc>
          <w:tcPr>
            <w:tcW w:w="512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ectPr>
          <w:pgSz w:w="11900" w:h="16838" w:orient="portrait"/>
          <w:cols w:equalWidth="0" w:num="1">
            <w:col w:w="10880"/>
          </w:cols>
          <w:pgMar w:left="440" w:top="266" w:right="57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R. Evans</w:t>
            </w:r>
          </w:p>
        </w:tc>
        <w:tc>
          <w:tcPr>
            <w:tcW w:w="41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7"/>
              </w:rPr>
              <w:t>May 18,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Bruce R. Evans</w:t>
            </w:r>
          </w:p>
        </w:tc>
        <w:tc>
          <w:tcPr>
            <w:tcW w:w="414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H. Frank</w:t>
            </w:r>
          </w:p>
        </w:tc>
        <w:tc>
          <w:tcPr>
            <w:tcW w:w="41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7"/>
              </w:rPr>
              <w:t>May 18,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Edward H. Frank</w:t>
            </w:r>
          </w:p>
        </w:tc>
        <w:tc>
          <w:tcPr>
            <w:tcW w:w="414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Laurie H. Glimcher</w:t>
            </w:r>
          </w:p>
        </w:tc>
        <w:tc>
          <w:tcPr>
            <w:tcW w:w="41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7"/>
              </w:rPr>
              <w:t>May 18,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Laurie H. Glimcher</w:t>
            </w:r>
          </w:p>
        </w:tc>
        <w:tc>
          <w:tcPr>
            <w:tcW w:w="414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Golz</w:t>
            </w:r>
          </w:p>
        </w:tc>
        <w:tc>
          <w:tcPr>
            <w:tcW w:w="41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7"/>
              </w:rPr>
              <w:t>May 18,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Karen Golz</w:t>
            </w:r>
          </w:p>
        </w:tc>
        <w:tc>
          <w:tcPr>
            <w:tcW w:w="414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Mercedes Johnson</w:t>
            </w:r>
          </w:p>
        </w:tc>
        <w:tc>
          <w:tcPr>
            <w:tcW w:w="41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7"/>
              </w:rPr>
              <w:t>May 18,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Mercedes Johnson</w:t>
            </w:r>
          </w:p>
        </w:tc>
        <w:tc>
          <w:tcPr>
            <w:tcW w:w="414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Kenton J. Sicchitano</w:t>
            </w:r>
          </w:p>
        </w:tc>
        <w:tc>
          <w:tcPr>
            <w:tcW w:w="41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7"/>
              </w:rPr>
              <w:t>May 18,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Kenton J. Sicchitano</w:t>
            </w:r>
          </w:p>
        </w:tc>
        <w:tc>
          <w:tcPr>
            <w:tcW w:w="414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Susie Wee</w:t>
            </w:r>
          </w:p>
        </w:tc>
        <w:tc>
          <w:tcPr>
            <w:tcW w:w="41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7"/>
              </w:rPr>
              <w:t>May 18,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Susie Wee</w:t>
            </w:r>
          </w:p>
        </w:tc>
        <w:tc>
          <w:tcPr>
            <w:tcW w:w="4140" w:type="dxa"/>
            <w:vAlign w:val="bottom"/>
          </w:tcPr>
          <w:p>
            <w:pPr>
              <w:spacing w:after="0"/>
              <w:rPr>
                <w:sz w:val="19"/>
                <w:szCs w:val="19"/>
                <w:color w:val="auto"/>
              </w:rPr>
            </w:pPr>
          </w:p>
        </w:tc>
        <w:tc>
          <w:tcPr>
            <w:tcW w:w="2320" w:type="dxa"/>
            <w:vAlign w:val="bottom"/>
          </w:tcPr>
          <w:p>
            <w:pPr>
              <w:spacing w:after="0"/>
              <w:rPr>
                <w:sz w:val="19"/>
                <w:szCs w:val="19"/>
                <w:color w:val="auto"/>
              </w:rPr>
            </w:pPr>
          </w:p>
        </w:tc>
      </w:tr>
    </w:tbl>
    <w:p>
      <w:pPr>
        <w:sectPr>
          <w:pgSz w:w="11900" w:h="16838" w:orient="portrait"/>
          <w:cols w:equalWidth="0" w:num="1">
            <w:col w:w="10640"/>
          </w:cols>
          <w:pgMar w:left="440" w:top="270" w:right="8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5929630</wp:posOffset>
            </wp:positionH>
            <wp:positionV relativeFrom="paragraph">
              <wp:posOffset>173990</wp:posOffset>
            </wp:positionV>
            <wp:extent cx="106299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062990" cy="13716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465455</wp:posOffset>
            </wp:positionV>
            <wp:extent cx="694055"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6940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Analog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Massachusetts 01887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2022 Employee Stock Purchase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assisted in the preparation of a Registration Statement on Form S-8 (the “Registration Statement”) to be filed with the Securities and Exchange Commission (the “Commission”) under the Securities Act of 1933, as amended (the “Securities Act”), relating to an aggregate of 5,000,000 shares of common stock, $0.16 2/3 par value per share (the “Shares”), of Analog Devices, Inc., a Massachusetts corporation (the “Company”), issuable under the Company’s 2022 Employee Stock Purchase Plan (the “Plan”).</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examined the Articles of Organization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assume that the appropriate action will be taken, prior to the offer and sale of the Shares in accordance with the Plan, to register and qualify the Shares for sale under all applicable state securities or “blue sky” laws.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express no opinion herein as to the laws of any state or jurisdiction other than the state laws of The Commonwealth of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understood that this opinion is to be used only in connection with the offer and sale of the Shares while the Registration Statement is in effect.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140335</wp:posOffset>
            </wp:positionV>
            <wp:extent cx="5323205" cy="23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323205" cy="23177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182880</wp:posOffset>
            </wp:positionV>
            <wp:extent cx="106299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37160"/>
                    </a:xfrm>
                    <a:prstGeom prst="rect">
                      <a:avLst/>
                    </a:prstGeom>
                    <a:noFill/>
                  </pic:spPr>
                </pic:pic>
              </a:graphicData>
            </a:graphic>
          </wp:anchor>
        </w:drawing>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Wilmer Cutler Pickering Hale and Dorr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WILMER CUTLER PICKERING HALE AND DORR LLP</w:t>
      </w:r>
    </w:p>
    <w:p>
      <w:pPr>
        <w:sectPr>
          <w:pgSz w:w="11900" w:h="16838" w:orient="portrait"/>
          <w:cols w:equalWidth="0" w:num="1">
            <w:col w:w="10019"/>
          </w:cols>
          <w:pgMar w:left="440" w:top="702"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2022 Employee Stock Purchase Plan of Analog Devices, Inc. of our reports dated December 3, 2021, with respect to the consolidated financial statements and schedule of Analog Devices, Inc. and the effectiveness of internal control over financial reporting of Analog Devices, Inc. included in its Annual Report (Form 10-K) for the year ended October 30, 2021,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2022</w:t>
      </w:r>
    </w:p>
    <w:p>
      <w:pPr>
        <w:sectPr>
          <w:pgSz w:w="11900" w:h="16838" w:orient="portrait"/>
          <w:cols w:equalWidth="0" w:num="1">
            <w:col w:w="11020"/>
          </w:cols>
          <w:pgMar w:left="440" w:top="121"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1—Newly Registered Securities</w:t>
      </w:r>
    </w:p>
    <w:p>
      <w:pPr>
        <w:spacing w:after="0" w:line="254" w:lineRule="exact"/>
        <w:rPr>
          <w:sz w:val="20"/>
          <w:szCs w:val="20"/>
          <w:color w:val="auto"/>
        </w:rPr>
      </w:pPr>
    </w:p>
    <w:tbl>
      <w:tblPr>
        <w:tblLayout w:type="fixed"/>
        <w:tblInd w:w="454" w:type="dxa"/>
        <w:tblCellMar>
          <w:top w:w="0" w:type="dxa"/>
          <w:left w:w="0" w:type="dxa"/>
          <w:bottom w:w="0" w:type="dxa"/>
          <w:right w:w="0" w:type="dxa"/>
        </w:tblCellMar>
      </w:tblPr>
      <w:tr>
        <w:trPr>
          <w:trHeight w:val="225"/>
        </w:trPr>
        <w:tc>
          <w:tcPr>
            <w:tcW w:w="840" w:type="dxa"/>
            <w:vAlign w:val="bottom"/>
            <w:tcBorders>
              <w:top w:val="single" w:sz="8" w:color="auto"/>
              <w:left w:val="single" w:sz="8" w:color="auto"/>
              <w:right w:val="single" w:sz="8" w:color="auto"/>
            </w:tcBorders>
          </w:tcPr>
          <w:p>
            <w:pPr>
              <w:spacing w:after="0"/>
              <w:rPr>
                <w:sz w:val="19"/>
                <w:szCs w:val="19"/>
                <w:color w:val="auto"/>
              </w:rPr>
            </w:pPr>
          </w:p>
        </w:tc>
        <w:tc>
          <w:tcPr>
            <w:tcW w:w="220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Proposed</w:t>
            </w:r>
          </w:p>
        </w:tc>
        <w:tc>
          <w:tcPr>
            <w:tcW w:w="1540" w:type="dxa"/>
            <w:vAlign w:val="bottom"/>
            <w:tcBorders>
              <w:top w:val="single" w:sz="8" w:color="auto"/>
              <w:right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15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22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03"/>
        </w:trPr>
        <w:tc>
          <w:tcPr>
            <w:tcW w:w="840" w:type="dxa"/>
            <w:vAlign w:val="bottom"/>
            <w:tcBorders>
              <w:left w:val="single" w:sz="8" w:color="auto"/>
              <w:right w:val="single" w:sz="8" w:color="auto"/>
            </w:tcBorders>
            <w:vMerge w:val="continue"/>
          </w:tcPr>
          <w:p>
            <w:pPr>
              <w:spacing w:after="0"/>
              <w:rPr>
                <w:sz w:val="17"/>
                <w:szCs w:val="17"/>
                <w:color w:val="auto"/>
              </w:rPr>
            </w:pPr>
          </w:p>
        </w:tc>
        <w:tc>
          <w:tcPr>
            <w:tcW w:w="22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Security</w:t>
            </w:r>
          </w:p>
        </w:tc>
        <w:tc>
          <w:tcPr>
            <w:tcW w:w="11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Calculation</w:t>
            </w:r>
          </w:p>
        </w:tc>
        <w:tc>
          <w:tcPr>
            <w:tcW w:w="12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Amount</w:t>
            </w:r>
          </w:p>
        </w:tc>
        <w:tc>
          <w:tcPr>
            <w:tcW w:w="10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Price Per</w:t>
            </w:r>
          </w:p>
        </w:tc>
        <w:tc>
          <w:tcPr>
            <w:tcW w:w="15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Aggregate</w:t>
            </w:r>
          </w:p>
        </w:tc>
        <w:tc>
          <w:tcPr>
            <w:tcW w:w="1160" w:type="dxa"/>
            <w:vAlign w:val="bottom"/>
            <w:tcBorders>
              <w:right w:val="single" w:sz="8" w:color="auto"/>
            </w:tcBorders>
            <w:vMerge w:val="continue"/>
          </w:tcPr>
          <w:p>
            <w:pPr>
              <w:spacing w:after="0"/>
              <w:rPr>
                <w:sz w:val="17"/>
                <w:szCs w:val="17"/>
                <w:color w:val="auto"/>
              </w:rPr>
            </w:pPr>
          </w:p>
        </w:tc>
        <w:tc>
          <w:tcPr>
            <w:tcW w:w="10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Registration</w:t>
            </w:r>
          </w:p>
        </w:tc>
        <w:tc>
          <w:tcPr>
            <w:tcW w:w="0" w:type="dxa"/>
            <w:vAlign w:val="bottom"/>
          </w:tcPr>
          <w:p>
            <w:pPr>
              <w:spacing w:after="0"/>
              <w:rPr>
                <w:sz w:val="1"/>
                <w:szCs w:val="1"/>
                <w:color w:val="auto"/>
              </w:rPr>
            </w:pPr>
          </w:p>
        </w:tc>
      </w:tr>
      <w:tr>
        <w:trPr>
          <w:trHeight w:val="261"/>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Title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240" w:type="dxa"/>
            <w:vAlign w:val="bottom"/>
            <w:tcBorders>
              <w:bottom w:val="single" w:sz="8" w:color="auto"/>
              <w:right w:val="single" w:sz="8" w:color="auto"/>
            </w:tcBorders>
          </w:tcPr>
          <w:p>
            <w:pPr>
              <w:jc w:val="center"/>
              <w:spacing w:after="0" w:line="262" w:lineRule="exact"/>
              <w:rPr>
                <w:sz w:val="20"/>
                <w:szCs w:val="20"/>
                <w:color w:val="auto"/>
              </w:rPr>
            </w:pPr>
            <w:r>
              <w:rPr>
                <w:rFonts w:ascii="Times New Roman" w:cs="Times New Roman" w:eastAsia="Times New Roman" w:hAnsi="Times New Roman"/>
                <w:sz w:val="18"/>
                <w:szCs w:val="18"/>
                <w:color w:val="auto"/>
                <w:w w:val="95"/>
              </w:rPr>
              <w:t xml:space="preserve">Registered </w:t>
            </w:r>
            <w:r>
              <w:rPr>
                <w:rFonts w:ascii="Times New Roman" w:cs="Times New Roman" w:eastAsia="Times New Roman" w:hAnsi="Times New Roman"/>
                <w:sz w:val="24"/>
                <w:szCs w:val="24"/>
                <w:color w:val="auto"/>
                <w:w w:val="95"/>
                <w:vertAlign w:val="superscript"/>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Offering Price</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0" w:type="dxa"/>
            <w:vAlign w:val="bottom"/>
          </w:tcPr>
          <w:p>
            <w:pPr>
              <w:spacing w:after="0"/>
              <w:rPr>
                <w:sz w:val="1"/>
                <w:szCs w:val="1"/>
                <w:color w:val="auto"/>
              </w:rPr>
            </w:pPr>
          </w:p>
        </w:tc>
      </w:tr>
      <w:tr>
        <w:trPr>
          <w:trHeight w:val="205"/>
        </w:trPr>
        <w:tc>
          <w:tcPr>
            <w:tcW w:w="840" w:type="dxa"/>
            <w:vAlign w:val="bottom"/>
            <w:tcBorders>
              <w:left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22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Common Stock, $0.16 2/3</w:t>
            </w:r>
          </w:p>
        </w:tc>
        <w:tc>
          <w:tcPr>
            <w:tcW w:w="11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5,000,000</w:t>
            </w:r>
          </w:p>
        </w:tc>
        <w:tc>
          <w:tcPr>
            <w:tcW w:w="1040" w:type="dxa"/>
            <w:vAlign w:val="bottom"/>
            <w:tcBorders>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17"/>
                <w:szCs w:val="17"/>
                <w:color w:val="auto"/>
              </w:rPr>
              <w:t xml:space="preserve">$151.83 </w:t>
            </w:r>
            <w:r>
              <w:rPr>
                <w:rFonts w:ascii="Times New Roman" w:cs="Times New Roman" w:eastAsia="Times New Roman" w:hAnsi="Times New Roman"/>
                <w:sz w:val="23"/>
                <w:szCs w:val="23"/>
                <w:color w:val="auto"/>
                <w:vertAlign w:val="superscript"/>
              </w:rPr>
              <w:t>(3)</w:t>
            </w:r>
          </w:p>
        </w:tc>
        <w:tc>
          <w:tcPr>
            <w:tcW w:w="1540" w:type="dxa"/>
            <w:vAlign w:val="bottom"/>
            <w:tcBorders>
              <w:right w:val="single" w:sz="8" w:color="auto"/>
            </w:tcBorders>
          </w:tcPr>
          <w:p>
            <w:pPr>
              <w:jc w:val="center"/>
              <w:ind w:right="31"/>
              <w:spacing w:after="0" w:line="204" w:lineRule="exact"/>
              <w:rPr>
                <w:sz w:val="20"/>
                <w:szCs w:val="20"/>
                <w:color w:val="auto"/>
              </w:rPr>
            </w:pPr>
            <w:r>
              <w:rPr>
                <w:rFonts w:ascii="Times New Roman" w:cs="Times New Roman" w:eastAsia="Times New Roman" w:hAnsi="Times New Roman"/>
                <w:sz w:val="17"/>
                <w:szCs w:val="17"/>
                <w:color w:val="auto"/>
              </w:rPr>
              <w:t xml:space="preserve">$759,150,000 </w:t>
            </w:r>
            <w:r>
              <w:rPr>
                <w:rFonts w:ascii="Times New Roman" w:cs="Times New Roman" w:eastAsia="Times New Roman" w:hAnsi="Times New Roman"/>
                <w:sz w:val="23"/>
                <w:szCs w:val="23"/>
                <w:color w:val="auto"/>
                <w:vertAlign w:val="superscript"/>
              </w:rPr>
              <w:t>(3)</w:t>
            </w:r>
          </w:p>
        </w:tc>
        <w:tc>
          <w:tcPr>
            <w:tcW w:w="11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$92.70 per</w:t>
            </w:r>
          </w:p>
        </w:tc>
        <w:tc>
          <w:tcPr>
            <w:tcW w:w="10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$70,373.21</w:t>
            </w:r>
          </w:p>
        </w:tc>
        <w:tc>
          <w:tcPr>
            <w:tcW w:w="0" w:type="dxa"/>
            <w:vAlign w:val="bottom"/>
          </w:tcPr>
          <w:p>
            <w:pPr>
              <w:spacing w:after="0"/>
              <w:rPr>
                <w:sz w:val="1"/>
                <w:szCs w:val="1"/>
                <w:color w:val="auto"/>
              </w:rPr>
            </w:pPr>
          </w:p>
        </w:tc>
      </w:tr>
      <w:tr>
        <w:trPr>
          <w:trHeight w:val="261"/>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 value per share</w:t>
            </w: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center"/>
              <w:spacing w:after="0" w:line="262" w:lineRule="exact"/>
              <w:rPr>
                <w:sz w:val="20"/>
                <w:szCs w:val="20"/>
                <w:color w:val="auto"/>
              </w:rPr>
            </w:pPr>
            <w:r>
              <w:rPr>
                <w:rFonts w:ascii="Times New Roman" w:cs="Times New Roman" w:eastAsia="Times New Roman" w:hAnsi="Times New Roman"/>
                <w:sz w:val="18"/>
                <w:szCs w:val="18"/>
                <w:color w:val="auto"/>
                <w:w w:val="93"/>
              </w:rPr>
              <w:t xml:space="preserve">shares </w:t>
            </w:r>
            <w:r>
              <w:rPr>
                <w:rFonts w:ascii="Times New Roman" w:cs="Times New Roman" w:eastAsia="Times New Roman" w:hAnsi="Times New Roman"/>
                <w:sz w:val="24"/>
                <w:szCs w:val="24"/>
                <w:color w:val="auto"/>
                <w:w w:val="93"/>
                <w:vertAlign w:val="superscript"/>
              </w:rPr>
              <w:t>(2)</w:t>
            </w:r>
          </w:p>
        </w:tc>
        <w:tc>
          <w:tcPr>
            <w:tcW w:w="1040" w:type="dxa"/>
            <w:vAlign w:val="bottom"/>
            <w:tcBorders>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$1,000,000</w:t>
            </w:r>
          </w:p>
        </w:tc>
        <w:tc>
          <w:tcPr>
            <w:tcW w:w="10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840" w:type="dxa"/>
            <w:vAlign w:val="bottom"/>
            <w:tcBorders>
              <w:left w:val="single" w:sz="8" w:color="auto"/>
              <w:bottom w:val="single" w:sz="8" w:color="auto"/>
            </w:tcBorders>
          </w:tcPr>
          <w:p>
            <w:pPr>
              <w:spacing w:after="0"/>
              <w:rPr>
                <w:sz w:val="20"/>
                <w:szCs w:val="20"/>
                <w:color w:val="auto"/>
              </w:rPr>
            </w:pPr>
          </w:p>
        </w:tc>
        <w:tc>
          <w:tcPr>
            <w:tcW w:w="3320" w:type="dxa"/>
            <w:vAlign w:val="bottom"/>
            <w:tcBorders>
              <w:bottom w:val="single" w:sz="8" w:color="auto"/>
            </w:tcBorders>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$759,150,000</w:t>
            </w:r>
          </w:p>
        </w:tc>
        <w:tc>
          <w:tcPr>
            <w:tcW w:w="11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$70,373.21</w:t>
            </w:r>
          </w:p>
        </w:tc>
        <w:tc>
          <w:tcPr>
            <w:tcW w:w="0" w:type="dxa"/>
            <w:vAlign w:val="bottom"/>
          </w:tcPr>
          <w:p>
            <w:pPr>
              <w:spacing w:after="0"/>
              <w:rPr>
                <w:sz w:val="1"/>
                <w:szCs w:val="1"/>
                <w:color w:val="auto"/>
              </w:rPr>
            </w:pPr>
          </w:p>
        </w:tc>
      </w:tr>
      <w:tr>
        <w:trPr>
          <w:trHeight w:val="236"/>
        </w:trPr>
        <w:tc>
          <w:tcPr>
            <w:tcW w:w="840" w:type="dxa"/>
            <w:vAlign w:val="bottom"/>
            <w:tcBorders>
              <w:left w:val="single" w:sz="8" w:color="auto"/>
              <w:bottom w:val="single" w:sz="8" w:color="auto"/>
            </w:tcBorders>
          </w:tcPr>
          <w:p>
            <w:pPr>
              <w:spacing w:after="0"/>
              <w:rPr>
                <w:sz w:val="20"/>
                <w:szCs w:val="20"/>
                <w:color w:val="auto"/>
              </w:rPr>
            </w:pPr>
          </w:p>
        </w:tc>
        <w:tc>
          <w:tcPr>
            <w:tcW w:w="3320" w:type="dxa"/>
            <w:vAlign w:val="bottom"/>
            <w:tcBorders>
              <w:bottom w:val="single" w:sz="8" w:color="auto"/>
            </w:tcBorders>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tcBorders>
          </w:tcPr>
          <w:p>
            <w:pPr>
              <w:spacing w:after="0"/>
              <w:rPr>
                <w:sz w:val="20"/>
                <w:szCs w:val="20"/>
                <w:color w:val="auto"/>
              </w:rPr>
            </w:pPr>
          </w:p>
        </w:tc>
        <w:tc>
          <w:tcPr>
            <w:tcW w:w="3320" w:type="dxa"/>
            <w:vAlign w:val="bottom"/>
            <w:tcBorders>
              <w:bottom w:val="single" w:sz="8" w:color="auto"/>
            </w:tcBorders>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8"/>
              </w:rPr>
              <w:t>Net Fee Due</w:t>
            </w:r>
          </w:p>
        </w:tc>
        <w:tc>
          <w:tcPr>
            <w:tcW w:w="1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$70,373.21</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right="280" w:hanging="424"/>
        <w:spacing w:after="0" w:line="276" w:lineRule="auto"/>
        <w:tabs>
          <w:tab w:leader="none" w:pos="42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5,000,000 shares issuable under the 2022 Employee Stock Purchase Plan.</w:t>
      </w:r>
    </w:p>
    <w:p>
      <w:pPr>
        <w:spacing w:after="0" w:line="9" w:lineRule="exact"/>
        <w:rPr>
          <w:rFonts w:ascii="Times New Roman" w:cs="Times New Roman" w:eastAsia="Times New Roman" w:hAnsi="Times New Roman"/>
          <w:sz w:val="18"/>
          <w:szCs w:val="18"/>
          <w:color w:val="auto"/>
        </w:rPr>
      </w:pPr>
    </w:p>
    <w:p>
      <w:pPr>
        <w:ind w:left="424" w:right="100" w:hanging="424"/>
        <w:spacing w:after="0" w:line="255"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of the Securities Act of 1933, as amended, and based upon the average of the high and low prices of the Registrant’s Common Stock as reported on the Nasdaq Global Select Market on May 12, 2022.</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3"/>
    </w:lvl>
  </w:abstractNum>
  <w:abstractNum w:abstractNumId="3">
    <w:nsid w:val="41B71EFB"/>
    <w:multiLevelType w:val="hybridMultilevel"/>
    <w:lvl w:ilvl="0">
      <w:lvlJc w:val="left"/>
      <w:lvlText w:val="%1"/>
      <w:numFmt w:val="decimal"/>
      <w:start w:val="24"/>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Roman"/>
      <w:start w:val="2"/>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decimal"/>
      <w:start w:val="2"/>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jpeg"/><Relationship Id="rId29" Type="http://schemas.openxmlformats.org/officeDocument/2006/relationships/image" Target="media/image18.jpeg"/><Relationship Id="rId30" Type="http://schemas.openxmlformats.org/officeDocument/2006/relationships/image" Target="media/image19.jpeg"/><Relationship Id="rId31" Type="http://schemas.openxmlformats.org/officeDocument/2006/relationships/image" Target="media/image20.png"/><Relationship Id="rId32" Type="http://schemas.openxmlformats.org/officeDocument/2006/relationships/image" Target="media/image21.jpeg"/><Relationship Id="rId20" Type="http://schemas.openxmlformats.org/officeDocument/2006/relationships/hyperlink" Target="http://www.sec.gov/Archives/edgar/data/6281/000095013508003842/b69749adexv3w1.htm" TargetMode="External"/><Relationship Id="rId21" Type="http://schemas.openxmlformats.org/officeDocument/2006/relationships/hyperlink" Target="http://www.sec.gov/Archives/edgar/data/6281/000095013508007881/b73171adexv3w1.htm" TargetMode="External"/><Relationship Id="rId22" Type="http://schemas.openxmlformats.org/officeDocument/2006/relationships/hyperlink" Target="http://www.sec.gov/Archives/edgar/data/6281/000000628118000132/exhibit31-restatedbylawsxf.htm" TargetMode="External"/><Relationship Id="rId23" Type="http://schemas.openxmlformats.org/officeDocument/2006/relationships/hyperlink" Target="http://www.sec.gov/Archives/edgar/data/6281/000119312522014360/d242738ddef14a.htm#toc242738_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2022-05-18T15:37:00Z</dcterms:created>
  <dcterms:modified xsi:type="dcterms:W3CDTF">2022-05-18T15:37:00Z</dcterms:modified>
</cp:coreProperties>
</file>