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59436414.xml.htm"/>
      <w:bookmarkStart w:id="1" w:name="kswkform4_175943641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ROCHE VINCENT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ANALOG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ANALOG DEVICES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02"/>
        <w:gridCol w:w="899"/>
        <w:gridCol w:w="771"/>
        <w:gridCol w:w="597"/>
        <w:gridCol w:w="337"/>
        <w:gridCol w:w="946"/>
        <w:gridCol w:w="423"/>
        <w:gridCol w:w="829"/>
        <w:gridCol w:w="1422"/>
        <w:gridCol w:w="958"/>
        <w:gridCol w:w="10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0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9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0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0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94.41</w:t>
            </w:r>
            <w:r>
              <w:rPr/>
              <w:t xml:space="preserve"> </w:t>
            </w:r>
          </w:p>
        </w:tc>
        <w:tc>
          <w:tcPr>
            <w:tcW w:w="1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150,118.462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0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243.71</w:t>
            </w:r>
            <w:r>
              <w:rPr/>
              <w:t xml:space="preserve"> </w:t>
            </w:r>
          </w:p>
        </w:tc>
        <w:tc>
          <w:tcPr>
            <w:tcW w:w="1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140,118.462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0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Stock-$.16-2/3 value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34,828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Vincent Roche 2023 Grantor Retained Annuity Trust</w:t>
            </w:r>
          </w:p>
        </w:tc>
      </w:tr>
      <w:tr>
        <w:trPr/>
        <w:tc>
          <w:tcPr>
            <w:tcW w:w="200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Stock-$.16-2/3 value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23,515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0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Vincent Roche 2024 Grantor Retained Annuity Trust</w:t>
            </w:r>
          </w:p>
        </w:tc>
      </w:tr>
    </w:tbl>
    <w:tbl>
      <w:tblPr>
        <w:tblW w:w="123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68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4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94.41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03/15/2021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03/11/2030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 Stock - $.16-2/3 value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94.41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84,637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sold pursuant to a 10b5-1 plan adopted by the Reporting Person on May 23,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held by the Vincent Roche 2023 Grantor Retained Annuity Trust dated August 25, 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Shares held by the Vincent Roche 2024 Grantor Retained Annuity Trust dated October 3,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option is fully vested.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Shelly Shaw, General Counsel,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01872" TargetMode="External"/><Relationship Id="rId5" Type="http://schemas.openxmlformats.org/officeDocument/2006/relationships/hyperlink" Target="http://www.sec.gov/cgi-bin/browse-edgar?action=getcompany&amp;CIK=00000062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681</Words>
  <Characters>3674</Characters>
  <CharactersWithSpaces>4270</CharactersWithSpaces>
  <Paragraphs>128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