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(Rule 14a-101)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Exchange Act of 1934</w:t>
      </w:r>
    </w:p>
    <w:p>
      <w:pPr>
        <w:spacing w:after="0" w:line="19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7" w:lineRule="exact"/>
        <w:rPr>
          <w:sz w:val="20"/>
          <w:szCs w:val="20"/>
          <w:color w:val="auto"/>
        </w:rPr>
      </w:pPr>
    </w:p>
    <w:p>
      <w:pPr>
        <w:ind w:left="220" w:hanging="21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 w:lineRule="exact"/>
        <w:rPr>
          <w:rFonts w:ascii="Arial" w:cs="Arial" w:eastAsia="Arial" w:hAnsi="Arial"/>
          <w:sz w:val="18"/>
          <w:szCs w:val="18"/>
          <w:color w:val="auto"/>
        </w:rPr>
      </w:pPr>
    </w:p>
    <w:p>
      <w:pPr>
        <w:ind w:left="220" w:right="8220" w:hanging="214"/>
        <w:spacing w:after="0" w:line="303" w:lineRule="auto"/>
        <w:tabs>
          <w:tab w:leader="none" w:pos="22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Confidential, For Use of the Commission Only (as permitted by Rule 14a-6(e)(2))</w:t>
      </w:r>
    </w:p>
    <w:p>
      <w:pPr>
        <w:spacing w:after="0" w:line="15" w:lineRule="exact"/>
        <w:rPr>
          <w:sz w:val="20"/>
          <w:szCs w:val="20"/>
          <w:color w:val="auto"/>
        </w:rPr>
      </w:pPr>
    </w:p>
    <w:p>
      <w:pPr>
        <w:ind w:left="280" w:hanging="274"/>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2" w:lineRule="exact"/>
        <w:rPr>
          <w:sz w:val="20"/>
          <w:szCs w:val="20"/>
          <w:color w:val="auto"/>
        </w:rPr>
      </w:pPr>
    </w:p>
    <w:p>
      <w:pPr>
        <w:ind w:left="220" w:hanging="214"/>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4" w:lineRule="exact"/>
        <w:rPr>
          <w:rFonts w:ascii="Arial" w:cs="Arial" w:eastAsia="Arial" w:hAnsi="Arial"/>
          <w:sz w:val="18"/>
          <w:szCs w:val="18"/>
          <w:color w:val="auto"/>
        </w:rPr>
      </w:pPr>
    </w:p>
    <w:p>
      <w:pPr>
        <w:ind w:left="220" w:hanging="214"/>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42"/>
          <w:szCs w:val="42"/>
          <w:b w:val="1"/>
          <w:bCs w:val="1"/>
          <w:color w:val="auto"/>
        </w:rPr>
        <w:t>Analog Devices, Inc.</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187325</wp:posOffset>
            </wp:positionV>
            <wp:extent cx="5076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6825" cy="8255"/>
                    </a:xfrm>
                    <a:prstGeom prst="rect">
                      <a:avLst/>
                    </a:prstGeom>
                    <a:noFill/>
                  </pic:spPr>
                </pic:pic>
              </a:graphicData>
            </a:graphic>
          </wp:anchor>
        </w:drawing>
      </w:r>
    </w:p>
    <w:p>
      <w:pPr>
        <w:spacing w:after="0" w:line="342"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17" w:lineRule="exact"/>
        <w:rPr>
          <w:sz w:val="20"/>
          <w:szCs w:val="20"/>
          <w:color w:val="auto"/>
        </w:rPr>
      </w:pPr>
    </w:p>
    <w:p>
      <w:pPr>
        <w:ind w:left="200" w:hanging="194"/>
        <w:spacing w:after="0"/>
        <w:tabs>
          <w:tab w:leader="none" w:pos="200" w:val="left"/>
        </w:tabs>
        <w:numPr>
          <w:ilvl w:val="0"/>
          <w:numId w:val="4"/>
        </w:numPr>
        <w:rPr>
          <w:rFonts w:ascii="MS PGothic" w:cs="MS PGothic" w:eastAsia="MS PGothic" w:hAnsi="MS PGothic"/>
          <w:sz w:val="18"/>
          <w:szCs w:val="18"/>
          <w:color w:val="auto"/>
          <w:highlight w:val="black"/>
        </w:rPr>
      </w:pPr>
      <w:r>
        <w:rPr>
          <w:rFonts w:ascii="Arial" w:cs="Arial" w:eastAsia="Arial" w:hAnsi="Arial"/>
          <w:sz w:val="18"/>
          <w:szCs w:val="18"/>
          <w:color w:val="auto"/>
        </w:rPr>
        <w:t>No fee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l4a-6(i)(1) and 0-11.</w:t>
      </w:r>
    </w:p>
    <w:p>
      <w:pPr>
        <w:spacing w:after="0" w:line="111" w:lineRule="exact"/>
        <w:rPr>
          <w:sz w:val="20"/>
          <w:szCs w:val="20"/>
          <w:color w:val="auto"/>
        </w:rPr>
      </w:pPr>
    </w:p>
    <w:p>
      <w:pPr>
        <w:ind w:left="660" w:hanging="32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24" w:lineRule="exact"/>
        <w:rPr>
          <w:rFonts w:ascii="Arial" w:cs="Arial" w:eastAsia="Arial" w:hAnsi="Arial"/>
          <w:sz w:val="18"/>
          <w:szCs w:val="18"/>
          <w:color w:val="auto"/>
        </w:rPr>
      </w:pPr>
    </w:p>
    <w:p>
      <w:pPr>
        <w:ind w:left="660" w:hanging="32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24" w:lineRule="exact"/>
        <w:rPr>
          <w:rFonts w:ascii="Arial" w:cs="Arial" w:eastAsia="Arial" w:hAnsi="Arial"/>
          <w:sz w:val="18"/>
          <w:szCs w:val="18"/>
          <w:color w:val="auto"/>
        </w:rPr>
      </w:pPr>
    </w:p>
    <w:p>
      <w:pPr>
        <w:ind w:left="660" w:right="220" w:hanging="322"/>
        <w:spacing w:after="0" w:line="26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6" w:lineRule="exact"/>
        <w:rPr>
          <w:rFonts w:ascii="Arial" w:cs="Arial" w:eastAsia="Arial" w:hAnsi="Arial"/>
          <w:sz w:val="18"/>
          <w:szCs w:val="18"/>
          <w:color w:val="auto"/>
        </w:rPr>
      </w:pPr>
    </w:p>
    <w:p>
      <w:pPr>
        <w:ind w:left="660" w:hanging="32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24" w:lineRule="exact"/>
        <w:rPr>
          <w:rFonts w:ascii="Arial" w:cs="Arial" w:eastAsia="Arial" w:hAnsi="Arial"/>
          <w:sz w:val="18"/>
          <w:szCs w:val="18"/>
          <w:color w:val="auto"/>
        </w:rPr>
      </w:pPr>
    </w:p>
    <w:p>
      <w:pPr>
        <w:ind w:left="660" w:hanging="32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7" w:lineRule="exact"/>
        <w:rPr>
          <w:sz w:val="20"/>
          <w:szCs w:val="20"/>
          <w:color w:val="auto"/>
        </w:rPr>
      </w:pPr>
    </w:p>
    <w:p>
      <w:pPr>
        <w:ind w:left="220" w:hanging="214"/>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17" w:lineRule="exact"/>
        <w:rPr>
          <w:rFonts w:ascii="Arial" w:cs="Arial" w:eastAsia="Arial" w:hAnsi="Arial"/>
          <w:sz w:val="18"/>
          <w:szCs w:val="18"/>
          <w:color w:val="auto"/>
        </w:rPr>
      </w:pPr>
    </w:p>
    <w:p>
      <w:pPr>
        <w:ind w:left="220" w:hanging="214"/>
        <w:spacing w:after="0" w:line="265"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660" w:hanging="322"/>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24" w:lineRule="exact"/>
        <w:rPr>
          <w:rFonts w:ascii="Arial" w:cs="Arial" w:eastAsia="Arial" w:hAnsi="Arial"/>
          <w:sz w:val="18"/>
          <w:szCs w:val="18"/>
          <w:color w:val="auto"/>
        </w:rPr>
      </w:pPr>
    </w:p>
    <w:p>
      <w:pPr>
        <w:ind w:left="660" w:hanging="322"/>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24" w:lineRule="exact"/>
        <w:rPr>
          <w:rFonts w:ascii="Arial" w:cs="Arial" w:eastAsia="Arial" w:hAnsi="Arial"/>
          <w:sz w:val="18"/>
          <w:szCs w:val="18"/>
          <w:color w:val="auto"/>
        </w:rPr>
      </w:pPr>
    </w:p>
    <w:p>
      <w:pPr>
        <w:ind w:left="660" w:hanging="322"/>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24" w:lineRule="exact"/>
        <w:rPr>
          <w:rFonts w:ascii="Arial" w:cs="Arial" w:eastAsia="Arial" w:hAnsi="Arial"/>
          <w:sz w:val="18"/>
          <w:szCs w:val="18"/>
          <w:color w:val="auto"/>
        </w:rPr>
      </w:pPr>
    </w:p>
    <w:p>
      <w:pPr>
        <w:ind w:left="660" w:hanging="322"/>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49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146050</wp:posOffset>
            </wp:positionV>
            <wp:extent cx="724916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303530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200025</wp:posOffset>
            </wp:positionV>
            <wp:extent cx="1288415" cy="387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8415"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February 8, 2006</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24" w:lineRule="exact"/>
        <w:rPr>
          <w:sz w:val="20"/>
          <w:szCs w:val="20"/>
          <w:color w:val="auto"/>
        </w:rPr>
      </w:pPr>
    </w:p>
    <w:p>
      <w:pPr>
        <w:ind w:left="700" w:right="1320" w:firstLine="397"/>
        <w:spacing w:after="0" w:line="265" w:lineRule="auto"/>
        <w:rPr>
          <w:sz w:val="20"/>
          <w:szCs w:val="20"/>
          <w:color w:val="auto"/>
        </w:rPr>
      </w:pPr>
      <w:r>
        <w:rPr>
          <w:rFonts w:ascii="Arial" w:cs="Arial" w:eastAsia="Arial" w:hAnsi="Arial"/>
          <w:sz w:val="18"/>
          <w:szCs w:val="18"/>
          <w:color w:val="auto"/>
        </w:rPr>
        <w:t xml:space="preserve">You are cordially invited to attend the Annual Meeting of Shareholders to be held at 10:00 a.m. on Tuesday, March 14, 2006, at </w:t>
      </w:r>
      <w:r>
        <w:rPr>
          <w:rFonts w:ascii="Arial" w:cs="Arial" w:eastAsia="Arial" w:hAnsi="Arial"/>
          <w:sz w:val="18"/>
          <w:szCs w:val="18"/>
          <w:b w:val="1"/>
          <w:bCs w:val="1"/>
          <w:color w:val="auto"/>
        </w:rPr>
        <w:t>Babson College, Babson Park, Massachusetts in the Sorenson Center for the Arts</w:t>
      </w:r>
      <w:r>
        <w:rPr>
          <w:rFonts w:ascii="Arial" w:cs="Arial" w:eastAsia="Arial" w:hAnsi="Arial"/>
          <w:sz w:val="18"/>
          <w:szCs w:val="18"/>
          <w:color w:val="auto"/>
        </w:rPr>
        <w:t>.</w:t>
      </w:r>
    </w:p>
    <w:p>
      <w:pPr>
        <w:spacing w:after="0" w:line="87" w:lineRule="exact"/>
        <w:rPr>
          <w:sz w:val="20"/>
          <w:szCs w:val="20"/>
          <w:color w:val="auto"/>
        </w:rPr>
      </w:pPr>
    </w:p>
    <w:p>
      <w:pPr>
        <w:ind w:left="700" w:right="1160" w:firstLine="397"/>
        <w:spacing w:after="0" w:line="265" w:lineRule="auto"/>
        <w:rPr>
          <w:sz w:val="20"/>
          <w:szCs w:val="20"/>
          <w:color w:val="auto"/>
        </w:rPr>
      </w:pPr>
      <w:r>
        <w:rPr>
          <w:rFonts w:ascii="Arial" w:cs="Arial" w:eastAsia="Arial" w:hAnsi="Arial"/>
          <w:sz w:val="18"/>
          <w:szCs w:val="18"/>
          <w:color w:val="auto"/>
        </w:rPr>
        <w:t>At the Annual Meeting, we will consider the matters set forth in the accompanying notice of annual meeting and proxy statement, which includes a recommendation by the Company for a new stock incentive plan.</w:t>
      </w:r>
    </w:p>
    <w:p>
      <w:pPr>
        <w:spacing w:after="0" w:line="87" w:lineRule="exact"/>
        <w:rPr>
          <w:sz w:val="20"/>
          <w:szCs w:val="20"/>
          <w:color w:val="auto"/>
        </w:rPr>
      </w:pPr>
    </w:p>
    <w:p>
      <w:pPr>
        <w:ind w:left="700" w:right="800" w:firstLine="397"/>
        <w:spacing w:after="0" w:line="269" w:lineRule="auto"/>
        <w:rPr>
          <w:sz w:val="20"/>
          <w:szCs w:val="20"/>
          <w:color w:val="auto"/>
        </w:rPr>
      </w:pPr>
      <w:r>
        <w:rPr>
          <w:rFonts w:ascii="Arial" w:cs="Arial" w:eastAsia="Arial" w:hAnsi="Arial"/>
          <w:sz w:val="17"/>
          <w:szCs w:val="17"/>
          <w:color w:val="auto"/>
        </w:rPr>
        <w:t>If approved, the new plan will decrease the total number of shares available for issuance and will diversify the equity-based portion of our compensation awards to allow for the grant of stock options, stock appreciation rights, restricted stock, restricted stock units and other stock-based awards. If our proposed plan is approved, our existing stock option plans will terminate, except for the options currently outstanding under those plans. We believe that the flexibility of using alternative forms of equity compensation will enhance the retention of key employees while being less dilutive to shareholders’ ownership.</w:t>
      </w:r>
    </w:p>
    <w:p>
      <w:pPr>
        <w:spacing w:after="0" w:line="85" w:lineRule="exact"/>
        <w:rPr>
          <w:sz w:val="20"/>
          <w:szCs w:val="20"/>
          <w:color w:val="auto"/>
        </w:rPr>
      </w:pPr>
    </w:p>
    <w:p>
      <w:pPr>
        <w:ind w:left="700" w:right="880" w:firstLine="397"/>
        <w:spacing w:after="0" w:line="267" w:lineRule="auto"/>
        <w:rPr>
          <w:sz w:val="20"/>
          <w:szCs w:val="20"/>
          <w:color w:val="auto"/>
        </w:rPr>
      </w:pPr>
      <w:r>
        <w:rPr>
          <w:rFonts w:ascii="Arial" w:cs="Arial" w:eastAsia="Arial" w:hAnsi="Arial"/>
          <w:sz w:val="17"/>
          <w:szCs w:val="17"/>
          <w:color w:val="auto"/>
        </w:rPr>
        <w:t>Analog Devices has successfully used stock options to attract and retain employees since the Company was founded 40 years ago. As shown in the tables on pages 36 and 37, in order to facilitate our objective of attracting and retaining valuable technical talent, we have regularly granted most options to a very broad base of employees. Approximately 93% of our employees receive stock options and only a small portion of options are granted to officers. Historically, we have also generally distributed 95% of our annual option grants to employees who are not named executive officers. We believe that our stock option program has been very successful throughout Analog’s history in both motivating employees and enhancing shareholder value.</w:t>
      </w:r>
    </w:p>
    <w:p>
      <w:pPr>
        <w:spacing w:after="0" w:line="87" w:lineRule="exact"/>
        <w:rPr>
          <w:sz w:val="20"/>
          <w:szCs w:val="20"/>
          <w:color w:val="auto"/>
        </w:rPr>
      </w:pPr>
    </w:p>
    <w:p>
      <w:pPr>
        <w:jc w:val="both"/>
        <w:ind w:left="700" w:right="960" w:firstLine="397"/>
        <w:spacing w:after="0" w:line="252" w:lineRule="auto"/>
        <w:rPr>
          <w:sz w:val="20"/>
          <w:szCs w:val="20"/>
          <w:color w:val="auto"/>
        </w:rPr>
      </w:pPr>
      <w:r>
        <w:rPr>
          <w:rFonts w:ascii="Arial" w:cs="Arial" w:eastAsia="Arial" w:hAnsi="Arial"/>
          <w:sz w:val="18"/>
          <w:szCs w:val="18"/>
          <w:color w:val="auto"/>
        </w:rPr>
        <w:t>Despite the importance of stock options to the retention of our key employees, we have been sensitive to the potential dilution to our shareholders. As a result, during the past five years, we have been steadily reducing our net option grants from 4.3% of outstanding shares in fiscal 2001 to 2.3% in fiscal 2006. We have a goal of reducing our net annual dilution from equity-based compensation to below 2% in future years.</w:t>
      </w:r>
    </w:p>
    <w:p>
      <w:pPr>
        <w:spacing w:after="0" w:line="99" w:lineRule="exact"/>
        <w:rPr>
          <w:sz w:val="20"/>
          <w:szCs w:val="20"/>
          <w:color w:val="auto"/>
        </w:rPr>
      </w:pPr>
    </w:p>
    <w:p>
      <w:pPr>
        <w:jc w:val="both"/>
        <w:ind w:left="700" w:right="940" w:firstLine="397"/>
        <w:spacing w:after="0" w:line="265" w:lineRule="auto"/>
        <w:rPr>
          <w:sz w:val="20"/>
          <w:szCs w:val="20"/>
          <w:color w:val="auto"/>
        </w:rPr>
      </w:pPr>
      <w:r>
        <w:rPr>
          <w:rFonts w:ascii="Arial" w:cs="Arial" w:eastAsia="Arial" w:hAnsi="Arial"/>
          <w:sz w:val="18"/>
          <w:szCs w:val="18"/>
          <w:color w:val="auto"/>
        </w:rPr>
        <w:t>The 2006 Stock Incentive Plan proposal is more fully described beginning on page 35. We encourage you to review the proposal and urge you to vote in favor of the new plan.</w:t>
      </w:r>
    </w:p>
    <w:p>
      <w:pPr>
        <w:spacing w:after="0" w:line="87" w:lineRule="exact"/>
        <w:rPr>
          <w:sz w:val="20"/>
          <w:szCs w:val="20"/>
          <w:color w:val="auto"/>
        </w:rPr>
      </w:pPr>
    </w:p>
    <w:p>
      <w:pPr>
        <w:ind w:left="700" w:right="1040" w:firstLine="397"/>
        <w:spacing w:after="0" w:line="255"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its shareholders. During the past year, our Board of Directors has taken a number of actions more fully described on page 11 to enhance our governance practices. These actions include the following:</w:t>
      </w:r>
    </w:p>
    <w:p>
      <w:pPr>
        <w:spacing w:after="0" w:line="96" w:lineRule="exact"/>
        <w:rPr>
          <w:sz w:val="20"/>
          <w:szCs w:val="20"/>
          <w:color w:val="auto"/>
        </w:rPr>
      </w:pPr>
    </w:p>
    <w:p>
      <w:pPr>
        <w:ind w:left="1200" w:hanging="1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Adopted a new voting policy regarding the election of our directors;</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Terminated our stockholder rights plan (also frequently referred to as a “poison pill”);</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Adopted stock ownership guidelines for our executive officers and directors;</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Expanded our Board of Director evaluation process; and</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Created the position of Chief Compliance and Business Ethics Officer.</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128905</wp:posOffset>
            </wp:positionV>
            <wp:extent cx="1515745" cy="690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5745" cy="69024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128905</wp:posOffset>
            </wp:positionV>
            <wp:extent cx="2214245" cy="572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4245"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ind w:left="700"/>
              <w:spacing w:after="0"/>
              <w:rPr>
                <w:sz w:val="20"/>
                <w:szCs w:val="20"/>
                <w:color w:val="auto"/>
              </w:rPr>
            </w:pPr>
            <w:r>
              <w:rPr>
                <w:rFonts w:ascii="Arial" w:cs="Arial" w:eastAsia="Arial" w:hAnsi="Arial"/>
                <w:sz w:val="18"/>
                <w:szCs w:val="18"/>
                <w:color w:val="auto"/>
              </w:rPr>
              <w:t>Ray Stata</w:t>
            </w:r>
          </w:p>
        </w:tc>
        <w:tc>
          <w:tcPr>
            <w:tcW w:w="7520" w:type="dxa"/>
            <w:vAlign w:val="bottom"/>
          </w:tcPr>
          <w:p>
            <w:pPr>
              <w:ind w:left="1560"/>
              <w:spacing w:after="0"/>
              <w:rPr>
                <w:sz w:val="20"/>
                <w:szCs w:val="20"/>
                <w:color w:val="auto"/>
              </w:rPr>
            </w:pPr>
            <w:r>
              <w:rPr>
                <w:rFonts w:ascii="Arial" w:cs="Arial" w:eastAsia="Arial" w:hAnsi="Arial"/>
                <w:sz w:val="18"/>
                <w:szCs w:val="18"/>
                <w:color w:val="auto"/>
              </w:rPr>
              <w:t>Jerald G. Fishman</w:t>
            </w:r>
          </w:p>
        </w:tc>
      </w:tr>
      <w:tr>
        <w:trPr>
          <w:trHeight w:val="223"/>
        </w:trPr>
        <w:tc>
          <w:tcPr>
            <w:tcW w:w="3900" w:type="dxa"/>
            <w:vAlign w:val="bottom"/>
          </w:tcPr>
          <w:p>
            <w:pPr>
              <w:ind w:left="700"/>
              <w:spacing w:after="0"/>
              <w:rPr>
                <w:sz w:val="20"/>
                <w:szCs w:val="20"/>
                <w:color w:val="auto"/>
              </w:rPr>
            </w:pPr>
            <w:r>
              <w:rPr>
                <w:rFonts w:ascii="Arial" w:cs="Arial" w:eastAsia="Arial" w:hAnsi="Arial"/>
                <w:sz w:val="18"/>
                <w:szCs w:val="18"/>
                <w:color w:val="auto"/>
              </w:rPr>
              <w:t>Chairman of the Board</w:t>
            </w:r>
          </w:p>
        </w:tc>
        <w:tc>
          <w:tcPr>
            <w:tcW w:w="7520" w:type="dxa"/>
            <w:vAlign w:val="bottom"/>
          </w:tcPr>
          <w:p>
            <w:pPr>
              <w:ind w:left="1560"/>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390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779"/>
        <w:spacing w:after="0"/>
        <w:rPr>
          <w:sz w:val="20"/>
          <w:szCs w:val="20"/>
          <w:color w:val="auto"/>
        </w:rPr>
      </w:pPr>
      <w:r>
        <w:rPr>
          <w:rFonts w:ascii="Arial" w:cs="Arial" w:eastAsia="Arial" w:hAnsi="Arial"/>
          <w:sz w:val="25"/>
          <w:szCs w:val="25"/>
          <w:b w:val="1"/>
          <w:bCs w:val="1"/>
          <w:color w:val="auto"/>
        </w:rPr>
        <w:t>ANALOG DEVICES, INC.</w:t>
      </w:r>
    </w:p>
    <w:p>
      <w:pPr>
        <w:spacing w:after="0" w:line="2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NORWOOD, MASSACHUSETTS 02062-9106</w:t>
      </w:r>
    </w:p>
    <w:p>
      <w:pPr>
        <w:spacing w:after="0" w:line="98" w:lineRule="exact"/>
        <w:rPr>
          <w:sz w:val="20"/>
          <w:szCs w:val="20"/>
          <w:color w:val="auto"/>
        </w:rPr>
      </w:pPr>
    </w:p>
    <w:p>
      <w:pPr>
        <w:jc w:val="center"/>
        <w:ind w:right="-779"/>
        <w:spacing w:after="0"/>
        <w:rPr>
          <w:sz w:val="20"/>
          <w:szCs w:val="20"/>
          <w:color w:val="auto"/>
        </w:rPr>
      </w:pPr>
      <w:r>
        <w:rPr>
          <w:rFonts w:ascii="Arial" w:cs="Arial" w:eastAsia="Arial" w:hAnsi="Arial"/>
          <w:sz w:val="21"/>
          <w:szCs w:val="21"/>
          <w:b w:val="1"/>
          <w:bCs w:val="1"/>
          <w:color w:val="auto"/>
        </w:rPr>
        <w:t>NOTICE OF 2006 ANNUAL MEETING OF SHAREHOLDERS</w:t>
      </w:r>
    </w:p>
    <w:p>
      <w:pPr>
        <w:spacing w:after="0" w:line="123" w:lineRule="exact"/>
        <w:rPr>
          <w:sz w:val="20"/>
          <w:szCs w:val="20"/>
          <w:color w:val="auto"/>
        </w:rPr>
      </w:pPr>
    </w:p>
    <w:p>
      <w:pPr>
        <w:jc w:val="center"/>
        <w:ind w:right="-779"/>
        <w:spacing w:after="0"/>
        <w:rPr>
          <w:sz w:val="20"/>
          <w:szCs w:val="20"/>
          <w:color w:val="auto"/>
        </w:rPr>
      </w:pPr>
      <w:r>
        <w:rPr>
          <w:rFonts w:ascii="Arial" w:cs="Arial" w:eastAsia="Arial" w:hAnsi="Arial"/>
          <w:sz w:val="21"/>
          <w:szCs w:val="21"/>
          <w:b w:val="1"/>
          <w:bCs w:val="1"/>
          <w:i w:val="1"/>
          <w:iCs w:val="1"/>
          <w:color w:val="auto"/>
        </w:rPr>
        <w:t>To Be Held On March 14, 2006</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2006 Annual Meeting of Shareholders of Analog Devices, Inc. will be held at Babson College, Sorenson Center for the Arts, 231 Forest Street, Babson Park, Massachusetts 02457, on Tuesday, March 14, 2006 at 10:00 a.m. local time. At the meeting, shareholders will consider and vote on the following matters:</w:t>
      </w:r>
    </w:p>
    <w:p>
      <w:pPr>
        <w:spacing w:after="0" w:line="96" w:lineRule="exact"/>
        <w:rPr>
          <w:sz w:val="20"/>
          <w:szCs w:val="20"/>
          <w:color w:val="auto"/>
        </w:rPr>
      </w:pPr>
    </w:p>
    <w:p>
      <w:pPr>
        <w:ind w:left="1680" w:hanging="193"/>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members to our Board of Directors to serve as Class I directors, each for a term of three years.</w:t>
      </w:r>
    </w:p>
    <w:p>
      <w:pPr>
        <w:spacing w:after="0" w:line="111" w:lineRule="exact"/>
        <w:rPr>
          <w:rFonts w:ascii="Arial" w:cs="Arial" w:eastAsia="Arial" w:hAnsi="Arial"/>
          <w:sz w:val="18"/>
          <w:szCs w:val="18"/>
          <w:color w:val="auto"/>
        </w:rPr>
      </w:pPr>
    </w:p>
    <w:p>
      <w:pPr>
        <w:ind w:left="1680" w:hanging="193"/>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our 2006 Stock Incentive Plan.</w:t>
      </w:r>
    </w:p>
    <w:p>
      <w:pPr>
        <w:spacing w:after="0" w:line="111" w:lineRule="exact"/>
        <w:rPr>
          <w:rFonts w:ascii="Arial" w:cs="Arial" w:eastAsia="Arial" w:hAnsi="Arial"/>
          <w:sz w:val="18"/>
          <w:szCs w:val="18"/>
          <w:color w:val="auto"/>
        </w:rPr>
      </w:pPr>
    </w:p>
    <w:p>
      <w:pPr>
        <w:ind w:left="1680" w:right="80" w:hanging="193"/>
        <w:spacing w:after="0" w:line="265"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October 28, 2006.</w:t>
      </w:r>
    </w:p>
    <w:p>
      <w:pPr>
        <w:spacing w:after="0" w:line="73" w:lineRule="exact"/>
        <w:rPr>
          <w:rFonts w:ascii="Arial" w:cs="Arial" w:eastAsia="Arial" w:hAnsi="Arial"/>
          <w:sz w:val="18"/>
          <w:szCs w:val="18"/>
          <w:color w:val="auto"/>
        </w:rPr>
      </w:pPr>
    </w:p>
    <w:p>
      <w:pPr>
        <w:ind w:left="1680" w:hanging="193"/>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act on the shareholder proposal entitled “Shareholder Proposal to Amend our Governance Documents”.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24" w:lineRule="exact"/>
        <w:rPr>
          <w:sz w:val="20"/>
          <w:szCs w:val="20"/>
          <w:color w:val="auto"/>
        </w:rPr>
      </w:pPr>
    </w:p>
    <w:p>
      <w:pPr>
        <w:ind w:left="700" w:right="40" w:firstLine="397"/>
        <w:spacing w:after="0" w:line="267" w:lineRule="auto"/>
        <w:rPr>
          <w:sz w:val="20"/>
          <w:szCs w:val="20"/>
          <w:color w:val="auto"/>
        </w:rPr>
      </w:pPr>
      <w:r>
        <w:rPr>
          <w:rFonts w:ascii="Arial" w:cs="Arial" w:eastAsia="Arial" w:hAnsi="Arial"/>
          <w:sz w:val="17"/>
          <w:szCs w:val="17"/>
          <w:color w:val="auto"/>
        </w:rPr>
        <w:t>Shareholders of record at the close of business on January 13, 2006 are entitled to vote at the meeting. Your vote is important regardless of the number of shares you own. Whether you expect to attend the meeting or not, please complete, sign, date and promptly return the enclosed proxy card in the postage-prepaid envelope we have provided. You can also vote your shares over the Internet or by telephone as provided in the instructions set forth on the proxy card.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1"/>
          <w:szCs w:val="11"/>
          <w:color w:val="auto"/>
        </w:rPr>
        <w:t>ARGARET</w:t>
      </w:r>
      <w:r>
        <w:rPr>
          <w:rFonts w:ascii="Arial" w:cs="Arial" w:eastAsia="Arial" w:hAnsi="Arial"/>
          <w:sz w:val="18"/>
          <w:szCs w:val="18"/>
          <w:color w:val="auto"/>
        </w:rPr>
        <w:t xml:space="preserve"> K. S</w:t>
      </w:r>
      <w:r>
        <w:rPr>
          <w:rFonts w:ascii="Arial" w:cs="Arial" w:eastAsia="Arial" w:hAnsi="Arial"/>
          <w:sz w:val="11"/>
          <w:szCs w:val="11"/>
          <w:color w:val="auto"/>
        </w:rPr>
        <w:t>EIF</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80" w:type="dxa"/>
            <w:vAlign w:val="bottom"/>
            <w:gridSpan w:val="4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23"/>
        </w:trPr>
        <w:tc>
          <w:tcPr>
            <w:tcW w:w="7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gridSpan w:val="14"/>
          </w:tcPr>
          <w:p>
            <w:pPr>
              <w:ind w:left="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12"/>
        </w:trPr>
        <w:tc>
          <w:tcPr>
            <w:tcW w:w="700" w:type="dxa"/>
            <w:vAlign w:val="bottom"/>
          </w:tcPr>
          <w:p>
            <w:pPr>
              <w:spacing w:after="0"/>
              <w:rPr>
                <w:sz w:val="24"/>
                <w:szCs w:val="24"/>
                <w:color w:val="auto"/>
              </w:rPr>
            </w:pPr>
          </w:p>
        </w:tc>
        <w:tc>
          <w:tcPr>
            <w:tcW w:w="9280" w:type="dxa"/>
            <w:vAlign w:val="bottom"/>
            <w:gridSpan w:val="4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THE ANNUAL MEETING AND VOTING</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080" w:type="dxa"/>
            <w:vAlign w:val="bottom"/>
            <w:tcBorders>
              <w:top w:val="single" w:sz="8" w:color="0000EE"/>
              <w:bottom w:val="single" w:sz="8" w:color="0000EE"/>
            </w:tcBorders>
            <w:gridSpan w:val="23"/>
          </w:tcPr>
          <w:p>
            <w:pPr>
              <w:spacing w:after="0" w:line="19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What is the purpose of the annual meeting?</w:t>
              </w:r>
            </w:hyperlink>
          </w:p>
        </w:tc>
        <w:tc>
          <w:tcPr>
            <w:tcW w:w="2020" w:type="dxa"/>
            <w:vAlign w:val="bottom"/>
            <w:tcBorders>
              <w:top w:val="single" w:sz="8" w:color="0000EE"/>
            </w:tcBorders>
            <w:gridSpan w:val="14"/>
          </w:tcPr>
          <w:p>
            <w:pPr>
              <w:spacing w:after="0"/>
              <w:rPr>
                <w:sz w:val="16"/>
                <w:szCs w:val="16"/>
                <w:color w:val="auto"/>
              </w:rPr>
            </w:pPr>
          </w:p>
        </w:tc>
        <w:tc>
          <w:tcPr>
            <w:tcW w:w="4020" w:type="dxa"/>
            <w:vAlign w:val="bottom"/>
            <w:gridSpan w:val="8"/>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Who can vote?</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Borders>
              <w:bottom w:val="single" w:sz="8" w:color="0000EE"/>
            </w:tcBorders>
            <w:gridSpan w:val="14"/>
          </w:tcPr>
          <w:p>
            <w:pPr>
              <w:spacing w:after="0" w:line="19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How many votes do I have?</w:t>
              </w:r>
            </w:hyperlink>
          </w:p>
        </w:tc>
        <w:tc>
          <w:tcPr>
            <w:tcW w:w="7120" w:type="dxa"/>
            <w:vAlign w:val="bottom"/>
            <w:gridSpan w:val="31"/>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Is my vote important?</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Borders>
              <w:top w:val="single" w:sz="8" w:color="0000EE"/>
            </w:tcBorders>
            <w:gridSpan w:val="11"/>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How do I vote?</w:t>
              </w:r>
            </w:hyperlink>
          </w:p>
        </w:tc>
        <w:tc>
          <w:tcPr>
            <w:tcW w:w="7560" w:type="dxa"/>
            <w:vAlign w:val="bottom"/>
            <w:gridSpan w:val="34"/>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80" w:type="dxa"/>
            <w:vAlign w:val="bottom"/>
            <w:tcBorders>
              <w:bottom w:val="single" w:sz="8" w:color="0000EE"/>
            </w:tcBorders>
            <w:gridSpan w:val="44"/>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Can I change my vote after I have mailed my proxy card or after I have voted my shares over the Internet or by telephone?</w:t>
              </w:r>
            </w:hyperlink>
          </w:p>
        </w:tc>
        <w:tc>
          <w:tcPr>
            <w:tcW w:w="440" w:type="dxa"/>
            <w:vAlign w:val="bottom"/>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tcBorders>
              <w:bottom w:val="single" w:sz="8" w:color="0000EE"/>
            </w:tcBorders>
            <w:gridSpan w:val="29"/>
          </w:tcPr>
          <w:p>
            <w:pPr>
              <w:spacing w:after="0" w:line="192"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Can I vote if my shares are held in “street name”?</w:t>
              </w:r>
            </w:hyperlink>
          </w:p>
        </w:tc>
        <w:tc>
          <w:tcPr>
            <w:tcW w:w="5580" w:type="dxa"/>
            <w:vAlign w:val="bottom"/>
            <w:gridSpan w:val="16"/>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tcBorders>
              <w:bottom w:val="single" w:sz="8" w:color="0000EE"/>
            </w:tcBorders>
            <w:gridSpan w:val="19"/>
          </w:tcPr>
          <w:p>
            <w:pPr>
              <w:spacing w:after="0" w:line="19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How do I vote my 401(k) shares?</w:t>
              </w:r>
            </w:hyperlink>
          </w:p>
        </w:tc>
        <w:tc>
          <w:tcPr>
            <w:tcW w:w="6740" w:type="dxa"/>
            <w:vAlign w:val="bottom"/>
            <w:gridSpan w:val="26"/>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300" w:type="dxa"/>
            <w:vAlign w:val="bottom"/>
            <w:tcBorders>
              <w:bottom w:val="single" w:sz="8" w:color="0000EE"/>
            </w:tcBorders>
            <w:gridSpan w:val="42"/>
          </w:tcPr>
          <w:p>
            <w:pPr>
              <w:spacing w:after="0" w:line="19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How do I vote my shares held in trust in the Analog Ireland Success Sharing Share Plan?</w:t>
              </w:r>
            </w:hyperlink>
          </w:p>
        </w:tc>
        <w:tc>
          <w:tcPr>
            <w:tcW w:w="2820" w:type="dxa"/>
            <w:vAlign w:val="bottom"/>
            <w:gridSpan w:val="3"/>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What constitutes a quorum?</w:t>
              </w:r>
            </w:hyperlink>
          </w:p>
        </w:tc>
        <w:tc>
          <w:tcPr>
            <w:tcW w:w="7120" w:type="dxa"/>
            <w:vAlign w:val="bottom"/>
            <w:gridSpan w:val="31"/>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How will votes be counted?</w:t>
              </w:r>
            </w:hyperlink>
          </w:p>
        </w:tc>
        <w:tc>
          <w:tcPr>
            <w:tcW w:w="6540" w:type="dxa"/>
            <w:vAlign w:val="bottom"/>
            <w:gridSpan w:val="23"/>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Borders>
              <w:top w:val="single" w:sz="8" w:color="0000EE"/>
            </w:tcBorders>
            <w:gridSpan w:val="13"/>
          </w:tcPr>
          <w:p>
            <w:pPr>
              <w:spacing w:after="0" w:line="19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Who will count the votes?</w:t>
              </w:r>
            </w:hyperlink>
          </w:p>
        </w:tc>
        <w:tc>
          <w:tcPr>
            <w:tcW w:w="7140" w:type="dxa"/>
            <w:vAlign w:val="bottom"/>
            <w:gridSpan w:val="32"/>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Borders>
              <w:bottom w:val="single" w:sz="8" w:color="0000EE"/>
            </w:tcBorders>
            <w:gridSpan w:val="20"/>
          </w:tcPr>
          <w:p>
            <w:pPr>
              <w:spacing w:after="0" w:line="192"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Will my vote be kept confidential?</w:t>
              </w:r>
            </w:hyperlink>
          </w:p>
        </w:tc>
        <w:tc>
          <w:tcPr>
            <w:tcW w:w="6660" w:type="dxa"/>
            <w:vAlign w:val="bottom"/>
            <w:gridSpan w:val="25"/>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of Directors recommend that I vote on the proposals?</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Will any other business be conducted at the meeting or will other matters be voted on?</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Borders>
              <w:top w:val="single" w:sz="8" w:color="0000EE"/>
              <w:bottom w:val="single" w:sz="8" w:color="0000EE"/>
            </w:tcBorders>
            <w:gridSpan w:val="21"/>
          </w:tcPr>
          <w:p>
            <w:pPr>
              <w:spacing w:after="0" w:line="192"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Where can I find the voting results?</w:t>
              </w:r>
            </w:hyperlink>
          </w:p>
        </w:tc>
        <w:tc>
          <w:tcPr>
            <w:tcW w:w="3580" w:type="dxa"/>
            <w:vAlign w:val="bottom"/>
            <w:tcBorders>
              <w:top w:val="single" w:sz="8" w:color="0000EE"/>
            </w:tcBorders>
            <w:gridSpan w:val="20"/>
          </w:tcPr>
          <w:p>
            <w:pPr>
              <w:spacing w:after="0"/>
              <w:rPr>
                <w:sz w:val="16"/>
                <w:szCs w:val="16"/>
                <w:color w:val="auto"/>
              </w:rPr>
            </w:pPr>
          </w:p>
        </w:tc>
        <w:tc>
          <w:tcPr>
            <w:tcW w:w="3000" w:type="dxa"/>
            <w:vAlign w:val="bottom"/>
            <w:gridSpan w:val="4"/>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0" w:type="dxa"/>
            <w:vAlign w:val="bottom"/>
            <w:tcBorders>
              <w:bottom w:val="single" w:sz="8" w:color="0000EE"/>
            </w:tcBorders>
            <w:gridSpan w:val="43"/>
          </w:tcPr>
          <w:p>
            <w:pPr>
              <w:spacing w:after="0" w:line="192"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How and when may I submit a shareholder proposal, including a shareholder nomination for director, for the 2007 annual</w:t>
              </w:r>
            </w:hyperlink>
          </w:p>
        </w:tc>
        <w:tc>
          <w:tcPr>
            <w:tcW w:w="52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0000EE"/>
            </w:tcBorders>
            <w:gridSpan w:val="4"/>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meeting?</w:t>
              </w:r>
            </w:hyperlink>
          </w:p>
        </w:tc>
        <w:tc>
          <w:tcPr>
            <w:tcW w:w="8280" w:type="dxa"/>
            <w:vAlign w:val="bottom"/>
            <w:gridSpan w:val="40"/>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tcBorders>
              <w:bottom w:val="single" w:sz="8" w:color="0000EE"/>
            </w:tcBorders>
            <w:gridSpan w:val="26"/>
          </w:tcPr>
          <w:p>
            <w:pPr>
              <w:spacing w:after="0" w:line="19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What are the costs of soliciting these proxies?</w:t>
              </w:r>
            </w:hyperlink>
          </w:p>
        </w:tc>
        <w:tc>
          <w:tcPr>
            <w:tcW w:w="5860" w:type="dxa"/>
            <w:vAlign w:val="bottom"/>
            <w:gridSpan w:val="19"/>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How can I obtain an Annual Report on Form 10-K?</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tcBorders>
              <w:top w:val="single" w:sz="8" w:color="0000EE"/>
            </w:tcBorders>
            <w:gridSpan w:val="30"/>
          </w:tcPr>
          <w:p>
            <w:pPr>
              <w:spacing w:after="0" w:line="19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Whom should I contact if I have any questions?</w:t>
              </w:r>
            </w:hyperlink>
          </w:p>
        </w:tc>
        <w:tc>
          <w:tcPr>
            <w:tcW w:w="5460" w:type="dxa"/>
            <w:vAlign w:val="bottom"/>
            <w:gridSpan w:val="15"/>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24"/>
          </w:tcPr>
          <w:p>
            <w:pPr>
              <w:spacing w:after="0" w:line="192"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Householding of Annual Meeting Materials</w:t>
              </w:r>
            </w:hyperlink>
          </w:p>
        </w:tc>
        <w:tc>
          <w:tcPr>
            <w:tcW w:w="280" w:type="dxa"/>
            <w:vAlign w:val="bottom"/>
            <w:tcBorders>
              <w:top w:val="single" w:sz="8" w:color="0000EE"/>
            </w:tcBorders>
            <w:gridSpan w:val="3"/>
          </w:tcPr>
          <w:p>
            <w:pPr>
              <w:spacing w:after="0"/>
              <w:rPr>
                <w:sz w:val="16"/>
                <w:szCs w:val="16"/>
                <w:color w:val="auto"/>
              </w:rPr>
            </w:pPr>
          </w:p>
        </w:tc>
        <w:tc>
          <w:tcPr>
            <w:tcW w:w="5740" w:type="dxa"/>
            <w:vAlign w:val="bottom"/>
            <w:gridSpan w:val="18"/>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13">
              <w:r>
                <w:rPr>
                  <w:rFonts w:ascii="Arial" w:cs="Arial" w:eastAsia="Arial" w:hAnsi="Arial"/>
                  <w:sz w:val="18"/>
                  <w:szCs w:val="18"/>
                  <w:color w:val="0000EE"/>
                </w:rPr>
                <w:t>Security Ownership of Certain Beneficial Owners and Management</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32"/>
          </w:tcPr>
          <w:p>
            <w:pPr>
              <w:spacing w:after="0" w:line="192"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Section 16(a) Beneficial Ownership Reporting Compliance</w:t>
              </w:r>
            </w:hyperlink>
          </w:p>
        </w:tc>
        <w:tc>
          <w:tcPr>
            <w:tcW w:w="600" w:type="dxa"/>
            <w:vAlign w:val="bottom"/>
            <w:tcBorders>
              <w:top w:val="single" w:sz="8" w:color="0000EE"/>
            </w:tcBorders>
            <w:gridSpan w:val="4"/>
          </w:tcPr>
          <w:p>
            <w:pPr>
              <w:spacing w:after="0"/>
              <w:rPr>
                <w:sz w:val="16"/>
                <w:szCs w:val="16"/>
                <w:color w:val="auto"/>
              </w:rPr>
            </w:pPr>
          </w:p>
        </w:tc>
        <w:tc>
          <w:tcPr>
            <w:tcW w:w="4320" w:type="dxa"/>
            <w:vAlign w:val="bottom"/>
            <w:gridSpan w:val="9"/>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8</w:t>
            </w:r>
          </w:p>
        </w:tc>
      </w:tr>
      <w:tr>
        <w:trPr>
          <w:trHeight w:val="192"/>
        </w:trPr>
        <w:tc>
          <w:tcPr>
            <w:tcW w:w="700" w:type="dxa"/>
            <w:vAlign w:val="bottom"/>
          </w:tcPr>
          <w:p>
            <w:pPr>
              <w:spacing w:after="0"/>
              <w:rPr>
                <w:sz w:val="16"/>
                <w:szCs w:val="16"/>
                <w:color w:val="auto"/>
              </w:rPr>
            </w:pPr>
          </w:p>
        </w:tc>
        <w:tc>
          <w:tcPr>
            <w:tcW w:w="3660" w:type="dxa"/>
            <w:vAlign w:val="bottom"/>
            <w:tcBorders>
              <w:bottom w:val="single" w:sz="8" w:color="0000EE"/>
            </w:tcBorders>
            <w:gridSpan w:val="29"/>
          </w:tcPr>
          <w:p>
            <w:pPr>
              <w:spacing w:after="0" w:line="192" w:lineRule="exact"/>
              <w:rPr>
                <w:rFonts w:ascii="Arial" w:cs="Arial" w:eastAsia="Arial" w:hAnsi="Arial"/>
                <w:sz w:val="18"/>
                <w:szCs w:val="18"/>
                <w:b w:val="1"/>
                <w:bCs w:val="1"/>
                <w:color w:val="0000EE"/>
                <w:w w:val="96"/>
              </w:rPr>
            </w:pPr>
            <w:hyperlink w:anchor="page15">
              <w:r>
                <w:rPr>
                  <w:rFonts w:ascii="Arial" w:cs="Arial" w:eastAsia="Arial" w:hAnsi="Arial"/>
                  <w:sz w:val="18"/>
                  <w:szCs w:val="18"/>
                  <w:b w:val="1"/>
                  <w:bCs w:val="1"/>
                  <w:color w:val="0000EE"/>
                  <w:w w:val="96"/>
                </w:rPr>
                <w:t>PROPOSAL 1 — ELECTION OF DIRECTORS</w:t>
              </w:r>
            </w:hyperlink>
          </w:p>
        </w:tc>
        <w:tc>
          <w:tcPr>
            <w:tcW w:w="5620" w:type="dxa"/>
            <w:vAlign w:val="bottom"/>
            <w:gridSpan w:val="17"/>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Nominees for Class I Directors (Terms Expire at the 2009 Annual Meeting)</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Borders>
              <w:top w:val="single" w:sz="8" w:color="0000EE"/>
              <w:bottom w:val="single" w:sz="8" w:color="0000EE"/>
            </w:tcBorders>
            <w:gridSpan w:val="33"/>
          </w:tcPr>
          <w:p>
            <w:pPr>
              <w:spacing w:after="0" w:line="192"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Class II Directors (Terms Expire at the 2007 Annual Meeting)</w:t>
              </w:r>
            </w:hyperlink>
          </w:p>
        </w:tc>
        <w:tc>
          <w:tcPr>
            <w:tcW w:w="940" w:type="dxa"/>
            <w:vAlign w:val="bottom"/>
            <w:tcBorders>
              <w:top w:val="single" w:sz="8" w:color="0000EE"/>
            </w:tcBorders>
            <w:gridSpan w:val="7"/>
          </w:tcPr>
          <w:p>
            <w:pPr>
              <w:spacing w:after="0"/>
              <w:rPr>
                <w:sz w:val="16"/>
                <w:szCs w:val="16"/>
                <w:color w:val="auto"/>
              </w:rPr>
            </w:pPr>
          </w:p>
        </w:tc>
        <w:tc>
          <w:tcPr>
            <w:tcW w:w="3780" w:type="dxa"/>
            <w:vAlign w:val="bottom"/>
            <w:gridSpan w:val="5"/>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60" w:type="dxa"/>
            <w:vAlign w:val="bottom"/>
            <w:tcBorders>
              <w:bottom w:val="single" w:sz="8" w:color="0000EE"/>
            </w:tcBorders>
            <w:gridSpan w:val="34"/>
          </w:tcPr>
          <w:p>
            <w:pPr>
              <w:spacing w:after="0" w:line="19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Class III Directors (Terms Expire at the 2008 Annual Meeting)</w:t>
              </w:r>
            </w:hyperlink>
          </w:p>
        </w:tc>
        <w:tc>
          <w:tcPr>
            <w:tcW w:w="4660" w:type="dxa"/>
            <w:vAlign w:val="bottom"/>
            <w:gridSpan w:val="11"/>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9280" w:type="dxa"/>
            <w:vAlign w:val="bottom"/>
            <w:gridSpan w:val="46"/>
          </w:tcPr>
          <w:p>
            <w:pPr>
              <w:spacing w:after="0" w:line="19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CORPORATE GOVERNANCE</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7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tcBorders>
            <w:gridSpan w:val="18"/>
          </w:tcPr>
          <w:p>
            <w:pPr>
              <w:spacing w:after="0" w:line="192" w:lineRule="exact"/>
              <w:rPr>
                <w:rFonts w:ascii="Arial" w:cs="Arial" w:eastAsia="Arial" w:hAnsi="Arial"/>
                <w:sz w:val="18"/>
                <w:szCs w:val="18"/>
                <w:color w:val="0000EE"/>
              </w:rPr>
            </w:pPr>
            <w:hyperlink w:anchor="page17">
              <w:r>
                <w:rPr>
                  <w:rFonts w:ascii="Arial" w:cs="Arial" w:eastAsia="Arial" w:hAnsi="Arial"/>
                  <w:sz w:val="18"/>
                  <w:szCs w:val="18"/>
                  <w:color w:val="0000EE"/>
                </w:rPr>
                <w:t>General</w:t>
              </w:r>
            </w:hyperlink>
          </w:p>
        </w:tc>
        <w:tc>
          <w:tcPr>
            <w:tcW w:w="6860" w:type="dxa"/>
            <w:vAlign w:val="bottom"/>
            <w:gridSpan w:val="27"/>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Determination of Independence</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top w:val="single" w:sz="8" w:color="0000EE"/>
            </w:tcBorders>
            <w:gridSpan w:val="17"/>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Director Candidates</w:t>
              </w:r>
            </w:hyperlink>
          </w:p>
        </w:tc>
        <w:tc>
          <w:tcPr>
            <w:tcW w:w="6880" w:type="dxa"/>
            <w:vAlign w:val="bottom"/>
            <w:gridSpan w:val="28"/>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5"/>
          </w:tcPr>
          <w:p>
            <w:pPr>
              <w:spacing w:after="0" w:line="192" w:lineRule="exact"/>
              <w:rPr>
                <w:rFonts w:ascii="Arial" w:cs="Arial" w:eastAsia="Arial" w:hAnsi="Arial"/>
                <w:sz w:val="18"/>
                <w:szCs w:val="18"/>
                <w:color w:val="0000EE"/>
              </w:rPr>
            </w:pPr>
            <w:hyperlink w:anchor="page19">
              <w:r>
                <w:rPr>
                  <w:rFonts w:ascii="Arial" w:cs="Arial" w:eastAsia="Arial" w:hAnsi="Arial"/>
                  <w:sz w:val="18"/>
                  <w:szCs w:val="18"/>
                  <w:color w:val="0000EE"/>
                </w:rPr>
                <w:t>Communications from Shareholders and Other Interested Parties</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tcBorders>
              <w:top w:val="single" w:sz="8" w:color="0000EE"/>
              <w:bottom w:val="single" w:sz="8" w:color="0000EE"/>
            </w:tcBorders>
            <w:gridSpan w:val="25"/>
          </w:tcPr>
          <w:p>
            <w:pPr>
              <w:spacing w:after="0" w:line="19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Board of Directors Meetings and Committees</w:t>
              </w:r>
            </w:hyperlink>
          </w:p>
        </w:tc>
        <w:tc>
          <w:tcPr>
            <w:tcW w:w="1340" w:type="dxa"/>
            <w:vAlign w:val="bottom"/>
            <w:tcBorders>
              <w:top w:val="single" w:sz="8" w:color="0000EE"/>
            </w:tcBorders>
            <w:gridSpan w:val="10"/>
          </w:tcPr>
          <w:p>
            <w:pPr>
              <w:spacing w:after="0"/>
              <w:rPr>
                <w:sz w:val="16"/>
                <w:szCs w:val="16"/>
                <w:color w:val="auto"/>
              </w:rPr>
            </w:pPr>
          </w:p>
        </w:tc>
        <w:tc>
          <w:tcPr>
            <w:tcW w:w="4540" w:type="dxa"/>
            <w:vAlign w:val="bottom"/>
            <w:gridSpan w:val="10"/>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14</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0000EE"/>
            </w:tcBorders>
            <w:gridSpan w:val="7"/>
          </w:tcPr>
          <w:p>
            <w:pPr>
              <w:spacing w:after="0" w:line="192" w:lineRule="exact"/>
              <w:rPr>
                <w:rFonts w:ascii="Arial" w:cs="Arial" w:eastAsia="Arial" w:hAnsi="Arial"/>
                <w:sz w:val="18"/>
                <w:szCs w:val="18"/>
                <w:i w:val="1"/>
                <w:iCs w:val="1"/>
                <w:color w:val="0000EE"/>
                <w:w w:val="88"/>
              </w:rPr>
            </w:pPr>
            <w:hyperlink w:anchor="page20">
              <w:r>
                <w:rPr>
                  <w:rFonts w:ascii="Arial" w:cs="Arial" w:eastAsia="Arial" w:hAnsi="Arial"/>
                  <w:sz w:val="18"/>
                  <w:szCs w:val="18"/>
                  <w:i w:val="1"/>
                  <w:iCs w:val="1"/>
                  <w:color w:val="0000EE"/>
                  <w:w w:val="88"/>
                </w:rPr>
                <w:t>Audit Committee</w:t>
              </w:r>
            </w:hyperlink>
          </w:p>
        </w:tc>
        <w:tc>
          <w:tcPr>
            <w:tcW w:w="7700" w:type="dxa"/>
            <w:vAlign w:val="bottom"/>
            <w:gridSpan w:val="36"/>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14</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Borders>
              <w:bottom w:val="single" w:sz="8" w:color="0000EE"/>
            </w:tcBorders>
            <w:gridSpan w:val="13"/>
          </w:tcPr>
          <w:p>
            <w:pPr>
              <w:spacing w:after="0" w:line="192" w:lineRule="exact"/>
              <w:rPr>
                <w:rFonts w:ascii="Arial" w:cs="Arial" w:eastAsia="Arial" w:hAnsi="Arial"/>
                <w:sz w:val="18"/>
                <w:szCs w:val="18"/>
                <w:i w:val="1"/>
                <w:iCs w:val="1"/>
                <w:color w:val="0000EE"/>
                <w:w w:val="86"/>
              </w:rPr>
            </w:pPr>
            <w:hyperlink w:anchor="page20">
              <w:r>
                <w:rPr>
                  <w:rFonts w:ascii="Arial" w:cs="Arial" w:eastAsia="Arial" w:hAnsi="Arial"/>
                  <w:sz w:val="18"/>
                  <w:szCs w:val="18"/>
                  <w:i w:val="1"/>
                  <w:iCs w:val="1"/>
                  <w:color w:val="0000EE"/>
                  <w:w w:val="86"/>
                </w:rPr>
                <w:t>Compensation Committee</w:t>
              </w:r>
            </w:hyperlink>
          </w:p>
        </w:tc>
        <w:tc>
          <w:tcPr>
            <w:tcW w:w="7100" w:type="dxa"/>
            <w:vAlign w:val="bottom"/>
            <w:gridSpan w:val="30"/>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14</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20" w:type="dxa"/>
            <w:vAlign w:val="bottom"/>
            <w:gridSpan w:val="43"/>
          </w:tcPr>
          <w:p>
            <w:pPr>
              <w:spacing w:after="0" w:line="192" w:lineRule="exact"/>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Nominating and Corporate Governance Committee</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600" w:type="dxa"/>
            <w:vAlign w:val="bottom"/>
            <w:gridSpan w:val="15"/>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bottom w:val="single" w:sz="8" w:color="0000EE"/>
            </w:tcBorders>
            <w:gridSpan w:val="16"/>
          </w:tcPr>
          <w:p>
            <w:pPr>
              <w:spacing w:after="0" w:line="192"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Report of the Audit Committee</w:t>
              </w:r>
            </w:hyperlink>
          </w:p>
        </w:tc>
        <w:tc>
          <w:tcPr>
            <w:tcW w:w="6900" w:type="dxa"/>
            <w:vAlign w:val="bottom"/>
            <w:gridSpan w:val="29"/>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40" w:type="dxa"/>
            <w:vAlign w:val="bottom"/>
            <w:tcBorders>
              <w:bottom w:val="single" w:sz="8" w:color="0000EE"/>
            </w:tcBorders>
            <w:gridSpan w:val="38"/>
          </w:tcPr>
          <w:p>
            <w:pPr>
              <w:spacing w:after="0" w:line="192"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Independent Registered Public Accounting Firm Fees and Other Matters</w:t>
              </w:r>
            </w:hyperlink>
          </w:p>
        </w:tc>
        <w:tc>
          <w:tcPr>
            <w:tcW w:w="3980" w:type="dxa"/>
            <w:vAlign w:val="bottom"/>
            <w:gridSpan w:val="7"/>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20" w:type="dxa"/>
            <w:vAlign w:val="bottom"/>
            <w:gridSpan w:val="43"/>
          </w:tcPr>
          <w:p>
            <w:pPr>
              <w:spacing w:after="0" w:line="192" w:lineRule="exact"/>
              <w:rPr>
                <w:rFonts w:ascii="Arial" w:cs="Arial" w:eastAsia="Arial" w:hAnsi="Arial"/>
                <w:sz w:val="18"/>
                <w:szCs w:val="18"/>
                <w:i w:val="1"/>
                <w:iCs w:val="1"/>
                <w:color w:val="0000EE"/>
              </w:rPr>
            </w:pPr>
            <w:hyperlink w:anchor="page22">
              <w:r>
                <w:rPr>
                  <w:rFonts w:ascii="Arial" w:cs="Arial" w:eastAsia="Arial" w:hAnsi="Arial"/>
                  <w:sz w:val="18"/>
                  <w:szCs w:val="18"/>
                  <w:i w:val="1"/>
                  <w:iCs w:val="1"/>
                  <w:color w:val="0000EE"/>
                </w:rPr>
                <w:t>Audit Fees</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580" w:type="dxa"/>
            <w:vAlign w:val="bottom"/>
            <w:gridSpan w:val="3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20" w:type="dxa"/>
            <w:vAlign w:val="bottom"/>
            <w:gridSpan w:val="43"/>
          </w:tcPr>
          <w:p>
            <w:pPr>
              <w:spacing w:after="0" w:line="192" w:lineRule="exact"/>
              <w:rPr>
                <w:rFonts w:ascii="Arial" w:cs="Arial" w:eastAsia="Arial" w:hAnsi="Arial"/>
                <w:sz w:val="18"/>
                <w:szCs w:val="18"/>
                <w:i w:val="1"/>
                <w:iCs w:val="1"/>
                <w:color w:val="0000EE"/>
              </w:rPr>
            </w:pPr>
            <w:hyperlink w:anchor="page22">
              <w:r>
                <w:rPr>
                  <w:rFonts w:ascii="Arial" w:cs="Arial" w:eastAsia="Arial" w:hAnsi="Arial"/>
                  <w:sz w:val="18"/>
                  <w:szCs w:val="18"/>
                  <w:i w:val="1"/>
                  <w:iCs w:val="1"/>
                  <w:color w:val="0000EE"/>
                </w:rPr>
                <w:t>Audit-Related Fees</w:t>
              </w:r>
            </w:hyperlink>
          </w:p>
        </w:tc>
        <w:tc>
          <w:tcPr>
            <w:tcW w:w="64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397" w:right="10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180" w:type="dxa"/>
            <w:vAlign w:val="bottom"/>
            <w:gridSpan w:val="3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97"/>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i w:val="1"/>
                <w:iCs w:val="1"/>
                <w:color w:val="0000EE"/>
                <w:w w:val="82"/>
              </w:rPr>
            </w:pPr>
            <w:hyperlink w:anchor="page22">
              <w:r>
                <w:rPr>
                  <w:rFonts w:ascii="Arial" w:cs="Arial" w:eastAsia="Arial" w:hAnsi="Arial"/>
                  <w:sz w:val="18"/>
                  <w:szCs w:val="18"/>
                  <w:i w:val="1"/>
                  <w:iCs w:val="1"/>
                  <w:color w:val="0000EE"/>
                  <w:w w:val="82"/>
                </w:rPr>
                <w:t>Tax Fees</w:t>
              </w:r>
            </w:hyperlink>
          </w:p>
        </w:tc>
        <w:tc>
          <w:tcPr>
            <w:tcW w:w="8500" w:type="dxa"/>
            <w:vAlign w:val="bottom"/>
            <w:gridSpan w:val="3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bottom w:val="single" w:sz="8" w:color="0000EE"/>
            </w:tcBorders>
            <w:gridSpan w:val="26"/>
          </w:tcPr>
          <w:p>
            <w:pPr>
              <w:spacing w:after="0" w:line="192" w:lineRule="exact"/>
              <w:rPr>
                <w:rFonts w:ascii="Arial" w:cs="Arial" w:eastAsia="Arial" w:hAnsi="Arial"/>
                <w:sz w:val="18"/>
                <w:szCs w:val="18"/>
                <w:i w:val="1"/>
                <w:iCs w:val="1"/>
                <w:color w:val="0000EE"/>
                <w:w w:val="89"/>
              </w:rPr>
            </w:pPr>
            <w:hyperlink w:anchor="page23">
              <w:r>
                <w:rPr>
                  <w:rFonts w:ascii="Arial" w:cs="Arial" w:eastAsia="Arial" w:hAnsi="Arial"/>
                  <w:sz w:val="18"/>
                  <w:szCs w:val="18"/>
                  <w:i w:val="1"/>
                  <w:iCs w:val="1"/>
                  <w:color w:val="0000EE"/>
                  <w:w w:val="89"/>
                </w:rPr>
                <w:t>Audit Committee’s Pre-approval Policy and Procedures</w:t>
              </w:r>
            </w:hyperlink>
          </w:p>
        </w:tc>
        <w:tc>
          <w:tcPr>
            <w:tcW w:w="5200" w:type="dxa"/>
            <w:vAlign w:val="bottom"/>
            <w:gridSpan w:val="9"/>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bottom w:val="single" w:sz="8" w:color="0000EE"/>
            </w:tcBorders>
            <w:gridSpan w:val="9"/>
          </w:tcPr>
          <w:p>
            <w:pPr>
              <w:spacing w:after="0" w:line="19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Directors’ Compensation</w:t>
              </w:r>
            </w:hyperlink>
          </w:p>
        </w:tc>
        <w:tc>
          <w:tcPr>
            <w:tcW w:w="7540" w:type="dxa"/>
            <w:vAlign w:val="bottom"/>
            <w:gridSpan w:val="27"/>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0000EE"/>
            </w:tcBorders>
            <w:gridSpan w:val="2"/>
          </w:tcPr>
          <w:p>
            <w:pPr>
              <w:spacing w:after="0" w:line="192" w:lineRule="exact"/>
              <w:rPr>
                <w:rFonts w:ascii="Arial" w:cs="Arial" w:eastAsia="Arial" w:hAnsi="Arial"/>
                <w:sz w:val="18"/>
                <w:szCs w:val="18"/>
                <w:i w:val="1"/>
                <w:iCs w:val="1"/>
                <w:color w:val="0000EE"/>
                <w:w w:val="79"/>
              </w:rPr>
            </w:pPr>
            <w:hyperlink w:anchor="page23">
              <w:r>
                <w:rPr>
                  <w:rFonts w:ascii="Arial" w:cs="Arial" w:eastAsia="Arial" w:hAnsi="Arial"/>
                  <w:sz w:val="18"/>
                  <w:szCs w:val="18"/>
                  <w:i w:val="1"/>
                  <w:iCs w:val="1"/>
                  <w:color w:val="0000EE"/>
                  <w:w w:val="79"/>
                </w:rPr>
                <w:t>Fees</w:t>
              </w:r>
            </w:hyperlink>
          </w:p>
        </w:tc>
        <w:tc>
          <w:tcPr>
            <w:tcW w:w="8800" w:type="dxa"/>
            <w:vAlign w:val="bottom"/>
            <w:gridSpan w:val="33"/>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0000EE"/>
            </w:tcBorders>
            <w:gridSpan w:val="5"/>
          </w:tcPr>
          <w:p>
            <w:pPr>
              <w:spacing w:after="0" w:line="192" w:lineRule="exact"/>
              <w:rPr>
                <w:rFonts w:ascii="Arial" w:cs="Arial" w:eastAsia="Arial" w:hAnsi="Arial"/>
                <w:sz w:val="18"/>
                <w:szCs w:val="18"/>
                <w:i w:val="1"/>
                <w:iCs w:val="1"/>
                <w:color w:val="0000EE"/>
                <w:w w:val="87"/>
              </w:rPr>
            </w:pPr>
            <w:hyperlink w:anchor="page23">
              <w:r>
                <w:rPr>
                  <w:rFonts w:ascii="Arial" w:cs="Arial" w:eastAsia="Arial" w:hAnsi="Arial"/>
                  <w:sz w:val="18"/>
                  <w:szCs w:val="18"/>
                  <w:i w:val="1"/>
                  <w:iCs w:val="1"/>
                  <w:color w:val="0000EE"/>
                  <w:w w:val="87"/>
                </w:rPr>
                <w:t>Stock Options</w:t>
              </w:r>
            </w:hyperlink>
          </w:p>
        </w:tc>
        <w:tc>
          <w:tcPr>
            <w:tcW w:w="8140" w:type="dxa"/>
            <w:vAlign w:val="bottom"/>
            <w:gridSpan w:val="30"/>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Certain Relationships and Related Transactions</w:t>
              </w:r>
            </w:hyperlink>
          </w:p>
        </w:tc>
        <w:tc>
          <w:tcPr>
            <w:tcW w:w="5960" w:type="dxa"/>
            <w:vAlign w:val="bottom"/>
            <w:gridSpan w:val="14"/>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192"/>
        </w:trPr>
        <w:tc>
          <w:tcPr>
            <w:tcW w:w="700" w:type="dxa"/>
            <w:vAlign w:val="bottom"/>
          </w:tcPr>
          <w:p>
            <w:pPr>
              <w:spacing w:after="0"/>
              <w:rPr>
                <w:sz w:val="16"/>
                <w:szCs w:val="16"/>
                <w:color w:val="auto"/>
              </w:rPr>
            </w:pPr>
          </w:p>
        </w:tc>
        <w:tc>
          <w:tcPr>
            <w:tcW w:w="4580" w:type="dxa"/>
            <w:vAlign w:val="bottom"/>
            <w:tcBorders>
              <w:bottom w:val="single" w:sz="8" w:color="0000EE"/>
            </w:tcBorders>
            <w:gridSpan w:val="31"/>
          </w:tcPr>
          <w:p>
            <w:pPr>
              <w:spacing w:after="0" w:line="19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INFORMATION ABOUT EXECUTIVE COMPENSATION</w:t>
              </w:r>
            </w:hyperlink>
          </w:p>
        </w:tc>
        <w:tc>
          <w:tcPr>
            <w:tcW w:w="4900" w:type="dxa"/>
            <w:vAlign w:val="bottom"/>
            <w:gridSpan w:val="6"/>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20" w:type="dxa"/>
            <w:vAlign w:val="bottom"/>
            <w:gridSpan w:val="36"/>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Summary Compensation</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Option Grants in Fiscal 2005</w:t>
              </w:r>
            </w:hyperlink>
          </w:p>
        </w:tc>
        <w:tc>
          <w:tcPr>
            <w:tcW w:w="7240" w:type="dxa"/>
            <w:vAlign w:val="bottom"/>
            <w:gridSpan w:val="23"/>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20" w:type="dxa"/>
            <w:vAlign w:val="bottom"/>
            <w:gridSpan w:val="36"/>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Aggregated Option Exercises During Fiscal 2005 and Fiscal Year-End Option Values</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20" w:type="dxa"/>
            <w:vAlign w:val="bottom"/>
            <w:tcBorders>
              <w:top w:val="single" w:sz="8" w:color="0000EE"/>
            </w:tcBorders>
            <w:gridSpan w:val="33"/>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Pension Plan</w:t>
              </w:r>
            </w:hyperlink>
          </w:p>
        </w:tc>
        <w:tc>
          <w:tcPr>
            <w:tcW w:w="3300" w:type="dxa"/>
            <w:vAlign w:val="bottom"/>
            <w:gridSpan w:val="3"/>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40" w:type="dxa"/>
            <w:vAlign w:val="bottom"/>
            <w:gridSpan w:val="35"/>
          </w:tcPr>
          <w:p>
            <w:pPr>
              <w:spacing w:after="0" w:line="192"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The Analog Devices B.V. Executive Pension Scheme</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20" w:type="dxa"/>
            <w:vAlign w:val="bottom"/>
            <w:gridSpan w:val="36"/>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Option Program Description</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23</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20" w:type="dxa"/>
            <w:vAlign w:val="bottom"/>
            <w:gridSpan w:val="36"/>
          </w:tcPr>
          <w:p>
            <w:pPr>
              <w:spacing w:after="0" w:line="192" w:lineRule="exact"/>
              <w:rPr>
                <w:rFonts w:ascii="Arial" w:cs="Arial" w:eastAsia="Arial" w:hAnsi="Arial"/>
                <w:sz w:val="18"/>
                <w:szCs w:val="18"/>
                <w:color w:val="0000EE"/>
              </w:rPr>
            </w:pPr>
            <w:hyperlink w:anchor="page30">
              <w:r>
                <w:rPr>
                  <w:rFonts w:ascii="Arial" w:cs="Arial" w:eastAsia="Arial" w:hAnsi="Arial"/>
                  <w:sz w:val="18"/>
                  <w:szCs w:val="18"/>
                  <w:color w:val="0000EE"/>
                </w:rPr>
                <w:t>Securities Authorized for Issuance Under Equity Compensation Plans</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24</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80" w:type="dxa"/>
            <w:vAlign w:val="bottom"/>
            <w:tcBorders>
              <w:top w:val="single" w:sz="8" w:color="0000EE"/>
              <w:bottom w:val="single" w:sz="8" w:color="0000EE"/>
            </w:tcBorders>
            <w:gridSpan w:val="20"/>
          </w:tcPr>
          <w:p>
            <w:pPr>
              <w:spacing w:after="0" w:line="192" w:lineRule="exact"/>
              <w:rPr>
                <w:rFonts w:ascii="Arial" w:cs="Arial" w:eastAsia="Arial" w:hAnsi="Arial"/>
                <w:sz w:val="18"/>
                <w:szCs w:val="18"/>
                <w:i w:val="1"/>
                <w:iCs w:val="1"/>
                <w:color w:val="0000EE"/>
                <w:w w:val="88"/>
              </w:rPr>
            </w:pPr>
            <w:hyperlink w:anchor="page31">
              <w:r>
                <w:rPr>
                  <w:rFonts w:ascii="Arial" w:cs="Arial" w:eastAsia="Arial" w:hAnsi="Arial"/>
                  <w:sz w:val="18"/>
                  <w:szCs w:val="18"/>
                  <w:i w:val="1"/>
                  <w:iCs w:val="1"/>
                  <w:color w:val="0000EE"/>
                  <w:w w:val="88"/>
                </w:rPr>
                <w:t>2001 Broad-Based Stock Option Plan</w:t>
              </w:r>
            </w:hyperlink>
          </w:p>
        </w:tc>
        <w:tc>
          <w:tcPr>
            <w:tcW w:w="2080" w:type="dxa"/>
            <w:vAlign w:val="bottom"/>
            <w:tcBorders>
              <w:top w:val="single" w:sz="8" w:color="0000EE"/>
            </w:tcBorders>
            <w:gridSpan w:val="10"/>
          </w:tcPr>
          <w:p>
            <w:pPr>
              <w:spacing w:after="0"/>
              <w:rPr>
                <w:sz w:val="16"/>
                <w:szCs w:val="16"/>
                <w:color w:val="auto"/>
              </w:rPr>
            </w:pPr>
          </w:p>
        </w:tc>
        <w:tc>
          <w:tcPr>
            <w:tcW w:w="4380" w:type="dxa"/>
            <w:vAlign w:val="bottom"/>
            <w:gridSpan w:val="5"/>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40" w:type="dxa"/>
            <w:vAlign w:val="bottom"/>
            <w:gridSpan w:val="35"/>
          </w:tcPr>
          <w:p>
            <w:pPr>
              <w:spacing w:after="0" w:line="192"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1998 International Employee Stock Purchase Plan</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17"/>
          </w:tcPr>
          <w:p>
            <w:pPr>
              <w:spacing w:after="0" w:line="192" w:lineRule="exact"/>
              <w:rPr>
                <w:rFonts w:ascii="Arial" w:cs="Arial" w:eastAsia="Arial" w:hAnsi="Arial"/>
                <w:sz w:val="18"/>
                <w:szCs w:val="18"/>
                <w:i w:val="1"/>
                <w:iCs w:val="1"/>
                <w:color w:val="0000EE"/>
                <w:w w:val="88"/>
              </w:rPr>
            </w:pPr>
            <w:hyperlink w:anchor="page32">
              <w:r>
                <w:rPr>
                  <w:rFonts w:ascii="Arial" w:cs="Arial" w:eastAsia="Arial" w:hAnsi="Arial"/>
                  <w:sz w:val="18"/>
                  <w:szCs w:val="18"/>
                  <w:i w:val="1"/>
                  <w:iCs w:val="1"/>
                  <w:color w:val="0000EE"/>
                  <w:w w:val="88"/>
                </w:rPr>
                <w:t>Employee Service Award Program</w:t>
              </w:r>
            </w:hyperlink>
          </w:p>
        </w:tc>
        <w:tc>
          <w:tcPr>
            <w:tcW w:w="1120" w:type="dxa"/>
            <w:vAlign w:val="bottom"/>
            <w:tcBorders>
              <w:top w:val="single" w:sz="8" w:color="0000EE"/>
            </w:tcBorders>
            <w:gridSpan w:val="7"/>
          </w:tcPr>
          <w:p>
            <w:pPr>
              <w:spacing w:after="0"/>
              <w:rPr>
                <w:sz w:val="16"/>
                <w:szCs w:val="16"/>
                <w:color w:val="auto"/>
              </w:rPr>
            </w:pPr>
          </w:p>
        </w:tc>
        <w:tc>
          <w:tcPr>
            <w:tcW w:w="5560" w:type="dxa"/>
            <w:vAlign w:val="bottom"/>
            <w:gridSpan w:val="11"/>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tcBorders>
              <w:bottom w:val="single" w:sz="8" w:color="0000EE"/>
            </w:tcBorders>
            <w:gridSpan w:val="15"/>
          </w:tcPr>
          <w:p>
            <w:pPr>
              <w:spacing w:after="0" w:line="192" w:lineRule="exact"/>
              <w:rPr>
                <w:rFonts w:ascii="Arial" w:cs="Arial" w:eastAsia="Arial" w:hAnsi="Arial"/>
                <w:sz w:val="18"/>
                <w:szCs w:val="18"/>
                <w:color w:val="0000EE"/>
                <w:w w:val="86"/>
              </w:rPr>
            </w:pPr>
            <w:hyperlink w:anchor="page32">
              <w:r>
                <w:rPr>
                  <w:rFonts w:ascii="Arial" w:cs="Arial" w:eastAsia="Arial" w:hAnsi="Arial"/>
                  <w:sz w:val="18"/>
                  <w:szCs w:val="18"/>
                  <w:color w:val="0000EE"/>
                  <w:w w:val="86"/>
                </w:rPr>
                <w:t>Severance and Other Agreements</w:t>
              </w:r>
            </w:hyperlink>
          </w:p>
        </w:tc>
        <w:tc>
          <w:tcPr>
            <w:tcW w:w="6940" w:type="dxa"/>
            <w:vAlign w:val="bottom"/>
            <w:gridSpan w:val="21"/>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Borders>
              <w:bottom w:val="single" w:sz="8" w:color="0000EE"/>
            </w:tcBorders>
            <w:gridSpan w:val="12"/>
          </w:tcPr>
          <w:p>
            <w:pPr>
              <w:spacing w:after="0" w:line="192"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Deferred Compensation Plan</w:t>
              </w:r>
            </w:hyperlink>
          </w:p>
        </w:tc>
        <w:tc>
          <w:tcPr>
            <w:tcW w:w="7260" w:type="dxa"/>
            <w:vAlign w:val="bottom"/>
            <w:gridSpan w:val="24"/>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Borders>
              <w:bottom w:val="single" w:sz="8" w:color="0000EE"/>
            </w:tcBorders>
            <w:gridSpan w:val="20"/>
          </w:tcPr>
          <w:p>
            <w:pPr>
              <w:spacing w:after="0" w:line="192"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Report of the Compensation Committee</w:t>
              </w:r>
            </w:hyperlink>
          </w:p>
        </w:tc>
        <w:tc>
          <w:tcPr>
            <w:tcW w:w="6480" w:type="dxa"/>
            <w:vAlign w:val="bottom"/>
            <w:gridSpan w:val="16"/>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28</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40" w:type="dxa"/>
            <w:vAlign w:val="bottom"/>
            <w:gridSpan w:val="35"/>
          </w:tcPr>
          <w:p>
            <w:pPr>
              <w:spacing w:after="0" w:line="192"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Compensation Philosophy</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29</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Borders>
              <w:bottom w:val="single" w:sz="8" w:color="0000EE"/>
            </w:tcBorders>
            <w:gridSpan w:val="16"/>
          </w:tcPr>
          <w:p>
            <w:pPr>
              <w:spacing w:after="0" w:line="192" w:lineRule="exact"/>
              <w:rPr>
                <w:rFonts w:ascii="Arial" w:cs="Arial" w:eastAsia="Arial" w:hAnsi="Arial"/>
                <w:sz w:val="18"/>
                <w:szCs w:val="18"/>
                <w:i w:val="1"/>
                <w:iCs w:val="1"/>
                <w:color w:val="0000EE"/>
                <w:w w:val="88"/>
              </w:rPr>
            </w:pPr>
            <w:hyperlink w:anchor="page35">
              <w:r>
                <w:rPr>
                  <w:rFonts w:ascii="Arial" w:cs="Arial" w:eastAsia="Arial" w:hAnsi="Arial"/>
                  <w:sz w:val="18"/>
                  <w:szCs w:val="18"/>
                  <w:i w:val="1"/>
                  <w:iCs w:val="1"/>
                  <w:color w:val="0000EE"/>
                  <w:w w:val="88"/>
                </w:rPr>
                <w:t>Executive Compensation Program</w:t>
              </w:r>
            </w:hyperlink>
          </w:p>
        </w:tc>
        <w:tc>
          <w:tcPr>
            <w:tcW w:w="6700" w:type="dxa"/>
            <w:vAlign w:val="bottom"/>
            <w:gridSpan w:val="19"/>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29</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Borders>
              <w:bottom w:val="single" w:sz="8" w:color="0000EE"/>
            </w:tcBorders>
            <w:gridSpan w:val="13"/>
          </w:tcPr>
          <w:p>
            <w:pPr>
              <w:spacing w:after="0" w:line="192" w:lineRule="exact"/>
              <w:rPr>
                <w:rFonts w:ascii="Arial" w:cs="Arial" w:eastAsia="Arial" w:hAnsi="Arial"/>
                <w:sz w:val="18"/>
                <w:szCs w:val="18"/>
                <w:i w:val="1"/>
                <w:iCs w:val="1"/>
                <w:color w:val="0000EE"/>
                <w:w w:val="88"/>
              </w:rPr>
            </w:pPr>
            <w:hyperlink w:anchor="page36">
              <w:r>
                <w:rPr>
                  <w:rFonts w:ascii="Arial" w:cs="Arial" w:eastAsia="Arial" w:hAnsi="Arial"/>
                  <w:sz w:val="18"/>
                  <w:szCs w:val="18"/>
                  <w:i w:val="1"/>
                  <w:iCs w:val="1"/>
                  <w:color w:val="0000EE"/>
                  <w:w w:val="88"/>
                </w:rPr>
                <w:t>Deferred Compensation Plan</w:t>
              </w:r>
            </w:hyperlink>
          </w:p>
        </w:tc>
        <w:tc>
          <w:tcPr>
            <w:tcW w:w="7060" w:type="dxa"/>
            <w:vAlign w:val="bottom"/>
            <w:gridSpan w:val="22"/>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30</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tcBorders>
              <w:bottom w:val="single" w:sz="8" w:color="0000EE"/>
            </w:tcBorders>
            <w:gridSpan w:val="25"/>
          </w:tcPr>
          <w:p>
            <w:pPr>
              <w:spacing w:after="0" w:line="192" w:lineRule="exact"/>
              <w:rPr>
                <w:rFonts w:ascii="Arial" w:cs="Arial" w:eastAsia="Arial" w:hAnsi="Arial"/>
                <w:sz w:val="18"/>
                <w:szCs w:val="18"/>
                <w:i w:val="1"/>
                <w:iCs w:val="1"/>
                <w:color w:val="0000EE"/>
                <w:w w:val="90"/>
              </w:rPr>
            </w:pPr>
            <w:hyperlink w:anchor="page36">
              <w:r>
                <w:rPr>
                  <w:rFonts w:ascii="Arial" w:cs="Arial" w:eastAsia="Arial" w:hAnsi="Arial"/>
                  <w:sz w:val="18"/>
                  <w:szCs w:val="18"/>
                  <w:i w:val="1"/>
                  <w:iCs w:val="1"/>
                  <w:color w:val="0000EE"/>
                  <w:w w:val="90"/>
                </w:rPr>
                <w:t>Chief Executive Officer Fiscal 2005 Compensation</w:t>
              </w:r>
            </w:hyperlink>
          </w:p>
        </w:tc>
        <w:tc>
          <w:tcPr>
            <w:tcW w:w="5460" w:type="dxa"/>
            <w:vAlign w:val="bottom"/>
            <w:gridSpan w:val="10"/>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30</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40" w:type="dxa"/>
            <w:vAlign w:val="bottom"/>
            <w:gridSpan w:val="35"/>
          </w:tcPr>
          <w:p>
            <w:pPr>
              <w:spacing w:after="0" w:line="192" w:lineRule="exact"/>
              <w:rPr>
                <w:rFonts w:ascii="Arial" w:cs="Arial" w:eastAsia="Arial" w:hAnsi="Arial"/>
                <w:sz w:val="18"/>
                <w:szCs w:val="18"/>
                <w:i w:val="1"/>
                <w:iCs w:val="1"/>
                <w:color w:val="0000EE"/>
              </w:rPr>
            </w:pPr>
            <w:hyperlink w:anchor="page37">
              <w:r>
                <w:rPr>
                  <w:rFonts w:ascii="Arial" w:cs="Arial" w:eastAsia="Arial" w:hAnsi="Arial"/>
                  <w:sz w:val="18"/>
                  <w:szCs w:val="18"/>
                  <w:i w:val="1"/>
                  <w:iCs w:val="1"/>
                  <w:color w:val="0000EE"/>
                </w:rPr>
                <w:t>Change in Control Arrangements</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31</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tcBorders>
              <w:bottom w:val="single" w:sz="8" w:color="0000EE"/>
            </w:tcBorders>
            <w:gridSpan w:val="27"/>
          </w:tcPr>
          <w:p>
            <w:pPr>
              <w:spacing w:after="0" w:line="192" w:lineRule="exact"/>
              <w:rPr>
                <w:rFonts w:ascii="Arial" w:cs="Arial" w:eastAsia="Arial" w:hAnsi="Arial"/>
                <w:sz w:val="18"/>
                <w:szCs w:val="18"/>
                <w:i w:val="1"/>
                <w:iCs w:val="1"/>
                <w:color w:val="0000EE"/>
                <w:w w:val="88"/>
              </w:rPr>
            </w:pPr>
            <w:hyperlink w:anchor="page38">
              <w:r>
                <w:rPr>
                  <w:rFonts w:ascii="Arial" w:cs="Arial" w:eastAsia="Arial" w:hAnsi="Arial"/>
                  <w:sz w:val="18"/>
                  <w:szCs w:val="18"/>
                  <w:i w:val="1"/>
                  <w:iCs w:val="1"/>
                  <w:color w:val="0000EE"/>
                  <w:w w:val="88"/>
                </w:rPr>
                <w:t>Compliance with Internal Revenue Code Section 162(m)</w:t>
              </w:r>
            </w:hyperlink>
          </w:p>
        </w:tc>
        <w:tc>
          <w:tcPr>
            <w:tcW w:w="5140" w:type="dxa"/>
            <w:vAlign w:val="bottom"/>
            <w:gridSpan w:val="8"/>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Borders>
              <w:bottom w:val="single" w:sz="8" w:color="0000EE"/>
            </w:tcBorders>
            <w:gridSpan w:val="29"/>
          </w:tcPr>
          <w:p>
            <w:pPr>
              <w:spacing w:after="0" w:line="19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Compensation Committee Interlocks and Insider Participation</w:t>
              </w:r>
            </w:hyperlink>
          </w:p>
        </w:tc>
        <w:tc>
          <w:tcPr>
            <w:tcW w:w="4920" w:type="dxa"/>
            <w:vAlign w:val="bottom"/>
            <w:gridSpan w:val="7"/>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20" w:type="dxa"/>
            <w:vAlign w:val="bottom"/>
            <w:gridSpan w:val="36"/>
          </w:tcPr>
          <w:p>
            <w:pPr>
              <w:spacing w:after="0" w:line="192" w:lineRule="exact"/>
              <w:rPr>
                <w:rFonts w:ascii="Arial" w:cs="Arial" w:eastAsia="Arial" w:hAnsi="Arial"/>
                <w:sz w:val="18"/>
                <w:szCs w:val="18"/>
                <w:color w:val="0000EE"/>
              </w:rPr>
            </w:pPr>
            <w:hyperlink w:anchor="page39">
              <w:r>
                <w:rPr>
                  <w:rFonts w:ascii="Arial" w:cs="Arial" w:eastAsia="Arial" w:hAnsi="Arial"/>
                  <w:sz w:val="18"/>
                  <w:szCs w:val="18"/>
                  <w:color w:val="0000EE"/>
                </w:rPr>
                <w:t>Comparative Stock Performance Graph</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33</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gridSpan w:val="10"/>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20" w:type="dxa"/>
            <w:vAlign w:val="bottom"/>
            <w:gridSpan w:val="36"/>
          </w:tcPr>
          <w:p>
            <w:pPr>
              <w:spacing w:after="0" w:line="192" w:lineRule="exact"/>
              <w:rPr>
                <w:rFonts w:ascii="Arial" w:cs="Arial" w:eastAsia="Arial" w:hAnsi="Arial"/>
                <w:sz w:val="18"/>
                <w:szCs w:val="18"/>
                <w:color w:val="0000EE"/>
              </w:rPr>
            </w:pPr>
            <w:hyperlink w:anchor="page40">
              <w:r>
                <w:rPr>
                  <w:rFonts w:ascii="Arial" w:cs="Arial" w:eastAsia="Arial" w:hAnsi="Arial"/>
                  <w:sz w:val="18"/>
                  <w:szCs w:val="18"/>
                  <w:color w:val="0000EE"/>
                </w:rPr>
                <w:t>Tentative Settlement of Stock Option Investigation</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34</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20" w:type="dxa"/>
            <w:vAlign w:val="bottom"/>
            <w:gridSpan w:val="1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5200" w:type="dxa"/>
            <w:vAlign w:val="bottom"/>
            <w:tcBorders>
              <w:bottom w:val="single" w:sz="8" w:color="0000EE"/>
            </w:tcBorders>
            <w:gridSpan w:val="33"/>
          </w:tcPr>
          <w:p>
            <w:pPr>
              <w:spacing w:after="0" w:line="192" w:lineRule="exact"/>
              <w:rPr>
                <w:rFonts w:ascii="Arial" w:cs="Arial" w:eastAsia="Arial" w:hAnsi="Arial"/>
                <w:sz w:val="18"/>
                <w:szCs w:val="18"/>
                <w:b w:val="1"/>
                <w:bCs w:val="1"/>
                <w:color w:val="0000EE"/>
                <w:w w:val="95"/>
              </w:rPr>
            </w:pPr>
            <w:hyperlink w:anchor="page41">
              <w:r>
                <w:rPr>
                  <w:rFonts w:ascii="Arial" w:cs="Arial" w:eastAsia="Arial" w:hAnsi="Arial"/>
                  <w:sz w:val="18"/>
                  <w:szCs w:val="18"/>
                  <w:b w:val="1"/>
                  <w:bCs w:val="1"/>
                  <w:color w:val="0000EE"/>
                  <w:w w:val="95"/>
                </w:rPr>
                <w:t>PROPOSAL 2 — APPROVAL OF 2006 STOCK INCENTIVE PLAN</w:t>
              </w:r>
            </w:hyperlink>
          </w:p>
        </w:tc>
        <w:tc>
          <w:tcPr>
            <w:tcW w:w="4280" w:type="dxa"/>
            <w:vAlign w:val="bottom"/>
            <w:gridSpan w:val="4"/>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35</w:t>
            </w:r>
          </w:p>
        </w:tc>
      </w:tr>
      <w:tr>
        <w:trPr>
          <w:trHeight w:val="192"/>
        </w:trPr>
        <w:tc>
          <w:tcPr>
            <w:tcW w:w="700" w:type="dxa"/>
            <w:vAlign w:val="bottom"/>
          </w:tcPr>
          <w:p>
            <w:pPr>
              <w:spacing w:after="0"/>
              <w:rPr>
                <w:sz w:val="16"/>
                <w:szCs w:val="16"/>
                <w:color w:val="auto"/>
              </w:rPr>
            </w:pPr>
          </w:p>
        </w:tc>
        <w:tc>
          <w:tcPr>
            <w:tcW w:w="9480" w:type="dxa"/>
            <w:vAlign w:val="bottom"/>
            <w:gridSpan w:val="37"/>
          </w:tcPr>
          <w:p>
            <w:pPr>
              <w:spacing w:after="0" w:line="19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PROPOSAL 3 — RATIFICATION OF SELECTION OF INDEPENDENT REGISTERED PUBLIC ACCOUNTING FIRM</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44</w:t>
            </w:r>
          </w:p>
        </w:tc>
      </w:tr>
      <w:tr>
        <w:trPr>
          <w:trHeight w:val="192"/>
        </w:trPr>
        <w:tc>
          <w:tcPr>
            <w:tcW w:w="700" w:type="dxa"/>
            <w:vAlign w:val="bottom"/>
          </w:tcPr>
          <w:p>
            <w:pPr>
              <w:spacing w:after="0"/>
              <w:rPr>
                <w:sz w:val="16"/>
                <w:szCs w:val="16"/>
                <w:color w:val="auto"/>
              </w:rPr>
            </w:pPr>
          </w:p>
        </w:tc>
        <w:tc>
          <w:tcPr>
            <w:tcW w:w="9320" w:type="dxa"/>
            <w:vAlign w:val="bottom"/>
            <w:tcBorders>
              <w:top w:val="single" w:sz="8" w:color="0000EE"/>
            </w:tcBorders>
            <w:gridSpan w:val="36"/>
          </w:tcPr>
          <w:p>
            <w:pPr>
              <w:spacing w:after="0" w:line="19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PROPOSAL 4 — SHAREHOLDER PROPOSAL TO AMEND OUR GOVERNANCE DOCUMENTS</w:t>
              </w:r>
            </w:hyperlink>
          </w:p>
        </w:tc>
        <w:tc>
          <w:tcPr>
            <w:tcW w:w="160" w:type="dxa"/>
            <w:vAlign w:val="bottom"/>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44</w:t>
            </w:r>
          </w:p>
        </w:tc>
      </w:tr>
      <w:tr>
        <w:trPr>
          <w:trHeight w:val="192"/>
        </w:trPr>
        <w:tc>
          <w:tcPr>
            <w:tcW w:w="700" w:type="dxa"/>
            <w:vAlign w:val="bottom"/>
          </w:tcPr>
          <w:p>
            <w:pPr>
              <w:spacing w:after="0"/>
              <w:rPr>
                <w:sz w:val="16"/>
                <w:szCs w:val="16"/>
                <w:color w:val="auto"/>
              </w:rPr>
            </w:pPr>
          </w:p>
        </w:tc>
        <w:tc>
          <w:tcPr>
            <w:tcW w:w="154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OTHER MATTERS</w:t>
              </w:r>
            </w:hyperlink>
          </w:p>
        </w:tc>
        <w:tc>
          <w:tcPr>
            <w:tcW w:w="6120" w:type="dxa"/>
            <w:vAlign w:val="bottom"/>
            <w:tcBorders>
              <w:top w:val="single" w:sz="8" w:color="0000EE"/>
            </w:tcBorders>
            <w:gridSpan w:val="27"/>
          </w:tcPr>
          <w:p>
            <w:pPr>
              <w:spacing w:after="0"/>
              <w:rPr>
                <w:sz w:val="16"/>
                <w:szCs w:val="16"/>
                <w:color w:val="auto"/>
              </w:rPr>
            </w:pPr>
          </w:p>
        </w:tc>
        <w:tc>
          <w:tcPr>
            <w:tcW w:w="1820" w:type="dxa"/>
            <w:vAlign w:val="bottom"/>
            <w:gridSpan w:val="2"/>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r>
      <w:tr>
        <w:trPr>
          <w:trHeight w:val="192"/>
        </w:trPr>
        <w:tc>
          <w:tcPr>
            <w:tcW w:w="700" w:type="dxa"/>
            <w:vAlign w:val="bottom"/>
          </w:tcPr>
          <w:p>
            <w:pPr>
              <w:spacing w:after="0"/>
              <w:rPr>
                <w:sz w:val="16"/>
                <w:szCs w:val="16"/>
                <w:color w:val="auto"/>
              </w:rPr>
            </w:pPr>
          </w:p>
        </w:tc>
        <w:tc>
          <w:tcPr>
            <w:tcW w:w="1940" w:type="dxa"/>
            <w:vAlign w:val="bottom"/>
            <w:tcBorders>
              <w:bottom w:val="single" w:sz="8" w:color="0000EE"/>
            </w:tcBorders>
            <w:gridSpan w:val="10"/>
          </w:tcPr>
          <w:p>
            <w:pPr>
              <w:spacing w:after="0" w:line="19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ELECTRONIC VOTING</w:t>
              </w:r>
            </w:hyperlink>
          </w:p>
        </w:tc>
        <w:tc>
          <w:tcPr>
            <w:tcW w:w="7540" w:type="dxa"/>
            <w:vAlign w:val="bottom"/>
            <w:gridSpan w:val="27"/>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r>
      <w:tr>
        <w:trPr>
          <w:trHeight w:val="192"/>
        </w:trPr>
        <w:tc>
          <w:tcPr>
            <w:tcW w:w="700" w:type="dxa"/>
            <w:vAlign w:val="bottom"/>
          </w:tcPr>
          <w:p>
            <w:pPr>
              <w:spacing w:after="0"/>
              <w:rPr>
                <w:sz w:val="16"/>
                <w:szCs w:val="16"/>
                <w:color w:val="auto"/>
              </w:rPr>
            </w:pPr>
          </w:p>
        </w:tc>
        <w:tc>
          <w:tcPr>
            <w:tcW w:w="9480" w:type="dxa"/>
            <w:vAlign w:val="bottom"/>
            <w:gridSpan w:val="37"/>
          </w:tcPr>
          <w:p>
            <w:pPr>
              <w:spacing w:after="0" w:line="192"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APPENDIX A — 2006 STOCK INCENTIVE PLAN</w:t>
              </w:r>
            </w:hyperlink>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A-1</w:t>
            </w:r>
          </w:p>
        </w:tc>
      </w:tr>
      <w:tr>
        <w:trPr>
          <w:trHeight w:val="20"/>
        </w:trPr>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397"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123"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i w:val="1"/>
          <w:iCs w:val="1"/>
          <w:color w:val="auto"/>
        </w:rPr>
        <w:t>March 14, 2006</w:t>
      </w:r>
    </w:p>
    <w:p>
      <w:pPr>
        <w:spacing w:after="0" w:line="12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This proxy statement contains information about the 2006 Annual Meeting of Shareholders of Analog Devices, Inc. The meeting will be held on Tuesday, March 14, 2006, beginning at 10:00 a.m. local time, at Babson College, Sorenson Center for the Arts, 231 Forest Street, Babson Park, Massachusetts 02457.</w:t>
      </w:r>
    </w:p>
    <w:p>
      <w:pPr>
        <w:spacing w:after="0" w:line="9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5"/>
          <w:szCs w:val="15"/>
          <w:color w:val="auto"/>
        </w:rPr>
        <w:t>This proxy statement is furnished in connection with the solicitation of proxies by the Board of Directors of Analog Devices, which is also referred to as Analog, ADI or the Company in this proxy statement, for use at the annual meeting and at any adjournment of that meeting. All proxies will be voted in accordance with the instructions they contain. If no instruction is specified on a proxy, it will be voted in favor of the matters set forth in the notice of the meeting other than the shareholder proposal and it will be voted against the shareholder proposal. A shareholder may revoke any proxy at any time before it is exercised by giving our secretary written notice to that effect.</w:t>
      </w:r>
    </w:p>
    <w:p>
      <w:pPr>
        <w:spacing w:after="0" w:line="59" w:lineRule="exact"/>
        <w:rPr>
          <w:sz w:val="20"/>
          <w:szCs w:val="20"/>
          <w:color w:val="auto"/>
        </w:rPr>
      </w:pPr>
    </w:p>
    <w:p>
      <w:pPr>
        <w:ind w:left="700" w:right="360" w:firstLine="397"/>
        <w:spacing w:after="0" w:line="265" w:lineRule="auto"/>
        <w:rPr>
          <w:sz w:val="20"/>
          <w:szCs w:val="20"/>
          <w:color w:val="auto"/>
        </w:rPr>
      </w:pPr>
      <w:r>
        <w:rPr>
          <w:rFonts w:ascii="Arial" w:cs="Arial" w:eastAsia="Arial" w:hAnsi="Arial"/>
          <w:sz w:val="18"/>
          <w:szCs w:val="18"/>
          <w:color w:val="auto"/>
        </w:rPr>
        <w:t>Our Annual Report to Shareholders for the fiscal year ended October 29, 2005 is being mailed to shareholders with the mailing of these proxy materials on or about February 8, 2006.</w:t>
      </w:r>
    </w:p>
    <w:p>
      <w:pPr>
        <w:spacing w:after="0" w:line="81"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b w:val="1"/>
          <w:bCs w:val="1"/>
          <w:color w:val="auto"/>
        </w:rPr>
        <w:t>A copy of our Annual Report on Form 10-K for the fiscal year ended October 29, 2005 as filed with the Securities and Exchange Commission, except for exhibits, will be furnished without charge to any shareholder upon written or oral request to Analog Devices, Inc., Attention of Maria Tagliaferro, Director, Corporate Communications, Analog Devices, Inc., One Technology Way, Norwood, MA 02062; telephone: 781-461-3282.</w:t>
      </w:r>
    </w:p>
    <w:p>
      <w:pPr>
        <w:spacing w:after="0" w:line="19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124" w:lineRule="exact"/>
        <w:rPr>
          <w:sz w:val="20"/>
          <w:szCs w:val="20"/>
          <w:color w:val="auto"/>
        </w:rPr>
      </w:pPr>
    </w:p>
    <w:p>
      <w:pPr>
        <w:ind w:left="1260" w:hanging="17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three members to our Board of Directors to serve as Class I directors, each for a term of three years.</w:t>
      </w:r>
    </w:p>
    <w:p>
      <w:pPr>
        <w:spacing w:after="0" w:line="124" w:lineRule="exact"/>
        <w:rPr>
          <w:rFonts w:ascii="Arial" w:cs="Arial" w:eastAsia="Arial" w:hAnsi="Arial"/>
          <w:sz w:val="18"/>
          <w:szCs w:val="18"/>
          <w:color w:val="auto"/>
        </w:rPr>
      </w:pPr>
    </w:p>
    <w:p>
      <w:pPr>
        <w:ind w:left="1260" w:hanging="17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of our 2006 Stock Incentive Plan.</w:t>
      </w:r>
    </w:p>
    <w:p>
      <w:pPr>
        <w:spacing w:after="0" w:line="124" w:lineRule="exact"/>
        <w:rPr>
          <w:rFonts w:ascii="Arial" w:cs="Arial" w:eastAsia="Arial" w:hAnsi="Arial"/>
          <w:sz w:val="18"/>
          <w:szCs w:val="18"/>
          <w:color w:val="auto"/>
        </w:rPr>
      </w:pPr>
    </w:p>
    <w:p>
      <w:pPr>
        <w:ind w:left="700" w:right="420" w:firstLine="388"/>
        <w:spacing w:after="0" w:line="265" w:lineRule="auto"/>
        <w:tabs>
          <w:tab w:leader="none" w:pos="12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28, 2006.</w:t>
      </w:r>
    </w:p>
    <w:p>
      <w:pPr>
        <w:spacing w:after="0" w:line="86" w:lineRule="exact"/>
        <w:rPr>
          <w:rFonts w:ascii="Arial" w:cs="Arial" w:eastAsia="Arial" w:hAnsi="Arial"/>
          <w:sz w:val="18"/>
          <w:szCs w:val="18"/>
          <w:color w:val="auto"/>
        </w:rPr>
      </w:pPr>
    </w:p>
    <w:p>
      <w:pPr>
        <w:ind w:left="1260" w:hanging="17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act on the shareholder proposal entitled “Shareholder Proposal to Amend our Governance Documents”.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0" w:lineRule="exact"/>
        <w:rPr>
          <w:sz w:val="20"/>
          <w:szCs w:val="20"/>
          <w:color w:val="auto"/>
        </w:rPr>
      </w:pPr>
    </w:p>
    <w:p>
      <w:pPr>
        <w:ind w:left="700" w:right="280" w:firstLine="397"/>
        <w:spacing w:after="0" w:line="265" w:lineRule="auto"/>
        <w:rPr>
          <w:sz w:val="20"/>
          <w:szCs w:val="20"/>
          <w:color w:val="auto"/>
        </w:rPr>
      </w:pPr>
      <w:r>
        <w:rPr>
          <w:rFonts w:ascii="Arial" w:cs="Arial" w:eastAsia="Arial" w:hAnsi="Arial"/>
          <w:sz w:val="18"/>
          <w:szCs w:val="18"/>
          <w:color w:val="auto"/>
        </w:rPr>
        <w:t>To be able to vote, you must have been a shareholder of record at the close of business on January 13, 2006. This date is the record date for the annual meeting.</w:t>
      </w:r>
    </w:p>
    <w:p>
      <w:pPr>
        <w:spacing w:after="0" w:line="87" w:lineRule="exact"/>
        <w:rPr>
          <w:sz w:val="20"/>
          <w:szCs w:val="20"/>
          <w:color w:val="auto"/>
        </w:rPr>
      </w:pPr>
    </w:p>
    <w:p>
      <w:pPr>
        <w:ind w:left="700" w:right="240" w:firstLine="397"/>
        <w:spacing w:after="0" w:line="366" w:lineRule="auto"/>
        <w:rPr>
          <w:sz w:val="20"/>
          <w:szCs w:val="20"/>
          <w:color w:val="auto"/>
        </w:rPr>
      </w:pPr>
      <w:r>
        <w:rPr>
          <w:rFonts w:ascii="Arial" w:cs="Arial" w:eastAsia="Arial" w:hAnsi="Arial"/>
          <w:sz w:val="15"/>
          <w:szCs w:val="15"/>
          <w:color w:val="auto"/>
        </w:rPr>
        <w:t>Shareholders of record at the close of business on January 13, 2006 are entitled to vote on each proposal at the annual meeting. The number of outstanding shares entitled to vote on each proposal at the meeting is 365,585,491 shares of our common stock.</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0" w:lineRule="exact"/>
        <w:rPr>
          <w:sz w:val="20"/>
          <w:szCs w:val="20"/>
          <w:color w:val="auto"/>
        </w:rPr>
      </w:pPr>
    </w:p>
    <w:p>
      <w:pPr>
        <w:ind w:left="700" w:right="200" w:firstLine="397"/>
        <w:spacing w:after="0" w:line="294" w:lineRule="auto"/>
        <w:rPr>
          <w:sz w:val="20"/>
          <w:szCs w:val="20"/>
          <w:color w:val="auto"/>
        </w:rPr>
      </w:pPr>
      <w:r>
        <w:rPr>
          <w:rFonts w:ascii="Arial" w:cs="Arial" w:eastAsia="Arial" w:hAnsi="Arial"/>
          <w:sz w:val="17"/>
          <w:szCs w:val="17"/>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0" w:lineRule="exact"/>
        <w:rPr>
          <w:sz w:val="20"/>
          <w:szCs w:val="20"/>
          <w:color w:val="auto"/>
        </w:rPr>
      </w:pPr>
    </w:p>
    <w:p>
      <w:pPr>
        <w:ind w:left="700" w:right="300" w:firstLine="397"/>
        <w:spacing w:after="0" w:line="265" w:lineRule="auto"/>
        <w:rPr>
          <w:sz w:val="20"/>
          <w:szCs w:val="20"/>
          <w:color w:val="auto"/>
        </w:rPr>
      </w:pPr>
      <w:r>
        <w:rPr>
          <w:rFonts w:ascii="Arial" w:cs="Arial" w:eastAsia="Arial" w:hAnsi="Arial"/>
          <w:sz w:val="18"/>
          <w:szCs w:val="18"/>
          <w:color w:val="auto"/>
        </w:rPr>
        <w:t>You may vote in one of four ways. You may vote by submitting your proxy by mail, over the Internet, or by telephone, or you may vote in person at the meeting.</w:t>
      </w:r>
    </w:p>
    <w:p>
      <w:pPr>
        <w:spacing w:after="0" w:line="87" w:lineRule="exact"/>
        <w:rPr>
          <w:sz w:val="20"/>
          <w:szCs w:val="20"/>
          <w:color w:val="auto"/>
        </w:rPr>
      </w:pPr>
    </w:p>
    <w:p>
      <w:pPr>
        <w:ind w:left="700" w:right="180" w:firstLine="397"/>
        <w:spacing w:after="0" w:line="249" w:lineRule="auto"/>
        <w:rPr>
          <w:sz w:val="20"/>
          <w:szCs w:val="20"/>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that accompanies this proxy statement and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it in the enclosed 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2 and 3 and AGAINST Proposal 4.</w:t>
      </w:r>
    </w:p>
    <w:p>
      <w:pPr>
        <w:spacing w:after="0" w:line="104"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“Vote-by-Internet” instructions set forth on the enclosed proxy card.</w:t>
      </w:r>
    </w:p>
    <w:p>
      <w:pPr>
        <w:spacing w:after="0" w:line="87" w:lineRule="exact"/>
        <w:rPr>
          <w:sz w:val="20"/>
          <w:szCs w:val="20"/>
          <w:color w:val="auto"/>
        </w:rPr>
      </w:pPr>
    </w:p>
    <w:p>
      <w:pPr>
        <w:ind w:left="700" w:right="280" w:firstLine="397"/>
        <w:spacing w:after="0" w:line="265" w:lineRule="auto"/>
        <w:rPr>
          <w:sz w:val="20"/>
          <w:szCs w:val="20"/>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“Vote-by-Telephone” instructions set forth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87"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 ballot. Ballots will be available at the meeting.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130" w:lineRule="exact"/>
        <w:rPr>
          <w:sz w:val="20"/>
          <w:szCs w:val="20"/>
          <w:color w:val="auto"/>
        </w:rPr>
      </w:pPr>
    </w:p>
    <w:p>
      <w:pPr>
        <w:ind w:left="700" w:right="560" w:firstLine="397"/>
        <w:spacing w:after="0" w:line="265"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87" w:lineRule="exact"/>
        <w:rPr>
          <w:sz w:val="20"/>
          <w:szCs w:val="20"/>
          <w:color w:val="auto"/>
        </w:rPr>
      </w:pPr>
    </w:p>
    <w:p>
      <w:pPr>
        <w:ind w:left="1200" w:hanging="111"/>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0"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 In the case of non-discretionary items, the shares will be treated as “broker non-votes.” The election of directors (proposal one) and the ratification of Ernst &amp; Young LLP as our independent registered public accounting firm (proposal three) are each considered to be a discretionary item under the New York Stock Exchange Rules. The approval of our 2006 Stock Incentive Plan (proposal two) and the shareholder proposal (proposal four) are each considered to be a non-discretionary item. Accordingly, if you do not give your record holder voting instructions with respect to proposal two or four, or if the record holder does not exercise its discretionary authority with respect to proposal one or three, your shares will be treated as broker non-votes on the particular matter.</w:t>
      </w:r>
    </w:p>
    <w:p>
      <w:pPr>
        <w:spacing w:after="0" w:line="200" w:lineRule="exact"/>
        <w:rPr>
          <w:sz w:val="20"/>
          <w:szCs w:val="20"/>
          <w:color w:val="auto"/>
        </w:rPr>
      </w:pP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60" w:firstLine="397"/>
        <w:spacing w:after="0" w:line="330" w:lineRule="auto"/>
        <w:rPr>
          <w:sz w:val="20"/>
          <w:szCs w:val="20"/>
          <w:color w:val="auto"/>
        </w:rPr>
      </w:pPr>
      <w:r>
        <w:rPr>
          <w:rFonts w:ascii="Arial" w:cs="Arial" w:eastAsia="Arial" w:hAnsi="Arial"/>
          <w:sz w:val="15"/>
          <w:szCs w:val="15"/>
          <w:color w:val="auto"/>
        </w:rPr>
        <w:t>If your shares are held in street name, you must bring an account statement or letter from your brokerage firm or bank showing that you are the beneficial owner of the shares as of the record date in order to be admitted to the meeting on March 14, 2006. To be able to vote your shares held in street name at the meeting, you will need to obtain a proxy card from the holder of record.</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the administrator of TIP, with respect to shares of ADI common stock attributable to your TIP account, or TIP shares, as of the record date. The combined proxy/instruction card should be signed and returned in the enclosed envelope to Computershare Trust Company, N.A., our transfer agent and registrar, or you may submit your proxy/instruction over the Internet or by telephone by following the instructions on the enclosed card. Computershare Trust Company, N.A. will notify Fidelity Management Trust Company, or Fidelity, of the manner in which you have directed your TIP shares to be voted. Fidelity will vote your TIP shares as of the record date in the manner directed by you. If Computershare Trust Company, N.A. does not receive voting instructions from you by 11:59 p.m. eastern time on March 9, 2006,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0"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If you participate in the Analog Ireland Success Sharing Share Plan, or the Analog Ireland Share Plan, you may vote an amount of shares of common stock equivalent to the interest in our common stock which Mercer Trustees Limited, or Mercer, the trustee of the Analog Ireland Share Plan, holds on your behalf as of the record date. Mercer will send a voting card to you that you may use to direct Mercer how to vote your shares. The voting card should be signed and returned in the enclosed envelope to Mercer. Mercer will vote the shares in the manner directed on the voting card. If Mercer does not receive your voting card by 5:00 p.m. Greenwich Mean Time (GMT) on Friday, March 3, 2006, Mercer will not vote your shares.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0"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7"/>
          <w:szCs w:val="17"/>
          <w:color w:val="auto"/>
        </w:rPr>
        <w:t>In order for business to be conducted at the meeting with respect to a particular matter, a quorum must be present for that particular matter. For each of the proposals described in the accompanying notice, a quorum consists of the holders of a majority of the shares of common stock issued, outstanding and entitled to vote at the meeting, or at least 182,792,746 shares.</w:t>
      </w:r>
    </w:p>
    <w:p>
      <w:pPr>
        <w:spacing w:after="0" w:line="79" w:lineRule="exact"/>
        <w:rPr>
          <w:sz w:val="20"/>
          <w:szCs w:val="20"/>
          <w:color w:val="auto"/>
        </w:rPr>
      </w:pPr>
    </w:p>
    <w:p>
      <w:pPr>
        <w:ind w:left="700" w:right="60" w:firstLine="397"/>
        <w:spacing w:after="0" w:line="252"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to be voted upon) will be counted for the purpose of determining whether a quorum exists at the meeting for that proposal. “Broker non-votes” are shares that are held in “street name” by a bank or brokerage firm that indicates on its proxy that it does not have discretionary authority to vote on a particular matter.</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each item?</w:t>
      </w:r>
    </w:p>
    <w:p>
      <w:pPr>
        <w:spacing w:after="0" w:line="130" w:lineRule="exact"/>
        <w:rPr>
          <w:sz w:val="20"/>
          <w:szCs w:val="20"/>
          <w:color w:val="auto"/>
        </w:rPr>
      </w:pPr>
    </w:p>
    <w:p>
      <w:pPr>
        <w:ind w:left="700" w:right="60" w:firstLine="397"/>
        <w:spacing w:after="0" w:line="265"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As provided in our bylaws, the three nominees receiving the highest number of votes cast at the meeting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regardless of whether that number represents a majority of the votes cast.</w:t>
      </w:r>
    </w:p>
    <w:p>
      <w:pPr>
        <w:spacing w:after="0" w:line="87" w:lineRule="exact"/>
        <w:rPr>
          <w:sz w:val="20"/>
          <w:szCs w:val="20"/>
          <w:color w:val="auto"/>
        </w:rPr>
      </w:pPr>
    </w:p>
    <w:p>
      <w:pPr>
        <w:ind w:left="700" w:right="60" w:firstLine="397"/>
        <w:spacing w:after="0" w:line="252" w:lineRule="auto"/>
        <w:rPr>
          <w:sz w:val="20"/>
          <w:szCs w:val="20"/>
          <w:color w:val="auto"/>
        </w:rPr>
      </w:pPr>
      <w:r>
        <w:rPr>
          <w:rFonts w:ascii="Arial" w:cs="Arial" w:eastAsia="Arial" w:hAnsi="Arial"/>
          <w:sz w:val="18"/>
          <w:szCs w:val="18"/>
          <w:i w:val="1"/>
          <w:iCs w:val="1"/>
          <w:color w:val="auto"/>
        </w:rPr>
        <w:t xml:space="preserve">Approval of 2006 Stock Incentive Plan. </w:t>
      </w:r>
      <w:r>
        <w:rPr>
          <w:rFonts w:ascii="Arial" w:cs="Arial" w:eastAsia="Arial" w:hAnsi="Arial"/>
          <w:sz w:val="18"/>
          <w:szCs w:val="18"/>
          <w:color w:val="auto"/>
        </w:rPr>
        <w:t>Under our bylaws, the affirmative vote of a majority of the total number of votes cast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is needed to approve our 2006 Stock Incentive Plan. Under the listing requirements of the New York Stock Exchange, the proposal must be approved by a majority of votes cast on the proposal, and the total votes cast on the proposal must represent 50 percent in interest of all securities entitled to vote on the proposal.</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Ratification of independent public accounting firm and shareholder proposal. </w:t>
      </w:r>
      <w:r>
        <w:rPr>
          <w:rFonts w:ascii="Arial" w:cs="Arial" w:eastAsia="Arial" w:hAnsi="Arial"/>
          <w:sz w:val="18"/>
          <w:szCs w:val="18"/>
          <w:color w:val="auto"/>
        </w:rPr>
        <w:t>Under our bylaws, the affirmative vote of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number of votes cast at the meeting is needed to ratify Ernst &amp; Young LLP as our independent public accounting firm and to approve the shareholder proposal.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0"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Each share of common stock will be counted as one vote according to the instructions contained on a proper proxy card, whether submitted by mail, over the Internet or by telephone, or on a ballot voted in person at the meeting. With respect to proposals one, three and four, shares will not be voted in favor of the matter, and will not be counted as voting on the matter, if they either (1) abstain from voting on a particular matter, or (2) are broker non-votes. Accordingly, votes withheld for a particular director nominee and broker non-votes will have no effect on the outcome of the election of directors. Abstentions and broker non-votes will have no effect on the voting on the ratification of our independent registered public accounting firm or on the approval of the shareholder proposal. Under our bylaws, neither abstentions nor broker non-votes will have an effect on the outcome of the approval of the 2006 stock incentive plan. For the listing requirements of the New York Stock Exchange, approval of proposal two requires that (1) a majority of common stock issued, outstanding and entitled to vote at the Annual Meeting must actually vote on the matter (with abstentions counting as votes and broker non-votes not counting as votes) and (2) votes in favor must constitute at least a majority of the votes cast (with abstentions counting as votes cast and broker non-votes not counting as votes cast).</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0" w:lineRule="exact"/>
        <w:rPr>
          <w:sz w:val="20"/>
          <w:szCs w:val="20"/>
          <w:color w:val="auto"/>
        </w:rPr>
      </w:pPr>
    </w:p>
    <w:p>
      <w:pPr>
        <w:ind w:left="700" w:right="660" w:firstLine="397"/>
        <w:spacing w:after="0" w:line="366" w:lineRule="auto"/>
        <w:rPr>
          <w:sz w:val="20"/>
          <w:szCs w:val="20"/>
          <w:color w:val="auto"/>
        </w:rPr>
      </w:pPr>
      <w:r>
        <w:rPr>
          <w:rFonts w:ascii="Arial" w:cs="Arial" w:eastAsia="Arial" w:hAnsi="Arial"/>
          <w:sz w:val="15"/>
          <w:szCs w:val="15"/>
          <w:color w:val="auto"/>
        </w:rPr>
        <w:t>The votes will be counted, tabulated and certified by our transfer agent and registrar, Computershare Trust Company, N.A. A representative of Computershare Trust Company, N.A. will serve as the inspector of elections at the meeting.</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0" w:lineRule="exact"/>
        <w:rPr>
          <w:sz w:val="20"/>
          <w:szCs w:val="20"/>
          <w:color w:val="auto"/>
        </w:rPr>
      </w:pPr>
    </w:p>
    <w:p>
      <w:pPr>
        <w:ind w:left="700" w:firstLine="397"/>
        <w:spacing w:after="0" w:line="252"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that you vote:</w:t>
      </w:r>
    </w:p>
    <w:p>
      <w:pPr>
        <w:spacing w:after="0" w:line="124" w:lineRule="exact"/>
        <w:rPr>
          <w:sz w:val="20"/>
          <w:szCs w:val="20"/>
          <w:color w:val="auto"/>
        </w:rPr>
      </w:pPr>
    </w:p>
    <w:p>
      <w:pPr>
        <w:ind w:left="1080" w:right="120"/>
        <w:spacing w:after="0" w:line="384" w:lineRule="auto"/>
        <w:rPr>
          <w:sz w:val="20"/>
          <w:szCs w:val="20"/>
          <w:color w:val="auto"/>
        </w:rPr>
      </w:pPr>
      <w:r>
        <w:rPr>
          <w:rFonts w:ascii="Arial" w:cs="Arial" w:eastAsia="Arial" w:hAnsi="Arial"/>
          <w:sz w:val="18"/>
          <w:szCs w:val="18"/>
          <w:color w:val="auto"/>
        </w:rPr>
        <w:t>FOR the election of each of the three nominees to serve as Class I directors on the Board of Directors, each for a term of three years; FOR the approval of the 2006 Stock Incentive Plan;</w:t>
      </w:r>
    </w:p>
    <w:p>
      <w:pPr>
        <w:spacing w:after="0" w:line="1" w:lineRule="exact"/>
        <w:rPr>
          <w:sz w:val="20"/>
          <w:szCs w:val="20"/>
          <w:color w:val="auto"/>
        </w:rPr>
      </w:pPr>
    </w:p>
    <w:p>
      <w:pPr>
        <w:jc w:val="both"/>
        <w:ind w:left="700" w:right="180" w:firstLine="397"/>
        <w:spacing w:after="0" w:line="265" w:lineRule="auto"/>
        <w:rPr>
          <w:sz w:val="20"/>
          <w:szCs w:val="20"/>
          <w:color w:val="auto"/>
        </w:rPr>
      </w:pPr>
      <w:r>
        <w:rPr>
          <w:rFonts w:ascii="Arial" w:cs="Arial" w:eastAsia="Arial" w:hAnsi="Arial"/>
          <w:sz w:val="18"/>
          <w:szCs w:val="18"/>
          <w:color w:val="auto"/>
        </w:rPr>
        <w:t>FOR the ratification of the selection of Ernst &amp; Young LLP as our independent registered public accounting firm for the 2006 fiscal year; and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AGAINST the approval of the shareholder proposal.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130" w:lineRule="exact"/>
        <w:rPr>
          <w:sz w:val="20"/>
          <w:szCs w:val="20"/>
          <w:color w:val="auto"/>
        </w:rPr>
      </w:pPr>
    </w:p>
    <w:p>
      <w:pPr>
        <w:jc w:val="both"/>
        <w:ind w:left="700" w:right="180" w:firstLine="397"/>
        <w:spacing w:after="0" w:line="252" w:lineRule="auto"/>
        <w:rPr>
          <w:sz w:val="20"/>
          <w:szCs w:val="20"/>
          <w:color w:val="auto"/>
        </w:rPr>
      </w:pPr>
      <w:r>
        <w:rPr>
          <w:rFonts w:ascii="Arial" w:cs="Arial" w:eastAsia="Arial" w:hAnsi="Arial"/>
          <w:sz w:val="18"/>
          <w:szCs w:val="18"/>
          <w:color w:val="auto"/>
        </w:rPr>
        <w:t>The Board of Directors does not know of any other matters that may come before the meeting. If any other matter properly comes before the meeting, the persons named in the proxy card that accompanies this proxy statement, whether you submit your proxy by mail, through the Internet or by telephone, will exercise their judgment in deciding how to vote, or otherwise act, at the meeting with respect to that matter or proposal.</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30" w:lineRule="exact"/>
        <w:rPr>
          <w:sz w:val="20"/>
          <w:szCs w:val="20"/>
          <w:color w:val="auto"/>
        </w:rPr>
      </w:pPr>
    </w:p>
    <w:p>
      <w:pPr>
        <w:ind w:left="700" w:right="240" w:firstLine="397"/>
        <w:spacing w:after="0" w:line="265"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2006, which we expect to file with the Securities and Exchange Commission in May 2006.</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How and when may I submit a shareholder proposal, including a shareholder nomination for director, for the 2007 annual meeting?</w:t>
      </w:r>
    </w:p>
    <w:p>
      <w:pPr>
        <w:spacing w:after="0" w:line="16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If you are interested in submitting a proposal for inclusion in the proxy statement for the 2007 annual meeting, you need to follow the procedures outlined in Rule 14a-8 of the Securities Exchange Act of 1934, or the Exchange Act. To be eligible for inclusion, we must receive your shareholder proposal intended for inclusion in the proxy statement for the 2007 annual meeting of shareholders at our principal corporate offices in Norwood, Massachusetts as set forth below no later than October 11, 2006.</w:t>
      </w:r>
    </w:p>
    <w:p>
      <w:pPr>
        <w:spacing w:after="0" w:line="85" w:lineRule="exact"/>
        <w:rPr>
          <w:sz w:val="20"/>
          <w:szCs w:val="20"/>
          <w:color w:val="auto"/>
        </w:rPr>
      </w:pPr>
    </w:p>
    <w:p>
      <w:pPr>
        <w:ind w:left="700" w:firstLine="397"/>
        <w:spacing w:after="0" w:line="301" w:lineRule="auto"/>
        <w:rPr>
          <w:sz w:val="20"/>
          <w:szCs w:val="20"/>
          <w:color w:val="auto"/>
        </w:rPr>
      </w:pPr>
      <w:r>
        <w:rPr>
          <w:rFonts w:ascii="Arial" w:cs="Arial" w:eastAsia="Arial" w:hAnsi="Arial"/>
          <w:sz w:val="15"/>
          <w:szCs w:val="15"/>
          <w:color w:val="auto"/>
        </w:rPr>
        <w:t>ADI’s amended and restated bylaws require that ADI be given advance written notice of shareholder nominations for election to ADI’s Board of Directors and of other matters which shareholders wish to present for action at an annual meeting of shareholders (other than matters included in ADI’s proxy materials in accordance with Rule 14a-8 under the Exchange Act). The Secretary must receive such notice at the address noted below not less than 90 days nor more than 120 days prior to the first anniversary of the preceding year’s annual meeting, provided, however, that in the event that the date of the annual meeting is advanced by more than 20 days, or delayed by more than 60 days, from such anniversary date, ADI must receive such notice at the address noted below not earlier than the 120th day prior to such annual meeting and not later than the close of business on the later of (1) the 90th day prior to such annual meeting or (2) the seventh day following the day on which notice of the meeting date was mailed or public disclosure was made, whichever occurs first. Assuming that the 2007 annual meeting is not advanced by more than 20 days nor delayed by more than 60 days from the anniversary date of the 2006 annual meeting, appropriate notice would need to be provided to ADI at the address noted below no earlier than November 14, 2006, and no later than December 14, 2006. If a shareholder fails to provide timely notice of a proposal to be presented at the 2007 annual meeting, the proxies designated by ADI’s Board of Directors will have discretionary authority to vote on any such proposal which may come before the meeting.</w:t>
      </w:r>
    </w:p>
    <w:p>
      <w:pPr>
        <w:spacing w:after="0" w:line="69"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7"/>
          <w:szCs w:val="17"/>
          <w:color w:val="auto"/>
        </w:rPr>
        <w:t>ADI’s amended and restated bylaws also specify requirements relating to the content of the notice which shareholders must provide to the Secretary of Analog Devices for any matter, including a shareholder nomination for director, to be properly presented at a shareholder meeting. A copy of the full text of our amended and restated bylaws is on file with the SEC.</w:t>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Maria Tagliaferro</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0"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color w:val="auto"/>
        </w:rPr>
        <w:t>We will bear the costs of solicitation of proxies. We have engaged The Altman Group, Inc. to assist us with the solicitation of proxies. We expect to pay The Altman Group less than $15,000 for their services. In addition to solicitations by mail, The Altman Group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130" w:lineRule="exact"/>
        <w:rPr>
          <w:sz w:val="20"/>
          <w:szCs w:val="20"/>
          <w:color w:val="auto"/>
        </w:rPr>
      </w:pPr>
    </w:p>
    <w:p>
      <w:pPr>
        <w:ind w:left="700" w:right="160" w:firstLine="397"/>
        <w:spacing w:after="0" w:line="265" w:lineRule="auto"/>
        <w:rPr>
          <w:sz w:val="20"/>
          <w:szCs w:val="20"/>
          <w:color w:val="auto"/>
        </w:rPr>
      </w:pPr>
      <w:r>
        <w:rPr>
          <w:rFonts w:ascii="Arial" w:cs="Arial" w:eastAsia="Arial" w:hAnsi="Arial"/>
          <w:sz w:val="18"/>
          <w:szCs w:val="18"/>
          <w:color w:val="auto"/>
        </w:rPr>
        <w:t>Our annual report is available on our website at www.analog.com. If you would like a copy of our Annual Report on Form 10-K for the fiscal year ended October 29, 2005, we will send you one without charge. Please contact:</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0" w:lineRule="exact"/>
        <w:rPr>
          <w:sz w:val="20"/>
          <w:szCs w:val="20"/>
          <w:color w:val="auto"/>
        </w:rPr>
      </w:pPr>
    </w:p>
    <w:p>
      <w:pPr>
        <w:ind w:left="700" w:right="260" w:firstLine="397"/>
        <w:spacing w:after="0" w:line="265"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Maria Tagliaferro, our director of corporate communications, at the address, telephone number or email address listed above.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30" w:lineRule="exact"/>
        <w:rPr>
          <w:sz w:val="20"/>
          <w:szCs w:val="20"/>
          <w:color w:val="auto"/>
        </w:rPr>
      </w:pPr>
    </w:p>
    <w:p>
      <w:pPr>
        <w:ind w:left="700" w:firstLine="397"/>
        <w:spacing w:after="0" w:line="307" w:lineRule="auto"/>
        <w:rPr>
          <w:sz w:val="20"/>
          <w:szCs w:val="20"/>
          <w:color w:val="auto"/>
        </w:rPr>
      </w:pPr>
      <w:r>
        <w:rPr>
          <w:rFonts w:ascii="Arial" w:cs="Arial" w:eastAsia="Arial" w:hAnsi="Arial"/>
          <w:sz w:val="15"/>
          <w:szCs w:val="15"/>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November 25, 2005 by:</w:t>
      </w:r>
    </w:p>
    <w:p>
      <w:pPr>
        <w:spacing w:after="0" w:line="136" w:lineRule="exact"/>
        <w:rPr>
          <w:sz w:val="20"/>
          <w:szCs w:val="20"/>
          <w:color w:val="auto"/>
        </w:rPr>
      </w:pPr>
    </w:p>
    <w:p>
      <w:pPr>
        <w:ind w:left="1200" w:hanging="11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1" w:lineRule="exact"/>
        <w:rPr>
          <w:rFonts w:ascii="Arial" w:cs="Arial" w:eastAsia="Arial" w:hAnsi="Arial"/>
          <w:sz w:val="18"/>
          <w:szCs w:val="18"/>
          <w:color w:val="auto"/>
        </w:rPr>
      </w:pPr>
    </w:p>
    <w:p>
      <w:pPr>
        <w:ind w:left="1200" w:hanging="11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2"/>
                <w:szCs w:val="12"/>
                <w:color w:val="auto"/>
              </w:rPr>
            </w:pPr>
          </w:p>
        </w:tc>
        <w:tc>
          <w:tcPr>
            <w:tcW w:w="860" w:type="dxa"/>
            <w:vAlign w:val="bottom"/>
            <w:gridSpan w:val="2"/>
          </w:tcPr>
          <w:p>
            <w:pPr>
              <w:jc w:val="center"/>
              <w:ind w:right="140"/>
              <w:spacing w:after="0" w:line="146"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3"/>
              </w:rPr>
              <w:t>Acquirable</w:t>
            </w: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60"/>
              <w:spacing w:after="0" w:line="146"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Beneficially</w:t>
            </w:r>
          </w:p>
        </w:tc>
        <w:tc>
          <w:tcPr>
            <w:tcW w:w="5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Within</w:t>
            </w:r>
          </w:p>
        </w:tc>
        <w:tc>
          <w:tcPr>
            <w:tcW w:w="5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Beneficial</w:t>
            </w:r>
          </w:p>
        </w:tc>
        <w:tc>
          <w:tcPr>
            <w:tcW w:w="122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tcPr>
          <w:p>
            <w:pPr>
              <w:ind w:left="2380"/>
              <w:spacing w:after="0"/>
              <w:rPr>
                <w:sz w:val="20"/>
                <w:szCs w:val="20"/>
                <w:color w:val="auto"/>
              </w:rPr>
            </w:pPr>
            <w:r>
              <w:rPr>
                <w:rFonts w:ascii="Arial" w:cs="Arial" w:eastAsia="Arial" w:hAnsi="Arial"/>
                <w:sz w:val="14"/>
                <w:szCs w:val="14"/>
                <w:b w:val="1"/>
                <w:bCs w:val="1"/>
                <w:u w:val="single" w:color="auto"/>
                <w:color w:val="auto"/>
                <w:w w:val="92"/>
              </w:rPr>
              <w:t>N</w:t>
            </w:r>
            <w:r>
              <w:rPr>
                <w:rFonts w:ascii="Arial" w:cs="Arial" w:eastAsia="Arial" w:hAnsi="Arial"/>
                <w:sz w:val="14"/>
                <w:szCs w:val="14"/>
                <w:b w:val="1"/>
                <w:bCs w:val="1"/>
                <w:color w:val="auto"/>
                <w:w w:val="92"/>
              </w:rPr>
              <w:t>ame and Address of Beneficial Owner(1)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Owned(2)</w:t>
            </w:r>
          </w:p>
        </w:tc>
        <w:tc>
          <w:tcPr>
            <w:tcW w:w="560" w:type="dxa"/>
            <w:vAlign w:val="bottom"/>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60 Days(3)</w:t>
            </w:r>
          </w:p>
        </w:tc>
        <w:tc>
          <w:tcPr>
            <w:tcW w:w="56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3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Owned(4)</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Capital Research and Management Company(5)</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38,181,666</w:t>
            </w:r>
          </w:p>
        </w:tc>
        <w:tc>
          <w:tcPr>
            <w:tcW w:w="5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38,181,666</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tcPr>
          <w:p>
            <w:pPr>
              <w:ind w:left="500"/>
              <w:spacing w:after="0" w:line="200" w:lineRule="exact"/>
              <w:rPr>
                <w:sz w:val="20"/>
                <w:szCs w:val="20"/>
                <w:color w:val="auto"/>
              </w:rPr>
            </w:pPr>
            <w:r>
              <w:rPr>
                <w:rFonts w:ascii="Arial" w:cs="Arial" w:eastAsia="Arial" w:hAnsi="Arial"/>
                <w:sz w:val="18"/>
                <w:szCs w:val="18"/>
                <w:color w:val="auto"/>
              </w:rPr>
              <w:t>333 South Hope Street, 55th Floor</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500"/>
              <w:spacing w:after="0"/>
              <w:rPr>
                <w:sz w:val="20"/>
                <w:szCs w:val="20"/>
                <w:color w:val="auto"/>
              </w:rPr>
            </w:pPr>
            <w:r>
              <w:rPr>
                <w:rFonts w:ascii="Arial" w:cs="Arial" w:eastAsia="Arial" w:hAnsi="Arial"/>
                <w:sz w:val="18"/>
                <w:szCs w:val="18"/>
                <w:color w:val="auto"/>
              </w:rPr>
              <w:t>Los Angeles, California 90071</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FMR Corp.(6)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39,982,058</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39,982,058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82 Devonshire Street</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Boston, Massachusetts 02109</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 Rowe Price Associates, Inc.(7)</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26,078,987</w:t>
            </w:r>
          </w:p>
        </w:tc>
        <w:tc>
          <w:tcPr>
            <w:tcW w:w="5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26,078,987</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tcPr>
          <w:p>
            <w:pPr>
              <w:ind w:left="500"/>
              <w:spacing w:after="0" w:line="200" w:lineRule="exact"/>
              <w:rPr>
                <w:sz w:val="20"/>
                <w:szCs w:val="20"/>
                <w:color w:val="auto"/>
              </w:rPr>
            </w:pPr>
            <w:r>
              <w:rPr>
                <w:rFonts w:ascii="Arial" w:cs="Arial" w:eastAsia="Arial" w:hAnsi="Arial"/>
                <w:sz w:val="18"/>
                <w:szCs w:val="18"/>
                <w:color w:val="auto"/>
              </w:rPr>
              <w:t>100 East Pratt Street</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500"/>
              <w:spacing w:after="0"/>
              <w:rPr>
                <w:sz w:val="20"/>
                <w:szCs w:val="20"/>
                <w:color w:val="auto"/>
              </w:rPr>
            </w:pPr>
            <w:r>
              <w:rPr>
                <w:rFonts w:ascii="Arial" w:cs="Arial" w:eastAsia="Arial" w:hAnsi="Arial"/>
                <w:sz w:val="18"/>
                <w:szCs w:val="18"/>
                <w:color w:val="auto"/>
              </w:rPr>
              <w:t>Baltimore, Maryland 21202</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000" w:type="dxa"/>
            <w:vAlign w:val="bottom"/>
            <w:gridSpan w:val="2"/>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James A. Champy</w:t>
            </w:r>
          </w:p>
        </w:tc>
        <w:tc>
          <w:tcPr>
            <w:tcW w:w="900" w:type="dxa"/>
            <w:vAlign w:val="bottom"/>
          </w:tcPr>
          <w:p>
            <w:pPr>
              <w:jc w:val="right"/>
              <w:spacing w:after="0"/>
              <w:rPr>
                <w:sz w:val="20"/>
                <w:szCs w:val="20"/>
                <w:color w:val="auto"/>
              </w:rPr>
            </w:pPr>
            <w:r>
              <w:rPr>
                <w:rFonts w:ascii="Arial" w:cs="Arial" w:eastAsia="Arial" w:hAnsi="Arial"/>
                <w:sz w:val="18"/>
                <w:szCs w:val="18"/>
                <w:color w:val="auto"/>
              </w:rPr>
              <w:t>6,666</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24,667</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John L. Doyle</w:t>
            </w:r>
          </w:p>
        </w:tc>
        <w:tc>
          <w:tcPr>
            <w:tcW w:w="900" w:type="dxa"/>
            <w:vAlign w:val="bottom"/>
          </w:tcPr>
          <w:p>
            <w:pPr>
              <w:jc w:val="right"/>
              <w:spacing w:after="0"/>
              <w:rPr>
                <w:sz w:val="20"/>
                <w:szCs w:val="20"/>
                <w:color w:val="auto"/>
              </w:rPr>
            </w:pPr>
            <w:r>
              <w:rPr>
                <w:rFonts w:ascii="Arial" w:cs="Arial" w:eastAsia="Arial" w:hAnsi="Arial"/>
                <w:sz w:val="18"/>
                <w:szCs w:val="18"/>
                <w:color w:val="auto"/>
              </w:rPr>
              <w:t>12,028</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146,300</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158,328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Jerald G. Fishman</w:t>
            </w:r>
          </w:p>
        </w:tc>
        <w:tc>
          <w:tcPr>
            <w:tcW w:w="900" w:type="dxa"/>
            <w:vAlign w:val="bottom"/>
          </w:tcPr>
          <w:p>
            <w:pPr>
              <w:jc w:val="right"/>
              <w:spacing w:after="0"/>
              <w:rPr>
                <w:sz w:val="20"/>
                <w:szCs w:val="20"/>
                <w:color w:val="auto"/>
              </w:rPr>
            </w:pPr>
            <w:r>
              <w:rPr>
                <w:rFonts w:ascii="Arial" w:cs="Arial" w:eastAsia="Arial" w:hAnsi="Arial"/>
                <w:sz w:val="18"/>
                <w:szCs w:val="18"/>
                <w:color w:val="auto"/>
              </w:rPr>
              <w:t>32,607</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2,482,297</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2,514,904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Samuel H. Fuller</w:t>
            </w:r>
          </w:p>
        </w:tc>
        <w:tc>
          <w:tcPr>
            <w:tcW w:w="900" w:type="dxa"/>
            <w:vAlign w:val="bottom"/>
          </w:tcPr>
          <w:p>
            <w:pPr>
              <w:jc w:val="right"/>
              <w:spacing w:after="0"/>
              <w:rPr>
                <w:sz w:val="20"/>
                <w:szCs w:val="20"/>
                <w:color w:val="auto"/>
              </w:rPr>
            </w:pPr>
            <w:r>
              <w:rPr>
                <w:rFonts w:ascii="Arial" w:cs="Arial" w:eastAsia="Arial" w:hAnsi="Arial"/>
                <w:sz w:val="18"/>
                <w:szCs w:val="18"/>
                <w:color w:val="auto"/>
              </w:rPr>
              <w:t>1,866</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203,097</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204,963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John C. Hodgson</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Christine King</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31,333</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Robert R. Marshall</w:t>
            </w:r>
          </w:p>
        </w:tc>
        <w:tc>
          <w:tcPr>
            <w:tcW w:w="900" w:type="dxa"/>
            <w:vAlign w:val="bottom"/>
          </w:tcPr>
          <w:p>
            <w:pPr>
              <w:jc w:val="right"/>
              <w:spacing w:after="0"/>
              <w:rPr>
                <w:sz w:val="20"/>
                <w:szCs w:val="20"/>
                <w:color w:val="auto"/>
              </w:rPr>
            </w:pPr>
            <w:r>
              <w:rPr>
                <w:rFonts w:ascii="Arial" w:cs="Arial" w:eastAsia="Arial" w:hAnsi="Arial"/>
                <w:sz w:val="18"/>
                <w:szCs w:val="18"/>
                <w:color w:val="auto"/>
              </w:rPr>
              <w:t>15,004</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494,343</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509,347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Robert P. McAdam</w:t>
            </w:r>
          </w:p>
        </w:tc>
        <w:tc>
          <w:tcPr>
            <w:tcW w:w="900" w:type="dxa"/>
            <w:vAlign w:val="bottom"/>
          </w:tcPr>
          <w:p>
            <w:pPr>
              <w:jc w:val="right"/>
              <w:spacing w:after="0"/>
              <w:rPr>
                <w:sz w:val="20"/>
                <w:szCs w:val="20"/>
                <w:color w:val="auto"/>
              </w:rPr>
            </w:pPr>
            <w:r>
              <w:rPr>
                <w:rFonts w:ascii="Arial" w:cs="Arial" w:eastAsia="Arial" w:hAnsi="Arial"/>
                <w:sz w:val="18"/>
                <w:szCs w:val="18"/>
                <w:color w:val="auto"/>
              </w:rPr>
              <w:t>96,601</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494,239</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590,840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Brian P. McAloon</w:t>
            </w:r>
          </w:p>
        </w:tc>
        <w:tc>
          <w:tcPr>
            <w:tcW w:w="900" w:type="dxa"/>
            <w:vAlign w:val="bottom"/>
          </w:tcPr>
          <w:p>
            <w:pPr>
              <w:jc w:val="right"/>
              <w:spacing w:after="0"/>
              <w:rPr>
                <w:sz w:val="20"/>
                <w:szCs w:val="20"/>
                <w:color w:val="auto"/>
              </w:rPr>
            </w:pPr>
            <w:r>
              <w:rPr>
                <w:rFonts w:ascii="Arial" w:cs="Arial" w:eastAsia="Arial" w:hAnsi="Arial"/>
                <w:sz w:val="18"/>
                <w:szCs w:val="18"/>
                <w:color w:val="auto"/>
              </w:rPr>
              <w:t>7,423</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370,455</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377,878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Joseph E. McDonough</w:t>
            </w:r>
          </w:p>
        </w:tc>
        <w:tc>
          <w:tcPr>
            <w:tcW w:w="900" w:type="dxa"/>
            <w:vAlign w:val="bottom"/>
          </w:tcPr>
          <w:p>
            <w:pPr>
              <w:jc w:val="right"/>
              <w:spacing w:after="0"/>
              <w:rPr>
                <w:sz w:val="20"/>
                <w:szCs w:val="20"/>
                <w:color w:val="auto"/>
              </w:rPr>
            </w:pPr>
            <w:r>
              <w:rPr>
                <w:rFonts w:ascii="Arial" w:cs="Arial" w:eastAsia="Arial" w:hAnsi="Arial"/>
                <w:sz w:val="18"/>
                <w:szCs w:val="18"/>
                <w:color w:val="auto"/>
              </w:rPr>
              <w:t>11,709</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299,930</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311,639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F. Grant Saviers</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113,800</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118,800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Paul J. Severino</w:t>
            </w:r>
          </w:p>
        </w:tc>
        <w:tc>
          <w:tcPr>
            <w:tcW w:w="900" w:type="dxa"/>
            <w:vAlign w:val="bottom"/>
          </w:tcPr>
          <w:p>
            <w:pPr>
              <w:jc w:val="right"/>
              <w:spacing w:after="0"/>
              <w:rPr>
                <w:sz w:val="20"/>
                <w:szCs w:val="20"/>
                <w:color w:val="auto"/>
              </w:rPr>
            </w:pPr>
            <w:r>
              <w:rPr>
                <w:rFonts w:ascii="Arial" w:cs="Arial" w:eastAsia="Arial" w:hAnsi="Arial"/>
                <w:sz w:val="18"/>
                <w:szCs w:val="18"/>
                <w:color w:val="auto"/>
              </w:rPr>
              <w:t>16,200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Kenton J. Sicchitano(8)</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44,833</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Ray Stata(9)</w:t>
            </w:r>
          </w:p>
        </w:tc>
        <w:tc>
          <w:tcPr>
            <w:tcW w:w="900" w:type="dxa"/>
            <w:vAlign w:val="bottom"/>
          </w:tcPr>
          <w:p>
            <w:pPr>
              <w:jc w:val="right"/>
              <w:spacing w:after="0"/>
              <w:rPr>
                <w:sz w:val="20"/>
                <w:szCs w:val="20"/>
                <w:color w:val="auto"/>
              </w:rPr>
            </w:pPr>
            <w:r>
              <w:rPr>
                <w:rFonts w:ascii="Arial" w:cs="Arial" w:eastAsia="Arial" w:hAnsi="Arial"/>
                <w:sz w:val="18"/>
                <w:szCs w:val="18"/>
                <w:color w:val="auto"/>
              </w:rPr>
              <w:t>4,907,043</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658,081</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5,565,124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Lester C. Thurow</w:t>
            </w: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104,300</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107,300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consisting of 11 officers and 8 non-employee directors)(10)</w:t>
            </w:r>
          </w:p>
        </w:tc>
        <w:tc>
          <w:tcPr>
            <w:tcW w:w="900" w:type="dxa"/>
            <w:vAlign w:val="bottom"/>
          </w:tcPr>
          <w:p>
            <w:pPr>
              <w:jc w:val="right"/>
              <w:spacing w:after="0"/>
              <w:rPr>
                <w:sz w:val="20"/>
                <w:szCs w:val="20"/>
                <w:color w:val="auto"/>
              </w:rPr>
            </w:pPr>
            <w:r>
              <w:rPr>
                <w:rFonts w:ascii="Arial" w:cs="Arial" w:eastAsia="Arial" w:hAnsi="Arial"/>
                <w:sz w:val="18"/>
                <w:szCs w:val="18"/>
                <w:color w:val="auto"/>
              </w:rPr>
              <w:t>5,141,131</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5,910,241</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11,051,372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85090</wp:posOffset>
            </wp:positionV>
            <wp:extent cx="8166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Less than 1% of the outstanding common stock.</w:t>
      </w:r>
    </w:p>
    <w:p>
      <w:pPr>
        <w:spacing w:after="0" w:line="71" w:lineRule="exact"/>
        <w:rPr>
          <w:sz w:val="20"/>
          <w:szCs w:val="20"/>
          <w:color w:val="auto"/>
        </w:rPr>
      </w:pPr>
    </w:p>
    <w:p>
      <w:pPr>
        <w:ind w:left="1080" w:right="180" w:hanging="283"/>
        <w:spacing w:after="0" w:line="26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20" w:lineRule="exact"/>
        <w:rPr>
          <w:rFonts w:ascii="Arial" w:cs="Arial" w:eastAsia="Arial" w:hAnsi="Arial"/>
          <w:sz w:val="18"/>
          <w:szCs w:val="18"/>
          <w:color w:val="auto"/>
        </w:rPr>
      </w:pPr>
    </w:p>
    <w:p>
      <w:pPr>
        <w:ind w:left="1080" w:right="100" w:hanging="283"/>
        <w:spacing w:after="0" w:line="26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w:t>
      </w:r>
    </w:p>
    <w:p>
      <w:pPr>
        <w:spacing w:after="0" w:line="20" w:lineRule="exact"/>
        <w:rPr>
          <w:rFonts w:ascii="Arial" w:cs="Arial" w:eastAsia="Arial" w:hAnsi="Arial"/>
          <w:sz w:val="18"/>
          <w:szCs w:val="18"/>
          <w:color w:val="auto"/>
        </w:rPr>
      </w:pPr>
    </w:p>
    <w:p>
      <w:pPr>
        <w:jc w:val="both"/>
        <w:ind w:left="1080" w:right="180" w:hanging="283"/>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w:t>
      </w:r>
    </w:p>
    <w:p>
      <w:pPr>
        <w:spacing w:after="0" w:line="3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80" w:right="160"/>
        <w:spacing w:after="0" w:line="312" w:lineRule="auto"/>
        <w:rPr>
          <w:sz w:val="20"/>
          <w:szCs w:val="20"/>
          <w:color w:val="auto"/>
        </w:rPr>
      </w:pPr>
      <w:r>
        <w:rPr>
          <w:rFonts w:ascii="Arial" w:cs="Arial" w:eastAsia="Arial" w:hAnsi="Arial"/>
          <w:sz w:val="15"/>
          <w:szCs w:val="15"/>
          <w:color w:val="auto"/>
        </w:rPr>
        <w:t>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within 60 days after November 25, 2005.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6" w:lineRule="exact"/>
        <w:rPr>
          <w:sz w:val="20"/>
          <w:szCs w:val="20"/>
          <w:color w:val="auto"/>
        </w:rPr>
      </w:pPr>
    </w:p>
    <w:p>
      <w:pPr>
        <w:ind w:left="1080" w:right="80" w:hanging="283"/>
        <w:spacing w:after="0" w:line="319"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percent ownership for each shareholder on November 25, 2005 is calculated by dividing (1) the total number of shares beneficially owned by the shareholder by (2) the number of shares of our common stock outstanding on November 25, 2005 plus any shares acquirable (including stock options exercisable) within 60 days after November 25, 2005, or 373,149,851 shares.</w:t>
      </w:r>
    </w:p>
    <w:p>
      <w:pPr>
        <w:spacing w:after="0" w:line="1" w:lineRule="exact"/>
        <w:rPr>
          <w:rFonts w:ascii="Arial" w:cs="Arial" w:eastAsia="Arial" w:hAnsi="Arial"/>
          <w:sz w:val="15"/>
          <w:szCs w:val="15"/>
          <w:color w:val="auto"/>
        </w:rPr>
      </w:pPr>
    </w:p>
    <w:p>
      <w:pPr>
        <w:ind w:left="1080" w:right="80" w:hanging="283"/>
        <w:spacing w:after="0" w:line="319"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Based on a Form 13F-HR filed by Capital Research and Management Company on November 14, 2005 reporting the above stock ownership as of September 30, 2005. Capital Research and Management Company reports that it has no voting authority with respect to 38,181,666 shares and shared investment discretion with The Capital Group Companies, Inc. with respect to 38,181,666 shares.</w:t>
      </w:r>
    </w:p>
    <w:p>
      <w:pPr>
        <w:spacing w:after="0" w:line="1" w:lineRule="exact"/>
        <w:rPr>
          <w:rFonts w:ascii="Arial" w:cs="Arial" w:eastAsia="Arial" w:hAnsi="Arial"/>
          <w:sz w:val="15"/>
          <w:szCs w:val="15"/>
          <w:color w:val="auto"/>
        </w:rPr>
      </w:pPr>
    </w:p>
    <w:p>
      <w:pPr>
        <w:ind w:left="1080" w:right="480" w:hanging="283"/>
        <w:spacing w:after="0" w:line="300"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Based on a Form 13F-HR filed by FMR Corp., or FMR, on November 14, 2005 reporting the above stock ownership as of September 30, 2005. FMR reports that it has sole voting authority with respect to 2,557,896 shares. FMR also reports that it has shared investment discretion with each of Fidelity Management &amp; Research Company and FMR Co., Inc. with respect to</w:t>
      </w:r>
    </w:p>
    <w:p>
      <w:pPr>
        <w:ind w:left="1080" w:right="400"/>
        <w:spacing w:after="0" w:line="280" w:lineRule="auto"/>
        <w:rPr>
          <w:rFonts w:ascii="Arial" w:cs="Arial" w:eastAsia="Arial" w:hAnsi="Arial"/>
          <w:sz w:val="15"/>
          <w:szCs w:val="15"/>
          <w:color w:val="auto"/>
        </w:rPr>
      </w:pPr>
      <w:r>
        <w:rPr>
          <w:rFonts w:ascii="Arial" w:cs="Arial" w:eastAsia="Arial" w:hAnsi="Arial"/>
          <w:sz w:val="17"/>
          <w:szCs w:val="17"/>
          <w:color w:val="auto"/>
        </w:rPr>
        <w:t>37,616,382 shares, shared investment discretion with Fidelity Management Trust Company with respect to 2,044,774 shares, and shared investment discretion with Strategic Advisers Incorporated with respect to 320,902 shares.</w:t>
      </w:r>
    </w:p>
    <w:p>
      <w:pPr>
        <w:spacing w:after="0" w:line="9" w:lineRule="exact"/>
        <w:rPr>
          <w:rFonts w:ascii="Arial" w:cs="Arial" w:eastAsia="Arial" w:hAnsi="Arial"/>
          <w:sz w:val="15"/>
          <w:szCs w:val="15"/>
          <w:color w:val="auto"/>
        </w:rPr>
      </w:pPr>
    </w:p>
    <w:p>
      <w:pPr>
        <w:ind w:left="1080" w:right="120" w:hanging="283"/>
        <w:spacing w:after="0" w:line="255"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Based on a Form 13F-HR filed by T. Rowe Price Associates, Inc. on November 14, 2005 reporting the above stock ownership as of September 30, 2005. T. Rowe Price Associates, Inc. reports that it has sole voting authority with respect to 6,312,391 shares and sole investment discretion with respect to 26,078,987 shares.</w:t>
      </w:r>
    </w:p>
    <w:p>
      <w:pPr>
        <w:spacing w:after="0" w:line="29" w:lineRule="exact"/>
        <w:rPr>
          <w:rFonts w:ascii="Arial" w:cs="Arial" w:eastAsia="Arial" w:hAnsi="Arial"/>
          <w:sz w:val="18"/>
          <w:szCs w:val="18"/>
          <w:color w:val="auto"/>
        </w:rPr>
      </w:pPr>
    </w:p>
    <w:p>
      <w:pPr>
        <w:ind w:left="1080" w:right="140" w:hanging="283"/>
        <w:spacing w:after="0" w:line="265"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the number of shares beneficially owned by Mr. Sicchitano as of January 6, 2006 and the number of shares acquirable by him within 60 days of January 6, 2006.</w:t>
      </w:r>
    </w:p>
    <w:p>
      <w:pPr>
        <w:spacing w:after="0" w:line="20" w:lineRule="exact"/>
        <w:rPr>
          <w:rFonts w:ascii="Arial" w:cs="Arial" w:eastAsia="Arial" w:hAnsi="Arial"/>
          <w:sz w:val="18"/>
          <w:szCs w:val="18"/>
          <w:color w:val="auto"/>
        </w:rPr>
      </w:pPr>
    </w:p>
    <w:p>
      <w:pPr>
        <w:ind w:left="1080" w:right="860" w:hanging="283"/>
        <w:spacing w:after="0" w:line="294" w:lineRule="auto"/>
        <w:tabs>
          <w:tab w:leader="none" w:pos="10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spacing w:after="0" w:line="11" w:lineRule="exact"/>
        <w:rPr>
          <w:rFonts w:ascii="Arial" w:cs="Arial" w:eastAsia="Arial" w:hAnsi="Arial"/>
          <w:sz w:val="17"/>
          <w:szCs w:val="17"/>
          <w:color w:val="auto"/>
        </w:rPr>
      </w:pPr>
    </w:p>
    <w:p>
      <w:pPr>
        <w:ind w:left="1080" w:hanging="389"/>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1 — ELECTION OF DIRECTORS</w:t>
      </w:r>
    </w:p>
    <w:p>
      <w:pPr>
        <w:spacing w:after="0" w:line="130" w:lineRule="exact"/>
        <w:rPr>
          <w:sz w:val="20"/>
          <w:szCs w:val="20"/>
          <w:color w:val="auto"/>
        </w:rPr>
      </w:pPr>
    </w:p>
    <w:p>
      <w:pPr>
        <w:ind w:left="700" w:right="80" w:firstLine="397"/>
        <w:spacing w:after="0" w:line="252" w:lineRule="auto"/>
        <w:rPr>
          <w:sz w:val="20"/>
          <w:szCs w:val="20"/>
          <w:color w:val="auto"/>
        </w:rPr>
      </w:pPr>
      <w:r>
        <w:rPr>
          <w:rFonts w:ascii="Arial" w:cs="Arial" w:eastAsia="Arial" w:hAnsi="Arial"/>
          <w:sz w:val="18"/>
          <w:szCs w:val="18"/>
          <w:color w:val="auto"/>
        </w:rPr>
        <w:t>Our Board of Directors is divided into three classes, with one class being elected each year and members of each class holding office for a three-year term. Our Board of Directors currently consists of ten members, three of whom are Class I directors (with terms expiring at the 2006 annual meeting), four of whom are Class II directors (with terms expiring at the 2007 annual meeting), and three of whom are Class III directors (with terms expiring at the 2008 annual meeting).</w:t>
      </w:r>
    </w:p>
    <w:p>
      <w:pPr>
        <w:spacing w:after="0" w:line="99" w:lineRule="exact"/>
        <w:rPr>
          <w:sz w:val="20"/>
          <w:szCs w:val="20"/>
          <w:color w:val="auto"/>
        </w:rPr>
      </w:pPr>
    </w:p>
    <w:p>
      <w:pPr>
        <w:ind w:left="700" w:right="40" w:firstLine="397"/>
        <w:spacing w:after="0" w:line="248" w:lineRule="auto"/>
        <w:rPr>
          <w:sz w:val="20"/>
          <w:szCs w:val="20"/>
          <w:color w:val="auto"/>
        </w:rPr>
      </w:pPr>
      <w:r>
        <w:rPr>
          <w:rFonts w:ascii="Arial" w:cs="Arial" w:eastAsia="Arial" w:hAnsi="Arial"/>
          <w:sz w:val="18"/>
          <w:szCs w:val="18"/>
          <w:color w:val="auto"/>
        </w:rPr>
        <w:t>At the 2006 annual meeting, shareholders will have an opportunity to vote for the nominees for Class I directors, James A. Champy, Kenton J. Sicchitano and Lester C. Thurow. Messrs. Champy and Sicchitano are currently serving as Class I directors and have been directors since 2003. Mr. Thurow is currently serving as a Class I director and has been a director since 1988. The persons named in the enclosed proxy card will vote to elect these three nominees as Class I directors, unless you withhold authority to vote for the election of any or all nominees by marking the proxy card (whether executed by you or through Internet or telephonic voting) to that effect. Each of the nominees has indicated his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105"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The following paragraphs provide information as of the date of this proxy statement about each member of our Board of Directors, including the nominees for Class I directors. The information presented includes information each director has given us about his or her age, all positions he or she holds, his or her principal occupation and business experience for the past five years, and the names of other publicly-held companies of which he or she serves as a director. Information about the number of shares of common stock beneficially owned by each director appears under the heading “Security Ownership of Certain Beneficial Owners and Management.”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no family relationships among any of the directors and executive officers of Analog.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Class I Directors (Terms Expire at the 2009 Annual Meeting)</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8"/>
          <w:szCs w:val="18"/>
          <w:color w:val="auto"/>
        </w:rPr>
        <w:t>Mr. Champy, age 63, has been a Vice President of Perot Systems Corporation, a technology services and business solutions company, since 1996. Mr. Champy also serves as a trustee of the Massachusetts Institute of Technology.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right="20" w:firstLine="397"/>
        <w:spacing w:after="0" w:line="309" w:lineRule="auto"/>
        <w:rPr>
          <w:sz w:val="20"/>
          <w:szCs w:val="20"/>
          <w:color w:val="auto"/>
        </w:rPr>
      </w:pPr>
      <w:r>
        <w:rPr>
          <w:rFonts w:ascii="Arial" w:cs="Arial" w:eastAsia="Arial" w:hAnsi="Arial"/>
          <w:sz w:val="15"/>
          <w:szCs w:val="15"/>
          <w:color w:val="auto"/>
        </w:rPr>
        <w:t>Mr. Sicchitano, age 61,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31 year tenure with PwC, Mr. Sicchitano held various positions including the Global Managing Partner of Audit/Business Advisory Services and the Global Managing Partner responsible for Audit/Business Advisory, Tax/Legal and Financial Advisory Services. Mr. Sicchitano also serves as a director of PerkinElmer, Inc. and MetLife, Inc. Mr. Sicchitano is a certified public accountant.</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LESTER C. THUROW, </w:t>
      </w:r>
      <w:r>
        <w:rPr>
          <w:rFonts w:ascii="Arial" w:cs="Arial" w:eastAsia="Arial" w:hAnsi="Arial"/>
          <w:sz w:val="18"/>
          <w:szCs w:val="18"/>
          <w:b w:val="1"/>
          <w:bCs w:val="1"/>
          <w:i w:val="1"/>
          <w:iCs w:val="1"/>
          <w:color w:val="auto"/>
        </w:rPr>
        <w:t>Director since 1988</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Mr. Thurow, age 67, has been a Professor of Management and Economics at the Massachusetts Institute of Technology, or MIT, since</w:t>
      </w:r>
    </w:p>
    <w:p>
      <w:pPr>
        <w:spacing w:after="0" w:line="51" w:lineRule="exact"/>
        <w:rPr>
          <w:sz w:val="20"/>
          <w:szCs w:val="20"/>
          <w:color w:val="auto"/>
        </w:rPr>
      </w:pPr>
    </w:p>
    <w:p>
      <w:pPr>
        <w:ind w:left="700" w:right="600"/>
        <w:spacing w:after="0" w:line="251" w:lineRule="auto"/>
        <w:rPr>
          <w:sz w:val="20"/>
          <w:szCs w:val="20"/>
          <w:color w:val="auto"/>
        </w:rPr>
      </w:pPr>
      <w:r>
        <w:rPr>
          <w:rFonts w:ascii="Arial" w:cs="Arial" w:eastAsia="Arial" w:hAnsi="Arial"/>
          <w:sz w:val="18"/>
          <w:szCs w:val="18"/>
          <w:color w:val="auto"/>
        </w:rPr>
        <w:t>1968 and, from 1987 to 1993, was the Dean of MIT’s Sloan School of Management. Mr. Thurow also serves as a director of Taiwan Semiconductor Manufacturing Company Limited.</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 Directors (Terms Expire at the 2007 Annual Meeting)</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130" w:lineRule="exact"/>
        <w:rPr>
          <w:sz w:val="20"/>
          <w:szCs w:val="20"/>
          <w:color w:val="auto"/>
        </w:rPr>
      </w:pPr>
    </w:p>
    <w:p>
      <w:pPr>
        <w:ind w:left="700" w:right="260" w:firstLine="397"/>
        <w:spacing w:after="0" w:line="265" w:lineRule="auto"/>
        <w:rPr>
          <w:sz w:val="20"/>
          <w:szCs w:val="20"/>
          <w:color w:val="auto"/>
        </w:rPr>
      </w:pPr>
      <w:r>
        <w:rPr>
          <w:rFonts w:ascii="Arial" w:cs="Arial" w:eastAsia="Arial" w:hAnsi="Arial"/>
          <w:sz w:val="18"/>
          <w:szCs w:val="18"/>
          <w:color w:val="auto"/>
        </w:rPr>
        <w:t>Mr. Fishman, age 60, has been our President and Chief Executive Officer since November 1996 and he served as our President and Chief Operating Officer from November 1991 to November 1996. Mr. Fishman served as our</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Executive Vice President from 1988 to November 1991. He served as our Group Vice President-Components from 1982 to 1988.</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Fishman also serves as a director of Cognex Corporation and Xilinx, Inc.</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September 2005</w:t>
      </w:r>
    </w:p>
    <w:p>
      <w:pPr>
        <w:spacing w:after="0" w:line="13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Mr. Hodgson, age 62, has been Senior Vice President and Chief Customer Officer for DuPont since May 2005. Mr. Hodgson served as Chief Marketing and Sales Officer from February 2002 to May 2005 and Group Vice President and General Manager of DuPont iTechnologies from February 2000 to February 2002.</w:t>
      </w:r>
    </w:p>
    <w:p>
      <w:pPr>
        <w:spacing w:after="0" w:line="196" w:lineRule="exact"/>
        <w:rPr>
          <w:sz w:val="20"/>
          <w:szCs w:val="20"/>
          <w:color w:val="auto"/>
        </w:rPr>
      </w:pPr>
    </w:p>
    <w:p>
      <w:pPr>
        <w:ind w:left="1000" w:hanging="309"/>
        <w:spacing w:after="0"/>
        <w:tabs>
          <w:tab w:leader="none" w:pos="10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SAVIERS, </w:t>
      </w:r>
      <w:r>
        <w:rPr>
          <w:rFonts w:ascii="Arial" w:cs="Arial" w:eastAsia="Arial" w:hAnsi="Arial"/>
          <w:sz w:val="18"/>
          <w:szCs w:val="18"/>
          <w:b w:val="1"/>
          <w:bCs w:val="1"/>
          <w:i w:val="1"/>
          <w:iCs w:val="1"/>
          <w:color w:val="auto"/>
        </w:rPr>
        <w:t>Director since 1997</w:t>
      </w:r>
    </w:p>
    <w:p>
      <w:pPr>
        <w:spacing w:after="0" w:line="130"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Mr. Saviers, age 61,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 Mr. Saviers was employed with Digital Equipment Corporation, a computer manufacturer, for more than five years, last serving as Vice President of its Personal Computer and Peripherals Operation.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PAUL J. SEVERINO, </w:t>
      </w:r>
      <w:r>
        <w:rPr>
          <w:rFonts w:ascii="Arial" w:cs="Arial" w:eastAsia="Arial" w:hAnsi="Arial"/>
          <w:sz w:val="18"/>
          <w:szCs w:val="18"/>
          <w:b w:val="1"/>
          <w:bCs w:val="1"/>
          <w:i w:val="1"/>
          <w:iCs w:val="1"/>
          <w:color w:val="auto"/>
        </w:rPr>
        <w:t>Director since November 2005</w:t>
      </w:r>
    </w:p>
    <w:p>
      <w:pPr>
        <w:spacing w:after="0" w:line="130"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Mr. Severino, age 59, has been an investment advisor to emerging technology companies and venture funds since 1996. From 1994 to 1996, he was Chairman of Bay Networks, Inc., a data networking products services company, after its formation from the merger of Wellfleet Communications, Inc. and Synoptics Communications, Inc. Prior to that, he was a founder, President and Chief Executive Officer of Wellfleet Communications, Inc. Mr. Severino is also a director of Sonus Networks, Inc.</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III Directors (Terms Expire at the 2008 Annual Meeting)</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130" w:lineRule="exact"/>
        <w:rPr>
          <w:sz w:val="20"/>
          <w:szCs w:val="20"/>
          <w:color w:val="auto"/>
        </w:rPr>
      </w:pPr>
    </w:p>
    <w:p>
      <w:pPr>
        <w:ind w:left="700" w:right="100" w:firstLine="397"/>
        <w:spacing w:after="0" w:line="250" w:lineRule="auto"/>
        <w:rPr>
          <w:sz w:val="20"/>
          <w:szCs w:val="20"/>
          <w:color w:val="auto"/>
        </w:rPr>
      </w:pPr>
      <w:r>
        <w:rPr>
          <w:rFonts w:ascii="Arial" w:cs="Arial" w:eastAsia="Arial" w:hAnsi="Arial"/>
          <w:sz w:val="18"/>
          <w:szCs w:val="18"/>
          <w:color w:val="auto"/>
        </w:rPr>
        <w:t>Mr. Doyle, age 74,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CHRISTINE KING, </w:t>
      </w:r>
      <w:r>
        <w:rPr>
          <w:rFonts w:ascii="Arial" w:cs="Arial" w:eastAsia="Arial" w:hAnsi="Arial"/>
          <w:sz w:val="18"/>
          <w:szCs w:val="18"/>
          <w:b w:val="1"/>
          <w:bCs w:val="1"/>
          <w:i w:val="1"/>
          <w:iCs w:val="1"/>
          <w:color w:val="auto"/>
        </w:rPr>
        <w:t>Director since June 2003</w:t>
      </w:r>
    </w:p>
    <w:p>
      <w:pPr>
        <w:spacing w:after="0" w:line="130"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Ms. King, age 56, has been President and Chief Executive Officer of AMI Semiconductor, Inc., a designer and manufacturer of customer specific integrated mixed signal semiconductor products, since September 2001. From September 2000 to September 2001, Ms. King served as Vice President of Semiconductor Products for IBM Microelectronics, a provider of semiconductor products and services, foundry expertise and standard processor components. From September 1998 to September 2000, Ms. King was Vice President of the Networking Technology Business Unit for IBM. Ms. King also served as Vice President of Marketing and Field Engineering at IBM from June 1995 to September 1998 and Manager of ASIC Products at IBM from March 1992 to June 1995. Ms. King also serves as a director of AMI Semiconductor, Inc.</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130" w:lineRule="exact"/>
        <w:rPr>
          <w:sz w:val="20"/>
          <w:szCs w:val="20"/>
          <w:color w:val="auto"/>
        </w:rPr>
      </w:pPr>
    </w:p>
    <w:p>
      <w:pPr>
        <w:jc w:val="both"/>
        <w:ind w:left="700" w:right="200" w:firstLine="397"/>
        <w:spacing w:after="0" w:line="255" w:lineRule="auto"/>
        <w:rPr>
          <w:sz w:val="20"/>
          <w:szCs w:val="20"/>
          <w:color w:val="auto"/>
        </w:rPr>
      </w:pPr>
      <w:r>
        <w:rPr>
          <w:rFonts w:ascii="Arial" w:cs="Arial" w:eastAsia="Arial" w:hAnsi="Arial"/>
          <w:sz w:val="18"/>
          <w:szCs w:val="18"/>
          <w:color w:val="auto"/>
        </w:rPr>
        <w:t>Mr. Stata, age 71, has served as our Chairman of the Board of Directors since 1973. Mr. Stata served as our Chief Executive Officer from 1973 to November 1996 and as our President from 1971 to November 1991. Mr. Stata also serves as a trustee of the Massachusetts Institute of Technology.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Our Board of Directors recommends that you vote FOR the election of Messrs. Champy, Sicchitano and Thurow.</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0" w:lineRule="exact"/>
        <w:rPr>
          <w:sz w:val="20"/>
          <w:szCs w:val="20"/>
          <w:color w:val="auto"/>
        </w:rPr>
      </w:pPr>
    </w:p>
    <w:p>
      <w:pPr>
        <w:jc w:val="both"/>
        <w:ind w:left="700" w:right="480" w:firstLine="397"/>
        <w:spacing w:after="0" w:line="330" w:lineRule="auto"/>
        <w:rPr>
          <w:sz w:val="20"/>
          <w:szCs w:val="20"/>
          <w:color w:val="auto"/>
        </w:rPr>
      </w:pPr>
      <w:r>
        <w:rPr>
          <w:rFonts w:ascii="Arial" w:cs="Arial" w:eastAsia="Arial" w:hAnsi="Arial"/>
          <w:sz w:val="15"/>
          <w:szCs w:val="15"/>
          <w:color w:val="auto"/>
        </w:rPr>
        <w:t>We have long believed that good corporate governance is important to ensure that Analog Devices is managed for the long-term benefit of its shareholders. During the past year, we have continued to review our corporate governance policies and practices and to compare them to those suggested by various authorities in corporate governance and the practices of other public companies.</w:t>
      </w:r>
    </w:p>
    <w:p>
      <w:pPr>
        <w:spacing w:after="0" w:line="44" w:lineRule="exact"/>
        <w:rPr>
          <w:sz w:val="20"/>
          <w:szCs w:val="20"/>
          <w:color w:val="auto"/>
        </w:rPr>
      </w:pPr>
    </w:p>
    <w:p>
      <w:pPr>
        <w:ind w:left="700" w:right="40" w:firstLine="397"/>
        <w:spacing w:after="0" w:line="301" w:lineRule="auto"/>
        <w:rPr>
          <w:sz w:val="20"/>
          <w:szCs w:val="20"/>
          <w:color w:val="auto"/>
        </w:rPr>
      </w:pPr>
      <w:r>
        <w:rPr>
          <w:rFonts w:ascii="Arial" w:cs="Arial" w:eastAsia="Arial" w:hAnsi="Arial"/>
          <w:sz w:val="15"/>
          <w:szCs w:val="15"/>
          <w:i w:val="1"/>
          <w:iCs w:val="1"/>
          <w:color w:val="auto"/>
        </w:rPr>
        <w:t xml:space="preserve">Shareholder Voting Policy for Election of Directors. </w:t>
      </w:r>
      <w:r>
        <w:rPr>
          <w:rFonts w:ascii="Arial" w:cs="Arial" w:eastAsia="Arial" w:hAnsi="Arial"/>
          <w:sz w:val="15"/>
          <w:szCs w:val="15"/>
          <w:color w:val="auto"/>
        </w:rPr>
        <w:t>In December 2005, our Board of Directors amended our corporate governance</w:t>
      </w:r>
      <w:r>
        <w:rPr>
          <w:rFonts w:ascii="Arial" w:cs="Arial" w:eastAsia="Arial" w:hAnsi="Arial"/>
          <w:sz w:val="15"/>
          <w:szCs w:val="15"/>
          <w:i w:val="1"/>
          <w:iCs w:val="1"/>
          <w:color w:val="auto"/>
        </w:rPr>
        <w:t xml:space="preserve"> </w:t>
      </w:r>
      <w:r>
        <w:rPr>
          <w:rFonts w:ascii="Arial" w:cs="Arial" w:eastAsia="Arial" w:hAnsi="Arial"/>
          <w:sz w:val="15"/>
          <w:szCs w:val="15"/>
          <w:color w:val="auto"/>
        </w:rPr>
        <w:t>guidelines to include a policy that any director who receives more “withheld” votes than “for” votes in an uncontested election at an annual meeting shall offer his or her resignation to the Board promptly after the voting results are certified. A committee of independent directors, which will specifically exclude any director who is required to offer his or her own resignation, will carefully consider all relevant factors, including, as the committee deems appropriate, any stated reasons why shareholders withheld votes from such director, any alternatives for curing the underlying cause of the withheld votes, the director’s tenure, the director’s qualifications, the director’s past and expected future contributions to the company, the overall composition of our board and whether accepting the resignation would cause the company to fail to meet any applicable regulations of the Securities and Exchange Commission or the New York Stock Exchange. Our Board will act upon this committee’s recommendation within 90 days following certification of the shareholder vote and may, among other things, accept the resignation, maintain the director but address what the committee believes to be the underlying cause of the withhold votes,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 including, if applicable, the reasons for rejecting the offered resignation.</w:t>
      </w:r>
    </w:p>
    <w:p>
      <w:pPr>
        <w:spacing w:after="0" w:line="281"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i w:val="1"/>
          <w:iCs w:val="1"/>
          <w:color w:val="auto"/>
        </w:rPr>
        <w:t xml:space="preserve">Chief Compliance and Business Ethics Officer. </w:t>
      </w:r>
      <w:r>
        <w:rPr>
          <w:rFonts w:ascii="Arial" w:cs="Arial" w:eastAsia="Arial" w:hAnsi="Arial"/>
          <w:sz w:val="18"/>
          <w:szCs w:val="18"/>
          <w:color w:val="auto"/>
        </w:rPr>
        <w:t>In September 2005, Analog created a new position of Chief Compliance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Ethics Officer who reports to the Chair of the Nominating and Corporate Governance Committee and appointed William A. Wise, previously Analog’s Corporate Counsel, to this position. The Chief Compliance and Business Ethics Officer is responsible for overseeing regulatory compliance and for ensuring company-wide adherence to all corporate standards of business conduct, ethics and regulatory compliance.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January 2006, our Board further amended our corporate governance guidelines, and took certain other actions, as follows:</w:t>
      </w:r>
    </w:p>
    <w:p>
      <w:pPr>
        <w:spacing w:after="0" w:line="136"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i w:val="1"/>
          <w:iCs w:val="1"/>
          <w:color w:val="auto"/>
        </w:rPr>
        <w:t xml:space="preserve">Stock Ownership Guidelines. </w:t>
      </w:r>
      <w:r>
        <w:rPr>
          <w:rFonts w:ascii="Arial" w:cs="Arial" w:eastAsia="Arial" w:hAnsi="Arial"/>
          <w:sz w:val="17"/>
          <w:szCs w:val="17"/>
          <w:color w:val="auto"/>
        </w:rPr>
        <w:t>We established stock ownership guidelines for our directors and executive officers.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guidelines, the target share ownership levels are two times the annual cash retainer for directors, two times annual salary for the chief executive officer and one times annual salary for other executive officers. Directors (including the Chief Executive Officer) have three years to achieve their targeted level. Executive officers other than the CEO have five years to achieve the targeted level. Shares subject to unexercised options, whether or not vested, will not be counted for purposes of satisfying these guidelines.</w:t>
      </w:r>
    </w:p>
    <w:p>
      <w:pPr>
        <w:spacing w:after="0" w:line="85" w:lineRule="exact"/>
        <w:rPr>
          <w:sz w:val="20"/>
          <w:szCs w:val="20"/>
          <w:color w:val="auto"/>
        </w:rPr>
      </w:pPr>
    </w:p>
    <w:p>
      <w:pPr>
        <w:ind w:left="700" w:right="380" w:firstLine="397"/>
        <w:spacing w:after="0" w:line="265" w:lineRule="auto"/>
        <w:rPr>
          <w:sz w:val="20"/>
          <w:szCs w:val="20"/>
          <w:color w:val="auto"/>
        </w:rPr>
      </w:pPr>
      <w:r>
        <w:rPr>
          <w:rFonts w:ascii="Arial" w:cs="Arial" w:eastAsia="Arial" w:hAnsi="Arial"/>
          <w:sz w:val="18"/>
          <w:szCs w:val="18"/>
          <w:i w:val="1"/>
          <w:iCs w:val="1"/>
          <w:color w:val="auto"/>
        </w:rPr>
        <w:t xml:space="preserve">Board Evaluations. </w:t>
      </w:r>
      <w:r>
        <w:rPr>
          <w:rFonts w:ascii="Arial" w:cs="Arial" w:eastAsia="Arial" w:hAnsi="Arial"/>
          <w:sz w:val="18"/>
          <w:szCs w:val="18"/>
          <w:color w:val="auto"/>
        </w:rPr>
        <w:t>We changed our annual Board evaluation process to provide for annual evaluations of individual directors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directors, as well as evaluations of the functioning of the Board and its committees.</w:t>
      </w:r>
    </w:p>
    <w:p>
      <w:pPr>
        <w:spacing w:after="0" w:line="87" w:lineRule="exact"/>
        <w:rPr>
          <w:sz w:val="20"/>
          <w:szCs w:val="20"/>
          <w:color w:val="auto"/>
        </w:rPr>
      </w:pPr>
    </w:p>
    <w:p>
      <w:pPr>
        <w:ind w:left="700" w:right="660" w:firstLine="397"/>
        <w:spacing w:after="0" w:line="265" w:lineRule="auto"/>
        <w:rPr>
          <w:sz w:val="20"/>
          <w:szCs w:val="20"/>
          <w:color w:val="auto"/>
        </w:rPr>
      </w:pPr>
      <w:r>
        <w:rPr>
          <w:rFonts w:ascii="Arial" w:cs="Arial" w:eastAsia="Arial" w:hAnsi="Arial"/>
          <w:sz w:val="18"/>
          <w:szCs w:val="18"/>
          <w:i w:val="1"/>
          <w:iCs w:val="1"/>
          <w:color w:val="auto"/>
        </w:rPr>
        <w:t xml:space="preserve">Other Directorships. </w:t>
      </w:r>
      <w:r>
        <w:rPr>
          <w:rFonts w:ascii="Arial" w:cs="Arial" w:eastAsia="Arial" w:hAnsi="Arial"/>
          <w:sz w:val="18"/>
          <w:szCs w:val="18"/>
          <w:color w:val="auto"/>
        </w:rPr>
        <w:t>We adopted a policy that no director shall serve on the board of directors of more than four other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w:t>
      </w:r>
    </w:p>
    <w:p>
      <w:pPr>
        <w:spacing w:after="0" w:line="87"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We reconstituted the membership of our Audit Committee, adding Christine King as a member, so that all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audit committee are “audit committee financial experts.”</w:t>
      </w:r>
    </w:p>
    <w:p>
      <w:pPr>
        <w:spacing w:after="0" w:line="87" w:lineRule="exact"/>
        <w:rPr>
          <w:sz w:val="20"/>
          <w:szCs w:val="20"/>
          <w:color w:val="auto"/>
        </w:rPr>
      </w:pPr>
    </w:p>
    <w:p>
      <w:pPr>
        <w:ind w:left="700" w:right="320" w:firstLine="397"/>
        <w:spacing w:after="0" w:line="271" w:lineRule="auto"/>
        <w:rPr>
          <w:sz w:val="20"/>
          <w:szCs w:val="20"/>
          <w:color w:val="auto"/>
        </w:rPr>
      </w:pPr>
      <w:r>
        <w:rPr>
          <w:rFonts w:ascii="Arial" w:cs="Arial" w:eastAsia="Arial" w:hAnsi="Arial"/>
          <w:sz w:val="17"/>
          <w:szCs w:val="17"/>
          <w:i w:val="1"/>
          <w:iCs w:val="1"/>
          <w:color w:val="auto"/>
        </w:rPr>
        <w:t xml:space="preserve">Termination of Stockholder Rights Plan. </w:t>
      </w:r>
      <w:r>
        <w:rPr>
          <w:rFonts w:ascii="Arial" w:cs="Arial" w:eastAsia="Arial" w:hAnsi="Arial"/>
          <w:sz w:val="17"/>
          <w:szCs w:val="17"/>
          <w:color w:val="auto"/>
        </w:rPr>
        <w:t>Our Board voted to terminate our stockholder rights plan (also frequently referred to as a</w:t>
      </w:r>
      <w:r>
        <w:rPr>
          <w:rFonts w:ascii="Arial" w:cs="Arial" w:eastAsia="Arial" w:hAnsi="Arial"/>
          <w:sz w:val="17"/>
          <w:szCs w:val="17"/>
          <w:i w:val="1"/>
          <w:iCs w:val="1"/>
          <w:color w:val="auto"/>
        </w:rPr>
        <w:t xml:space="preserve"> </w:t>
      </w:r>
      <w:r>
        <w:rPr>
          <w:rFonts w:ascii="Arial" w:cs="Arial" w:eastAsia="Arial" w:hAnsi="Arial"/>
          <w:sz w:val="17"/>
          <w:szCs w:val="17"/>
          <w:color w:val="auto"/>
        </w:rPr>
        <w:t>“poison pill”) which was adopted in 1998. Under the terms of our rights plan, the rights became unexercisable upon this Board vote. Pursuant to this termination, Analog will redeem all of the outstanding rights under the stockholder rights plan at a redemption price of $.0005 per right payable on March 15, 2006 to shareholders of record on February 24, 2006.</w:t>
      </w: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and our Code of Business Conduct and Ethics at www.analog.com/governance or by writing 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Determination of Independence</w:t>
      </w:r>
    </w:p>
    <w:p>
      <w:pPr>
        <w:spacing w:after="0" w:line="130"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Under current NYSE rules, a director of Analog only qualifies as “independent” if our Board of Directors affirmatively determines that the director has no material relationship with Analog (either directly or as a partner, shareholder or officer of an organization that has a relationship with Analog). Our Board of Directors has established guidelines to assist it in determining whether a director has a material relationship with Analog. Under these guidelines, a director is not considered to have a material relationship with Analog if he or she is independent under Section 303A.02(b) of the NYSE Listed Company Manual and he or she:</w:t>
      </w:r>
    </w:p>
    <w:p>
      <w:pPr>
        <w:spacing w:after="0" w:line="85" w:lineRule="exact"/>
        <w:rPr>
          <w:sz w:val="20"/>
          <w:szCs w:val="20"/>
          <w:color w:val="auto"/>
        </w:rPr>
      </w:pPr>
    </w:p>
    <w:p>
      <w:pPr>
        <w:ind w:left="1200" w:right="100" w:hanging="111"/>
        <w:spacing w:after="0" w:line="252" w:lineRule="auto"/>
        <w:tabs>
          <w:tab w:leader="none" w:pos="12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an executive officer or an employee, or has an immediate family member who is an executive officer, of a company that makes payments to, or receives payments from, Analog for property or services, unless the amount of such payments or receipts, in any of the three fiscal years preceding the determination, exceeded the greater of $1 million, or two percent (2%) of such other company’s consolidated gross revenues;</w:t>
      </w:r>
    </w:p>
    <w:p>
      <w:pPr>
        <w:spacing w:after="0" w:line="85" w:lineRule="exact"/>
        <w:rPr>
          <w:rFonts w:ascii="Arial" w:cs="Arial" w:eastAsia="Arial" w:hAnsi="Arial"/>
          <w:sz w:val="18"/>
          <w:szCs w:val="18"/>
          <w:color w:val="auto"/>
        </w:rPr>
      </w:pPr>
    </w:p>
    <w:p>
      <w:pPr>
        <w:jc w:val="both"/>
        <w:ind w:left="1200" w:right="100" w:hanging="111"/>
        <w:spacing w:after="0" w:line="255"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Analog, or to which Analog is indebted, unless the total amount of either company’s indebtedness to the other is more than five percent (5%) of the total consolidated assets of the company for which he or she serves as an executive officer;</w:t>
      </w:r>
    </w:p>
    <w:p>
      <w:pPr>
        <w:spacing w:after="0" w:line="82" w:lineRule="exact"/>
        <w:rPr>
          <w:rFonts w:ascii="Arial" w:cs="Arial" w:eastAsia="Arial" w:hAnsi="Arial"/>
          <w:sz w:val="18"/>
          <w:szCs w:val="18"/>
          <w:color w:val="auto"/>
        </w:rPr>
      </w:pPr>
    </w:p>
    <w:p>
      <w:pPr>
        <w:ind w:left="1200" w:right="80" w:hanging="111"/>
        <w:spacing w:after="0" w:line="255"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is a director of another company that does business with Analog,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he or she owns less than five percent (5%) of the outstanding capital stock of the other company and recuses himself or herself from any deliberations of Analog with respect to such other company; or</w:t>
      </w:r>
    </w:p>
    <w:p>
      <w:pPr>
        <w:spacing w:after="0" w:line="82" w:lineRule="exact"/>
        <w:rPr>
          <w:rFonts w:ascii="Arial" w:cs="Arial" w:eastAsia="Arial" w:hAnsi="Arial"/>
          <w:sz w:val="18"/>
          <w:szCs w:val="18"/>
          <w:color w:val="auto"/>
        </w:rPr>
      </w:pPr>
    </w:p>
    <w:p>
      <w:pPr>
        <w:ind w:left="1200" w:right="60" w:hanging="111"/>
        <w:spacing w:after="0" w:line="255"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serves as an executive officer of a charitable organization, unless Analog’s charitable contributions to the organization, in any of the three fiscal years preceding the determination, exceeded the greater of $1 million, or 2% of such charitable organization’s consolidated gross 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Ownership of a significant amount of Analog’s stock, by itself, does not constitute a material relationship.</w:t>
      </w:r>
    </w:p>
    <w:p>
      <w:pPr>
        <w:spacing w:after="0" w:line="124" w:lineRule="exact"/>
        <w:rPr>
          <w:sz w:val="20"/>
          <w:szCs w:val="20"/>
          <w:color w:val="auto"/>
        </w:rPr>
      </w:pPr>
    </w:p>
    <w:p>
      <w:pPr>
        <w:ind w:left="700" w:right="60" w:firstLine="397"/>
        <w:spacing w:after="0" w:line="265"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 (as defined above).</w:t>
      </w:r>
    </w:p>
    <w:p>
      <w:pPr>
        <w:spacing w:after="0" w:line="87" w:lineRule="exact"/>
        <w:rPr>
          <w:sz w:val="20"/>
          <w:szCs w:val="20"/>
          <w:color w:val="auto"/>
        </w:rPr>
      </w:pPr>
    </w:p>
    <w:p>
      <w:pPr>
        <w:ind w:left="700" w:firstLine="397"/>
        <w:spacing w:after="0" w:line="309" w:lineRule="auto"/>
        <w:rPr>
          <w:sz w:val="20"/>
          <w:szCs w:val="20"/>
          <w:color w:val="auto"/>
        </w:rPr>
      </w:pPr>
      <w:r>
        <w:rPr>
          <w:rFonts w:ascii="Arial" w:cs="Arial" w:eastAsia="Arial" w:hAnsi="Arial"/>
          <w:sz w:val="15"/>
          <w:szCs w:val="15"/>
          <w:color w:val="auto"/>
        </w:rPr>
        <w:t>Our Board of Directors has determined that each of Messrs. Champy, Doyle, Hodgson, Saviers, Severino, Sicchitano and Thurow and Ms. King is “independent” within the meaning of Section 303A.02(b) of the NYSE Listed Company Manual. Each of these directors has no relationship with Analog, other than any relationship that is categorically not material under the guidelines shown above and other than as disclosed in this proxy statement under “Directors Compensation” and “Certain Relationships and Related Transactions.” The Board has determined that the relationships described in this proxy statement do not preclude a determination of independence because the amounts involved are not material and will not impair the applicable director’s ability to render independent judgment.</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Candidates</w:t>
      </w:r>
    </w:p>
    <w:p>
      <w:pPr>
        <w:spacing w:after="0" w:line="13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Shareholders of record of Analog may recommend director candidates for inclusion by the Board of Directors in the slate of nominees which the Board recommends to our shareholders for election. The qualifications of recommended candidates will be reviewed by the Nominating and Corporate Governance Committee. If the Board</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320"/>
        <w:spacing w:after="0" w:line="366" w:lineRule="auto"/>
        <w:rPr>
          <w:sz w:val="20"/>
          <w:szCs w:val="20"/>
          <w:color w:val="auto"/>
        </w:rPr>
      </w:pPr>
      <w:r>
        <w:rPr>
          <w:rFonts w:ascii="Arial" w:cs="Arial" w:eastAsia="Arial" w:hAnsi="Arial"/>
          <w:sz w:val="15"/>
          <w:szCs w:val="15"/>
          <w:color w:val="auto"/>
        </w:rPr>
        <w:t>determines to nominate a shareholder-recommended candidate and recommends his or her election as a director by the shareholders, the name will be included in Analog’s proxy card for the shareholders meeting at which his or her election is recommended.</w:t>
      </w:r>
    </w:p>
    <w:p>
      <w:pPr>
        <w:spacing w:after="0" w:line="18"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Analog’s common stock for at least one year as of the date such recommendation is made, to the “Analog Devices Nominating and Corporate Governance Committee” c/o Analog Devices Corporate Counsel, Analog Devices, Inc., One Technology Way, PO Box 9106, Norwood, MA 02062. The Nominating and Corporate Governance Committee will consider a recommendation only if appropriate biographical information and background material is provided on a timely basis. 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92" w:lineRule="exact"/>
        <w:rPr>
          <w:sz w:val="20"/>
          <w:szCs w:val="20"/>
          <w:color w:val="auto"/>
        </w:rPr>
      </w:pPr>
    </w:p>
    <w:p>
      <w:pPr>
        <w:ind w:left="700" w:right="260" w:firstLine="397"/>
        <w:spacing w:after="0" w:line="318" w:lineRule="auto"/>
        <w:rPr>
          <w:sz w:val="20"/>
          <w:szCs w:val="20"/>
          <w:color w:val="auto"/>
        </w:rPr>
      </w:pPr>
      <w:r>
        <w:rPr>
          <w:rFonts w:ascii="Arial" w:cs="Arial" w:eastAsia="Arial" w:hAnsi="Arial"/>
          <w:sz w:val="15"/>
          <w:szCs w:val="15"/>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5"/>
          <w:szCs w:val="15"/>
          <w:b w:val="1"/>
          <w:bCs w:val="1"/>
          <w:color w:val="auto"/>
        </w:rPr>
        <w:t>“How and when may I submit a shareholder proposal, including a shareholder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nomination for director, for the 2007 annual meeting?” </w:t>
      </w:r>
      <w:r>
        <w:rPr>
          <w:rFonts w:ascii="Arial" w:cs="Arial" w:eastAsia="Arial" w:hAnsi="Arial"/>
          <w:sz w:val="15"/>
          <w:szCs w:val="15"/>
          <w:color w:val="auto"/>
        </w:rPr>
        <w:t>contained elsewhere in this proxy statement.</w:t>
      </w:r>
    </w:p>
    <w:p>
      <w:pPr>
        <w:spacing w:after="0" w:line="54" w:lineRule="exact"/>
        <w:rPr>
          <w:sz w:val="20"/>
          <w:szCs w:val="20"/>
          <w:color w:val="auto"/>
        </w:rPr>
      </w:pPr>
    </w:p>
    <w:p>
      <w:pPr>
        <w:ind w:left="700" w:right="160" w:firstLine="397"/>
        <w:spacing w:after="0" w:line="307" w:lineRule="auto"/>
        <w:rPr>
          <w:sz w:val="20"/>
          <w:szCs w:val="20"/>
          <w:color w:val="auto"/>
        </w:rPr>
      </w:pPr>
      <w:r>
        <w:rPr>
          <w:rFonts w:ascii="Arial" w:cs="Arial" w:eastAsia="Arial" w:hAnsi="Arial"/>
          <w:sz w:val="15"/>
          <w:szCs w:val="15"/>
          <w:color w:val="auto"/>
        </w:rPr>
        <w:t>In considering whether to recommend any candidate for inclusion in the Board’s slate of recommended director nominees, including candidates recommended by shareholders, the Nominating and Corporate Governance Committee will apply the criteria set forth in Analog’s Corporate Governance Guidelines. These criteria include the candidate’s integrity, business acumen, age, experience, commitment, diligence, conflicts of interest and the ability to act in the interests of all shareholders. The Nominating and Corporate Governance Committee does not assign specific weights to particular criteria and no particular criterion is necessarily applicable to all prospective nominees. Analog believes that the backgrounds and qualifications of the directors, considered as a group, should provide a significant composite mix of experience, knowledge and abilities that will allow the Board to fulfill its responsibilities.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130"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Analog’s internal legal counsel, (1) be primarily responsible for monitoring communications from shareholders and other interested parties and (2) provide copies or summaries of such communications to the other directors as he considers appropriate.</w:t>
      </w:r>
    </w:p>
    <w:p>
      <w:pPr>
        <w:spacing w:after="0" w:line="85" w:lineRule="exact"/>
        <w:rPr>
          <w:sz w:val="20"/>
          <w:szCs w:val="20"/>
          <w:color w:val="auto"/>
        </w:rPr>
      </w:pPr>
    </w:p>
    <w:p>
      <w:pPr>
        <w:ind w:left="700" w:right="180" w:firstLine="397"/>
        <w:spacing w:after="0" w:line="318" w:lineRule="auto"/>
        <w:rPr>
          <w:sz w:val="20"/>
          <w:szCs w:val="20"/>
          <w:color w:val="auto"/>
        </w:rPr>
      </w:pPr>
      <w:r>
        <w:rPr>
          <w:rFonts w:ascii="Arial" w:cs="Arial" w:eastAsia="Arial" w:hAnsi="Arial"/>
          <w:sz w:val="15"/>
          <w:szCs w:val="15"/>
          <w:color w:val="auto"/>
        </w:rPr>
        <w:t>Communications will be forwarded to all directors if they relate to substantive matters and include suggestions or comments that the Chairman of the Nominating and Corporate Governance Committee considers to be important for the directors to know. In general, communications relating to corporate governance and long-term corporate strategy are more likely to be forwarded than communications relating to personal grievances and matters as to which Analog tends to receive repetitive or duplicative communications.</w:t>
      </w:r>
    </w:p>
    <w:p>
      <w:pPr>
        <w:spacing w:after="0" w:line="54"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7"/>
          <w:szCs w:val="17"/>
          <w:color w:val="auto"/>
        </w:rPr>
        <w:t>Shareholders and other interested parties who wish to send communications on any topic to the Board should address such communications to John L. Doyle, Chairman of the Nominating and Corporate Governance Committee, c/o Analog Devices Corporate Counsel, Analog Devices, Inc., One Technology Way, PO Box 9106, Norwood, MA 02062.</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30" w:lineRule="exact"/>
        <w:rPr>
          <w:sz w:val="20"/>
          <w:szCs w:val="20"/>
          <w:color w:val="auto"/>
        </w:rPr>
      </w:pPr>
    </w:p>
    <w:p>
      <w:pPr>
        <w:ind w:left="700" w:right="60" w:firstLine="397"/>
        <w:spacing w:after="0" w:line="305" w:lineRule="auto"/>
        <w:rPr>
          <w:sz w:val="20"/>
          <w:szCs w:val="20"/>
          <w:color w:val="auto"/>
        </w:rPr>
      </w:pPr>
      <w:r>
        <w:rPr>
          <w:rFonts w:ascii="Arial" w:cs="Arial" w:eastAsia="Arial" w:hAnsi="Arial"/>
          <w:sz w:val="15"/>
          <w:szCs w:val="15"/>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shareholders. Subject to oversight by the Nominating and Corporate Governance Committee, the Board selects, evaluates and provides for the succession of executive officers and the Board nominates for election at annual shareholder meetings individuals to serve as directors of Analog Devices and elects individuals to fill any vacancies on the Board. It reviews and approves corporate objectives and strategies, and evaluates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63" w:lineRule="exact"/>
        <w:rPr>
          <w:sz w:val="20"/>
          <w:szCs w:val="20"/>
          <w:color w:val="auto"/>
        </w:rPr>
      </w:pPr>
    </w:p>
    <w:p>
      <w:pPr>
        <w:ind w:left="700" w:right="180" w:firstLine="397"/>
        <w:spacing w:after="0" w:line="305" w:lineRule="auto"/>
        <w:rPr>
          <w:sz w:val="20"/>
          <w:szCs w:val="20"/>
          <w:color w:val="auto"/>
        </w:rPr>
      </w:pPr>
      <w:r>
        <w:rPr>
          <w:rFonts w:ascii="Arial" w:cs="Arial" w:eastAsia="Arial" w:hAnsi="Arial"/>
          <w:sz w:val="15"/>
          <w:szCs w:val="15"/>
          <w:color w:val="auto"/>
        </w:rPr>
        <w:t>The Board of Directors met 13 times in fiscal 2005 (including eight teleconference meetings). During fiscal 2005, each of our directors who served as a director during fiscal year 2005 attended 75% or more of the total number of meetings of the Board of Directors and the committees of which such director was a member during the period of time which he or she served on such committee, except for Mr. Thurow, who for health reasons attended 39%, and Mr. Hodgson who joined the Board late in the year and attended 50%.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meeting at which their compensation is evaluated. All members of all committees are non-employee directors.</w:t>
      </w:r>
    </w:p>
    <w:p>
      <w:pPr>
        <w:spacing w:after="0" w:line="63" w:lineRule="exact"/>
        <w:rPr>
          <w:sz w:val="20"/>
          <w:szCs w:val="20"/>
          <w:color w:val="auto"/>
        </w:rPr>
      </w:pPr>
    </w:p>
    <w:p>
      <w:pPr>
        <w:ind w:left="700" w:right="560" w:firstLine="397"/>
        <w:spacing w:after="0" w:line="265" w:lineRule="auto"/>
        <w:rPr>
          <w:sz w:val="20"/>
          <w:szCs w:val="20"/>
          <w:color w:val="auto"/>
        </w:rPr>
      </w:pPr>
      <w:r>
        <w:rPr>
          <w:rFonts w:ascii="Arial" w:cs="Arial" w:eastAsia="Arial" w:hAnsi="Arial"/>
          <w:sz w:val="18"/>
          <w:szCs w:val="18"/>
          <w:color w:val="auto"/>
        </w:rPr>
        <w:t>Our Board of Directors has appointed Mr. Doyle “presiding director” to preside at all executive sessions of “non-management” directors, as defined under the rules of the NYSE.</w:t>
      </w:r>
    </w:p>
    <w:p>
      <w:pPr>
        <w:spacing w:after="0" w:line="87"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Our Corporate Governance Guidelines set forth our policy that directors should attend annual meetings of shareholders. Eight of our ten directors were directors at the time of our 2005 annual meeting of shareholders and six of them attended the 2005 annual meeting of shareholders.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Audit Committee</w:t>
      </w:r>
    </w:p>
    <w:p>
      <w:pPr>
        <w:spacing w:after="0" w:line="12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The current members of our Audit Committee are Messrs. Sicchitano (Chair) and Doyle and Ms. King. The Board of Directors has determined that each of Messrs. Sicchitano and Doyle and Ms. King qualifies as an “audit committee financial expert” under the rules of the SEC. Each of Messrs. Sicchitano and Doyle and Ms. King is an “independent director” under the rules of the NYSE governing the qualifications of the members of audit committees and Rule 10A-3(b)(1) of the Exchange Act. In addition, our Board of Directors has determined that each member of the Audit Committee is financially literate and that each of Messrs. Sicchitano and Doyle and Ms. King has accounting and/or related financial management expertise as required under the rules of the NYSE. None of Messrs. Sicchitano or Doyle or Ms. King serves on the audit committees of more than two other public companies. The Audit Committee met ten times during fiscal 2005 (including six teleconference meetings). The responsibilities of our Audit Committee and its activities during fiscal 2005 are described in the Report of the Audit Committee contained in this proxy statement.</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Compensation Committee</w:t>
      </w:r>
    </w:p>
    <w:p>
      <w:pPr>
        <w:spacing w:after="0" w:line="124" w:lineRule="exact"/>
        <w:rPr>
          <w:sz w:val="20"/>
          <w:szCs w:val="20"/>
          <w:color w:val="auto"/>
        </w:rPr>
      </w:pPr>
    </w:p>
    <w:p>
      <w:pPr>
        <w:ind w:left="700" w:right="100" w:firstLine="397"/>
        <w:spacing w:after="0" w:line="305" w:lineRule="auto"/>
        <w:rPr>
          <w:sz w:val="20"/>
          <w:szCs w:val="20"/>
          <w:color w:val="auto"/>
        </w:rPr>
      </w:pPr>
      <w:r>
        <w:rPr>
          <w:rFonts w:ascii="Arial" w:cs="Arial" w:eastAsia="Arial" w:hAnsi="Arial"/>
          <w:sz w:val="15"/>
          <w:szCs w:val="15"/>
          <w:color w:val="auto"/>
        </w:rPr>
        <w:t>The current members of the Compensation Committee are Messrs. Saviers (Chair), Champy and Severino. The Board has determined that each of Messrs. Saviers, Champy and Severino is independent as defined under the rules of the NYSE. Our Compensation Committee held six meetings (including one teleconference meeting) during fiscal 2005. The Compensation Committee evaluates and sets the compensation of our Chief Executive Officer and makes recommendations to our Board of Directors regarding the salaries and bonuses of our other executive officers and the compensation of our directors. The Compensation Committee oversees the evaluation of management by the Board of Directors. In connection with its oversight and administration of ADI’s cash and equity incentive plans, the Compensation Committee grants stock options and other stock incentives (within guidelines established by our Board of Directors) to our officers and employees. The responsibilities of our Compensation Committee and its</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activities during fiscal 2005 are described in the Report of the Compensation Committee contained in this proxy statement.</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24"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color w:val="auto"/>
        </w:rPr>
        <w:t>The current members of the Nominating and Corporate Governance Committee are Messrs. Doyle (Chair), Hodgson and Thurow. The Board has determined that each of Messrs. Doyle, Hodgson and Thurow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annual review of succession planning with respect to senior executives. The Nominating and Corporate Governance Committee has the authority to engage such independent legal and other 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 The Committee did not retain any such advisers during fiscal year 2005. For information relating to nominations of directors by our shareholders, see “— Director Candidates” above. Our Nominating and Corporate Governance Committee held four meetings during fiscal year 2005.</w:t>
      </w:r>
    </w:p>
    <w:p>
      <w:pPr>
        <w:spacing w:after="0" w:line="3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0"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The Audit Committee of the Board of Directors is responsible for providing independent, objective oversight of Analog’s accounting functions and internal controls. Management has the primary responsibility for the financial statements and the reporting process, including the system of internal controls. The Audit Committee oversees our financial reporting process on behalf of our Board of Directors, reviews our financial disclosures, and meets privately, outside the presence of our management, with our independent auditors to discuss our internal accounting control policies and procedures. In fulfilling its oversight responsibilities, the Audit Committee reviewed and discussed with management the audited financial statements contained in the Annual Report on Form 10-K and the quarterly financial statements during fiscal 2005, including the specific disclosures in the section titled “Management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reports on these meetings to our Board of Directors. The Audit Committee also selects and appoints our independent auditors, reviews the performance of the independent auditors in the annual audit and in assignments unrelated to the audit, and reviews and approves the independent auditors’ fees. The Audit Committee operates under a written charter adopted by our Board of Directors.</w:t>
      </w:r>
    </w:p>
    <w:p>
      <w:pPr>
        <w:spacing w:after="0" w:line="278" w:lineRule="exact"/>
        <w:rPr>
          <w:sz w:val="20"/>
          <w:szCs w:val="20"/>
          <w:color w:val="auto"/>
        </w:rPr>
      </w:pPr>
    </w:p>
    <w:p>
      <w:pPr>
        <w:ind w:left="700" w:right="80" w:firstLine="397"/>
        <w:spacing w:after="0" w:line="267" w:lineRule="auto"/>
        <w:rPr>
          <w:sz w:val="20"/>
          <w:szCs w:val="20"/>
          <w:color w:val="auto"/>
        </w:rPr>
      </w:pPr>
      <w:r>
        <w:rPr>
          <w:rFonts w:ascii="Arial" w:cs="Arial" w:eastAsia="Arial" w:hAnsi="Arial"/>
          <w:sz w:val="17"/>
          <w:szCs w:val="17"/>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and Doyle and Ms. King qualifies as an “audit committee financial expert” under the rules of the Securities and Exchange Commission. In addition, the Board of Directors has determined that each member of the Audit Committee is financially literate and that each of Messrs. Sicchitano and Doyle and Ms. King has accounting and/or related financial management expertise as required under the rules of the NYSE.</w:t>
      </w:r>
    </w:p>
    <w:p>
      <w:pPr>
        <w:spacing w:after="0" w:line="87" w:lineRule="exact"/>
        <w:rPr>
          <w:sz w:val="20"/>
          <w:szCs w:val="20"/>
          <w:color w:val="auto"/>
        </w:rPr>
      </w:pPr>
    </w:p>
    <w:p>
      <w:pPr>
        <w:ind w:left="700" w:right="140" w:firstLine="397"/>
        <w:spacing w:after="0" w:line="252" w:lineRule="auto"/>
        <w:rPr>
          <w:sz w:val="20"/>
          <w:szCs w:val="20"/>
          <w:color w:val="auto"/>
        </w:rPr>
      </w:pPr>
      <w:r>
        <w:rPr>
          <w:rFonts w:ascii="Arial" w:cs="Arial" w:eastAsia="Arial" w:hAnsi="Arial"/>
          <w:sz w:val="18"/>
          <w:szCs w:val="18"/>
          <w:color w:val="auto"/>
        </w:rPr>
        <w:t>The Audit Committee held ten meetings (including six teleconference meetings) during the fiscal year ended October 29, 2005. The meetings were designed to facilitate and encourage communication between members of the Audit Committee and management as well as private communication between the members of the Audit Committee, our internal auditor and our independent auditors, Ernst &amp; Young LLP.</w:t>
      </w:r>
    </w:p>
    <w:p>
      <w:pPr>
        <w:spacing w:after="0" w:line="99" w:lineRule="exact"/>
        <w:rPr>
          <w:sz w:val="20"/>
          <w:szCs w:val="20"/>
          <w:color w:val="auto"/>
        </w:rPr>
      </w:pPr>
    </w:p>
    <w:p>
      <w:pPr>
        <w:jc w:val="both"/>
        <w:ind w:left="700" w:firstLine="397"/>
        <w:spacing w:after="0" w:line="255" w:lineRule="auto"/>
        <w:rPr>
          <w:sz w:val="20"/>
          <w:szCs w:val="20"/>
          <w:color w:val="auto"/>
        </w:rPr>
      </w:pPr>
      <w:r>
        <w:rPr>
          <w:rFonts w:ascii="Arial" w:cs="Arial" w:eastAsia="Arial" w:hAnsi="Arial"/>
          <w:sz w:val="18"/>
          <w:szCs w:val="18"/>
          <w:color w:val="auto"/>
        </w:rPr>
        <w:t>The Audit Committee reviewed with the independent auditors, who are responsible for expressing an opinion on the conformity of the audited financial statements with generally accepted accounting principles, their judgments as to the quality, not just the acceptability, of our accounting principles and such other matters as</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60"/>
        <w:spacing w:after="0" w:line="249" w:lineRule="auto"/>
        <w:rPr>
          <w:sz w:val="20"/>
          <w:szCs w:val="20"/>
          <w:color w:val="auto"/>
        </w:rPr>
      </w:pPr>
      <w:r>
        <w:rPr>
          <w:rFonts w:ascii="Arial" w:cs="Arial" w:eastAsia="Arial" w:hAnsi="Arial"/>
          <w:sz w:val="18"/>
          <w:szCs w:val="18"/>
          <w:color w:val="auto"/>
        </w:rPr>
        <w:t>are required to be discussed with the Audit Committee under generally accepted auditing standards. In addition, the Audit Committee has discussed with the independent auditors (i) the matters required to be discussed by SAS 61 (Codification of Statements on Auditing Standards, AU§380), and (ii) the auditors’ independence from Analog Devices and its management, including the matters in the written disclosures we received from the auditors as required by Independence Standards Board Standard No. 1, “Independence Discussions with Audit Committees,” and considered the compatibility of the provision of non-audit services by the independent auditors with the auditors’ independence.</w:t>
      </w:r>
    </w:p>
    <w:p>
      <w:pPr>
        <w:spacing w:after="0" w:line="104"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Based on its review and discussions, the Audit Committee recommended to our Board of Directors (and the Board of Directors has approved) that our audited financial statements be included in our Annual Report on Form 10-K for the fiscal year ended October 29, 2005. The Audit Committee and Board of Directors also have recommended, subject to ratification by the shareholders, the selection of Ernst &amp; Young LLP as our independent auditors for the fiscal year ending October 28, 2006.</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L. Doyle</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Lester C. Thurow</w:t>
      </w:r>
    </w:p>
    <w:p>
      <w:pPr>
        <w:spacing w:after="0" w:line="113" w:lineRule="exact"/>
        <w:rPr>
          <w:sz w:val="20"/>
          <w:szCs w:val="20"/>
          <w:color w:val="auto"/>
        </w:rPr>
      </w:pPr>
    </w:p>
    <w:p>
      <w:pPr>
        <w:ind w:left="880" w:right="80" w:hanging="189"/>
        <w:spacing w:after="0" w:line="265"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Thurow was a member of the Audit Committee at the time of the recommendation referred to above. Subsequently, in January 2006, Christine King began, and Mr. Thurow ceased, serving on the Audit Committee.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30"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October 29, 2005 and October 30, 2004.</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Fiscal 2005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2004</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76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1,928,000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4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3,008,000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2,565,000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Audit Fees</w:t>
      </w:r>
    </w:p>
    <w:p>
      <w:pPr>
        <w:spacing w:after="0" w:line="124" w:lineRule="exact"/>
        <w:rPr>
          <w:sz w:val="20"/>
          <w:szCs w:val="20"/>
          <w:color w:val="auto"/>
        </w:rPr>
      </w:pPr>
    </w:p>
    <w:p>
      <w:pPr>
        <w:ind w:left="700" w:right="120" w:firstLine="397"/>
        <w:spacing w:after="0" w:line="250" w:lineRule="auto"/>
        <w:rPr>
          <w:sz w:val="20"/>
          <w:szCs w:val="20"/>
          <w:color w:val="auto"/>
        </w:rPr>
      </w:pPr>
      <w:r>
        <w:rPr>
          <w:rFonts w:ascii="Arial" w:cs="Arial" w:eastAsia="Arial" w:hAnsi="Arial"/>
          <w:sz w:val="18"/>
          <w:szCs w:val="18"/>
          <w:color w:val="auto"/>
        </w:rPr>
        <w:t>These are fees related to professional services rendered in connection with the audit of our annual financial statements, the audit of management’s assessment of our internal control over financial reporting and Ernst &amp; Young’s own audit of our internal control over financial reporting, the reviews of the financial statements included in each of our Quarterly Reports on Form 10-Q, international statutory audits, and accounting consultations that relate to the audited financial statements and are necessary to comply with generally accepted auditing standards.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Audit-Related Fees</w:t>
      </w:r>
    </w:p>
    <w:p>
      <w:pPr>
        <w:spacing w:after="0" w:line="124" w:lineRule="exact"/>
        <w:rPr>
          <w:sz w:val="20"/>
          <w:szCs w:val="20"/>
          <w:color w:val="auto"/>
        </w:rPr>
      </w:pPr>
    </w:p>
    <w:p>
      <w:pPr>
        <w:ind w:left="700" w:right="620" w:firstLine="397"/>
        <w:spacing w:after="0" w:line="265" w:lineRule="auto"/>
        <w:rPr>
          <w:sz w:val="20"/>
          <w:szCs w:val="20"/>
          <w:color w:val="auto"/>
        </w:rPr>
      </w:pPr>
      <w:r>
        <w:rPr>
          <w:rFonts w:ascii="Arial" w:cs="Arial" w:eastAsia="Arial" w:hAnsi="Arial"/>
          <w:sz w:val="18"/>
          <w:szCs w:val="18"/>
          <w:color w:val="auto"/>
        </w:rPr>
        <w:t>These are fees for assurance and related services and consisted primarily of specific internal control process reviews, audits of employee benefit plans, and consultations regarding accounting and financial reporting.</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Tax Fees</w:t>
      </w:r>
    </w:p>
    <w:p>
      <w:pPr>
        <w:spacing w:after="0" w:line="124" w:lineRule="exact"/>
        <w:rPr>
          <w:sz w:val="20"/>
          <w:szCs w:val="20"/>
          <w:color w:val="auto"/>
        </w:rPr>
      </w:pPr>
    </w:p>
    <w:p>
      <w:pPr>
        <w:ind w:left="700" w:right="440" w:firstLine="397"/>
        <w:spacing w:after="0" w:line="330" w:lineRule="auto"/>
        <w:rPr>
          <w:sz w:val="20"/>
          <w:szCs w:val="20"/>
          <w:color w:val="auto"/>
        </w:rPr>
      </w:pPr>
      <w:r>
        <w:rPr>
          <w:rFonts w:ascii="Arial" w:cs="Arial" w:eastAsia="Arial" w:hAnsi="Arial"/>
          <w:sz w:val="15"/>
          <w:szCs w:val="15"/>
          <w:color w:val="auto"/>
        </w:rPr>
        <w:t>These are fees for professional services related to tax return preparation services for our expatriates, international tax returns, tax advice and assistance with international tax audits. Included in this amount are fees of $427,000 for tax compliance services for our international affiliates and tax return preparation services for our expatriate employees on international assignments.</w:t>
      </w:r>
    </w:p>
    <w:p>
      <w:pPr>
        <w:spacing w:after="0" w:line="3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124" w:lineRule="exact"/>
        <w:rPr>
          <w:sz w:val="20"/>
          <w:szCs w:val="20"/>
          <w:color w:val="auto"/>
        </w:rPr>
      </w:pPr>
    </w:p>
    <w:p>
      <w:pPr>
        <w:ind w:left="700" w:right="140" w:firstLine="397"/>
        <w:spacing w:after="0" w:line="298" w:lineRule="auto"/>
        <w:rPr>
          <w:sz w:val="20"/>
          <w:szCs w:val="20"/>
          <w:color w:val="auto"/>
        </w:rPr>
      </w:pPr>
      <w:r>
        <w:rPr>
          <w:rFonts w:ascii="Arial" w:cs="Arial" w:eastAsia="Arial" w:hAnsi="Arial"/>
          <w:sz w:val="15"/>
          <w:szCs w:val="15"/>
          <w:color w:val="auto"/>
        </w:rPr>
        <w:t>The Audit Committee of our Board of Directors has adopted policies and procedures for the pre-approval of audit and non-audit services for the purpose of maintaining the independence of our independent auditors. We may not engage our independent auditors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by the independent auditors during the following</w:t>
      </w:r>
    </w:p>
    <w:p>
      <w:pPr>
        <w:spacing w:after="0" w:line="1" w:lineRule="exact"/>
        <w:rPr>
          <w:sz w:val="20"/>
          <w:szCs w:val="20"/>
          <w:color w:val="auto"/>
        </w:rPr>
      </w:pPr>
    </w:p>
    <w:p>
      <w:pPr>
        <w:ind w:left="700" w:right="100"/>
        <w:spacing w:after="0" w:line="308" w:lineRule="auto"/>
        <w:rPr>
          <w:sz w:val="20"/>
          <w:szCs w:val="20"/>
          <w:color w:val="auto"/>
        </w:rPr>
      </w:pPr>
      <w:r>
        <w:rPr>
          <w:rFonts w:ascii="Arial" w:cs="Arial" w:eastAsia="Arial" w:hAnsi="Arial"/>
          <w:sz w:val="15"/>
          <w:szCs w:val="15"/>
          <w:color w:val="auto"/>
        </w:rPr>
        <w:t>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auditors must report to the Audit Committee regarding each service actually provided to Analog.</w:t>
      </w:r>
    </w:p>
    <w:p>
      <w:pPr>
        <w:spacing w:after="0" w:line="62"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If the cost of any service exceeds the pre-approved monetary limit, such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such individual items does not exceed $40,000 and an update of all items in this category is provided to the Audit Committee at each quarterly scheduled meeting. However, if the cost of all such individual items will exceed $40,000, the Chairman of the Audit Committee must receive a summary of such items with a request for approval of any amounts to be incurred in excess of $40,000.</w:t>
      </w:r>
    </w:p>
    <w:p>
      <w:pPr>
        <w:spacing w:after="0" w:line="88" w:lineRule="exact"/>
        <w:rPr>
          <w:sz w:val="20"/>
          <w:szCs w:val="20"/>
          <w:color w:val="auto"/>
        </w:rPr>
      </w:pPr>
    </w:p>
    <w:p>
      <w:pPr>
        <w:jc w:val="both"/>
        <w:ind w:left="700" w:right="80" w:firstLine="397"/>
        <w:spacing w:after="0" w:line="252"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by the independent registered public accounting firm for which the cost is less than $100,000. During fiscal year 2005, no services were provided to Analog by Ernst &amp; Young LLP other than in accordance with the pre-approval policies and procedures described above.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 Compensation</w:t>
      </w:r>
    </w:p>
    <w:p>
      <w:pPr>
        <w:spacing w:after="0" w:line="130" w:lineRule="exact"/>
        <w:rPr>
          <w:sz w:val="20"/>
          <w:szCs w:val="20"/>
          <w:color w:val="auto"/>
        </w:rPr>
      </w:pPr>
    </w:p>
    <w:p>
      <w:pPr>
        <w:ind w:left="700" w:right="380" w:firstLine="397"/>
        <w:spacing w:after="0" w:line="330" w:lineRule="auto"/>
        <w:rPr>
          <w:sz w:val="20"/>
          <w:szCs w:val="20"/>
          <w:color w:val="auto"/>
        </w:rPr>
      </w:pPr>
      <w:r>
        <w:rPr>
          <w:rFonts w:ascii="Arial" w:cs="Arial" w:eastAsia="Arial" w:hAnsi="Arial"/>
          <w:sz w:val="15"/>
          <w:szCs w:val="15"/>
          <w:color w:val="auto"/>
        </w:rPr>
        <w:t>Messrs. Fishman and Stata were the only directors during fiscal 2005 that were also employees of Analog. Mr. Fishman’s compensation is included in the Summary Compensation Table on page 19 and Mr. Stata’s compensation is included under “— Certain Relationships and Related Transactions.” The following is a summary of the compensation paid to non-employee directors: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Fees</w:t>
      </w:r>
    </w:p>
    <w:p>
      <w:pPr>
        <w:spacing w:after="0" w:line="124" w:lineRule="exact"/>
        <w:rPr>
          <w:sz w:val="20"/>
          <w:szCs w:val="20"/>
          <w:color w:val="auto"/>
        </w:rPr>
      </w:pPr>
    </w:p>
    <w:p>
      <w:pPr>
        <w:ind w:left="700" w:right="100" w:firstLine="397"/>
        <w:spacing w:after="0" w:line="269" w:lineRule="auto"/>
        <w:rPr>
          <w:sz w:val="20"/>
          <w:szCs w:val="20"/>
          <w:color w:val="auto"/>
        </w:rPr>
      </w:pPr>
      <w:r>
        <w:rPr>
          <w:rFonts w:ascii="Arial" w:cs="Arial" w:eastAsia="Arial" w:hAnsi="Arial"/>
          <w:sz w:val="17"/>
          <w:szCs w:val="17"/>
          <w:color w:val="auto"/>
        </w:rPr>
        <w:t>During fiscal year 2005, we paid each non-employee director an annual retainer of $40,000. We also paid an annual retainer of $10,000 to the Chairs of each of the Audit Committee, Compensation Committee and the Nominating and Corporate Governance Committee. We also reimburse our directors for travel and other related expenses. Each director can elect to defer receipt of his or her fees, and, prior to January 1, 2005, the proceeds from the exercise of certain stock options, under our Deferred Compensation Plan. See “Information About Executive Compensation — Deferred Compensation Plan.”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 Options</w:t>
      </w:r>
    </w:p>
    <w:p>
      <w:pPr>
        <w:spacing w:after="0" w:line="124"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We grant to each non-employee director annually a stock option to purchase shares of our common stock at an exercise price per share equal to the fair market value per share on the date of grant. These grants are made on the same date as annual grants are made to our executive officers. The options are exercisable, subject to continued service on our Board of Directors, in three equal annual installments on each of the first, second and third anniversaries of the grant date. In accordance with this policy, on December 7, 2004, we granted to each non-employee director options for the purchase of 18,000 shares of our common stock at an exercise price of $37.70 per share.</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For fiscal 2006, the Board revised its policy to reduce the annual director grants from 18,000 to 15,000 shares, consistent with the reduction in option grants to officers and employees. Accordingly, on December 6, 2005, we granted stock options to each non-employee director for the purchase of 15,000 shares of our common stock at an exercise price of $39.44 per share, with the exception of Mr. Hodgson, who received a pro-rated annual option grant of 3,750 shares because he had received a grant of an option for 18,000 shares upon joining the Board in September 2005.</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0" w:lineRule="exact"/>
        <w:rPr>
          <w:sz w:val="20"/>
          <w:szCs w:val="20"/>
          <w:color w:val="auto"/>
        </w:rPr>
      </w:pPr>
    </w:p>
    <w:p>
      <w:pPr>
        <w:ind w:left="700" w:right="140" w:firstLine="397"/>
        <w:spacing w:after="0" w:line="269" w:lineRule="auto"/>
        <w:rPr>
          <w:sz w:val="20"/>
          <w:szCs w:val="20"/>
          <w:color w:val="auto"/>
        </w:rPr>
      </w:pPr>
      <w:r>
        <w:rPr>
          <w:rFonts w:ascii="Arial" w:cs="Arial" w:eastAsia="Arial" w:hAnsi="Arial"/>
          <w:sz w:val="17"/>
          <w:szCs w:val="17"/>
          <w:color w:val="auto"/>
        </w:rPr>
        <w:t>During fiscal year 2005, we paid Mr. Stata, our founder and Chairman of the Board of Directors, a salary for his services as an employee of Analog Devices in the amount of $200,000, a cash bonus of $53,423 under the Company’s bonus plan for all employees, a cash service award of $7,401 pursuant to our Employee Service Award Program, and other compensation of $13,692 representing the amount contributed or accrued by us in fiscal year 2005 under applicable retirement arrangements. Mr. Stata was also given gifts valued at $13,278 in honor of the 40th anniversary of his founding of Analog Devices.</w:t>
      </w:r>
    </w:p>
    <w:p>
      <w:pPr>
        <w:spacing w:after="0" w:line="85" w:lineRule="exact"/>
        <w:rPr>
          <w:sz w:val="20"/>
          <w:szCs w:val="20"/>
          <w:color w:val="auto"/>
        </w:rPr>
      </w:pPr>
    </w:p>
    <w:p>
      <w:pPr>
        <w:ind w:left="700" w:right="320" w:firstLine="397"/>
        <w:spacing w:after="0" w:line="249" w:lineRule="auto"/>
        <w:rPr>
          <w:sz w:val="20"/>
          <w:szCs w:val="20"/>
          <w:color w:val="auto"/>
        </w:rPr>
      </w:pPr>
      <w:r>
        <w:rPr>
          <w:rFonts w:ascii="Arial" w:cs="Arial" w:eastAsia="Arial" w:hAnsi="Arial"/>
          <w:sz w:val="18"/>
          <w:szCs w:val="18"/>
          <w:color w:val="auto"/>
        </w:rPr>
        <w:t>In fiscal 2005, the amount of interest credited with respect to Mr. Stata’s deferred compensation balance in our Deferred Compensation Plan in excess of 120% of the applicable federal long-term rate (5.57%) was $454,121, and the total amount of interest credited to Mr. Stata’s deferred compensation balance in fiscal 2005 (without any reduction for the amount of interest earned by Analog Devices on assets related to such deferred compensation balance) was $3,956,422. Mr. Stata’s deferred compensation balance was distributed, upon his request, in December 2005. See “Information About Executive Compensation-Deferred Compensation Plan” for further information.</w:t>
      </w:r>
    </w:p>
    <w:p>
      <w:pPr>
        <w:spacing w:after="0" w:line="104"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On December 7, 2004, we granted a stock option to Mr. Stata for the purchase of 50,000 shares of our common stock at an exercise price of $37.70 per share. This option is exercisable, subject to Mr. Stata’s continued employment with us, in three equal annual installments, on each of the third, fourth and fifth anniversaries of the grant date. Following the end of fiscal year 2005, on December 6, 2005, we granted a stock option to Mr. Stata for the purchase of 40,000 shares of our common stock at an exercise price of $39.44 per share. This option is exercisable, subject to Mr. Stata’s continued employment with us, in five equal annual installments, on each of the first, second, third, fourth and fifth anniversaries of the grant date.</w:t>
      </w:r>
    </w:p>
    <w:p>
      <w:pPr>
        <w:spacing w:after="0" w:line="87"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As of June 27, 2005, we employ Adam S. Champy, the son of James A. Champy, a director of Analog Devices, as a micromachining market engineer. Adam Champy joined Analog after graduating from the Massachusetts Institute of Technology with a Masters of Engineering in Computer Science and Electrical Engineering. In fiscal year 2005, Adam S. Champy received $33,654 of cash compensation and, on June 27, 2005, was granted a stock option for the purchase of 3,000 shares of our common stock at an exercise price of $37.28 per share.</w:t>
      </w:r>
    </w:p>
    <w:p>
      <w:pPr>
        <w:spacing w:after="0" w:line="102" w:lineRule="exact"/>
        <w:rPr>
          <w:sz w:val="20"/>
          <w:szCs w:val="20"/>
          <w:color w:val="auto"/>
        </w:rPr>
      </w:pPr>
    </w:p>
    <w:p>
      <w:pPr>
        <w:ind w:left="700" w:firstLine="397"/>
        <w:spacing w:after="0" w:line="297" w:lineRule="auto"/>
        <w:rPr>
          <w:sz w:val="20"/>
          <w:szCs w:val="20"/>
          <w:color w:val="auto"/>
        </w:rPr>
      </w:pPr>
      <w:r>
        <w:rPr>
          <w:rFonts w:ascii="Arial" w:cs="Arial" w:eastAsia="Arial" w:hAnsi="Arial"/>
          <w:sz w:val="15"/>
          <w:szCs w:val="15"/>
          <w:color w:val="auto"/>
        </w:rPr>
        <w:t>During fiscal year 2005, we had a contract with Fidelity Employer Services Company LLC (FESCO), Fidelity Institutional Retirement Services Company (FIRSCO), and Fidelity Brokerage Services LLC (FBS) to provide payroll and benefits administration, Deferred Compensation Plan administration, 401(k) plan administration, and stock plan administration. Fidelity Management Trust Company (FMTC) serves as trustee with respect to the assets of our 401(k) plan and Deferred Compensation Plan. We paid fees for these services totaling approximately $1.7 million in fiscal year 2005. Additionally, fees are paid by plan participants in the form of commissions and brokerage fees generated on various transactions. FESCO, FIRSCO, FBS and FMTC are subsidiaries of FMR Corp. Based on a</w:t>
      </w:r>
    </w:p>
    <w:p>
      <w:pPr>
        <w:spacing w:after="0" w:line="3" w:lineRule="exact"/>
        <w:rPr>
          <w:sz w:val="20"/>
          <w:szCs w:val="20"/>
          <w:color w:val="auto"/>
        </w:rPr>
      </w:pPr>
    </w:p>
    <w:p>
      <w:pPr>
        <w:ind w:left="700" w:right="120"/>
        <w:spacing w:after="0" w:line="251" w:lineRule="auto"/>
        <w:rPr>
          <w:sz w:val="20"/>
          <w:szCs w:val="20"/>
          <w:color w:val="auto"/>
        </w:rPr>
      </w:pPr>
      <w:r>
        <w:rPr>
          <w:rFonts w:ascii="Arial" w:cs="Arial" w:eastAsia="Arial" w:hAnsi="Arial"/>
          <w:sz w:val="18"/>
          <w:szCs w:val="18"/>
          <w:color w:val="auto"/>
        </w:rPr>
        <w:t>Form 13F-HR filed by FMR Corp. on November 14, 2005, FMR Corp. beneficially owned more than five percent of our common stock as of September 30, 2005.</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0"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The following table contains certain information about the compensation for each of the last three fiscal years of our chief executive officer, our four other most highly compensated executive officers who were serving as executive officers on October 29, 2005 and our chief financial officer:</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Long-Term</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80" w:type="dxa"/>
            <w:vAlign w:val="bottom"/>
            <w:gridSpan w:val="4"/>
            <w:vMerge w:val="restart"/>
          </w:tcPr>
          <w:p>
            <w:pPr>
              <w:jc w:val="right"/>
              <w:ind w:right="677"/>
              <w:spacing w:after="0"/>
              <w:rPr>
                <w:sz w:val="20"/>
                <w:szCs w:val="20"/>
                <w:color w:val="auto"/>
              </w:rPr>
            </w:pPr>
            <w:r>
              <w:rPr>
                <w:rFonts w:ascii="Arial" w:cs="Arial" w:eastAsia="Arial" w:hAnsi="Arial"/>
                <w:sz w:val="14"/>
                <w:szCs w:val="14"/>
                <w:b w:val="1"/>
                <w:bCs w:val="1"/>
                <w:color w:val="auto"/>
                <w:w w:val="94"/>
              </w:rPr>
              <w:t>Annual Compensation (1)</w:t>
            </w:r>
          </w:p>
        </w:tc>
        <w:tc>
          <w:tcPr>
            <w:tcW w:w="1240" w:type="dxa"/>
            <w:vAlign w:val="bottom"/>
            <w:gridSpan w:val="2"/>
          </w:tcPr>
          <w:p>
            <w:pPr>
              <w:jc w:val="center"/>
              <w:ind w:left="273"/>
              <w:spacing w:after="0" w:line="146" w:lineRule="exact"/>
              <w:rPr>
                <w:sz w:val="20"/>
                <w:szCs w:val="20"/>
                <w:color w:val="auto"/>
              </w:rPr>
            </w:pPr>
            <w:r>
              <w:rPr>
                <w:rFonts w:ascii="Arial" w:cs="Arial" w:eastAsia="Arial" w:hAnsi="Arial"/>
                <w:sz w:val="14"/>
                <w:szCs w:val="14"/>
                <w:b w:val="1"/>
                <w:bCs w:val="1"/>
                <w:color w:val="auto"/>
                <w:w w:val="90"/>
              </w:rPr>
              <w:t>Compensation</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Bonus</w:t>
            </w:r>
          </w:p>
        </w:tc>
        <w:tc>
          <w:tcPr>
            <w:tcW w:w="3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Annual</w:t>
            </w:r>
          </w:p>
        </w:tc>
        <w:tc>
          <w:tcPr>
            <w:tcW w:w="38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6"/>
              </w:rPr>
              <w:t>Securities</w:t>
            </w:r>
          </w:p>
        </w:tc>
        <w:tc>
          <w:tcPr>
            <w:tcW w:w="3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96"/>
              </w:rPr>
              <w:t>Name and Principal Position</w:t>
            </w:r>
          </w:p>
        </w:tc>
        <w:tc>
          <w:tcPr>
            <w:tcW w:w="82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40" w:type="dxa"/>
            <w:vAlign w:val="bottom"/>
            <w:gridSpan w:val="2"/>
          </w:tcPr>
          <w:p>
            <w:pPr>
              <w:jc w:val="center"/>
              <w:ind w:left="274"/>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38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Underlying</w:t>
            </w:r>
          </w:p>
        </w:tc>
        <w:tc>
          <w:tcPr>
            <w:tcW w:w="13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rPr>
              <w:t>($)(2)</w:t>
            </w:r>
          </w:p>
        </w:tc>
        <w:tc>
          <w:tcPr>
            <w:tcW w:w="124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3"/>
              </w:rPr>
              <w:t>($)(3)</w:t>
            </w: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Options(4)</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34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2005</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930,935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414,445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1,003,632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President and Chief</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930,935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688,892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1,269,414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Officer</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930,935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2,438,272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40" w:type="dxa"/>
            <w:vAlign w:val="bottom"/>
          </w:tcPr>
          <w:p>
            <w:pPr>
              <w:spacing w:after="0" w:line="200" w:lineRule="exact"/>
              <w:rPr>
                <w:sz w:val="20"/>
                <w:szCs w:val="20"/>
                <w:color w:val="auto"/>
              </w:rPr>
            </w:pPr>
            <w:r>
              <w:rPr>
                <w:rFonts w:ascii="Arial" w:cs="Arial" w:eastAsia="Arial" w:hAnsi="Arial"/>
                <w:sz w:val="18"/>
                <w:szCs w:val="18"/>
                <w:color w:val="auto"/>
              </w:rPr>
              <w:t>Brian P. McAloon</w:t>
            </w:r>
          </w:p>
        </w:tc>
        <w:tc>
          <w:tcPr>
            <w:tcW w:w="460" w:type="dxa"/>
            <w:vAlign w:val="bottom"/>
          </w:tcPr>
          <w:p>
            <w:pPr>
              <w:ind w:left="100"/>
              <w:spacing w:after="0" w:line="200" w:lineRule="exact"/>
              <w:rPr>
                <w:sz w:val="20"/>
                <w:szCs w:val="20"/>
                <w:color w:val="auto"/>
              </w:rPr>
            </w:pPr>
            <w:r>
              <w:rPr>
                <w:rFonts w:ascii="Arial" w:cs="Arial" w:eastAsia="Arial" w:hAnsi="Arial"/>
                <w:sz w:val="18"/>
                <w:szCs w:val="18"/>
                <w:color w:val="auto"/>
                <w:w w:val="84"/>
              </w:rPr>
              <w:t>2005</w:t>
            </w:r>
          </w:p>
        </w:tc>
        <w:tc>
          <w:tcPr>
            <w:tcW w:w="360" w:type="dxa"/>
            <w:vAlign w:val="bottom"/>
          </w:tcPr>
          <w:p>
            <w:pPr>
              <w:spacing w:after="0"/>
              <w:rPr>
                <w:sz w:val="17"/>
                <w:szCs w:val="17"/>
                <w:color w:val="auto"/>
              </w:rPr>
            </w:pPr>
          </w:p>
        </w:tc>
        <w:tc>
          <w:tcPr>
            <w:tcW w:w="680" w:type="dxa"/>
            <w:vAlign w:val="bottom"/>
          </w:tcPr>
          <w:p>
            <w:pPr>
              <w:ind w:left="100"/>
              <w:spacing w:after="0" w:line="200" w:lineRule="exact"/>
              <w:rPr>
                <w:sz w:val="20"/>
                <w:szCs w:val="20"/>
                <w:color w:val="auto"/>
              </w:rPr>
            </w:pPr>
            <w:r>
              <w:rPr>
                <w:rFonts w:ascii="Arial" w:cs="Arial" w:eastAsia="Arial" w:hAnsi="Arial"/>
                <w:sz w:val="18"/>
                <w:szCs w:val="18"/>
                <w:color w:val="auto"/>
                <w:w w:val="86"/>
              </w:rPr>
              <w:t>430,219</w:t>
            </w:r>
          </w:p>
        </w:tc>
        <w:tc>
          <w:tcPr>
            <w:tcW w:w="4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w w:val="98"/>
              </w:rPr>
              <w:t>143,648</w:t>
            </w:r>
          </w:p>
        </w:tc>
        <w:tc>
          <w:tcPr>
            <w:tcW w:w="1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33,490</w:t>
            </w:r>
          </w:p>
        </w:tc>
        <w:tc>
          <w:tcPr>
            <w:tcW w:w="1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65,000</w:t>
            </w:r>
          </w:p>
        </w:tc>
        <w:tc>
          <w:tcPr>
            <w:tcW w:w="12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21,511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Vice President, DSP</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2004</w:t>
            </w:r>
          </w:p>
        </w:tc>
        <w:tc>
          <w:tcPr>
            <w:tcW w:w="36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430,219</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238,771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151,241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and System Products Group</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2003</w:t>
            </w:r>
          </w:p>
        </w:tc>
        <w:tc>
          <w:tcPr>
            <w:tcW w:w="36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430,219</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13,444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264,878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2005</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361,250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122,344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Vice President, Worldwide</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341,250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189,788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Manufacturing</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315,000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40" w:type="dxa"/>
            <w:vAlign w:val="bottom"/>
          </w:tcPr>
          <w:p>
            <w:pPr>
              <w:spacing w:after="0" w:line="200" w:lineRule="exact"/>
              <w:rPr>
                <w:sz w:val="20"/>
                <w:szCs w:val="20"/>
                <w:color w:val="auto"/>
              </w:rPr>
            </w:pPr>
            <w:r>
              <w:rPr>
                <w:rFonts w:ascii="Arial" w:cs="Arial" w:eastAsia="Arial" w:hAnsi="Arial"/>
                <w:sz w:val="18"/>
                <w:szCs w:val="18"/>
                <w:color w:val="auto"/>
              </w:rPr>
              <w:t>Robert P. McAdam</w:t>
            </w:r>
          </w:p>
        </w:tc>
        <w:tc>
          <w:tcPr>
            <w:tcW w:w="460" w:type="dxa"/>
            <w:vAlign w:val="bottom"/>
          </w:tcPr>
          <w:p>
            <w:pPr>
              <w:ind w:left="100"/>
              <w:spacing w:after="0" w:line="200" w:lineRule="exact"/>
              <w:rPr>
                <w:sz w:val="20"/>
                <w:szCs w:val="20"/>
                <w:color w:val="auto"/>
              </w:rPr>
            </w:pPr>
            <w:r>
              <w:rPr>
                <w:rFonts w:ascii="Arial" w:cs="Arial" w:eastAsia="Arial" w:hAnsi="Arial"/>
                <w:sz w:val="18"/>
                <w:szCs w:val="18"/>
                <w:color w:val="auto"/>
                <w:w w:val="84"/>
              </w:rPr>
              <w:t>2005</w:t>
            </w:r>
          </w:p>
        </w:tc>
        <w:tc>
          <w:tcPr>
            <w:tcW w:w="360" w:type="dxa"/>
            <w:vAlign w:val="bottom"/>
          </w:tcPr>
          <w:p>
            <w:pPr>
              <w:spacing w:after="0"/>
              <w:rPr>
                <w:sz w:val="17"/>
                <w:szCs w:val="17"/>
                <w:color w:val="auto"/>
              </w:rPr>
            </w:pPr>
          </w:p>
        </w:tc>
        <w:tc>
          <w:tcPr>
            <w:tcW w:w="680" w:type="dxa"/>
            <w:vAlign w:val="bottom"/>
          </w:tcPr>
          <w:p>
            <w:pPr>
              <w:ind w:left="100"/>
              <w:spacing w:after="0" w:line="200" w:lineRule="exact"/>
              <w:rPr>
                <w:sz w:val="20"/>
                <w:szCs w:val="20"/>
                <w:color w:val="auto"/>
              </w:rPr>
            </w:pPr>
            <w:r>
              <w:rPr>
                <w:rFonts w:ascii="Arial" w:cs="Arial" w:eastAsia="Arial" w:hAnsi="Arial"/>
                <w:sz w:val="18"/>
                <w:szCs w:val="18"/>
                <w:color w:val="auto"/>
                <w:w w:val="86"/>
              </w:rPr>
              <w:t>361,250</w:t>
            </w:r>
          </w:p>
        </w:tc>
        <w:tc>
          <w:tcPr>
            <w:tcW w:w="4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w w:val="98"/>
              </w:rPr>
              <w:t>122,344</w:t>
            </w:r>
          </w:p>
        </w:tc>
        <w:tc>
          <w:tcPr>
            <w:tcW w:w="36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65,675</w:t>
            </w:r>
          </w:p>
        </w:tc>
        <w:tc>
          <w:tcPr>
            <w:tcW w:w="12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92,482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Vice President and General</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2004</w:t>
            </w:r>
          </w:p>
        </w:tc>
        <w:tc>
          <w:tcPr>
            <w:tcW w:w="36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340,750</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189,533</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65,517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91,880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Manager, Analog</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2003</w:t>
            </w:r>
          </w:p>
        </w:tc>
        <w:tc>
          <w:tcPr>
            <w:tcW w:w="36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313,000</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9,844</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Semiconductor Components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Samuel H. Fuller</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2005</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362,066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104,773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49,291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Vice President, Research</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362,066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167,455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Development</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362,066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123,401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40" w:type="dxa"/>
            <w:vAlign w:val="bottom"/>
          </w:tcPr>
          <w:p>
            <w:pPr>
              <w:spacing w:after="0" w:line="200" w:lineRule="exact"/>
              <w:rPr>
                <w:sz w:val="20"/>
                <w:szCs w:val="20"/>
                <w:color w:val="auto"/>
              </w:rPr>
            </w:pPr>
            <w:r>
              <w:rPr>
                <w:rFonts w:ascii="Arial" w:cs="Arial" w:eastAsia="Arial" w:hAnsi="Arial"/>
                <w:sz w:val="18"/>
                <w:szCs w:val="18"/>
                <w:color w:val="auto"/>
              </w:rPr>
              <w:t>Joseph E. McDonough</w:t>
            </w:r>
          </w:p>
        </w:tc>
        <w:tc>
          <w:tcPr>
            <w:tcW w:w="460" w:type="dxa"/>
            <w:vAlign w:val="bottom"/>
          </w:tcPr>
          <w:p>
            <w:pPr>
              <w:ind w:left="100"/>
              <w:spacing w:after="0" w:line="200" w:lineRule="exact"/>
              <w:rPr>
                <w:sz w:val="20"/>
                <w:szCs w:val="20"/>
                <w:color w:val="auto"/>
              </w:rPr>
            </w:pPr>
            <w:r>
              <w:rPr>
                <w:rFonts w:ascii="Arial" w:cs="Arial" w:eastAsia="Arial" w:hAnsi="Arial"/>
                <w:sz w:val="18"/>
                <w:szCs w:val="18"/>
                <w:color w:val="auto"/>
                <w:w w:val="84"/>
              </w:rPr>
              <w:t>2005</w:t>
            </w:r>
          </w:p>
        </w:tc>
        <w:tc>
          <w:tcPr>
            <w:tcW w:w="360" w:type="dxa"/>
            <w:vAlign w:val="bottom"/>
          </w:tcPr>
          <w:p>
            <w:pPr>
              <w:spacing w:after="0"/>
              <w:rPr>
                <w:sz w:val="17"/>
                <w:szCs w:val="17"/>
                <w:color w:val="auto"/>
              </w:rPr>
            </w:pPr>
          </w:p>
        </w:tc>
        <w:tc>
          <w:tcPr>
            <w:tcW w:w="116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341,403(7)</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w w:val="98"/>
              </w:rPr>
              <w:t>106,786</w:t>
            </w:r>
          </w:p>
        </w:tc>
        <w:tc>
          <w:tcPr>
            <w:tcW w:w="1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87,637</w:t>
            </w:r>
          </w:p>
        </w:tc>
        <w:tc>
          <w:tcPr>
            <w:tcW w:w="1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65,000</w:t>
            </w:r>
          </w:p>
        </w:tc>
        <w:tc>
          <w:tcPr>
            <w:tcW w:w="12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23,828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Vice President, Finance</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2004</w:t>
            </w:r>
          </w:p>
        </w:tc>
        <w:tc>
          <w:tcPr>
            <w:tcW w:w="36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403,477</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223,930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197,105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2003</w:t>
            </w:r>
          </w:p>
        </w:tc>
        <w:tc>
          <w:tcPr>
            <w:tcW w:w="36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403,477</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12,609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400,626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-2600325</wp:posOffset>
            </wp:positionV>
            <wp:extent cx="17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85090</wp:posOffset>
            </wp:positionV>
            <wp:extent cx="8166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81" w:lineRule="exact"/>
        <w:rPr>
          <w:sz w:val="20"/>
          <w:szCs w:val="20"/>
          <w:color w:val="auto"/>
        </w:rPr>
      </w:pPr>
    </w:p>
    <w:p>
      <w:pPr>
        <w:ind w:left="1080" w:right="240" w:hanging="389"/>
        <w:spacing w:after="0" w:line="25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SEC rules, other compensation in the form of perquisites and other personal benefits has been omitted in those instances where such perquisites and other personal benefits comprised less than the lesser of $50,000 or 10% of the total of annual salary and bonus for the executive officer for such year.</w:t>
      </w:r>
    </w:p>
    <w:p>
      <w:pPr>
        <w:spacing w:after="0" w:line="29" w:lineRule="exact"/>
        <w:rPr>
          <w:rFonts w:ascii="Arial" w:cs="Arial" w:eastAsia="Arial" w:hAnsi="Arial"/>
          <w:sz w:val="18"/>
          <w:szCs w:val="18"/>
          <w:color w:val="auto"/>
        </w:rPr>
      </w:pPr>
    </w:p>
    <w:p>
      <w:pPr>
        <w:ind w:left="1080" w:hanging="389"/>
        <w:spacing w:after="0" w:line="26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compensation earned in the fiscal years presented, including amounts deferred at the election of the executive officer pursuant to our Deferred Compensation Plan. See “— Deferred Compensation Plan.”</w:t>
      </w:r>
    </w:p>
    <w:p>
      <w:pPr>
        <w:spacing w:after="0" w:line="20" w:lineRule="exact"/>
        <w:rPr>
          <w:rFonts w:ascii="Arial" w:cs="Arial" w:eastAsia="Arial" w:hAnsi="Arial"/>
          <w:sz w:val="18"/>
          <w:szCs w:val="18"/>
          <w:color w:val="auto"/>
        </w:rPr>
      </w:pPr>
    </w:p>
    <w:p>
      <w:pPr>
        <w:ind w:left="1080" w:hanging="389"/>
        <w:spacing w:after="0" w:line="299"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These amounts reflect only the interest earned in excess of the interest that would have been earned at a rate equal to 120% of the applicable federal long-term rate, under the fixed-rate investment option on deferred compensation balances. SEC regulations consider the “market rate” to be 120% of the applicable federal long-term rate, or AFR. Earnings credited to participants electing the fixed-rate investment option for fiscal year 2005 were calculated using an average interest rate of 6.48% and 120% of the average AFR was</w:t>
      </w:r>
    </w:p>
    <w:p>
      <w:pPr>
        <w:ind w:left="1080" w:right="700"/>
        <w:spacing w:after="0" w:line="248" w:lineRule="auto"/>
        <w:rPr>
          <w:rFonts w:ascii="Arial" w:cs="Arial" w:eastAsia="Arial" w:hAnsi="Arial"/>
          <w:sz w:val="15"/>
          <w:szCs w:val="15"/>
          <w:color w:val="auto"/>
        </w:rPr>
      </w:pPr>
      <w:r>
        <w:rPr>
          <w:rFonts w:ascii="Arial" w:cs="Arial" w:eastAsia="Arial" w:hAnsi="Arial"/>
          <w:sz w:val="18"/>
          <w:szCs w:val="18"/>
          <w:color w:val="auto"/>
        </w:rPr>
        <w:t>5.57%. The total amounts of interest credited to participants’ deferred compensation accounts in fiscal 2005 are as follows: Mr. Fishman: $8,743,912; Mr. McAloon: $283,118; Mr. Fuller: $429,360; and Mr. McDonough: $761,276. See “— Deferred Compensation Plan” below for further information relating to this plan.</w:t>
      </w:r>
    </w:p>
    <w:p>
      <w:pPr>
        <w:spacing w:after="0" w:line="36" w:lineRule="exact"/>
        <w:rPr>
          <w:rFonts w:ascii="Arial" w:cs="Arial" w:eastAsia="Arial" w:hAnsi="Arial"/>
          <w:sz w:val="15"/>
          <w:szCs w:val="15"/>
          <w:color w:val="auto"/>
        </w:rPr>
      </w:pPr>
    </w:p>
    <w:p>
      <w:pPr>
        <w:ind w:left="1080" w:right="420" w:hanging="389"/>
        <w:spacing w:after="0" w:line="26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option has an exercise price equal to the fair market value of our common stock on the date of grant and generally becomes exercisable, subject to the optionee’s continued employment with us, in three equal</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80" w:right="420"/>
        <w:spacing w:after="0" w:line="366" w:lineRule="auto"/>
        <w:rPr>
          <w:sz w:val="20"/>
          <w:szCs w:val="20"/>
          <w:color w:val="auto"/>
        </w:rPr>
      </w:pPr>
      <w:r>
        <w:rPr>
          <w:rFonts w:ascii="Arial" w:cs="Arial" w:eastAsia="Arial" w:hAnsi="Arial"/>
          <w:sz w:val="15"/>
          <w:szCs w:val="15"/>
          <w:color w:val="auto"/>
        </w:rPr>
        <w:t>installments, on each of the third, fourth and fifth anniversaries of the date of grant. The following table shows the grant date fair value, as determined below, for the options granted to the executive officers named in the Summary Compensation Table:</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Grant</w:t>
            </w:r>
          </w:p>
        </w:tc>
        <w:tc>
          <w:tcPr>
            <w:tcW w:w="920" w:type="dxa"/>
            <w:vAlign w:val="bottom"/>
            <w:gridSpan w:val="2"/>
            <w:vMerge w:val="restart"/>
          </w:tcPr>
          <w:p>
            <w:pPr>
              <w:jc w:val="center"/>
              <w:ind w:left="333"/>
              <w:spacing w:after="0"/>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6"/>
              </w:rPr>
              <w:t>Securities</w:t>
            </w:r>
          </w:p>
        </w:tc>
        <w:tc>
          <w:tcPr>
            <w:tcW w:w="4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Underlying</w:t>
            </w:r>
          </w:p>
        </w:tc>
        <w:tc>
          <w:tcPr>
            <w:tcW w:w="400" w:type="dxa"/>
            <w:vAlign w:val="bottom"/>
          </w:tcPr>
          <w:p>
            <w:pPr>
              <w:spacing w:after="0"/>
              <w:rPr>
                <w:sz w:val="13"/>
                <w:szCs w:val="13"/>
                <w:color w:val="auto"/>
              </w:rPr>
            </w:pPr>
          </w:p>
        </w:tc>
        <w:tc>
          <w:tcPr>
            <w:tcW w:w="7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per Share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12/7/04</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$37.70</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10.8266</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4,330,640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12/10/03</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$45.27</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27.9702</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11,188,080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tcPr>
          <w:p>
            <w:pPr>
              <w:spacing w:after="0" w:line="200" w:lineRule="exact"/>
              <w:rPr>
                <w:sz w:val="20"/>
                <w:szCs w:val="20"/>
                <w:color w:val="auto"/>
              </w:rPr>
            </w:pPr>
            <w:r>
              <w:rPr>
                <w:rFonts w:ascii="Arial" w:cs="Arial" w:eastAsia="Arial" w:hAnsi="Arial"/>
                <w:sz w:val="18"/>
                <w:szCs w:val="18"/>
                <w:color w:val="auto"/>
              </w:rPr>
              <w:t>Brian P. McAloon</w:t>
            </w:r>
          </w:p>
        </w:tc>
        <w:tc>
          <w:tcPr>
            <w:tcW w:w="94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12/7/04</w:t>
            </w:r>
          </w:p>
        </w:tc>
        <w:tc>
          <w:tcPr>
            <w:tcW w:w="920" w:type="dxa"/>
            <w:vAlign w:val="bottom"/>
            <w:gridSpan w:val="2"/>
          </w:tcPr>
          <w:p>
            <w:pPr>
              <w:jc w:val="center"/>
              <w:ind w:left="333"/>
              <w:spacing w:after="0" w:line="200" w:lineRule="exact"/>
              <w:rPr>
                <w:sz w:val="20"/>
                <w:szCs w:val="20"/>
                <w:color w:val="auto"/>
              </w:rPr>
            </w:pPr>
            <w:r>
              <w:rPr>
                <w:rFonts w:ascii="Arial" w:cs="Arial" w:eastAsia="Arial" w:hAnsi="Arial"/>
                <w:sz w:val="18"/>
                <w:szCs w:val="18"/>
                <w:color w:val="auto"/>
                <w:w w:val="90"/>
              </w:rPr>
              <w:t>$37.70</w:t>
            </w:r>
          </w:p>
        </w:tc>
        <w:tc>
          <w:tcPr>
            <w:tcW w:w="11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65,000</w:t>
            </w:r>
          </w:p>
        </w:tc>
        <w:tc>
          <w:tcPr>
            <w:tcW w:w="4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10.8266</w:t>
            </w:r>
          </w:p>
        </w:tc>
        <w:tc>
          <w:tcPr>
            <w:tcW w:w="5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703,729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12/10/03</w:t>
            </w:r>
          </w:p>
        </w:tc>
        <w:tc>
          <w:tcPr>
            <w:tcW w:w="9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$45.27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27.9702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1,818,063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6/2/03</w:t>
            </w:r>
          </w:p>
        </w:tc>
        <w:tc>
          <w:tcPr>
            <w:tcW w:w="9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$37.38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22.8837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Robert R. Marshall</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6/1/05</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$37.04</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11.0396</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12/7/04</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$37.70</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65,000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10.8266</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703,729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6/1/04</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$48.41</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29.2705</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15,133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12/10/03</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$45.27</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65,000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27.9702</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1,818,063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6/2/03</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$37.38</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22.8837</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8,742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tcPr>
          <w:p>
            <w:pPr>
              <w:spacing w:after="0" w:line="200" w:lineRule="exact"/>
              <w:rPr>
                <w:sz w:val="20"/>
                <w:szCs w:val="20"/>
                <w:color w:val="auto"/>
              </w:rPr>
            </w:pPr>
            <w:r>
              <w:rPr>
                <w:rFonts w:ascii="Arial" w:cs="Arial" w:eastAsia="Arial" w:hAnsi="Arial"/>
                <w:sz w:val="18"/>
                <w:szCs w:val="18"/>
                <w:color w:val="auto"/>
              </w:rPr>
              <w:t>Robert P. McAdam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6/1/05</w:t>
            </w:r>
          </w:p>
        </w:tc>
        <w:tc>
          <w:tcPr>
            <w:tcW w:w="920" w:type="dxa"/>
            <w:vAlign w:val="bottom"/>
            <w:gridSpan w:val="2"/>
          </w:tcPr>
          <w:p>
            <w:pPr>
              <w:jc w:val="center"/>
              <w:ind w:left="333"/>
              <w:spacing w:after="0" w:line="200" w:lineRule="exact"/>
              <w:rPr>
                <w:sz w:val="20"/>
                <w:szCs w:val="20"/>
                <w:color w:val="auto"/>
              </w:rPr>
            </w:pPr>
            <w:r>
              <w:rPr>
                <w:rFonts w:ascii="Arial" w:cs="Arial" w:eastAsia="Arial" w:hAnsi="Arial"/>
                <w:sz w:val="18"/>
                <w:szCs w:val="18"/>
                <w:color w:val="auto"/>
                <w:w w:val="90"/>
              </w:rPr>
              <w:t>$37.04</w:t>
            </w:r>
          </w:p>
        </w:tc>
        <w:tc>
          <w:tcPr>
            <w:tcW w:w="11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675</w:t>
            </w:r>
          </w:p>
        </w:tc>
        <w:tc>
          <w:tcPr>
            <w:tcW w:w="4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11.0396</w:t>
            </w:r>
          </w:p>
        </w:tc>
        <w:tc>
          <w:tcPr>
            <w:tcW w:w="5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7,452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12/7/04</w:t>
            </w:r>
          </w:p>
        </w:tc>
        <w:tc>
          <w:tcPr>
            <w:tcW w:w="9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$37.70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10.8266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6/1/04</w:t>
            </w:r>
          </w:p>
        </w:tc>
        <w:tc>
          <w:tcPr>
            <w:tcW w:w="9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$48.41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29.2705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12/10/03</w:t>
            </w:r>
          </w:p>
        </w:tc>
        <w:tc>
          <w:tcPr>
            <w:tcW w:w="9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$45.27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27.9702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1,818,063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6/2/03</w:t>
            </w:r>
          </w:p>
        </w:tc>
        <w:tc>
          <w:tcPr>
            <w:tcW w:w="9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$37.38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22.8837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Samuel H. Fuller</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12/7/04</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$37.70</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35,000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10.8266</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378,931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12/10/03</w:t>
            </w:r>
          </w:p>
        </w:tc>
        <w:tc>
          <w:tcPr>
            <w:tcW w:w="920" w:type="dxa"/>
            <w:vAlign w:val="bottom"/>
            <w:gridSpan w:val="2"/>
            <w:shd w:val="clear" w:color="auto" w:fill="EEEEEE"/>
          </w:tcPr>
          <w:p>
            <w:pPr>
              <w:jc w:val="center"/>
              <w:ind w:left="333"/>
              <w:spacing w:after="0"/>
              <w:rPr>
                <w:sz w:val="20"/>
                <w:szCs w:val="20"/>
                <w:color w:val="auto"/>
              </w:rPr>
            </w:pPr>
            <w:r>
              <w:rPr>
                <w:rFonts w:ascii="Arial" w:cs="Arial" w:eastAsia="Arial" w:hAnsi="Arial"/>
                <w:sz w:val="18"/>
                <w:szCs w:val="18"/>
                <w:color w:val="auto"/>
                <w:w w:val="90"/>
              </w:rPr>
              <w:t>$45.27</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35,000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27.9702</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978,957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tcPr>
          <w:p>
            <w:pPr>
              <w:spacing w:after="0" w:line="200" w:lineRule="exact"/>
              <w:rPr>
                <w:sz w:val="20"/>
                <w:szCs w:val="20"/>
                <w:color w:val="auto"/>
              </w:rPr>
            </w:pPr>
            <w:r>
              <w:rPr>
                <w:rFonts w:ascii="Arial" w:cs="Arial" w:eastAsia="Arial" w:hAnsi="Arial"/>
                <w:sz w:val="18"/>
                <w:szCs w:val="18"/>
                <w:color w:val="auto"/>
              </w:rPr>
              <w:t>Joseph E. McDonough</w:t>
            </w:r>
          </w:p>
        </w:tc>
        <w:tc>
          <w:tcPr>
            <w:tcW w:w="94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12/7/04</w:t>
            </w:r>
          </w:p>
        </w:tc>
        <w:tc>
          <w:tcPr>
            <w:tcW w:w="920" w:type="dxa"/>
            <w:vAlign w:val="bottom"/>
            <w:gridSpan w:val="2"/>
          </w:tcPr>
          <w:p>
            <w:pPr>
              <w:jc w:val="center"/>
              <w:ind w:left="333"/>
              <w:spacing w:after="0" w:line="200" w:lineRule="exact"/>
              <w:rPr>
                <w:sz w:val="20"/>
                <w:szCs w:val="20"/>
                <w:color w:val="auto"/>
              </w:rPr>
            </w:pPr>
            <w:r>
              <w:rPr>
                <w:rFonts w:ascii="Arial" w:cs="Arial" w:eastAsia="Arial" w:hAnsi="Arial"/>
                <w:sz w:val="18"/>
                <w:szCs w:val="18"/>
                <w:color w:val="auto"/>
                <w:w w:val="90"/>
              </w:rPr>
              <w:t>$37.70</w:t>
            </w:r>
          </w:p>
        </w:tc>
        <w:tc>
          <w:tcPr>
            <w:tcW w:w="11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65,000</w:t>
            </w:r>
          </w:p>
        </w:tc>
        <w:tc>
          <w:tcPr>
            <w:tcW w:w="4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10.8266</w:t>
            </w:r>
          </w:p>
        </w:tc>
        <w:tc>
          <w:tcPr>
            <w:tcW w:w="5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703,729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12/10/03</w:t>
            </w:r>
          </w:p>
        </w:tc>
        <w:tc>
          <w:tcPr>
            <w:tcW w:w="9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$45.27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27.9702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1,818,063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-2600325</wp:posOffset>
            </wp:positionV>
            <wp:extent cx="25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8" w:lineRule="exact"/>
        <w:rPr>
          <w:sz w:val="20"/>
          <w:szCs w:val="20"/>
          <w:color w:val="auto"/>
        </w:rPr>
      </w:pPr>
    </w:p>
    <w:p>
      <w:pPr>
        <w:ind w:left="1080" w:right="20"/>
        <w:spacing w:after="0" w:line="255" w:lineRule="auto"/>
        <w:rPr>
          <w:sz w:val="20"/>
          <w:szCs w:val="20"/>
          <w:color w:val="auto"/>
        </w:rPr>
      </w:pPr>
      <w:r>
        <w:rPr>
          <w:rFonts w:ascii="Arial" w:cs="Arial" w:eastAsia="Arial" w:hAnsi="Arial"/>
          <w:sz w:val="18"/>
          <w:szCs w:val="18"/>
          <w:color w:val="auto"/>
        </w:rPr>
        <w:t>The grant date fair-value of these options was computed using a Black-Scholes valuation methodology pursuant to Financial Accounting Standards Board’s Statement of Financial Accounting Standards No. 123 (revised 2004), Share-Based Payment. The grant date fair value of the options was estimated using the following assumptions: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Exercise</w:t>
            </w: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Risk Free</w:t>
            </w:r>
          </w:p>
        </w:tc>
        <w:tc>
          <w:tcPr>
            <w:tcW w:w="38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Dividend</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Expected</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Expected</w:t>
            </w:r>
          </w:p>
        </w:tc>
        <w:tc>
          <w:tcPr>
            <w:tcW w:w="4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59"/>
        </w:trPr>
        <w:tc>
          <w:tcPr>
            <w:tcW w:w="334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Grant Date</w:t>
            </w:r>
          </w:p>
        </w:tc>
        <w:tc>
          <w:tcPr>
            <w:tcW w:w="740" w:type="dxa"/>
            <w:vAlign w:val="bottom"/>
          </w:tcPr>
          <w:p>
            <w:pPr>
              <w:spacing w:after="0"/>
              <w:rPr>
                <w:sz w:val="13"/>
                <w:szCs w:val="13"/>
                <w:color w:val="auto"/>
              </w:rPr>
            </w:pPr>
          </w:p>
        </w:tc>
        <w:tc>
          <w:tcPr>
            <w:tcW w:w="60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w w:val="92"/>
              </w:rPr>
              <w:t>Price Per</w:t>
            </w:r>
          </w:p>
        </w:tc>
        <w:tc>
          <w:tcPr>
            <w:tcW w:w="42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Interest</w:t>
            </w:r>
          </w:p>
        </w:tc>
        <w:tc>
          <w:tcPr>
            <w:tcW w:w="3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Life in</w:t>
            </w:r>
          </w:p>
        </w:tc>
        <w:tc>
          <w:tcPr>
            <w:tcW w:w="400" w:type="dxa"/>
            <w:vAlign w:val="bottom"/>
          </w:tcPr>
          <w:p>
            <w:pPr>
              <w:spacing w:after="0"/>
              <w:rPr>
                <w:sz w:val="13"/>
                <w:szCs w:val="13"/>
                <w:color w:val="auto"/>
              </w:rPr>
            </w:pPr>
          </w:p>
        </w:tc>
        <w:tc>
          <w:tcPr>
            <w:tcW w:w="7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Share</w:t>
            </w:r>
          </w:p>
        </w:tc>
        <w:tc>
          <w:tcPr>
            <w:tcW w:w="420" w:type="dxa"/>
            <w:vAlign w:val="bottom"/>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Rate</w:t>
            </w:r>
          </w:p>
        </w:tc>
        <w:tc>
          <w:tcPr>
            <w:tcW w:w="38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Yield</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Volatility</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0"/>
                <w:szCs w:val="20"/>
                <w:color w:val="auto"/>
              </w:rPr>
            </w:pPr>
            <w:r>
              <w:rPr>
                <w:rFonts w:ascii="Arial" w:cs="Arial" w:eastAsia="Arial" w:hAnsi="Arial"/>
                <w:sz w:val="18"/>
                <w:szCs w:val="18"/>
                <w:color w:val="auto"/>
              </w:rPr>
              <w:t>6/1/2005</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37.04</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w w:val="86"/>
              </w:rPr>
              <w:t>3.60%</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w w:val="86"/>
              </w:rPr>
              <w:t>1.08%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11.0396</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8"/>
                <w:szCs w:val="18"/>
                <w:color w:val="auto"/>
              </w:rPr>
              <w:t>12/7/2004</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37.70</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w w:val="86"/>
              </w:rPr>
              <w:t>3.60%</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w w:val="86"/>
              </w:rPr>
              <w:t>0.64%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10.8266</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8"/>
                <w:szCs w:val="18"/>
                <w:color w:val="auto"/>
              </w:rPr>
              <w:t>6/1/2004</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48.41</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w w:val="86"/>
              </w:rPr>
              <w:t>4.02%</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w w:val="86"/>
              </w:rPr>
              <w:t>0.50%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29.2705</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8"/>
                <w:szCs w:val="18"/>
                <w:color w:val="auto"/>
              </w:rPr>
              <w:t>12/10/2003</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45.27</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w w:val="86"/>
              </w:rPr>
              <w:t>3.48%</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w w:val="86"/>
              </w:rPr>
              <w:t>0.35%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27.9702</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6/2/2003</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37.38</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w w:val="86"/>
              </w:rPr>
              <w:t>2.34%</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w w:val="86"/>
              </w:rPr>
              <w:t>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22.8837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1662430</wp:posOffset>
            </wp:positionH>
            <wp:positionV relativeFrom="paragraph">
              <wp:posOffset>-714375</wp:posOffset>
            </wp:positionV>
            <wp:extent cx="25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8" w:lineRule="exact"/>
        <w:rPr>
          <w:sz w:val="20"/>
          <w:szCs w:val="20"/>
          <w:color w:val="auto"/>
        </w:rPr>
      </w:pPr>
    </w:p>
    <w:p>
      <w:pPr>
        <w:ind w:left="1080" w:right="240"/>
        <w:spacing w:after="0" w:line="265" w:lineRule="auto"/>
        <w:rPr>
          <w:sz w:val="20"/>
          <w:szCs w:val="20"/>
          <w:color w:val="auto"/>
        </w:rPr>
      </w:pPr>
      <w:r>
        <w:rPr>
          <w:rFonts w:ascii="Arial" w:cs="Arial" w:eastAsia="Arial" w:hAnsi="Arial"/>
          <w:sz w:val="18"/>
          <w:szCs w:val="18"/>
          <w:color w:val="auto"/>
        </w:rPr>
        <w:t>The actual value realized from the option, if any, will depend on the future sale price after the option is exercised and the shares are sold.</w:t>
      </w:r>
    </w:p>
    <w:p>
      <w:pPr>
        <w:spacing w:after="0" w:line="87" w:lineRule="exact"/>
        <w:rPr>
          <w:sz w:val="20"/>
          <w:szCs w:val="20"/>
          <w:color w:val="auto"/>
        </w:rPr>
      </w:pPr>
    </w:p>
    <w:p>
      <w:pPr>
        <w:ind w:left="1080" w:right="200" w:hanging="389"/>
        <w:spacing w:after="0" w:line="26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amounts contributed or accrued by us in each fiscal year for Messrs. Fishman, McAloon, Fuller and McDonough under our retirement arrangements, including the amount we credited the account of these participants in our deferred compensation plan. The amount is equal to 7% of the greater of (1) the amount of compensation deferred during the calendar year or (2) the participant’s compensation for that calendar year in excess of the compensation limit that applies for the calendar year under The Investment Partnership Plan of Analog Devices. See “— Deferred Compensation Plan.”</w:t>
      </w:r>
    </w:p>
    <w:p>
      <w:pPr>
        <w:spacing w:after="0" w:line="18" w:lineRule="exact"/>
        <w:rPr>
          <w:rFonts w:ascii="Arial" w:cs="Arial" w:eastAsia="Arial" w:hAnsi="Arial"/>
          <w:sz w:val="17"/>
          <w:szCs w:val="17"/>
          <w:color w:val="auto"/>
        </w:rPr>
      </w:pPr>
    </w:p>
    <w:p>
      <w:pPr>
        <w:ind w:left="1080" w:right="100" w:hanging="389"/>
        <w:spacing w:after="0" w:line="255"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Messrs. Marshall and McAdam, these amounts primarily consist of pension related costs. These amounts also include $3,672 paid to Mr. McAdam in fiscal 2004 and $3,168 paid to Mr. Marshall in fiscal 2003 in connection with our Employee Service Award Program.</w:t>
      </w:r>
    </w:p>
    <w:p>
      <w:pPr>
        <w:spacing w:after="0" w:line="29" w:lineRule="exact"/>
        <w:rPr>
          <w:rFonts w:ascii="Arial" w:cs="Arial" w:eastAsia="Arial" w:hAnsi="Arial"/>
          <w:sz w:val="18"/>
          <w:szCs w:val="18"/>
          <w:color w:val="auto"/>
        </w:rPr>
      </w:pPr>
    </w:p>
    <w:p>
      <w:pPr>
        <w:ind w:left="1080" w:hanging="389"/>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McDonough was on sabbatical during a portion of the year.</w:t>
      </w: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Grants in Fiscal 2005</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contains information regarding stock options granted during fiscal year 2005 to the executive officers named in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Summary Compensation Table:</w:t>
      </w:r>
    </w:p>
    <w:p>
      <w:pPr>
        <w:spacing w:after="0" w:line="21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Option Grants in Last Fiscal Year</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of Total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1"/>
              </w:rPr>
              <w:t>Potential Realizable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2"/>
                <w:szCs w:val="1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520"/>
              <w:spacing w:after="0" w:line="146" w:lineRule="exact"/>
              <w:rPr>
                <w:sz w:val="20"/>
                <w:szCs w:val="20"/>
                <w:color w:val="auto"/>
              </w:rPr>
            </w:pPr>
            <w:r>
              <w:rPr>
                <w:rFonts w:ascii="Arial" w:cs="Arial" w:eastAsia="Arial" w:hAnsi="Arial"/>
                <w:sz w:val="14"/>
                <w:szCs w:val="14"/>
                <w:b w:val="1"/>
                <w:bCs w:val="1"/>
                <w:color w:val="auto"/>
                <w:w w:val="86"/>
              </w:rPr>
              <w:t>Securities</w:t>
            </w:r>
          </w:p>
        </w:tc>
        <w:tc>
          <w:tcPr>
            <w:tcW w:w="68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90"/>
              </w:rPr>
              <w:t>Granted to</w:t>
            </w:r>
          </w:p>
        </w:tc>
        <w:tc>
          <w:tcPr>
            <w:tcW w:w="3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center"/>
              <w:ind w:right="200"/>
              <w:spacing w:after="0" w:line="146" w:lineRule="exact"/>
              <w:rPr>
                <w:sz w:val="20"/>
                <w:szCs w:val="20"/>
                <w:color w:val="auto"/>
              </w:rPr>
            </w:pPr>
            <w:r>
              <w:rPr>
                <w:rFonts w:ascii="Arial" w:cs="Arial" w:eastAsia="Arial" w:hAnsi="Arial"/>
                <w:sz w:val="14"/>
                <w:szCs w:val="14"/>
                <w:b w:val="1"/>
                <w:bCs w:val="1"/>
                <w:color w:val="auto"/>
                <w:w w:val="90"/>
              </w:rPr>
              <w:t>at Assumed Annual Rates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60" w:type="dxa"/>
            <w:vAlign w:val="bottom"/>
            <w:gridSpan w:val="3"/>
          </w:tcPr>
          <w:p>
            <w:pPr>
              <w:jc w:val="center"/>
              <w:ind w:right="320"/>
              <w:spacing w:after="0" w:line="146"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86"/>
              </w:rPr>
              <w:t>Employees</w:t>
            </w:r>
          </w:p>
        </w:tc>
        <w:tc>
          <w:tcPr>
            <w:tcW w:w="380" w:type="dxa"/>
            <w:vAlign w:val="bottom"/>
          </w:tcPr>
          <w:p>
            <w:pPr>
              <w:spacing w:after="0"/>
              <w:rPr>
                <w:sz w:val="12"/>
                <w:szCs w:val="12"/>
                <w:color w:val="auto"/>
              </w:rPr>
            </w:pPr>
          </w:p>
        </w:tc>
        <w:tc>
          <w:tcPr>
            <w:tcW w:w="5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w w:val="93"/>
              </w:rPr>
              <w:t>Price per</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center"/>
              <w:ind w:right="200"/>
              <w:spacing w:after="0" w:line="146" w:lineRule="exact"/>
              <w:rPr>
                <w:sz w:val="20"/>
                <w:szCs w:val="20"/>
                <w:color w:val="auto"/>
              </w:rPr>
            </w:pPr>
            <w:r>
              <w:rPr>
                <w:rFonts w:ascii="Arial" w:cs="Arial" w:eastAsia="Arial" w:hAnsi="Arial"/>
                <w:sz w:val="14"/>
                <w:szCs w:val="14"/>
                <w:b w:val="1"/>
                <w:bCs w:val="1"/>
                <w:color w:val="auto"/>
                <w:w w:val="91"/>
              </w:rPr>
              <w:t>of Stock Price Appreciation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4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Options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 Fiscal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Share</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Option Term(5)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3"/>
              </w:rPr>
              <w:t>Granted</w:t>
            </w:r>
          </w:p>
        </w:tc>
        <w:tc>
          <w:tcPr>
            <w:tcW w:w="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Year(3)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3"/>
              </w:rPr>
              <w:t>($)(4)</w:t>
            </w:r>
          </w:p>
        </w:tc>
        <w:tc>
          <w:tcPr>
            <w:tcW w:w="380" w:type="dxa"/>
            <w:vAlign w:val="bottom"/>
          </w:tcPr>
          <w:p>
            <w:pPr>
              <w:spacing w:after="0"/>
              <w:rPr>
                <w:sz w:val="13"/>
                <w:szCs w:val="13"/>
                <w:color w:val="auto"/>
              </w:rPr>
            </w:pPr>
          </w:p>
        </w:tc>
        <w:tc>
          <w:tcPr>
            <w:tcW w:w="740" w:type="dxa"/>
            <w:vAlign w:val="bottom"/>
          </w:tcPr>
          <w:p>
            <w:pPr>
              <w:jc w:val="right"/>
              <w:ind w:right="169"/>
              <w:spacing w:after="0" w:line="153"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8"/>
              <w:spacing w:after="0" w:line="153" w:lineRule="exact"/>
              <w:rPr>
                <w:sz w:val="20"/>
                <w:szCs w:val="20"/>
                <w:color w:val="auto"/>
              </w:rPr>
            </w:pPr>
            <w:r>
              <w:rPr>
                <w:rFonts w:ascii="Arial" w:cs="Arial" w:eastAsia="Arial" w:hAnsi="Arial"/>
                <w:sz w:val="14"/>
                <w:szCs w:val="14"/>
                <w:b w:val="1"/>
                <w:bCs w:val="1"/>
                <w:color w:val="auto"/>
              </w:rPr>
              <w:t>5% ($)</w:t>
            </w: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74"/>
              <w:spacing w:after="0" w:line="153" w:lineRule="exact"/>
              <w:rPr>
                <w:sz w:val="20"/>
                <w:szCs w:val="20"/>
                <w:color w:val="auto"/>
              </w:rPr>
            </w:pPr>
            <w:r>
              <w:rPr>
                <w:rFonts w:ascii="Arial" w:cs="Arial" w:eastAsia="Arial" w:hAnsi="Arial"/>
                <w:sz w:val="14"/>
                <w:szCs w:val="14"/>
                <w:b w:val="1"/>
                <w:bCs w:val="1"/>
                <w:color w:val="auto"/>
              </w:rPr>
              <w:t>10%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3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400,000(1)</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48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37.70</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12/07/14</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9,483,731</w:t>
            </w: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24,033,636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Brian P. McAloon</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65,000(1)</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12/07/14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1,541,106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3,905,466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Robert R. Marshall</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65,000(1)</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0.51%</w:t>
            </w:r>
          </w:p>
        </w:tc>
        <w:tc>
          <w:tcPr>
            <w:tcW w:w="48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37.70</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12/07/14</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1,541,106</w:t>
            </w: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3,905,466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675(2)</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37.04</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6/01/15</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15,724</w:t>
            </w: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39,847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spacing w:after="0" w:line="200" w:lineRule="exact"/>
              <w:rPr>
                <w:sz w:val="20"/>
                <w:szCs w:val="20"/>
                <w:color w:val="auto"/>
              </w:rPr>
            </w:pPr>
            <w:r>
              <w:rPr>
                <w:rFonts w:ascii="Arial" w:cs="Arial" w:eastAsia="Arial" w:hAnsi="Arial"/>
                <w:sz w:val="18"/>
                <w:szCs w:val="18"/>
                <w:color w:val="auto"/>
              </w:rPr>
              <w:t>Robert P. McAdam</w:t>
            </w:r>
          </w:p>
        </w:tc>
        <w:tc>
          <w:tcPr>
            <w:tcW w:w="1360" w:type="dxa"/>
            <w:vAlign w:val="bottom"/>
            <w:gridSpan w:val="3"/>
          </w:tcPr>
          <w:p>
            <w:pPr>
              <w:jc w:val="right"/>
              <w:ind w:right="300"/>
              <w:spacing w:after="0" w:line="200" w:lineRule="exact"/>
              <w:rPr>
                <w:sz w:val="20"/>
                <w:szCs w:val="20"/>
                <w:color w:val="auto"/>
              </w:rPr>
            </w:pPr>
            <w:r>
              <w:rPr>
                <w:rFonts w:ascii="Arial" w:cs="Arial" w:eastAsia="Arial" w:hAnsi="Arial"/>
                <w:sz w:val="18"/>
                <w:szCs w:val="18"/>
                <w:color w:val="auto"/>
              </w:rPr>
              <w:t>65,000(1)</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0.51%</w:t>
            </w:r>
          </w:p>
        </w:tc>
        <w:tc>
          <w:tcPr>
            <w:tcW w:w="480" w:type="dxa"/>
            <w:vAlign w:val="bottom"/>
            <w:gridSpan w:val="2"/>
          </w:tcPr>
          <w:p>
            <w:pPr>
              <w:ind w:left="380"/>
              <w:spacing w:after="0" w:line="200"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37.70</w:t>
            </w:r>
          </w:p>
        </w:tc>
        <w:tc>
          <w:tcPr>
            <w:tcW w:w="11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12/07/14</w:t>
            </w:r>
          </w:p>
        </w:tc>
        <w:tc>
          <w:tcPr>
            <w:tcW w:w="48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w w:val="84"/>
              </w:rPr>
              <w:t>1,541,106</w:t>
            </w:r>
          </w:p>
        </w:tc>
        <w:tc>
          <w:tcPr>
            <w:tcW w:w="52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3,905,466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675(2)</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6/01/15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15,724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Samuel H. Fuller</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35,000(1)</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48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37.70</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12/07/14</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829,826</w:t>
            </w: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2,102,943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Joseph E. McDonough</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65,000(1)</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12/07/14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1,541,106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3,905,466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-1126490</wp:posOffset>
            </wp:positionV>
            <wp:extent cx="17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76835</wp:posOffset>
            </wp:positionV>
            <wp:extent cx="8166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8" w:lineRule="exact"/>
        <w:rPr>
          <w:sz w:val="20"/>
          <w:szCs w:val="20"/>
          <w:color w:val="auto"/>
        </w:rPr>
      </w:pPr>
    </w:p>
    <w:p>
      <w:pPr>
        <w:jc w:val="both"/>
        <w:ind w:left="1080" w:right="120" w:hanging="389"/>
        <w:spacing w:after="0" w:line="277"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options granted on December 7, 2004. Each option has an exercise price per share equal to the fair market value per share of our common stock on the date of grant and becomes exercisable, subject to the optionee’s continued employment with us, in three equal installments, on each of the third, fourth and fifth anniversaries of the grant date.</w:t>
      </w:r>
    </w:p>
    <w:p>
      <w:pPr>
        <w:spacing w:after="0" w:line="12" w:lineRule="exact"/>
        <w:rPr>
          <w:rFonts w:ascii="Arial" w:cs="Arial" w:eastAsia="Arial" w:hAnsi="Arial"/>
          <w:sz w:val="17"/>
          <w:szCs w:val="17"/>
          <w:color w:val="auto"/>
        </w:rPr>
      </w:pPr>
    </w:p>
    <w:p>
      <w:pPr>
        <w:ind w:left="1080" w:right="40" w:hanging="389"/>
        <w:spacing w:after="0" w:line="265"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options granted on June 1, 2005. Each option has an exercise price per share equal to the fair market value per share of our common stock on the date of grant and became exercisable on July 30, 2005.</w:t>
      </w:r>
    </w:p>
    <w:p>
      <w:pPr>
        <w:spacing w:after="0" w:line="20" w:lineRule="exact"/>
        <w:rPr>
          <w:rFonts w:ascii="Arial" w:cs="Arial" w:eastAsia="Arial" w:hAnsi="Arial"/>
          <w:sz w:val="18"/>
          <w:szCs w:val="18"/>
          <w:color w:val="auto"/>
        </w:rPr>
      </w:pPr>
    </w:p>
    <w:p>
      <w:pPr>
        <w:ind w:left="1080" w:right="200" w:hanging="389"/>
        <w:spacing w:after="0" w:line="265"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based on stock options to purchase an aggregate of 12,778,466 shares of our common stock granted to employees during fiscal year 2005.</w:t>
      </w:r>
    </w:p>
    <w:p>
      <w:pPr>
        <w:spacing w:after="0" w:line="20" w:lineRule="exact"/>
        <w:rPr>
          <w:rFonts w:ascii="Arial" w:cs="Arial" w:eastAsia="Arial" w:hAnsi="Arial"/>
          <w:sz w:val="18"/>
          <w:szCs w:val="18"/>
          <w:color w:val="auto"/>
        </w:rPr>
      </w:pPr>
    </w:p>
    <w:p>
      <w:pPr>
        <w:ind w:left="1080" w:hanging="389"/>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per share is equal to the fair market value per share of our common stock on the date of grant.</w:t>
      </w:r>
    </w:p>
    <w:p>
      <w:pPr>
        <w:spacing w:after="0" w:line="58" w:lineRule="exact"/>
        <w:rPr>
          <w:rFonts w:ascii="Arial" w:cs="Arial" w:eastAsia="Arial" w:hAnsi="Arial"/>
          <w:sz w:val="18"/>
          <w:szCs w:val="18"/>
          <w:color w:val="auto"/>
        </w:rPr>
      </w:pPr>
    </w:p>
    <w:p>
      <w:pPr>
        <w:ind w:left="1080" w:right="100" w:hanging="389"/>
        <w:spacing w:after="0" w:line="318"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option exercises.</w:t>
      </w:r>
    </w:p>
    <w:p>
      <w:pPr>
        <w:spacing w:after="0" w:line="54"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Following the end of fiscal year 2005, on December 6, 2005, we granted stock options for the purchase of 50,000 shares of our common stock to each of Messrs. Marshall and McDonough, stock options for the purchase of 40,000 shares to Mr. McAdam and stock options for the purchase of 25,000 shares to Mr. Fuller, in each case at an exercise price of $39.44 per share. These options are exercisable, subject to the optionee’s continued employment with us, in five equal annual installments, on each of the first, second, third, fourth and fifth anniversaries of the grant date except for Mr. McDonough’s option, which is exercisable in installments of one-fifth on each of the first and second anniversaries of the grant date and three-fifths on the third anniversary of the grant date. At Mr. Fishman’s request, the Compensation Committee has granted to him no stock options since the end of fiscal year 2005, consistent with the Company’s objective to reduce its overall annual stock option dilution rate.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Aggregated Option Exercises During Fiscal 2005 and Fiscal Year-End Option Values</w:t>
      </w:r>
    </w:p>
    <w:p>
      <w:pPr>
        <w:spacing w:after="0" w:line="13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following table contains information concerning the exercise of stock options during the fiscal year ended October 29, 2005 by each of our executive officers named in the Summary Compensation Table and the number and value of unexercised options held by each of them on October 29, 2005:</w:t>
      </w:r>
    </w:p>
    <w:p>
      <w:pPr>
        <w:spacing w:after="0" w:line="1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Fiscal Year-End Option Values</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240" w:type="dxa"/>
            <w:vAlign w:val="bottom"/>
          </w:tcPr>
          <w:p>
            <w:pPr>
              <w:spacing w:after="0"/>
              <w:rPr>
                <w:sz w:val="14"/>
                <w:szCs w:val="14"/>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Value of Unexercised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89"/>
              </w:rPr>
              <w:t>Underlying Unexercised</w:t>
            </w:r>
          </w:p>
        </w:tc>
        <w:tc>
          <w:tcPr>
            <w:tcW w:w="240" w:type="dxa"/>
            <w:vAlign w:val="bottom"/>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tcPr>
          <w:p>
            <w:pPr>
              <w:jc w:val="center"/>
              <w:ind w:left="540"/>
              <w:spacing w:after="0" w:line="146" w:lineRule="exact"/>
              <w:rPr>
                <w:sz w:val="20"/>
                <w:szCs w:val="20"/>
                <w:color w:val="auto"/>
              </w:rPr>
            </w:pPr>
            <w:r>
              <w:rPr>
                <w:rFonts w:ascii="Arial" w:cs="Arial" w:eastAsia="Arial" w:hAnsi="Arial"/>
                <w:sz w:val="14"/>
                <w:szCs w:val="14"/>
                <w:b w:val="1"/>
                <w:bCs w:val="1"/>
                <w:color w:val="auto"/>
                <w:w w:val="90"/>
              </w:rPr>
              <w:t>Options at Fiscal</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93"/>
              </w:rPr>
              <w:t>In-the-Money Options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720" w:type="dxa"/>
            <w:vAlign w:val="bottom"/>
            <w:tcBorders>
              <w:bottom w:val="single" w:sz="8" w:color="auto"/>
            </w:tcBorders>
            <w:gridSpan w:val="2"/>
          </w:tcPr>
          <w:p>
            <w:pPr>
              <w:jc w:val="center"/>
              <w:ind w:left="540"/>
              <w:spacing w:after="0"/>
              <w:rPr>
                <w:sz w:val="20"/>
                <w:szCs w:val="20"/>
                <w:color w:val="auto"/>
              </w:rPr>
            </w:pPr>
            <w:r>
              <w:rPr>
                <w:rFonts w:ascii="Arial" w:cs="Arial" w:eastAsia="Arial" w:hAnsi="Arial"/>
                <w:sz w:val="14"/>
                <w:szCs w:val="14"/>
                <w:b w:val="1"/>
                <w:bCs w:val="1"/>
                <w:color w:val="auto"/>
                <w:w w:val="94"/>
              </w:rPr>
              <w:t>Year-End (#)</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at Fiscal Year-End ($)(2)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91"/>
              </w:rPr>
              <w:t>Shares Acquired</w:t>
            </w:r>
          </w:p>
        </w:tc>
        <w:tc>
          <w:tcPr>
            <w:tcW w:w="320" w:type="dxa"/>
            <w:vAlign w:val="bottom"/>
          </w:tcPr>
          <w:p>
            <w:pPr>
              <w:spacing w:after="0"/>
              <w:rPr>
                <w:sz w:val="11"/>
                <w:szCs w:val="11"/>
                <w:color w:val="auto"/>
              </w:rPr>
            </w:pPr>
          </w:p>
        </w:tc>
        <w:tc>
          <w:tcPr>
            <w:tcW w:w="114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1"/>
              </w:rPr>
              <w:t>Realized</w:t>
            </w:r>
          </w:p>
        </w:tc>
        <w:tc>
          <w:tcPr>
            <w:tcW w:w="1560" w:type="dxa"/>
            <w:vAlign w:val="bottom"/>
          </w:tcPr>
          <w:p>
            <w:pPr>
              <w:jc w:val="center"/>
              <w:ind w:left="720"/>
              <w:spacing w:after="0" w:line="130" w:lineRule="exact"/>
              <w:rPr>
                <w:sz w:val="20"/>
                <w:szCs w:val="20"/>
                <w:color w:val="auto"/>
              </w:rPr>
            </w:pPr>
            <w:r>
              <w:rPr>
                <w:rFonts w:ascii="Arial" w:cs="Arial" w:eastAsia="Arial" w:hAnsi="Arial"/>
                <w:sz w:val="14"/>
                <w:szCs w:val="14"/>
                <w:b w:val="1"/>
                <w:bCs w:val="1"/>
                <w:color w:val="auto"/>
                <w:w w:val="88"/>
              </w:rPr>
              <w:t>Exercisable/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jc w:val="center"/>
              <w:ind w:left="729"/>
              <w:spacing w:after="0" w:line="130" w:lineRule="exact"/>
              <w:rPr>
                <w:sz w:val="20"/>
                <w:szCs w:val="20"/>
                <w:color w:val="auto"/>
              </w:rPr>
            </w:pPr>
            <w:r>
              <w:rPr>
                <w:rFonts w:ascii="Arial" w:cs="Arial" w:eastAsia="Arial" w:hAnsi="Arial"/>
                <w:sz w:val="14"/>
                <w:szCs w:val="14"/>
                <w:b w:val="1"/>
                <w:bCs w:val="1"/>
                <w:color w:val="auto"/>
                <w:w w:val="90"/>
              </w:rPr>
              <w:t>Exercisable/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6"/>
              </w:rPr>
              <w:t>on Exercise (#)</w:t>
            </w:r>
          </w:p>
        </w:tc>
        <w:tc>
          <w:tcPr>
            <w:tcW w:w="114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99"/>
              </w:rPr>
              <w:t>($)(1)</w:t>
            </w:r>
          </w:p>
        </w:tc>
        <w:tc>
          <w:tcPr>
            <w:tcW w:w="320" w:type="dxa"/>
            <w:vAlign w:val="bottom"/>
          </w:tcPr>
          <w:p>
            <w:pPr>
              <w:spacing w:after="0"/>
              <w:rPr>
                <w:sz w:val="14"/>
                <w:szCs w:val="14"/>
                <w:color w:val="auto"/>
              </w:rPr>
            </w:pPr>
          </w:p>
        </w:tc>
        <w:tc>
          <w:tcPr>
            <w:tcW w:w="1720" w:type="dxa"/>
            <w:vAlign w:val="bottom"/>
            <w:gridSpan w:val="2"/>
          </w:tcPr>
          <w:p>
            <w:pPr>
              <w:jc w:val="center"/>
              <w:ind w:left="560"/>
              <w:spacing w:after="0"/>
              <w:rPr>
                <w:sz w:val="20"/>
                <w:szCs w:val="20"/>
                <w:color w:val="auto"/>
              </w:rPr>
            </w:pPr>
            <w:r>
              <w:rPr>
                <w:rFonts w:ascii="Arial" w:cs="Arial" w:eastAsia="Arial" w:hAnsi="Arial"/>
                <w:sz w:val="14"/>
                <w:szCs w:val="14"/>
                <w:b w:val="1"/>
                <w:bCs w:val="1"/>
                <w:color w:val="auto"/>
                <w:w w:val="88"/>
              </w:rPr>
              <w:t>Unexercisable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left="749"/>
              <w:spacing w:after="0"/>
              <w:rPr>
                <w:sz w:val="20"/>
                <w:szCs w:val="20"/>
                <w:color w:val="auto"/>
              </w:rPr>
            </w:pPr>
            <w:r>
              <w:rPr>
                <w:rFonts w:ascii="Arial" w:cs="Arial" w:eastAsia="Arial" w:hAnsi="Arial"/>
                <w:sz w:val="14"/>
                <w:szCs w:val="14"/>
                <w:b w:val="1"/>
                <w:bCs w:val="1"/>
                <w:color w:val="auto"/>
                <w:w w:val="88"/>
              </w:rPr>
              <w:t>Unexercisable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2,854,525</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2,105,630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 1,603,334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25,307,275</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 3,680,000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Brian P. McAloon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340,456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261,668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3,445,252</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604,051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253,851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7,099,190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588,800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Robert P. McAdam</w:t>
            </w: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1,685,750</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497,572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253,851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8,158,590</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588,800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Samuel H. Fuller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313,117</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133,334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1,223,205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Joseph E. McDonough</w:t>
            </w: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462,675</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243,263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253,334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1,233,400</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588,800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-856615</wp:posOffset>
            </wp:positionV>
            <wp:extent cx="17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76835</wp:posOffset>
            </wp:positionV>
            <wp:extent cx="816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8" w:lineRule="exact"/>
        <w:rPr>
          <w:sz w:val="20"/>
          <w:szCs w:val="20"/>
          <w:color w:val="auto"/>
        </w:rPr>
      </w:pPr>
    </w:p>
    <w:p>
      <w:pPr>
        <w:ind w:left="1080" w:right="60" w:hanging="389"/>
        <w:spacing w:after="0" w:line="265"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multiplied by the number of shares acquired on exercise.</w:t>
      </w:r>
    </w:p>
    <w:p>
      <w:pPr>
        <w:spacing w:after="0" w:line="20" w:lineRule="exact"/>
        <w:rPr>
          <w:rFonts w:ascii="Arial" w:cs="Arial" w:eastAsia="Arial" w:hAnsi="Arial"/>
          <w:sz w:val="18"/>
          <w:szCs w:val="18"/>
          <w:color w:val="auto"/>
        </w:rPr>
      </w:pPr>
    </w:p>
    <w:p>
      <w:pPr>
        <w:ind w:left="1080" w:right="140" w:hanging="389"/>
        <w:spacing w:after="0" w:line="255"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of unexercised in-the-money options represents the difference between the closing price per share of our common stock on October 28, 2005, the last trading day of fiscal year 2005 ($34.61), and the exercise price per share of the stock option, multiplied by the number of shares subject to the stock option.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Plan</w:t>
      </w:r>
    </w:p>
    <w:p>
      <w:pPr>
        <w:spacing w:after="0" w:line="130" w:lineRule="exact"/>
        <w:rPr>
          <w:sz w:val="20"/>
          <w:szCs w:val="20"/>
          <w:color w:val="auto"/>
        </w:rPr>
      </w:pPr>
    </w:p>
    <w:p>
      <w:pPr>
        <w:ind w:left="700" w:right="340" w:firstLine="397"/>
        <w:spacing w:after="0" w:line="294" w:lineRule="auto"/>
        <w:rPr>
          <w:sz w:val="20"/>
          <w:szCs w:val="20"/>
          <w:color w:val="auto"/>
        </w:rPr>
      </w:pPr>
      <w:r>
        <w:rPr>
          <w:rFonts w:ascii="Arial" w:cs="Arial" w:eastAsia="Arial" w:hAnsi="Arial"/>
          <w:sz w:val="17"/>
          <w:szCs w:val="17"/>
          <w:color w:val="auto"/>
        </w:rPr>
        <w:t>Messrs. Marshall and McAdam are the only executive officers named in the Summary Compensation Table included in this proxy statement who participate in a defined-benefit plan, The Analog Devices B.V. Executive Pension Scheme.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Analog Devices B.V. Executive Pension Scheme</w:t>
      </w:r>
    </w:p>
    <w:p>
      <w:pPr>
        <w:spacing w:after="0" w:line="124" w:lineRule="exact"/>
        <w:rPr>
          <w:sz w:val="20"/>
          <w:szCs w:val="20"/>
          <w:color w:val="auto"/>
        </w:rPr>
      </w:pPr>
    </w:p>
    <w:p>
      <w:pPr>
        <w:ind w:left="700" w:right="320" w:firstLine="397"/>
        <w:spacing w:after="0" w:line="265" w:lineRule="auto"/>
        <w:rPr>
          <w:sz w:val="20"/>
          <w:szCs w:val="20"/>
          <w:color w:val="auto"/>
        </w:rPr>
      </w:pPr>
      <w:r>
        <w:rPr>
          <w:rFonts w:ascii="Arial" w:cs="Arial" w:eastAsia="Arial" w:hAnsi="Arial"/>
          <w:sz w:val="18"/>
          <w:szCs w:val="18"/>
          <w:color w:val="auto"/>
        </w:rPr>
        <w:t>The Analog Devices B.V. Executive Pension Scheme is a defined-benefit pension plan covering all permanent, full-time executive employees of our Irish subsidiaries. This pension plan has the following features:</w:t>
      </w:r>
    </w:p>
    <w:p>
      <w:pPr>
        <w:spacing w:after="0" w:line="87"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7"/>
          <w:szCs w:val="17"/>
          <w:color w:val="auto"/>
        </w:rPr>
        <w:t>A participant will be entitled to receive an annual pension equal to the sum of 1/60th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 “Pensionable salary” is defined at any date as the salary on that date less an amount equal to one and one-half times the Contributory Old Age Pension payable under the Social Welfare Acts in Ireland. “Pensionable service” is defined as the period of service of the participant with us up to the normal retirement date, the date of earlier retirement or the date of terminating service with us. For senior executives retiring at age 60, pensionable service is defined as if service continued to age 65. The normal retirement date under the pension plan is defined as the last day of the month in which a participant attains his or her 65th birthday. For senior executives, the retirement age under the pension plan is 60.</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Pension Plan Table(1)(2)</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Annual Estimated Benefits Provided by</w:t>
      </w:r>
    </w:p>
    <w:p>
      <w:pPr>
        <w:spacing w:after="0" w:line="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Analog Devices B. V. Executive Pension Scheme</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820" w:type="dxa"/>
            <w:vAlign w:val="bottom"/>
            <w:gridSpan w:val="2"/>
            <w:vMerge w:val="restart"/>
          </w:tcPr>
          <w:p>
            <w:pPr>
              <w:jc w:val="right"/>
              <w:ind w:right="1872"/>
              <w:spacing w:after="0"/>
              <w:rPr>
                <w:sz w:val="20"/>
                <w:szCs w:val="20"/>
                <w:color w:val="auto"/>
              </w:rPr>
            </w:pPr>
            <w:r>
              <w:rPr>
                <w:rFonts w:ascii="Arial" w:cs="Arial" w:eastAsia="Arial" w:hAnsi="Arial"/>
                <w:sz w:val="14"/>
                <w:szCs w:val="14"/>
                <w:b w:val="1"/>
                <w:bCs w:val="1"/>
                <w:color w:val="auto"/>
                <w:w w:val="89"/>
              </w:rPr>
              <w:t>Remuneration</w:t>
            </w: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Years of Service</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820" w:type="dxa"/>
            <w:vAlign w:val="bottom"/>
            <w:gridSpan w:val="2"/>
            <w:vMerge w:val="continue"/>
          </w:tcPr>
          <w:p>
            <w:pPr>
              <w:spacing w:after="0"/>
              <w:rPr>
                <w:sz w:val="13"/>
                <w:szCs w:val="13"/>
                <w:color w:val="auto"/>
              </w:rPr>
            </w:pPr>
          </w:p>
        </w:tc>
        <w:tc>
          <w:tcPr>
            <w:tcW w:w="1940" w:type="dxa"/>
            <w:vAlign w:val="bottom"/>
          </w:tcPr>
          <w:p>
            <w:pPr>
              <w:spacing w:after="0"/>
              <w:rPr>
                <w:sz w:val="13"/>
                <w:szCs w:val="13"/>
                <w:color w:val="auto"/>
              </w:rPr>
            </w:pPr>
          </w:p>
        </w:tc>
        <w:tc>
          <w:tcPr>
            <w:tcW w:w="720" w:type="dxa"/>
            <w:vAlign w:val="bottom"/>
          </w:tcPr>
          <w:p>
            <w:pPr>
              <w:jc w:val="right"/>
              <w:ind w:right="229"/>
              <w:spacing w:after="0" w:line="153" w:lineRule="exact"/>
              <w:rPr>
                <w:sz w:val="20"/>
                <w:szCs w:val="20"/>
                <w:color w:val="auto"/>
              </w:rPr>
            </w:pPr>
            <w:r>
              <w:rPr>
                <w:rFonts w:ascii="Arial" w:cs="Arial" w:eastAsia="Arial" w:hAnsi="Arial"/>
                <w:sz w:val="14"/>
                <w:szCs w:val="14"/>
                <w:b w:val="1"/>
                <w:bCs w:val="1"/>
                <w:color w:val="auto"/>
              </w:rPr>
              <w:t>15</w:t>
            </w:r>
          </w:p>
        </w:tc>
        <w:tc>
          <w:tcPr>
            <w:tcW w:w="110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20</w:t>
            </w:r>
          </w:p>
        </w:tc>
        <w:tc>
          <w:tcPr>
            <w:tcW w:w="112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3"/>
                <w:szCs w:val="13"/>
                <w:color w:val="auto"/>
              </w:rPr>
            </w:pPr>
          </w:p>
        </w:tc>
        <w:tc>
          <w:tcPr>
            <w:tcW w:w="84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30</w:t>
            </w:r>
          </w:p>
        </w:tc>
        <w:tc>
          <w:tcPr>
            <w:tcW w:w="106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8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800" w:type="dxa"/>
            <w:vAlign w:val="bottom"/>
            <w:shd w:val="clear" w:color="auto" w:fill="CCEEFF"/>
          </w:tcPr>
          <w:p>
            <w:pPr>
              <w:jc w:val="right"/>
              <w:ind w:right="1992"/>
              <w:spacing w:after="0"/>
              <w:rPr>
                <w:sz w:val="20"/>
                <w:szCs w:val="20"/>
                <w:color w:val="auto"/>
              </w:rPr>
            </w:pPr>
            <w:r>
              <w:rPr>
                <w:rFonts w:ascii="Arial" w:cs="Arial" w:eastAsia="Arial" w:hAnsi="Arial"/>
                <w:sz w:val="18"/>
                <w:szCs w:val="18"/>
                <w:color w:val="auto"/>
                <w:w w:val="93"/>
              </w:rPr>
              <w:t>$125,000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35,756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44,695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53,634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$ 62,573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$ 71,512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jc w:val="right"/>
              <w:ind w:right="1992"/>
              <w:spacing w:after="0"/>
              <w:rPr>
                <w:sz w:val="20"/>
                <w:szCs w:val="20"/>
                <w:color w:val="auto"/>
              </w:rPr>
            </w:pPr>
            <w:r>
              <w:rPr>
                <w:rFonts w:ascii="Arial" w:cs="Arial" w:eastAsia="Arial" w:hAnsi="Arial"/>
                <w:sz w:val="18"/>
                <w:szCs w:val="18"/>
                <w:color w:val="auto"/>
              </w:rPr>
              <w:t>150,000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44,089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55,112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66,134</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77,156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CCEEFF"/>
          </w:tcPr>
          <w:p>
            <w:pPr>
              <w:jc w:val="right"/>
              <w:ind w:right="1992"/>
              <w:spacing w:after="0"/>
              <w:rPr>
                <w:sz w:val="20"/>
                <w:szCs w:val="20"/>
                <w:color w:val="auto"/>
              </w:rPr>
            </w:pPr>
            <w:r>
              <w:rPr>
                <w:rFonts w:ascii="Arial" w:cs="Arial" w:eastAsia="Arial" w:hAnsi="Arial"/>
                <w:sz w:val="18"/>
                <w:szCs w:val="18"/>
                <w:color w:val="auto"/>
              </w:rPr>
              <w:t>175,000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jc w:val="right"/>
              <w:ind w:right="1992"/>
              <w:spacing w:after="0"/>
              <w:rPr>
                <w:sz w:val="20"/>
                <w:szCs w:val="20"/>
                <w:color w:val="auto"/>
              </w:rPr>
            </w:pPr>
            <w:r>
              <w:rPr>
                <w:rFonts w:ascii="Arial" w:cs="Arial" w:eastAsia="Arial" w:hAnsi="Arial"/>
                <w:sz w:val="18"/>
                <w:szCs w:val="18"/>
                <w:color w:val="auto"/>
              </w:rPr>
              <w:t>200,000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60,756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75,945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91,134</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106,323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CCEEFF"/>
          </w:tcPr>
          <w:p>
            <w:pPr>
              <w:jc w:val="right"/>
              <w:ind w:right="1992"/>
              <w:spacing w:after="0"/>
              <w:rPr>
                <w:sz w:val="20"/>
                <w:szCs w:val="20"/>
                <w:color w:val="auto"/>
              </w:rPr>
            </w:pPr>
            <w:r>
              <w:rPr>
                <w:rFonts w:ascii="Arial" w:cs="Arial" w:eastAsia="Arial" w:hAnsi="Arial"/>
                <w:sz w:val="18"/>
                <w:szCs w:val="18"/>
                <w:color w:val="auto"/>
              </w:rPr>
              <w:t>225,000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103,634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jc w:val="right"/>
              <w:ind w:right="1992"/>
              <w:spacing w:after="0"/>
              <w:rPr>
                <w:sz w:val="20"/>
                <w:szCs w:val="20"/>
                <w:color w:val="auto"/>
              </w:rPr>
            </w:pPr>
            <w:r>
              <w:rPr>
                <w:rFonts w:ascii="Arial" w:cs="Arial" w:eastAsia="Arial" w:hAnsi="Arial"/>
                <w:sz w:val="18"/>
                <w:szCs w:val="18"/>
                <w:color w:val="auto"/>
              </w:rPr>
              <w:t>250,000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77,423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96,778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116,134</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135,490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154,845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CCEEFF"/>
          </w:tcPr>
          <w:p>
            <w:pPr>
              <w:jc w:val="right"/>
              <w:ind w:right="1992"/>
              <w:spacing w:after="0"/>
              <w:rPr>
                <w:sz w:val="20"/>
                <w:szCs w:val="20"/>
                <w:color w:val="auto"/>
              </w:rPr>
            </w:pPr>
            <w:r>
              <w:rPr>
                <w:rFonts w:ascii="Arial" w:cs="Arial" w:eastAsia="Arial" w:hAnsi="Arial"/>
                <w:sz w:val="18"/>
                <w:szCs w:val="18"/>
                <w:color w:val="auto"/>
              </w:rPr>
              <w:t>300,000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141,134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164,656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jc w:val="right"/>
              <w:ind w:right="1992"/>
              <w:spacing w:after="0"/>
              <w:rPr>
                <w:sz w:val="20"/>
                <w:szCs w:val="20"/>
                <w:color w:val="auto"/>
              </w:rPr>
            </w:pPr>
            <w:r>
              <w:rPr>
                <w:rFonts w:ascii="Arial" w:cs="Arial" w:eastAsia="Arial" w:hAnsi="Arial"/>
                <w:sz w:val="18"/>
                <w:szCs w:val="18"/>
                <w:color w:val="auto"/>
              </w:rPr>
              <w:t>400,000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127,423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159,278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191,134</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222,990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254,845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CCEEFF"/>
          </w:tcPr>
          <w:p>
            <w:pPr>
              <w:jc w:val="right"/>
              <w:ind w:right="1992"/>
              <w:spacing w:after="0"/>
              <w:rPr>
                <w:sz w:val="20"/>
                <w:szCs w:val="20"/>
                <w:color w:val="auto"/>
              </w:rPr>
            </w:pPr>
            <w:r>
              <w:rPr>
                <w:rFonts w:ascii="Arial" w:cs="Arial" w:eastAsia="Arial" w:hAnsi="Arial"/>
                <w:sz w:val="18"/>
                <w:szCs w:val="18"/>
                <w:color w:val="auto"/>
              </w:rPr>
              <w:t>450,000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216,134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252,156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jc w:val="right"/>
              <w:ind w:right="1992"/>
              <w:spacing w:after="0"/>
              <w:rPr>
                <w:sz w:val="20"/>
                <w:szCs w:val="20"/>
                <w:color w:val="auto"/>
              </w:rPr>
            </w:pPr>
            <w:r>
              <w:rPr>
                <w:rFonts w:ascii="Arial" w:cs="Arial" w:eastAsia="Arial" w:hAnsi="Arial"/>
                <w:sz w:val="18"/>
                <w:szCs w:val="18"/>
                <w:color w:val="auto"/>
              </w:rPr>
              <w:t>500,000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160,756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200,945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241,134</w:t>
            </w: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281,323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321,512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-1395730</wp:posOffset>
            </wp:positionV>
            <wp:extent cx="25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76835</wp:posOffset>
            </wp:positionV>
            <wp:extent cx="816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8" w:lineRule="exact"/>
        <w:rPr>
          <w:sz w:val="20"/>
          <w:szCs w:val="20"/>
          <w:color w:val="auto"/>
        </w:rPr>
      </w:pPr>
    </w:p>
    <w:p>
      <w:pPr>
        <w:ind w:left="1080" w:right="40" w:hanging="389"/>
        <w:spacing w:after="0" w:line="277"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the purpose of calculating the amounts shown in the table, we have assumed that the participants in the specified ranges are senior executives who retired on October 29, 2005 at the age of 60 and that all payments were made on a straight life annuity basis. These payments are not subject to any further deduction for social security benefits or other offset amounts.</w:t>
      </w:r>
    </w:p>
    <w:p>
      <w:pPr>
        <w:spacing w:after="0" w:line="12" w:lineRule="exact"/>
        <w:rPr>
          <w:rFonts w:ascii="Arial" w:cs="Arial" w:eastAsia="Arial" w:hAnsi="Arial"/>
          <w:sz w:val="17"/>
          <w:szCs w:val="17"/>
          <w:color w:val="auto"/>
        </w:rPr>
      </w:pPr>
    </w:p>
    <w:p>
      <w:pPr>
        <w:ind w:left="1080" w:right="100" w:hanging="389"/>
        <w:spacing w:after="0" w:line="309"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Each of Messrs. Marshall and McAdam had approximately 26 years of credited service under this pension plan as of October 29, 2005, and are considered senior executives for the purposes of the pension plan. As part of their employment arrangements with us, Messrs. Marshall and McAdam will be, in the event that they retire at age 60, entitled to have their pension benefits increased to the maximum amount payable under the pension plan (which is two-thirds of final pensionable salary). However, their benefits under the pension plan will be pro rated based on their years of service with us if they retire prior to age 60. Compensation covered under this pension plan includes the salaries shown in the Summary Compensation Table included in this proxy statement.</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Program Description</w:t>
      </w:r>
    </w:p>
    <w:p>
      <w:pPr>
        <w:spacing w:after="0" w:line="130" w:lineRule="exact"/>
        <w:rPr>
          <w:sz w:val="20"/>
          <w:szCs w:val="20"/>
          <w:color w:val="auto"/>
        </w:rPr>
      </w:pPr>
    </w:p>
    <w:p>
      <w:pPr>
        <w:jc w:val="both"/>
        <w:ind w:left="700" w:right="160" w:firstLine="397"/>
        <w:spacing w:after="0" w:line="255" w:lineRule="auto"/>
        <w:rPr>
          <w:sz w:val="20"/>
          <w:szCs w:val="20"/>
          <w:color w:val="auto"/>
        </w:rPr>
      </w:pPr>
      <w:r>
        <w:rPr>
          <w:rFonts w:ascii="Arial" w:cs="Arial" w:eastAsia="Arial" w:hAnsi="Arial"/>
          <w:sz w:val="18"/>
          <w:szCs w:val="18"/>
          <w:color w:val="auto"/>
        </w:rPr>
        <w:t>Our stock option program is a broad-based, long-term employee retention program that is intended to attract, retain and motivate our employees, officers and directors and to align their interests with those of our shareholders. We have two plans under which we currently grant stock options:</w:t>
      </w:r>
    </w:p>
    <w:p>
      <w:pPr>
        <w:spacing w:after="0" w:line="96" w:lineRule="exact"/>
        <w:rPr>
          <w:sz w:val="20"/>
          <w:szCs w:val="20"/>
          <w:color w:val="auto"/>
        </w:rPr>
      </w:pPr>
    </w:p>
    <w:p>
      <w:pPr>
        <w:ind w:left="1200" w:right="140" w:hanging="111"/>
        <w:spacing w:after="0" w:line="265"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1998 Stock Option Plan, as amended, under which officers, directors and employees of Analog are granted options to purchase shares of our common stock; and</w:t>
      </w:r>
    </w:p>
    <w:p>
      <w:pPr>
        <w:spacing w:after="0" w:line="73" w:lineRule="exact"/>
        <w:rPr>
          <w:rFonts w:ascii="Arial" w:cs="Arial" w:eastAsia="Arial" w:hAnsi="Arial"/>
          <w:sz w:val="18"/>
          <w:szCs w:val="18"/>
          <w:color w:val="auto"/>
        </w:rPr>
      </w:pPr>
    </w:p>
    <w:p>
      <w:pPr>
        <w:ind w:left="1200" w:right="540" w:hanging="111"/>
        <w:spacing w:after="0" w:line="294"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2001 Broad-Based Stock Option Plan, as amended, under which options to purchase shares of our common stock may be granted to all employees, consultants and advisors of Analog, other than officers or directors.</w:t>
      </w:r>
    </w:p>
    <w:p>
      <w:pPr>
        <w:spacing w:after="0" w:line="65" w:lineRule="exact"/>
        <w:rPr>
          <w:sz w:val="20"/>
          <w:szCs w:val="20"/>
          <w:color w:val="auto"/>
        </w:rPr>
      </w:pPr>
    </w:p>
    <w:p>
      <w:pPr>
        <w:ind w:left="700" w:right="40" w:firstLine="397"/>
        <w:spacing w:after="0" w:line="267" w:lineRule="auto"/>
        <w:rPr>
          <w:sz w:val="20"/>
          <w:szCs w:val="20"/>
          <w:color w:val="auto"/>
        </w:rPr>
      </w:pPr>
      <w:r>
        <w:rPr>
          <w:rFonts w:ascii="Arial" w:cs="Arial" w:eastAsia="Arial" w:hAnsi="Arial"/>
          <w:sz w:val="17"/>
          <w:szCs w:val="17"/>
          <w:color w:val="auto"/>
        </w:rPr>
        <w:t>Substantially all of our employees participate in one or both of these plans. All options have a term of ten years and generally vest either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Our option plans do not permit us to grant options at exercise prices that are below the fair market value of our common stock as of the date of grant. We believe that these plans are critical to our efforts to create and maintain a competitive advantage in the extremely competitive semiconductor industry.</w:t>
      </w:r>
    </w:p>
    <w:p>
      <w:pPr>
        <w:spacing w:after="0" w:line="87" w:lineRule="exact"/>
        <w:rPr>
          <w:sz w:val="20"/>
          <w:szCs w:val="20"/>
          <w:color w:val="auto"/>
        </w:rPr>
      </w:pPr>
    </w:p>
    <w:p>
      <w:pPr>
        <w:ind w:left="700" w:right="340" w:firstLine="397"/>
        <w:spacing w:after="0" w:line="265" w:lineRule="auto"/>
        <w:rPr>
          <w:sz w:val="20"/>
          <w:szCs w:val="20"/>
          <w:color w:val="auto"/>
        </w:rPr>
      </w:pPr>
      <w:r>
        <w:rPr>
          <w:rFonts w:ascii="Arial" w:cs="Arial" w:eastAsia="Arial" w:hAnsi="Arial"/>
          <w:sz w:val="18"/>
          <w:szCs w:val="18"/>
          <w:color w:val="auto"/>
        </w:rPr>
        <w:t>We plan to reduce the dilution related to our option program to approximately 2.3% in fiscal year 2006. The dilution percentage is calculated as the total number of shares of common stock underlying new option grants for the</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80"/>
        <w:spacing w:after="0" w:line="265" w:lineRule="auto"/>
        <w:rPr>
          <w:sz w:val="20"/>
          <w:szCs w:val="20"/>
          <w:color w:val="auto"/>
        </w:rPr>
      </w:pPr>
      <w:r>
        <w:rPr>
          <w:rFonts w:ascii="Arial" w:cs="Arial" w:eastAsia="Arial" w:hAnsi="Arial"/>
          <w:sz w:val="18"/>
          <w:szCs w:val="18"/>
          <w:color w:val="auto"/>
        </w:rPr>
        <w:t>year, net of options forfeited by employees leaving Analog, divided by total outstanding shares of our common stock as of the end of the fiscal year.</w:t>
      </w:r>
    </w:p>
    <w:p>
      <w:pPr>
        <w:spacing w:after="0" w:line="8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All stock option grants to executive officers and directors can be made only from shareholder-approved plans and are made after a review by, and with the approval of, the Compensation Committee of our Board of Directors. All members of the Compensation Committee are independent directors, as defined by the New York Stock Exchange.</w:t>
      </w:r>
    </w:p>
    <w:p>
      <w:pPr>
        <w:spacing w:after="0" w:line="96"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option exercise price per share.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0" w:lineRule="exact"/>
        <w:rPr>
          <w:sz w:val="20"/>
          <w:szCs w:val="20"/>
          <w:color w:val="auto"/>
        </w:rPr>
      </w:pPr>
    </w:p>
    <w:p>
      <w:pPr>
        <w:ind w:left="700" w:right="180" w:firstLine="397"/>
        <w:spacing w:after="0" w:line="303" w:lineRule="auto"/>
        <w:rPr>
          <w:sz w:val="20"/>
          <w:szCs w:val="20"/>
          <w:color w:val="auto"/>
        </w:rPr>
      </w:pPr>
      <w:r>
        <w:rPr>
          <w:rFonts w:ascii="Arial" w:cs="Arial" w:eastAsia="Arial" w:hAnsi="Arial"/>
          <w:sz w:val="15"/>
          <w:szCs w:val="15"/>
          <w:color w:val="auto"/>
        </w:rPr>
        <w:t>The following table provides information as of October 29, 2005 about the securities issued, or authorized for future issuance, under our equity compensation plans, consisting of our 2001 Broad-Based Stock Option Plan, our 1998 Stock Option Plan, our Restated</w:t>
      </w:r>
    </w:p>
    <w:p>
      <w:pPr>
        <w:ind w:left="700" w:right="700"/>
        <w:spacing w:after="0" w:line="251" w:lineRule="auto"/>
        <w:rPr>
          <w:sz w:val="20"/>
          <w:szCs w:val="20"/>
          <w:color w:val="auto"/>
        </w:rPr>
      </w:pPr>
      <w:r>
        <w:rPr>
          <w:rFonts w:ascii="Arial" w:cs="Arial" w:eastAsia="Arial" w:hAnsi="Arial"/>
          <w:sz w:val="18"/>
          <w:szCs w:val="18"/>
          <w:color w:val="auto"/>
        </w:rPr>
        <w:t>1994 Director Option Plan, our Restated 1988 Stock Option Plan, our 1992 Employee Stock Purchase Plan, our 1998 International Employee Stock Purchase Plan and our Employee Service Award Program.</w:t>
      </w:r>
    </w:p>
    <w:p>
      <w:pPr>
        <w:spacing w:after="0" w:line="1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42"/>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380" w:type="dxa"/>
            <w:vAlign w:val="bottom"/>
          </w:tcPr>
          <w:p>
            <w:pPr>
              <w:spacing w:after="0"/>
              <w:rPr>
                <w:sz w:val="10"/>
                <w:szCs w:val="10"/>
                <w:color w:val="auto"/>
              </w:rPr>
            </w:pPr>
          </w:p>
        </w:tc>
        <w:tc>
          <w:tcPr>
            <w:tcW w:w="19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7"/>
              </w:rPr>
              <w:t>Number of Securities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Number of Securities to be</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2"/>
              <w:spacing w:after="0" w:line="146" w:lineRule="exact"/>
              <w:rPr>
                <w:sz w:val="20"/>
                <w:szCs w:val="20"/>
                <w:color w:val="auto"/>
              </w:rPr>
            </w:pPr>
            <w:r>
              <w:rPr>
                <w:rFonts w:ascii="Arial" w:cs="Arial" w:eastAsia="Arial" w:hAnsi="Arial"/>
                <w:sz w:val="14"/>
                <w:szCs w:val="14"/>
                <w:b w:val="1"/>
                <w:bCs w:val="1"/>
                <w:color w:val="auto"/>
                <w:w w:val="90"/>
              </w:rPr>
              <w:t>Exercise Price of</w:t>
            </w:r>
          </w:p>
        </w:tc>
        <w:tc>
          <w:tcPr>
            <w:tcW w:w="380" w:type="dxa"/>
            <w:vAlign w:val="bottom"/>
          </w:tcPr>
          <w:p>
            <w:pPr>
              <w:spacing w:after="0"/>
              <w:rPr>
                <w:sz w:val="12"/>
                <w:szCs w:val="12"/>
                <w:color w:val="auto"/>
              </w:rPr>
            </w:pPr>
          </w:p>
        </w:tc>
        <w:tc>
          <w:tcPr>
            <w:tcW w:w="21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2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88"/>
              </w:rPr>
              <w:t>Issued Upon 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2"/>
              <w:spacing w:after="0" w:line="146"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21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Plan Category</w:t>
            </w:r>
          </w:p>
        </w:tc>
        <w:tc>
          <w:tcPr>
            <w:tcW w:w="222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2"/>
              </w:rPr>
              <w:t>Outstanding Options,</w:t>
            </w:r>
          </w:p>
        </w:tc>
        <w:tc>
          <w:tcPr>
            <w:tcW w:w="160" w:type="dxa"/>
            <w:vAlign w:val="bottom"/>
          </w:tcPr>
          <w:p>
            <w:pPr>
              <w:spacing w:after="0"/>
              <w:rPr>
                <w:sz w:val="13"/>
                <w:szCs w:val="13"/>
                <w:color w:val="auto"/>
              </w:rPr>
            </w:pPr>
          </w:p>
        </w:tc>
        <w:tc>
          <w:tcPr>
            <w:tcW w:w="12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Options, Warrants</w:t>
            </w:r>
          </w:p>
        </w:tc>
        <w:tc>
          <w:tcPr>
            <w:tcW w:w="380" w:type="dxa"/>
            <w:vAlign w:val="bottom"/>
          </w:tcPr>
          <w:p>
            <w:pPr>
              <w:spacing w:after="0"/>
              <w:rPr>
                <w:sz w:val="13"/>
                <w:szCs w:val="13"/>
                <w:color w:val="auto"/>
              </w:rPr>
            </w:pPr>
          </w:p>
        </w:tc>
        <w:tc>
          <w:tcPr>
            <w:tcW w:w="218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Warrants and Rights(1)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and Rights</w:t>
            </w:r>
          </w:p>
        </w:tc>
        <w:tc>
          <w:tcPr>
            <w:tcW w:w="38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Reflected in Column (a))</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368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shareholders</w:t>
            </w:r>
          </w:p>
        </w:tc>
        <w:tc>
          <w:tcPr>
            <w:tcW w:w="18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6"/>
              </w:rPr>
              <w:t>48,561,635</w:t>
            </w: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12,405,844(2)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tcPr>
          <w:p>
            <w:pPr>
              <w:spacing w:after="0" w:line="200" w:lineRule="exact"/>
              <w:rPr>
                <w:sz w:val="20"/>
                <w:szCs w:val="20"/>
                <w:color w:val="auto"/>
              </w:rPr>
            </w:pPr>
            <w:r>
              <w:rPr>
                <w:rFonts w:ascii="Arial" w:cs="Arial" w:eastAsia="Arial" w:hAnsi="Arial"/>
                <w:sz w:val="18"/>
                <w:szCs w:val="18"/>
                <w:color w:val="auto"/>
              </w:rPr>
              <w:t>Equity compensation plans not approved by</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w w:val="99"/>
              </w:rPr>
              <w:t>36,854,012(3)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31.07</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12,623,395(4)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6"/>
              </w:rPr>
              <w:t>85,415,647</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3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25,029,239(5)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-756920</wp:posOffset>
            </wp:positionV>
            <wp:extent cx="25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227330</wp:posOffset>
            </wp:positionV>
            <wp:extent cx="8166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00" w:right="60" w:hanging="309"/>
        <w:spacing w:after="0" w:line="26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table excludes an aggregate of 73,731 shares issuable upon exercise of outstanding options assumed by Analog in connection with various acquisition transactions. The weighted average exercise price of the excluded options is $5.49.</w:t>
      </w:r>
    </w:p>
    <w:p>
      <w:pPr>
        <w:spacing w:after="0" w:line="20" w:lineRule="exact"/>
        <w:rPr>
          <w:rFonts w:ascii="Arial" w:cs="Arial" w:eastAsia="Arial" w:hAnsi="Arial"/>
          <w:sz w:val="18"/>
          <w:szCs w:val="18"/>
          <w:color w:val="auto"/>
        </w:rPr>
      </w:pPr>
    </w:p>
    <w:p>
      <w:pPr>
        <w:ind w:left="1000" w:right="540" w:hanging="309"/>
        <w:spacing w:after="0" w:line="26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1,076,845 shares issuable under our 1992 Employee Stock Purchase Plan, of which up to 521,326 shares are issuable in connection with the current offering period ending June 1, 2006.</w:t>
      </w:r>
    </w:p>
    <w:p>
      <w:pPr>
        <w:spacing w:after="0" w:line="20" w:lineRule="exact"/>
        <w:rPr>
          <w:rFonts w:ascii="Arial" w:cs="Arial" w:eastAsia="Arial" w:hAnsi="Arial"/>
          <w:sz w:val="18"/>
          <w:szCs w:val="18"/>
          <w:color w:val="auto"/>
        </w:rPr>
      </w:pPr>
    </w:p>
    <w:p>
      <w:pPr>
        <w:ind w:left="1000" w:right="200" w:hanging="309"/>
        <w:spacing w:after="0" w:line="26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issuable upon exercise of outstanding options granted pursuant to our 2001 Broad-Based Stock Option Plan, which did not require the approval of shareholders and has not been approved by our shareholders.</w:t>
      </w:r>
    </w:p>
    <w:p>
      <w:pPr>
        <w:spacing w:after="0" w:line="20" w:lineRule="exact"/>
        <w:rPr>
          <w:rFonts w:ascii="Arial" w:cs="Arial" w:eastAsia="Arial" w:hAnsi="Arial"/>
          <w:sz w:val="18"/>
          <w:szCs w:val="18"/>
          <w:color w:val="auto"/>
        </w:rPr>
      </w:pPr>
    </w:p>
    <w:p>
      <w:pPr>
        <w:ind w:left="1000" w:right="200" w:hanging="309"/>
        <w:spacing w:after="0" w:line="25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252,353 shares issuable under our 1998 International Employee Stock Purchase Plan, of which up to 91,336 shares are issuable in connection with the current offering period ending June 1, 2006; and 243,353 shares issuable under our Employee Service Award Program.</w:t>
      </w:r>
    </w:p>
    <w:p>
      <w:pPr>
        <w:spacing w:after="0" w:line="29" w:lineRule="exact"/>
        <w:rPr>
          <w:rFonts w:ascii="Arial" w:cs="Arial" w:eastAsia="Arial" w:hAnsi="Arial"/>
          <w:sz w:val="18"/>
          <w:szCs w:val="18"/>
          <w:color w:val="auto"/>
        </w:rPr>
      </w:pPr>
    </w:p>
    <w:p>
      <w:pPr>
        <w:ind w:left="1000" w:right="120" w:hanging="309"/>
        <w:spacing w:after="0" w:line="366" w:lineRule="auto"/>
        <w:tabs>
          <w:tab w:leader="none" w:pos="10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1,329,198 shares issuable under our employee stock purchase plans, of which up to 612,662 shares are issuable in connection with the current offering period ending June 1, 2006; and 243,353 shares issuable under our Employee Service Award Program.</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2001 Broad-Based Stock Option Plan</w:t>
      </w:r>
    </w:p>
    <w:p>
      <w:pPr>
        <w:spacing w:after="0" w:line="124" w:lineRule="exact"/>
        <w:rPr>
          <w:sz w:val="20"/>
          <w:szCs w:val="20"/>
          <w:color w:val="auto"/>
        </w:rPr>
      </w:pPr>
    </w:p>
    <w:p>
      <w:pPr>
        <w:ind w:left="700" w:right="40" w:firstLine="397"/>
        <w:spacing w:after="0" w:line="309" w:lineRule="auto"/>
        <w:rPr>
          <w:sz w:val="20"/>
          <w:szCs w:val="20"/>
          <w:color w:val="auto"/>
        </w:rPr>
      </w:pPr>
      <w:r>
        <w:rPr>
          <w:rFonts w:ascii="Arial" w:cs="Arial" w:eastAsia="Arial" w:hAnsi="Arial"/>
          <w:sz w:val="15"/>
          <w:szCs w:val="15"/>
          <w:color w:val="auto"/>
        </w:rPr>
        <w:t>In December 2001, our Board of Directors adopted the 2001 Broad-Based Stock Option Plan pursuant to which non-statutory stock options for up to 50,000,000 shares of common stock may be granted to employees, consultants or advisors of Analog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60" w:lineRule="exact"/>
        <w:rPr>
          <w:sz w:val="20"/>
          <w:szCs w:val="20"/>
          <w:color w:val="auto"/>
        </w:rPr>
      </w:pPr>
    </w:p>
    <w:p>
      <w:pPr>
        <w:ind w:left="700" w:right="60" w:firstLine="397"/>
        <w:spacing w:after="0" w:line="252" w:lineRule="auto"/>
        <w:rPr>
          <w:sz w:val="20"/>
          <w:szCs w:val="20"/>
          <w:color w:val="auto"/>
        </w:rPr>
      </w:pPr>
      <w:r>
        <w:rPr>
          <w:rFonts w:ascii="Arial" w:cs="Arial" w:eastAsia="Arial" w:hAnsi="Arial"/>
          <w:sz w:val="18"/>
          <w:szCs w:val="18"/>
          <w:color w:val="auto"/>
        </w:rPr>
        <w:t>Our Board of Directors is authorized to administer the 2001 plan. Our Board of Directors is authorized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99" w:lineRule="exact"/>
        <w:rPr>
          <w:sz w:val="20"/>
          <w:szCs w:val="20"/>
          <w:color w:val="auto"/>
        </w:rPr>
      </w:pPr>
    </w:p>
    <w:p>
      <w:pPr>
        <w:ind w:left="700" w:right="100" w:firstLine="397"/>
        <w:spacing w:after="0" w:line="309" w:lineRule="auto"/>
        <w:rPr>
          <w:sz w:val="20"/>
          <w:szCs w:val="20"/>
          <w:color w:val="auto"/>
        </w:rPr>
      </w:pPr>
      <w:r>
        <w:rPr>
          <w:rFonts w:ascii="Arial" w:cs="Arial" w:eastAsia="Arial" w:hAnsi="Arial"/>
          <w:sz w:val="15"/>
          <w:szCs w:val="15"/>
          <w:color w:val="auto"/>
        </w:rPr>
        <w:t>Our Board of Directors and our Compensation Committee have the authority to select the recipients of options under the 2001 plan and determine (1) the number of shares of common stock covered by such options, (2) the dates upon which such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(which may not be less than the fair market value of the common stock on the date of grant), and (4) the duration of the options (which may not exceed 10 years).</w:t>
      </w:r>
    </w:p>
    <w:p>
      <w:pPr>
        <w:spacing w:after="0" w:line="60" w:lineRule="exact"/>
        <w:rPr>
          <w:sz w:val="20"/>
          <w:szCs w:val="20"/>
          <w:color w:val="auto"/>
        </w:rPr>
      </w:pPr>
    </w:p>
    <w:p>
      <w:pPr>
        <w:ind w:left="700" w:right="220" w:firstLine="397"/>
        <w:spacing w:after="0" w:line="255" w:lineRule="auto"/>
        <w:rPr>
          <w:sz w:val="20"/>
          <w:szCs w:val="20"/>
          <w:color w:val="auto"/>
        </w:rPr>
      </w:pPr>
      <w:r>
        <w:rPr>
          <w:rFonts w:ascii="Arial" w:cs="Arial" w:eastAsia="Arial" w:hAnsi="Arial"/>
          <w:sz w:val="18"/>
          <w:szCs w:val="18"/>
          <w:color w:val="auto"/>
        </w:rPr>
        <w:t>If any option granted under the 2001 plan expires or is terminated, surrendered, canceled or forfeited, the unused shares of common stock covered by that option will again be available for grant under the 2001 plan. No option may be granted under the 2001 plan after December 5, 2011, but options previously granted may extend beyond that date.</w:t>
      </w:r>
    </w:p>
    <w:p>
      <w:pPr>
        <w:spacing w:after="0" w:line="96" w:lineRule="exact"/>
        <w:rPr>
          <w:sz w:val="20"/>
          <w:szCs w:val="20"/>
          <w:color w:val="auto"/>
        </w:rPr>
      </w:pPr>
    </w:p>
    <w:p>
      <w:pPr>
        <w:jc w:val="both"/>
        <w:ind w:left="700" w:right="140" w:firstLine="397"/>
        <w:spacing w:after="0" w:line="255"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9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those options are assumed or replaced with substituted options, they 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those terms are defined in the 2001 plan).</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1998 International Employee Stock Purchase Plan</w:t>
      </w:r>
    </w:p>
    <w:p>
      <w:pPr>
        <w:spacing w:after="0" w:line="12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1998 International Employee Stock Purchase Plan, as amended to date, or the International ESPP, was adopted by the Board of Directors in June 1998 and most recently amended by the Board in December 2005. The International ESPP is intended to provide a method whereby employees of subsidiary corporations of ADI residing in countries other than the United States have the opportunity to acquire shares of common stock of ADI. There are a total of 1,000,000 shares of ADI common stock authorized for issuance under the International ESPP, of which 747,647 shares have been issued as of the date of this proxy statement.</w:t>
      </w:r>
    </w:p>
    <w:p>
      <w:pPr>
        <w:spacing w:after="0" w:line="85" w:lineRule="exact"/>
        <w:rPr>
          <w:sz w:val="20"/>
          <w:szCs w:val="20"/>
          <w:color w:val="auto"/>
        </w:rPr>
      </w:pPr>
    </w:p>
    <w:p>
      <w:pPr>
        <w:ind w:left="700" w:right="200" w:firstLine="397"/>
        <w:spacing w:after="0" w:line="252" w:lineRule="auto"/>
        <w:rPr>
          <w:sz w:val="20"/>
          <w:szCs w:val="20"/>
          <w:color w:val="auto"/>
        </w:rPr>
      </w:pPr>
      <w:r>
        <w:rPr>
          <w:rFonts w:ascii="Arial" w:cs="Arial" w:eastAsia="Arial" w:hAnsi="Arial"/>
          <w:sz w:val="18"/>
          <w:szCs w:val="18"/>
          <w:color w:val="auto"/>
        </w:rPr>
        <w:t>The Board of Directors has appointed the Compensation Committee of the Board to administer the International ESPP. The Compensation Committee is authorized to interpret the provisions of the International ESPP and adopt rules relating to its administration, subject to the final jurisdiction of the Board of Directors. The Board of Directors may at any time terminate or amend the International ESPP. Unless extended or earlier terminated by the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420"/>
        <w:spacing w:after="0" w:line="294" w:lineRule="auto"/>
        <w:rPr>
          <w:sz w:val="20"/>
          <w:szCs w:val="20"/>
          <w:color w:val="auto"/>
        </w:rPr>
      </w:pPr>
      <w:r>
        <w:rPr>
          <w:rFonts w:ascii="Arial" w:cs="Arial" w:eastAsia="Arial" w:hAnsi="Arial"/>
          <w:sz w:val="17"/>
          <w:szCs w:val="17"/>
          <w:color w:val="auto"/>
        </w:rPr>
        <w:t>Board of Directors, the International ESPP will terminate on June 1, 2008. During fiscal 2005, our Board of Directors decided that the current offering period, which ends June 1, 2006, will be the last offering period under the International ESPP.</w:t>
      </w:r>
    </w:p>
    <w:p>
      <w:pPr>
        <w:spacing w:after="0" w:line="65"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The International ESPP permits eligible employees to purchase during one or more offering periods shares of ADI common stock. An offering period generally extends for twelve months; however, the Board of Directors or the Compensation Committee may in its discretion choose a different period of fewer than twelve months. The purchase price per share under the International ESPP is equal to the lower of 85% of the composite closing price of a share of ADI common stock as reported on the NYSE on the offering commencement date or the offering termination date. Under the International ESPP, employees may authorize ADI to withhold up to 10% of their annual base salary (or, in the case of an offering of less than twelve months, up to 10% of their base salary for each payroll period in that offering period) to purchase shares under the International ESPP, subject to certain limitations.</w:t>
      </w:r>
    </w:p>
    <w:p>
      <w:pPr>
        <w:spacing w:after="0" w:line="88" w:lineRule="exact"/>
        <w:rPr>
          <w:sz w:val="20"/>
          <w:szCs w:val="20"/>
          <w:color w:val="auto"/>
        </w:rPr>
      </w:pPr>
    </w:p>
    <w:p>
      <w:pPr>
        <w:ind w:left="700" w:right="80" w:firstLine="397"/>
        <w:spacing w:after="0" w:line="252" w:lineRule="auto"/>
        <w:rPr>
          <w:sz w:val="20"/>
          <w:szCs w:val="20"/>
          <w:color w:val="auto"/>
        </w:rPr>
      </w:pPr>
      <w:r>
        <w:rPr>
          <w:rFonts w:ascii="Arial" w:cs="Arial" w:eastAsia="Arial" w:hAnsi="Arial"/>
          <w:sz w:val="18"/>
          <w:szCs w:val="18"/>
          <w:color w:val="auto"/>
        </w:rPr>
        <w:t>The Board of Directors is required to make appropriate adjustments with respect to the International ESPP in the event of a change in the outstanding shares of common stock of ADI by reason of a stock dividend, subdivision, combination or exchange of shares, recapitalization or other similar event. The International ESPP also contains provisions addressing the consequences of a merger or consolidation of ADI or a sale of assets of ADI.</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Employee Service Award Program</w:t>
      </w:r>
    </w:p>
    <w:p>
      <w:pPr>
        <w:spacing w:after="0" w:line="124"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The Employee Service Award Program, or the Program, is designed to recognize and thank employees for their long-term working relationship with ADI. All regular employees of ADI who are not executive officers are eligible to receive these awards in the form of ADI common stock. Executive officers of ADI receive these awards in cash in lieu of stock. The awards are granted to employees starting with the employee’s tenth anniversary of employment with ADI and thereafter at the end of each subsequent five-year period of employment with ADI. The value of the award at the employee’s tenth anniversary with ADI is $1,000 and the value of the award increases by $500 at each subsequent five-year service milestone. The number of shares awarded to an eligible employee is equal to the dollar value of the award divided by the closing per share price of ADI common stock as reported on the NYSE on a specified date. The Board of Directors may terminate, amend or suspend the Program at any time in its discretion.</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Severance and Other Agreements</w:t>
      </w:r>
    </w:p>
    <w:p>
      <w:pPr>
        <w:spacing w:after="0" w:line="130"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5"/>
          <w:szCs w:val="15"/>
          <w:color w:val="auto"/>
        </w:rPr>
        <w:t>We have change in control employee retention agreements with each of our 11 current executive officers and with 42 additional key managers providing for severance benefits in the event of termination within 24 months following a change in control (as defined in each retention agreement) that was approved by our Board of Directors. The retention agreements also provide for severance benefits if (1) we terminate the employee (other than termination for “cause”), or (2) the employee terminates his or her employment for “good reason” (as defined in his or her retention agreement) within 24 months after a change in control (as defined in each retention agreement) that was approved by our Board of Directors. The retention agreements also provide for severance benefits if an employee is terminated (other than for “cause”) within 12 months after a change in control that was not approved by our Board of Directors. The retention agreements do not provide for severance benefits in the event of an employee’s death or disability. Each retention agreement provides that, in the event of a potential change in control (as defined in each retention agreement), the employee shall not voluntarily resign as an employee, subject to certain conditions, for at least six months after the occurrence of the potential change in control. The retention agreements are automatically renewed each year unless we give the employee three months’ notice that his or her agreement will not be extended.</w:t>
      </w:r>
    </w:p>
    <w:p>
      <w:pPr>
        <w:spacing w:after="0" w:line="65" w:lineRule="exact"/>
        <w:rPr>
          <w:sz w:val="20"/>
          <w:szCs w:val="20"/>
          <w:color w:val="auto"/>
        </w:rPr>
      </w:pPr>
    </w:p>
    <w:p>
      <w:pPr>
        <w:ind w:left="700" w:right="40" w:firstLine="397"/>
        <w:spacing w:after="0" w:line="307" w:lineRule="auto"/>
        <w:rPr>
          <w:sz w:val="20"/>
          <w:szCs w:val="20"/>
          <w:color w:val="auto"/>
        </w:rPr>
      </w:pPr>
      <w:r>
        <w:rPr>
          <w:rFonts w:ascii="Arial" w:cs="Arial" w:eastAsia="Arial" w:hAnsi="Arial"/>
          <w:sz w:val="15"/>
          <w:szCs w:val="15"/>
          <w:color w:val="auto"/>
        </w:rPr>
        <w:t>The retention agreements provide for the following severance benefits: (1) a lump-sum payment equal to 200% (299% in the case of 11 of the 53 employees who are parties to the agreements, including Messrs. Fishman, McAloon, Marshall, McAdam, Fuller and McDonough)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retention agreement (together with any other payments or benefits, including the accelerated vesting of stock options or restricted stock awards that the employee receives in connection with a change in control) would result in the triggering of the provisions of Sections 280G and 4999 of</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620"/>
        <w:spacing w:after="0" w:line="255" w:lineRule="auto"/>
        <w:rPr>
          <w:sz w:val="20"/>
          <w:szCs w:val="20"/>
          <w:color w:val="auto"/>
        </w:rPr>
      </w:pPr>
      <w:r>
        <w:rPr>
          <w:rFonts w:ascii="Arial" w:cs="Arial" w:eastAsia="Arial" w:hAnsi="Arial"/>
          <w:sz w:val="18"/>
          <w:szCs w:val="18"/>
          <w:color w:val="auto"/>
        </w:rPr>
        <w:t>the Internal Revenue Code of 1986, the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96"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7"/>
          <w:szCs w:val="17"/>
          <w:color w:val="auto"/>
        </w:rPr>
        <w:t>For other employees and senior management who are not parties to retention agreements, we have change in control policies in place that provide for lump-sum severance payments, based on length of service with us, in the event of the termination of his or her employment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receive an amount equal to the total cash bonuses paid or awarded to the employee in the four fiscal quarters preceding termination. In addition to the agreements and policies described above, certain of our stock option and restricted stock awards provide for immediate vesting of some or all outstanding awards upon any change in control of Analog Devices.</w:t>
      </w:r>
    </w:p>
    <w:p>
      <w:pPr>
        <w:spacing w:after="0" w:line="90" w:lineRule="exact"/>
        <w:rPr>
          <w:sz w:val="20"/>
          <w:szCs w:val="20"/>
          <w:color w:val="auto"/>
        </w:rPr>
      </w:pPr>
    </w:p>
    <w:p>
      <w:pPr>
        <w:ind w:left="700" w:firstLine="397"/>
        <w:spacing w:after="0" w:line="297" w:lineRule="auto"/>
        <w:rPr>
          <w:sz w:val="20"/>
          <w:szCs w:val="20"/>
          <w:color w:val="auto"/>
        </w:rPr>
      </w:pPr>
      <w:r>
        <w:rPr>
          <w:rFonts w:ascii="Arial" w:cs="Arial" w:eastAsia="Arial" w:hAnsi="Arial"/>
          <w:sz w:val="15"/>
          <w:szCs w:val="15"/>
          <w:color w:val="auto"/>
        </w:rPr>
        <w:t>On November 14, 2005, we entered into an employment agreement with Jerald G. Fishman. Under the employment agreement, the Company has agreed to continue to employ Mr. Fishman, and Mr. Fishman has agreed to continue to serve, as President and Chief Executive Officer of our Company for a term of five years. The employment agreement provides for severance benefits if Mr. Fishman’s employment with us is terminated without “cause” or terminates for “good reason,” as each of those terms is defined in his employment agreement. These benefits will be paid, following a change in control, only if they are greater than the severance benefits provided under his employee retention agreement. The benefits provided under the employment agreement are as follows: a lump-sum payment equal to</w:t>
      </w:r>
    </w:p>
    <w:p>
      <w:pPr>
        <w:spacing w:after="0" w:line="3" w:lineRule="exact"/>
        <w:rPr>
          <w:sz w:val="20"/>
          <w:szCs w:val="20"/>
          <w:color w:val="auto"/>
        </w:rPr>
      </w:pPr>
    </w:p>
    <w:p>
      <w:pPr>
        <w:ind w:left="700" w:right="20" w:hanging="9"/>
        <w:spacing w:after="0" w:line="247" w:lineRule="auto"/>
        <w:tabs>
          <w:tab w:leader="none" w:pos="9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Fishman’s base salary at the time of termination plus his target annual bonus (i.e. the agreed upon percentage of his base salary) for the fiscal year in which termination occurs, multiplied by (2) a number equal to the lesser of (a) three or (b) the number of full years (plus a fraction representing any partial year) remaining in the employment period immediately prior to such termination. Mr. Fishman’s employment agreement also provides that if his employment with us is terminated without “cause” or terminates for “good reason,” all then unvested outstanding stock options to purchase common stock of our company held by Mr. Fishman become fully vested and exercisable in full.</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Compensation Plan</w:t>
      </w:r>
    </w:p>
    <w:p>
      <w:pPr>
        <w:spacing w:after="0" w:line="130" w:lineRule="exact"/>
        <w:rPr>
          <w:sz w:val="20"/>
          <w:szCs w:val="20"/>
          <w:color w:val="auto"/>
        </w:rPr>
      </w:pPr>
    </w:p>
    <w:p>
      <w:pPr>
        <w:ind w:left="700" w:right="160" w:firstLine="397"/>
        <w:spacing w:after="0" w:line="267" w:lineRule="auto"/>
        <w:rPr>
          <w:sz w:val="20"/>
          <w:szCs w:val="20"/>
          <w:color w:val="auto"/>
        </w:rPr>
      </w:pPr>
      <w:r>
        <w:rPr>
          <w:rFonts w:ascii="Arial" w:cs="Arial" w:eastAsia="Arial" w:hAnsi="Arial"/>
          <w:sz w:val="17"/>
          <w:szCs w:val="17"/>
          <w:color w:val="auto"/>
        </w:rPr>
        <w:t>Since 1995, our executive officers and directors, along with 76 management and engineering employees are currently eligible to participate in the Deferred Compensation Plan, or the DCP. The DCP was established to provide participants with the opportunity to defer the receipt of all or a portion of their compensation, which includes salary, bonus, director fees and the company matching contribution as described below. Prior to January 1, 2005, participants could also defer gains on stock options and restricted stock granted before July 23, 1997. The Company has operated the DCP in a manner it believes is consistent with Internal Revenue Service guidance regarding non qualified deferred compensation plans.</w:t>
      </w:r>
    </w:p>
    <w:p>
      <w:pPr>
        <w:spacing w:after="0" w:line="87"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We credit each participant’s account with earnings each year on the deferred amounts. These earnings represent the amounts that would have been earned had the deferred amounts been invested in one or more of the various investment options (as selected by the participant). Participants have elected to invest most of their DCP balances in a fixed-rate investment option that provides for a return based on the Moody’s Baa index. Earnings credited to participants electing the fixed-rate investment option for fiscal 2005 were calculated using an average interest-rate of 6.48%.</w:t>
      </w:r>
    </w:p>
    <w:p>
      <w:pPr>
        <w:spacing w:after="0" w:line="102" w:lineRule="exact"/>
        <w:rPr>
          <w:sz w:val="20"/>
          <w:szCs w:val="20"/>
          <w:color w:val="auto"/>
        </w:rPr>
      </w:pPr>
    </w:p>
    <w:p>
      <w:pPr>
        <w:ind w:left="700" w:right="20" w:firstLine="397"/>
        <w:spacing w:after="0" w:line="267" w:lineRule="auto"/>
        <w:rPr>
          <w:sz w:val="20"/>
          <w:szCs w:val="20"/>
          <w:color w:val="auto"/>
        </w:rPr>
      </w:pPr>
      <w:r>
        <w:rPr>
          <w:rFonts w:ascii="Arial" w:cs="Arial" w:eastAsia="Arial" w:hAnsi="Arial"/>
          <w:sz w:val="17"/>
          <w:szCs w:val="17"/>
          <w:color w:val="auto"/>
        </w:rPr>
        <w:t>In addition, for each calendar year, we credit the account of each participant with a contribution designed to approximate the additional contribution that would have been made under The Investment Partnership Plan for the participant if certain limitations under the Internal Revenue Code did not exist. This contribution (the company match) is equal to 7% of the greater of (1) the amount of compensation deferred by the participant during that calendar year or (2) the participant’s compensation for that calendar year in excess of the compensation limit that applies under The Investment Partnership Plan of Analog Devices. The compensation limit that applies under The Investment Partnership Plan for calendar year 2006 is $220,000.</w:t>
      </w:r>
    </w:p>
    <w:p>
      <w:pPr>
        <w:spacing w:after="0" w:line="87" w:lineRule="exact"/>
        <w:rPr>
          <w:sz w:val="20"/>
          <w:szCs w:val="20"/>
          <w:color w:val="auto"/>
        </w:rPr>
      </w:pPr>
    </w:p>
    <w:p>
      <w:pPr>
        <w:ind w:left="700" w:right="280" w:firstLine="397"/>
        <w:spacing w:after="0" w:line="265" w:lineRule="auto"/>
        <w:rPr>
          <w:sz w:val="20"/>
          <w:szCs w:val="20"/>
          <w:color w:val="auto"/>
        </w:rPr>
      </w:pPr>
      <w:r>
        <w:rPr>
          <w:rFonts w:ascii="Arial" w:cs="Arial" w:eastAsia="Arial" w:hAnsi="Arial"/>
          <w:sz w:val="18"/>
          <w:szCs w:val="18"/>
          <w:color w:val="auto"/>
        </w:rPr>
        <w:t>Under the terms of the DCP, only the payment of the compensation earned is deferred and there is no deferral of the expense in the Company’s financial statements related to the participant’s deferred compensation and</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investment earnings. Salary, bonuses, directors fees and investment earnings on deferred balances are charged to our income statement as an expense in the period they are earned. The Company’s balance sheet includes separate line items for the Deferred Compensation Plan Investments and Deferred Compensation Plan Liabilities.</w:t>
      </w:r>
    </w:p>
    <w:p>
      <w:pPr>
        <w:spacing w:after="0" w:line="96" w:lineRule="exact"/>
        <w:rPr>
          <w:sz w:val="20"/>
          <w:szCs w:val="20"/>
          <w:color w:val="auto"/>
        </w:rPr>
      </w:pPr>
    </w:p>
    <w:p>
      <w:pPr>
        <w:ind w:left="700" w:right="20" w:firstLine="397"/>
        <w:spacing w:after="0" w:line="252" w:lineRule="auto"/>
        <w:rPr>
          <w:sz w:val="20"/>
          <w:szCs w:val="20"/>
          <w:color w:val="auto"/>
        </w:rPr>
      </w:pPr>
      <w:r>
        <w:rPr>
          <w:rFonts w:ascii="Arial" w:cs="Arial" w:eastAsia="Arial" w:hAnsi="Arial"/>
          <w:sz w:val="18"/>
          <w:szCs w:val="18"/>
          <w:color w:val="auto"/>
        </w:rPr>
        <w:t>The Company holds DCP assets in a separate trust segregated from other assets. To the extent possible, the Company invests in the same investment alternatives that the DCP participants select for their DCP balances. As a result, a small portion of these assets are invested in mutual funds. Since most participants have selected a fixed rate investment option, the remaining portion of these assets are invested in high-quality, short-term interest-bearing instruments.</w:t>
      </w:r>
    </w:p>
    <w:p>
      <w:pPr>
        <w:spacing w:after="0" w:line="99"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color w:val="auto"/>
        </w:rPr>
        <w:t>Participants who terminate their employment with us due to retirement, disability or death will be paid their Deferred Compensation Plan balance in either a lump sum or in installments over ten or fewer years, based on the elections they have made. Participants who terminate their employment with us for any other reason will receive payment of their Deferred Compensation Plan balance in the form of a lump sum.</w:t>
      </w:r>
    </w:p>
    <w:p>
      <w:pPr>
        <w:spacing w:after="0" w:line="99"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The enactment of tax legislation in 2004 imposed significant changes on deferred compensation plans. The Company has conformed its DCP to the current tax law. As permitted by the current tax law, the Company in fiscal 2005 offered participants the opportunity to withdraw funds from the DCP until December 31, 2005.</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shows for each executive officer named in the Summary Compensation Table and director who participates in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DCP the deferred compensation activity for fiscal year 2005:</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0"/>
              </w:rPr>
              <w:t>Deferred</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2"/>
              </w:rPr>
              <w:t>Fiscal Year 2005 Activity</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Deferred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8"/>
              </w:rPr>
              <w:t>Deferred Salary,</w:t>
            </w:r>
          </w:p>
        </w:tc>
        <w:tc>
          <w:tcPr>
            <w:tcW w:w="360" w:type="dxa"/>
            <w:vAlign w:val="bottom"/>
          </w:tcPr>
          <w:p>
            <w:pPr>
              <w:spacing w:after="0"/>
              <w:rPr>
                <w:sz w:val="10"/>
                <w:szCs w:val="10"/>
                <w:color w:val="auto"/>
              </w:rPr>
            </w:pPr>
          </w:p>
        </w:tc>
        <w:tc>
          <w:tcPr>
            <w:tcW w:w="11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1"/>
              </w:rPr>
              <w:t>Earnings 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6"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89"/>
              </w:rPr>
              <w:t>Bonus, Director</w:t>
            </w:r>
          </w:p>
        </w:tc>
        <w:tc>
          <w:tcPr>
            <w:tcW w:w="3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740"/>
              <w:spacing w:after="0" w:line="159" w:lineRule="exact"/>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95"/>
              <w:spacing w:after="0" w:line="159" w:lineRule="exact"/>
              <w:rPr>
                <w:sz w:val="20"/>
                <w:szCs w:val="20"/>
                <w:color w:val="auto"/>
              </w:rPr>
            </w:pPr>
            <w:r>
              <w:rPr>
                <w:rFonts w:ascii="Arial" w:cs="Arial" w:eastAsia="Arial" w:hAnsi="Arial"/>
                <w:sz w:val="14"/>
                <w:szCs w:val="14"/>
                <w:b w:val="1"/>
                <w:bCs w:val="1"/>
                <w:color w:val="auto"/>
                <w:w w:val="88"/>
              </w:rPr>
              <w:t>Fees and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October 30, 2004</w:t>
            </w:r>
          </w:p>
        </w:tc>
        <w:tc>
          <w:tcPr>
            <w:tcW w:w="2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Company Match</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Distributions</w:t>
            </w:r>
          </w:p>
        </w:tc>
        <w:tc>
          <w:tcPr>
            <w:tcW w:w="16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October 29, 2005</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Mr. Fishman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134,480,537(1)</w:t>
            </w:r>
          </w:p>
        </w:tc>
        <w:tc>
          <w:tcPr>
            <w:tcW w:w="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1,451,946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8,743,912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144,676,395(4)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Mr. Stata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62,586,416(1)</w:t>
            </w:r>
          </w:p>
        </w:tc>
        <w:tc>
          <w:tcPr>
            <w:tcW w:w="4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93,780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4,012,042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66,692,238(4)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Mr. McAloon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17,435,471(1)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243,444</w:t>
            </w:r>
          </w:p>
        </w:tc>
        <w:tc>
          <w:tcPr>
            <w:tcW w:w="3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(17,678,915)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Mr. McDonough</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22,939,808(1)</w:t>
            </w:r>
          </w:p>
        </w:tc>
        <w:tc>
          <w:tcPr>
            <w:tcW w:w="4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143,244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890,964</w:t>
            </w: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(23,974,016)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Mr. Fuller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6,844,720(1)(2)</w:t>
            </w:r>
          </w:p>
        </w:tc>
        <w:tc>
          <w:tcPr>
            <w:tcW w:w="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444,262</w:t>
            </w:r>
          </w:p>
        </w:tc>
        <w:tc>
          <w:tcPr>
            <w:tcW w:w="3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(2,475,000)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4,913,273(5)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Mr. Saviers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294,694(2)</w:t>
            </w:r>
          </w:p>
        </w:tc>
        <w:tc>
          <w:tcPr>
            <w:tcW w:w="4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37,547</w:t>
            </w: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(343,491)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Mr. Champy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77,889(2)</w:t>
            </w:r>
          </w:p>
        </w:tc>
        <w:tc>
          <w:tcPr>
            <w:tcW w:w="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3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(123,326)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Mr. Thurow</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78,086(2)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5,910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83,996(4)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-1126490</wp:posOffset>
            </wp:positionV>
            <wp:extent cx="17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76835</wp:posOffset>
            </wp:positionV>
            <wp:extent cx="816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8" w:lineRule="exact"/>
        <w:rPr>
          <w:sz w:val="20"/>
          <w:szCs w:val="20"/>
          <w:color w:val="auto"/>
        </w:rPr>
      </w:pPr>
    </w:p>
    <w:p>
      <w:pPr>
        <w:ind w:left="1000" w:right="160" w:hanging="309"/>
        <w:spacing w:after="0" w:line="319" w:lineRule="auto"/>
        <w:tabs>
          <w:tab w:leader="none" w:pos="10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These amounts represent deferred compensation amounts earned in prior years (i.e. from the inception of the DCP in 1995 to October 30, 2004) relating to prior year exercises of stock options (granted between December 11, 1991 and July 23, 1997), restricted stock gains, salary, bonus, the company matching contribution as described above, and earnings on the DCP balances.</w:t>
      </w:r>
    </w:p>
    <w:p>
      <w:pPr>
        <w:spacing w:after="0" w:line="1" w:lineRule="exact"/>
        <w:rPr>
          <w:rFonts w:ascii="Arial" w:cs="Arial" w:eastAsia="Arial" w:hAnsi="Arial"/>
          <w:sz w:val="15"/>
          <w:szCs w:val="15"/>
          <w:color w:val="auto"/>
        </w:rPr>
      </w:pPr>
    </w:p>
    <w:p>
      <w:pPr>
        <w:ind w:left="1000" w:right="120" w:hanging="309"/>
        <w:spacing w:after="0" w:line="26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amounts represent deferred compensation from director fees earned in prior years (i.e. from the inception of the DCP in 1995 to October 30, 2004) and the earnings on the DCP balances.</w:t>
      </w:r>
    </w:p>
    <w:p>
      <w:pPr>
        <w:spacing w:after="0" w:line="20" w:lineRule="exact"/>
        <w:rPr>
          <w:rFonts w:ascii="Arial" w:cs="Arial" w:eastAsia="Arial" w:hAnsi="Arial"/>
          <w:sz w:val="18"/>
          <w:szCs w:val="18"/>
          <w:color w:val="auto"/>
        </w:rPr>
      </w:pPr>
    </w:p>
    <w:p>
      <w:pPr>
        <w:ind w:left="1000" w:hanging="309"/>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portion of these amounts are reported in the Summary Compensation Table on page 19.</w:t>
      </w:r>
    </w:p>
    <w:p>
      <w:pPr>
        <w:spacing w:after="0" w:line="58" w:lineRule="exact"/>
        <w:rPr>
          <w:rFonts w:ascii="Arial" w:cs="Arial" w:eastAsia="Arial" w:hAnsi="Arial"/>
          <w:sz w:val="18"/>
          <w:szCs w:val="18"/>
          <w:color w:val="auto"/>
        </w:rPr>
      </w:pPr>
    </w:p>
    <w:p>
      <w:pPr>
        <w:ind w:left="1000" w:hanging="309"/>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Messrs. Fishman, Stata and Thurow withdrew their entire DCP balances in December 2005.</w:t>
      </w:r>
    </w:p>
    <w:p>
      <w:pPr>
        <w:spacing w:after="0" w:line="58" w:lineRule="exact"/>
        <w:rPr>
          <w:rFonts w:ascii="Arial" w:cs="Arial" w:eastAsia="Arial" w:hAnsi="Arial"/>
          <w:sz w:val="18"/>
          <w:szCs w:val="18"/>
          <w:color w:val="auto"/>
        </w:rPr>
      </w:pPr>
    </w:p>
    <w:p>
      <w:pPr>
        <w:ind w:left="1000" w:hanging="309"/>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Fuller withdrew $1,250,000 from the DCP in December 2005.</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30"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Our executive compensation program is designed to attract, retain and reward the executives responsible for leading us toward the achievement of our business objectives. The Compensation Committee makes decisions each year regarding executive compensation, including annual base salaries, bonus awards and stock option grants. All compensation for executive officers is reviewed by the full Board of Directors. This report is submitted by the Compensation Committee and addresses the compensation policies for fiscal year 2005 as they affected each of our executive officers.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Compensation Philosophy</w:t>
      </w:r>
    </w:p>
    <w:p>
      <w:pPr>
        <w:spacing w:after="0" w:line="124" w:lineRule="exact"/>
        <w:rPr>
          <w:sz w:val="20"/>
          <w:szCs w:val="20"/>
          <w:color w:val="auto"/>
        </w:rPr>
      </w:pPr>
    </w:p>
    <w:p>
      <w:pPr>
        <w:ind w:left="700" w:firstLine="397"/>
        <w:spacing w:after="0" w:line="309" w:lineRule="auto"/>
        <w:rPr>
          <w:sz w:val="20"/>
          <w:szCs w:val="20"/>
          <w:color w:val="auto"/>
        </w:rPr>
      </w:pPr>
      <w:r>
        <w:rPr>
          <w:rFonts w:ascii="Arial" w:cs="Arial" w:eastAsia="Arial" w:hAnsi="Arial"/>
          <w:sz w:val="15"/>
          <w:szCs w:val="15"/>
          <w:color w:val="auto"/>
        </w:rPr>
        <w:t>Our executive compensation philosophy is based on the belief that competitive compensation is essential to attract, motivate and retain highly qualified and industrious employees. Our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our current plans and objectives. Stock options are included to promote longer-term focus, to help retain key contributors and to more closely align their interests with those of our shareholders. Our philosophy has been in recent years to increase the proportion of total compensation for executive officers attributable to variable compensation.</w:t>
      </w:r>
    </w:p>
    <w:p>
      <w:pPr>
        <w:spacing w:after="0" w:line="60"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Our compensation policy seeks to relate compensation with our financial performance and business objectives. We reward individual performance and also tie a significant portion of total executive compensation to the annual and long-term performance of Analog Devices.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59" w:lineRule="exact"/>
        <w:rPr>
          <w:sz w:val="20"/>
          <w:szCs w:val="20"/>
          <w:color w:val="auto"/>
        </w:rPr>
      </w:pPr>
    </w:p>
    <w:p>
      <w:pPr>
        <w:ind w:left="700" w:right="840" w:firstLine="397"/>
        <w:spacing w:after="0" w:line="265" w:lineRule="auto"/>
        <w:rPr>
          <w:sz w:val="20"/>
          <w:szCs w:val="20"/>
          <w:color w:val="auto"/>
        </w:rPr>
      </w:pPr>
      <w:r>
        <w:rPr>
          <w:rFonts w:ascii="Arial" w:cs="Arial" w:eastAsia="Arial" w:hAnsi="Arial"/>
          <w:sz w:val="18"/>
          <w:szCs w:val="18"/>
          <w:color w:val="auto"/>
        </w:rPr>
        <w:t>The Compensation Committee has retained a compensation consultant to assist, among other things, in establishing annual compensation levels for executive officers.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Executive Compensation Program</w:t>
      </w:r>
    </w:p>
    <w:p>
      <w:pPr>
        <w:spacing w:after="0" w:line="124"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8"/>
          <w:szCs w:val="18"/>
          <w:color w:val="auto"/>
        </w:rPr>
        <w:t>Annual compensation for our executives consists of three principal elements: base salary, bonus, and equity ownership in the form of stock options.</w:t>
      </w:r>
    </w:p>
    <w:p>
      <w:pPr>
        <w:spacing w:after="0" w:line="81" w:lineRule="exact"/>
        <w:rPr>
          <w:sz w:val="20"/>
          <w:szCs w:val="20"/>
          <w:color w:val="auto"/>
        </w:rPr>
      </w:pPr>
    </w:p>
    <w:p>
      <w:pPr>
        <w:ind w:left="1200" w:hanging="11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Cash Compensation</w:t>
      </w:r>
    </w:p>
    <w:p>
      <w:pPr>
        <w:spacing w:after="0" w:line="130" w:lineRule="exact"/>
        <w:rPr>
          <w:sz w:val="20"/>
          <w:szCs w:val="20"/>
          <w:color w:val="auto"/>
        </w:rPr>
      </w:pPr>
    </w:p>
    <w:p>
      <w:pPr>
        <w:ind w:left="1080" w:firstLine="381"/>
        <w:spacing w:after="0" w:line="249" w:lineRule="auto"/>
        <w:rPr>
          <w:sz w:val="20"/>
          <w:szCs w:val="20"/>
          <w:color w:val="auto"/>
        </w:rPr>
      </w:pPr>
      <w:r>
        <w:rPr>
          <w:rFonts w:ascii="Arial" w:cs="Arial" w:eastAsia="Arial" w:hAnsi="Arial"/>
          <w:sz w:val="18"/>
          <w:szCs w:val="18"/>
          <w:color w:val="auto"/>
        </w:rPr>
        <w:t>Annual cash compensation consists of two elements: base salary and bonus. In setting the annual cash compensation for our executives for fiscal 2005, the Compensation Committee reviewed compensation for comparable positions in a group of seven peer companies selected by the Compensation Committee for comparison purposes. Most of these companies are engaged in the manufacture and sale of semiconductor devices, instruments and computer software. We also regularly compare our pay practices with other leading companies through reviews of survey data and information gleaned from the public disclosure filings of publicly-traded companies.</w:t>
      </w:r>
    </w:p>
    <w:p>
      <w:pPr>
        <w:spacing w:after="0" w:line="104" w:lineRule="exact"/>
        <w:rPr>
          <w:sz w:val="20"/>
          <w:szCs w:val="20"/>
          <w:color w:val="auto"/>
        </w:rPr>
      </w:pPr>
    </w:p>
    <w:p>
      <w:pPr>
        <w:ind w:left="1080" w:right="60" w:firstLine="381"/>
        <w:spacing w:after="0" w:line="330" w:lineRule="auto"/>
        <w:rPr>
          <w:sz w:val="20"/>
          <w:szCs w:val="20"/>
          <w:color w:val="auto"/>
        </w:rPr>
      </w:pPr>
      <w:r>
        <w:rPr>
          <w:rFonts w:ascii="Arial" w:cs="Arial" w:eastAsia="Arial" w:hAnsi="Arial"/>
          <w:sz w:val="15"/>
          <w:szCs w:val="15"/>
          <w:color w:val="auto"/>
        </w:rPr>
        <w:t>Increases in annual base salary are based on an evaluation of the performance of the operation or activity for which an executive has responsibility, the impact of that operation or activity on our overall performance, the skills and experience required for the job, and a comparison of these elements with similar elements for other executives both within and outside Analog Devices.</w:t>
      </w:r>
    </w:p>
    <w:p>
      <w:pPr>
        <w:spacing w:after="0" w:line="44" w:lineRule="exact"/>
        <w:rPr>
          <w:sz w:val="20"/>
          <w:szCs w:val="20"/>
          <w:color w:val="auto"/>
        </w:rPr>
      </w:pPr>
    </w:p>
    <w:p>
      <w:pPr>
        <w:ind w:left="1080" w:right="20" w:firstLine="381"/>
        <w:spacing w:after="0" w:line="266" w:lineRule="auto"/>
        <w:rPr>
          <w:sz w:val="20"/>
          <w:szCs w:val="20"/>
          <w:color w:val="auto"/>
        </w:rPr>
      </w:pPr>
      <w:r>
        <w:rPr>
          <w:rFonts w:ascii="Arial" w:cs="Arial" w:eastAsia="Arial" w:hAnsi="Arial"/>
          <w:sz w:val="17"/>
          <w:szCs w:val="17"/>
          <w:color w:val="auto"/>
        </w:rPr>
        <w:t>During fiscal 2005, our executive officers participated in the same bonus plan as our employees. Under that plan, approved by our Board of Directors, the sole financial performance metric was operating profit before tax as a percentage of sales. Operating profit before tax was adjusted for the purposes of this bonus calculation, in the discretion of the Compensation Committee, to exclude special charges relating to restructuring actions. The ratio of bonus to base salary varies significantly across the levels in our organization to reflect the ability of the individual to impact our overall performance and generally, is higher for employees with higher base salaries. For fiscal 2005, we paid bonuses to the executive officers named in the Summary Compensation Table that ranged from 29% to 45% of their respective base salaries.</w:t>
      </w:r>
    </w:p>
    <w:p>
      <w:pPr>
        <w:spacing w:after="0" w:line="82" w:lineRule="exact"/>
        <w:rPr>
          <w:sz w:val="20"/>
          <w:szCs w:val="20"/>
          <w:color w:val="auto"/>
        </w:rPr>
      </w:pPr>
    </w:p>
    <w:p>
      <w:pPr>
        <w:ind w:left="1200" w:hanging="11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Equity Ownership</w:t>
      </w:r>
    </w:p>
    <w:p>
      <w:pPr>
        <w:spacing w:after="0" w:line="130" w:lineRule="exact"/>
        <w:rPr>
          <w:sz w:val="20"/>
          <w:szCs w:val="20"/>
          <w:color w:val="auto"/>
        </w:rPr>
      </w:pPr>
    </w:p>
    <w:p>
      <w:pPr>
        <w:ind w:left="1080" w:right="40" w:firstLine="381"/>
        <w:spacing w:after="0" w:line="252" w:lineRule="auto"/>
        <w:rPr>
          <w:sz w:val="20"/>
          <w:szCs w:val="20"/>
          <w:color w:val="auto"/>
        </w:rPr>
      </w:pPr>
      <w:r>
        <w:rPr>
          <w:rFonts w:ascii="Arial" w:cs="Arial" w:eastAsia="Arial" w:hAnsi="Arial"/>
          <w:sz w:val="18"/>
          <w:szCs w:val="18"/>
          <w:color w:val="auto"/>
        </w:rPr>
        <w:t>Total compensation at the executive level also includes long-term incentives afforded by stock options. The purpose of our stock ownership program is to reinforce the mutuality of long-term interests between our employees and shareholders, and to assist in the attraction and retention of important key executives, managers and individual contributors, mostly engineers, who are essential to our success.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080" w:right="440" w:firstLine="381"/>
        <w:spacing w:after="0" w:line="330" w:lineRule="auto"/>
        <w:rPr>
          <w:sz w:val="20"/>
          <w:szCs w:val="20"/>
          <w:color w:val="auto"/>
        </w:rPr>
      </w:pPr>
      <w:r>
        <w:rPr>
          <w:rFonts w:ascii="Arial" w:cs="Arial" w:eastAsia="Arial" w:hAnsi="Arial"/>
          <w:sz w:val="15"/>
          <w:szCs w:val="15"/>
          <w:color w:val="auto"/>
        </w:rPr>
        <w:t>We have a goal to keep dilution related to our option program to approximately 2.3%, net of forfeitures, in fiscal 2006. The dilution percentage is calculated as the total number of shares of common stock underlying new option grants for the year, net of options forfeited by employees leaving Analog, divided by total outstanding shares of our common stock.</w:t>
      </w:r>
    </w:p>
    <w:p>
      <w:pPr>
        <w:spacing w:after="0" w:line="44" w:lineRule="exact"/>
        <w:rPr>
          <w:sz w:val="20"/>
          <w:szCs w:val="20"/>
          <w:color w:val="auto"/>
        </w:rPr>
      </w:pPr>
    </w:p>
    <w:p>
      <w:pPr>
        <w:ind w:left="1080" w:right="20" w:firstLine="381"/>
        <w:spacing w:after="0" w:line="312" w:lineRule="auto"/>
        <w:rPr>
          <w:sz w:val="20"/>
          <w:szCs w:val="20"/>
          <w:color w:val="auto"/>
        </w:rPr>
      </w:pPr>
      <w:r>
        <w:rPr>
          <w:rFonts w:ascii="Arial" w:cs="Arial" w:eastAsia="Arial" w:hAnsi="Arial"/>
          <w:sz w:val="15"/>
          <w:szCs w:val="15"/>
          <w:color w:val="auto"/>
        </w:rPr>
        <w:t>The design of our stock programs includes time-based vesting periods to optimize the retention value of these options and to orient our managers to longer-term success. Generally, if employees leave Analog Devices before completion of these vesting periods, they forfeit the unvested portions of these awards. Our options typically do not fully vest until five years from the date of grant. While we believe that these longer vesting periods are in the best interest of our shareholders, they tend to increase the number of stock options outstanding at any given time compared to companies that grant stock options with shorter vesting schedules.</w:t>
      </w:r>
    </w:p>
    <w:p>
      <w:pPr>
        <w:spacing w:after="0" w:line="59" w:lineRule="exact"/>
        <w:rPr>
          <w:sz w:val="20"/>
          <w:szCs w:val="20"/>
          <w:color w:val="auto"/>
        </w:rPr>
      </w:pPr>
    </w:p>
    <w:p>
      <w:pPr>
        <w:ind w:left="1080" w:firstLine="381"/>
        <w:spacing w:after="0" w:line="249" w:lineRule="auto"/>
        <w:rPr>
          <w:sz w:val="20"/>
          <w:szCs w:val="20"/>
          <w:color w:val="auto"/>
        </w:rPr>
      </w:pPr>
      <w:r>
        <w:rPr>
          <w:rFonts w:ascii="Arial" w:cs="Arial" w:eastAsia="Arial" w:hAnsi="Arial"/>
          <w:sz w:val="18"/>
          <w:szCs w:val="18"/>
          <w:color w:val="auto"/>
        </w:rPr>
        <w:t>The number of shares of common stock underlying stock option awards is generally intended to reflect the significance of the executive’s current and anticipated contributions to our overall performance. The exercise price per share of the stock options we grant is equal to the fair market value of a share of our common stock on the date of grant. Before awarding any stock option grants to our executives, the Compensation Committee reviews survey information of the stock option programs of peer companies and other companies with comparable capitalization. The value realizable from exercisable stock options depends on the price of our common stock at the time the stock is sold.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Deferred Compensation Plan</w:t>
      </w:r>
    </w:p>
    <w:p>
      <w:pPr>
        <w:spacing w:after="0" w:line="124"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We maintain a Deferred Compensation Plan under which our executive officers and directors, along with a group of management and engineer employees, are eligible to defer receipt of all or any portion of their compensation. See “— Deferred Compensation Plan” above for further information regarding this plan.</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Chief Executive Officer Fiscal 2005 Compensation</w:t>
      </w:r>
    </w:p>
    <w:p>
      <w:pPr>
        <w:spacing w:after="0" w:line="124" w:lineRule="exact"/>
        <w:rPr>
          <w:sz w:val="20"/>
          <w:szCs w:val="20"/>
          <w:color w:val="auto"/>
        </w:rPr>
      </w:pPr>
    </w:p>
    <w:p>
      <w:pPr>
        <w:ind w:left="700" w:right="120" w:firstLine="397"/>
        <w:spacing w:after="0" w:line="307" w:lineRule="auto"/>
        <w:rPr>
          <w:sz w:val="20"/>
          <w:szCs w:val="20"/>
          <w:color w:val="auto"/>
        </w:rPr>
      </w:pPr>
      <w:r>
        <w:rPr>
          <w:rFonts w:ascii="Arial" w:cs="Arial" w:eastAsia="Arial" w:hAnsi="Arial"/>
          <w:sz w:val="15"/>
          <w:szCs w:val="15"/>
          <w:color w:val="auto"/>
        </w:rPr>
        <w:t>Mr. Fishman, in his capacity as our President and Chief Executive Officer, is eligible to participate in the same executive compensation program available to our other senior executives. Prior to establishing Mr. Fishman’s compensation level for fiscal 2005, the Committee reviewed all forms of Mr. Fishman’s compensation, including the aggregate value of his stock options held at fiscal year-end, his deferred compensation plan balances and potential obligations under his change in control retention agreement. The Committee’s goal was to set Mr. Fishman’s total compensation at the higher end of the range of chief executive officers of peer companies. For fiscal 2005, Mr. Fishman’s annual base salary was set at $930,935 and he earned a bonus of $414,445. Also, on December 7, 2004, we granted a stock option to Mr. Fishman for 400,000 shares of our common stock at an exercise price of $37.70 per share.</w:t>
      </w:r>
    </w:p>
    <w:p>
      <w:pPr>
        <w:spacing w:after="0" w:line="60" w:lineRule="exact"/>
        <w:rPr>
          <w:sz w:val="20"/>
          <w:szCs w:val="20"/>
          <w:color w:val="auto"/>
        </w:rPr>
      </w:pPr>
    </w:p>
    <w:p>
      <w:pPr>
        <w:ind w:left="700" w:right="20" w:firstLine="397"/>
        <w:spacing w:after="0" w:line="305" w:lineRule="auto"/>
        <w:rPr>
          <w:sz w:val="20"/>
          <w:szCs w:val="20"/>
          <w:color w:val="auto"/>
        </w:rPr>
      </w:pPr>
      <w:r>
        <w:rPr>
          <w:rFonts w:ascii="Arial" w:cs="Arial" w:eastAsia="Arial" w:hAnsi="Arial"/>
          <w:sz w:val="15"/>
          <w:szCs w:val="15"/>
          <w:color w:val="auto"/>
        </w:rPr>
        <w:t>The retention of Mr. Fishman’s salary at the same level as that paid to Mr. Fishman since 2003 reflects ADI’s continued efforts to constrain expenses throughout the organization and to increase the variable portion of executive officers’ compensation. For fiscal 2005, Mr. Fishman’s target bonus award was 100% of his annual base salary. The bonus award paid to Mr. Fishman for fiscal 2005 represented 45% of Mr. Fishman’s base salary and was calculated under the company-wide bonus plan based on the Company’s operating profit before tax as a percentage of revenue. Operating profit before tax was adjusted for the purposes of all bonus calculations, including Mr. Fishman’s bonus calculation, to exclude special charges relating to restructuring actions. In establishing Mr. Fishman’s compensation for fiscal 2005, the Committee took into account Mr. Fishman’s strong leadership in guiding ADI through the downturn in the semiconductor industry, his position as a leading executive in the semiconductor industry and ADI’s performance over the past fiscal year relative to its peer companies.</w:t>
      </w:r>
    </w:p>
    <w:p>
      <w:pPr>
        <w:spacing w:after="0" w:line="63" w:lineRule="exact"/>
        <w:rPr>
          <w:sz w:val="20"/>
          <w:szCs w:val="20"/>
          <w:color w:val="auto"/>
        </w:rPr>
      </w:pPr>
    </w:p>
    <w:p>
      <w:pPr>
        <w:ind w:left="700" w:right="160" w:firstLine="397"/>
        <w:spacing w:after="0" w:line="249" w:lineRule="auto"/>
        <w:rPr>
          <w:sz w:val="20"/>
          <w:szCs w:val="20"/>
          <w:color w:val="auto"/>
        </w:rPr>
      </w:pPr>
      <w:r>
        <w:rPr>
          <w:rFonts w:ascii="Arial" w:cs="Arial" w:eastAsia="Arial" w:hAnsi="Arial"/>
          <w:sz w:val="18"/>
          <w:szCs w:val="18"/>
          <w:color w:val="auto"/>
        </w:rPr>
        <w:t>On November 14, 2005, we entered into an employment agreement with Mr. Fishman. Under the employment agreement, we agreed to continue to employ Mr. Fishman, and Mr. Fishman has agreed to continue to serve, as President and Chief Executive Officer of our company for a term of five years. The employment agreement provides for an annual base salary subject to future increase by the Compensation Committee, and provides for the payment of annual bonuses and annual equity incentive awards as determined by the Compensation Committee. The employment agreement also provides for the establishment of a long-term equity and/or cash retention arrangement</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920"/>
        <w:spacing w:after="0" w:line="265" w:lineRule="auto"/>
        <w:rPr>
          <w:sz w:val="20"/>
          <w:szCs w:val="20"/>
          <w:color w:val="auto"/>
        </w:rPr>
      </w:pPr>
      <w:r>
        <w:rPr>
          <w:rFonts w:ascii="Arial" w:cs="Arial" w:eastAsia="Arial" w:hAnsi="Arial"/>
          <w:sz w:val="18"/>
          <w:szCs w:val="18"/>
          <w:color w:val="auto"/>
        </w:rPr>
        <w:t>for Mr. Fishman upon such terms that may in the future be agreed upon by Mr. Fishman and the Compensation Committee. See “— Severance and Other Agreements.”</w:t>
      </w:r>
    </w:p>
    <w:p>
      <w:pPr>
        <w:spacing w:after="0" w:line="87" w:lineRule="exact"/>
        <w:rPr>
          <w:sz w:val="20"/>
          <w:szCs w:val="20"/>
          <w:color w:val="auto"/>
        </w:rPr>
      </w:pPr>
    </w:p>
    <w:p>
      <w:pPr>
        <w:ind w:left="700" w:right="20" w:firstLine="397"/>
        <w:spacing w:after="0" w:line="299" w:lineRule="auto"/>
        <w:rPr>
          <w:sz w:val="20"/>
          <w:szCs w:val="20"/>
          <w:color w:val="auto"/>
        </w:rPr>
      </w:pPr>
      <w:r>
        <w:rPr>
          <w:rFonts w:ascii="Arial" w:cs="Arial" w:eastAsia="Arial" w:hAnsi="Arial"/>
          <w:sz w:val="15"/>
          <w:szCs w:val="15"/>
          <w:color w:val="auto"/>
        </w:rPr>
        <w:t>For fiscal 2006, the Committee has maintained Mr. Fishman’s salary at $930,935 and, at Mr. Fishman’s request, has granted to him no stock options, consistent with the Company’s objective to reduce its overall annual stock option dilution rate. Mr. Fishman, along with all other executive officers, is eligible to participate in the Company’s executive bonus plan for fiscal 2006. The bonus payable under the executive bonus plan is based on the same metric as the fiscal 2006 bonus plan for Analog employees, but has three additional adjustments based on individual performance and Company performance. The primary metric is operating profit before tax as a percentage of revenue. Operating profit before tax can be adjusted for purposes of calculating the bonus payment at the sole discretion of the Compensation Committee. This percentage is used to calculate a bonus payout factor, which can range from zero to three. Mr. Fishman’s salary paid during the period is then multiplied by the bonus payout factor and his individual bonus target percentage. Mr. Fishman’s fiscal year 2006 bonus target percentage was set by the Compensation Committee at 120%. The bonus is then subject to an adjustment that can reduce, but not increase, the bonus calculated above by as much as 50% based on an evaluation of Mr. Fishman’s individual performance. The bonus derived from the above calculation is then potentially further adjusted for each of the following Company performance-related items: (1) an adjustment to increase the bonus calculated above by 25% based on the Company’s sales growth during the bonus period relative to the sales growth of a group of peer companies selected by the Compensation Committee; and (2) an adjustment to increase the bonus calculated above, prior to the potential sales growth adjustment, by 25% if Analog’s annual fiscal year 2006 diluted earnings per share is equal to or exceeds the plan established at the beginning of the year. Diluted EPS can be adjusted for purposes of calculating the bonus payment at the sole discretion of the Compensation Committee. The last two potential adjustments are independently applied to the initial bonus calculation, and therefore, are not compounded. The Compensation Committee will determine, in its sole discretion, if the sales growth and EPS targets have been achieved.</w:t>
      </w:r>
    </w:p>
    <w:p>
      <w:pPr>
        <w:spacing w:after="0" w:line="39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Change in Control Arrangements</w:t>
      </w:r>
    </w:p>
    <w:p>
      <w:pPr>
        <w:spacing w:after="0" w:line="124" w:lineRule="exact"/>
        <w:rPr>
          <w:sz w:val="20"/>
          <w:szCs w:val="20"/>
          <w:color w:val="auto"/>
        </w:rPr>
      </w:pPr>
    </w:p>
    <w:p>
      <w:pPr>
        <w:ind w:left="700" w:right="120" w:firstLine="397"/>
        <w:spacing w:after="0" w:line="330" w:lineRule="auto"/>
        <w:rPr>
          <w:sz w:val="20"/>
          <w:szCs w:val="20"/>
          <w:color w:val="auto"/>
        </w:rPr>
      </w:pPr>
      <w:r>
        <w:rPr>
          <w:rFonts w:ascii="Arial" w:cs="Arial" w:eastAsia="Arial" w:hAnsi="Arial"/>
          <w:sz w:val="15"/>
          <w:szCs w:val="15"/>
          <w:color w:val="auto"/>
        </w:rPr>
        <w:t>Under the terms of the change in control retention agreement and employment agreement between Mr. Fishman and Analog Devices, as described above under “— Severance and Other Agreements,” if Mr. Fishman were terminated without “cause” or resigned for “good reason” within 24 months following a change in control, he would receive, as of January 1, 2006, the following estimated benefits:</w:t>
      </w:r>
    </w:p>
    <w:p>
      <w:pPr>
        <w:spacing w:after="0" w:line="70"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amount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5,585,610</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Value of unvested in-the-money options that would accelerate upon termination(1)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3,995,000</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Continuation of benefits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w:t>
            </w:r>
          </w:p>
        </w:tc>
        <w:tc>
          <w:tcPr>
            <w:tcW w:w="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Total gross-up for taxes</w:t>
            </w:r>
          </w:p>
        </w:tc>
        <w:tc>
          <w:tcPr>
            <w:tcW w:w="1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9,614,070</w:t>
            </w:r>
          </w:p>
        </w:tc>
        <w:tc>
          <w:tcPr>
            <w:tcW w:w="80" w:type="dxa"/>
            <w:vAlign w:val="bottom"/>
            <w:shd w:val="clear" w:color="auto" w:fill="CCEEFF"/>
          </w:tcPr>
          <w:p>
            <w:pPr>
              <w:spacing w:after="0"/>
              <w:rPr>
                <w:sz w:val="18"/>
                <w:szCs w:val="18"/>
                <w:color w:val="auto"/>
              </w:rPr>
            </w:pPr>
          </w:p>
        </w:tc>
      </w:tr>
      <w:tr>
        <w:trPr>
          <w:trHeight w:val="133"/>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54" w:lineRule="exact"/>
        <w:rPr>
          <w:sz w:val="20"/>
          <w:szCs w:val="20"/>
          <w:color w:val="auto"/>
        </w:rPr>
      </w:pPr>
    </w:p>
    <w:p>
      <w:pPr>
        <w:ind w:left="1000" w:right="800" w:hanging="309"/>
        <w:spacing w:after="0" w:line="366"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Value is based on the difference between the exercise price per share and the closing price per share of our common stock on December 30, 2005 ($35.87). Actual value would depend on the share value at the time of a change in control.</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Compliance with Internal Revenue Code Section 162(m)</w:t>
      </w:r>
    </w:p>
    <w:p>
      <w:pPr>
        <w:spacing w:after="0" w:line="124"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Section 162(m) of the Internal Revenue Code of 1986, as amended,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its executive officers, except cash bonus awards, in a manner that is intended to avoid disallowance of deductions under Section 162(m), provided that a portion of the payments made to named executive officers in 2005 under the Deferred Compensation Plan prior to their cessation of employment will be subject to the Section 162(m) limitation. Nevertheless, there can be no assurance that compensation attributable to awards granted under Analog Devices’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 of Analog Devices and our shareholders, after taking into consideration changing business conditions and the performance of its employees.</w:t>
      </w:r>
    </w:p>
    <w:p>
      <w:pPr>
        <w:spacing w:after="0" w:line="200" w:lineRule="exact"/>
        <w:rPr>
          <w:sz w:val="20"/>
          <w:szCs w:val="20"/>
          <w:color w:val="auto"/>
        </w:rPr>
      </w:pPr>
    </w:p>
    <w:p>
      <w:pPr>
        <w:spacing w:after="0" w:line="2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Grant Saviers, Chairman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James A. Champy</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Paul J. Severino</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0" w:lineRule="exact"/>
        <w:rPr>
          <w:sz w:val="20"/>
          <w:szCs w:val="20"/>
          <w:color w:val="auto"/>
        </w:rPr>
      </w:pPr>
    </w:p>
    <w:p>
      <w:pPr>
        <w:ind w:left="700" w:right="80" w:firstLine="397"/>
        <w:spacing w:after="0" w:line="305" w:lineRule="auto"/>
        <w:rPr>
          <w:sz w:val="20"/>
          <w:szCs w:val="20"/>
          <w:color w:val="auto"/>
        </w:rPr>
      </w:pPr>
      <w:r>
        <w:rPr>
          <w:rFonts w:ascii="Arial" w:cs="Arial" w:eastAsia="Arial" w:hAnsi="Arial"/>
          <w:sz w:val="15"/>
          <w:szCs w:val="15"/>
          <w:color w:val="auto"/>
        </w:rPr>
        <w:t>During fiscal year 2005, Messrs. Champy and Saviers served as members of our Compensation Committee. Subsequent to the end of fiscal year 2005, Mr. Severino was appointed to the Compensation Committee. No member of our Compensation Committee was at any time during fiscal year 2005, or formerly, an officer or employee of Analog or any subsidiary of Analog. Mr. Champy’s son, Adam S. Champy, is employed by us as a micromachining market engineer. Adam Champy joined Analog after graduating from the Massachusetts Institute of Technology with a Masters of Engineering in Computer Science and Electrical Engineering. In fiscal year 2005, Adam S. Champy received $33,654 of cash compensation and, on June 27, 2005, was granted an option for the purchase of 3,000 shares of our common stock at an exercise price of $37.28 per share. No other member of our Compensation Committee had any relationship with us during fiscal year 2005 requiring disclosure under Item 404 of Regulation S-K under the Securities Exchange Act of 1934.</w:t>
      </w:r>
    </w:p>
    <w:p>
      <w:pPr>
        <w:spacing w:after="0" w:line="63" w:lineRule="exact"/>
        <w:rPr>
          <w:sz w:val="20"/>
          <w:szCs w:val="20"/>
          <w:color w:val="auto"/>
        </w:rPr>
      </w:pPr>
    </w:p>
    <w:p>
      <w:pPr>
        <w:jc w:val="both"/>
        <w:ind w:left="700" w:right="100" w:firstLine="397"/>
        <w:spacing w:after="0" w:line="255" w:lineRule="auto"/>
        <w:rPr>
          <w:sz w:val="20"/>
          <w:szCs w:val="20"/>
          <w:color w:val="auto"/>
        </w:rPr>
      </w:pPr>
      <w:r>
        <w:rPr>
          <w:rFonts w:ascii="Arial" w:cs="Arial" w:eastAsia="Arial" w:hAnsi="Arial"/>
          <w:sz w:val="18"/>
          <w:szCs w:val="18"/>
          <w:color w:val="auto"/>
        </w:rPr>
        <w:t>During fiscal year 2005,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Comparative Stock Performance Graph</w:t>
      </w:r>
    </w:p>
    <w:p>
      <w:pPr>
        <w:spacing w:after="0" w:line="130" w:lineRule="exact"/>
        <w:rPr>
          <w:sz w:val="20"/>
          <w:szCs w:val="20"/>
          <w:color w:val="auto"/>
        </w:rPr>
      </w:pPr>
    </w:p>
    <w:p>
      <w:pPr>
        <w:ind w:left="700" w:firstLine="397"/>
        <w:spacing w:after="0" w:line="318" w:lineRule="auto"/>
        <w:rPr>
          <w:sz w:val="20"/>
          <w:szCs w:val="20"/>
          <w:color w:val="auto"/>
        </w:rPr>
      </w:pPr>
      <w:r>
        <w:rPr>
          <w:rFonts w:ascii="Arial" w:cs="Arial" w:eastAsia="Arial" w:hAnsi="Arial"/>
          <w:sz w:val="15"/>
          <w:szCs w:val="15"/>
          <w:color w:val="auto"/>
        </w:rPr>
        <w:t>The following graph compares cumulative total shareholder return on our common stock since October 27, 2000 with the cumulative total return for the Standard &amp; Poor’s 500 Index and the Standard &amp; Poor’s Information Technology Sector Index. This graph assumes the investment of $100 on October 27, 2000 in our common stock, the Standard &amp; Poor’s 500 Index and the Standard &amp; Poor’s Technology Sector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109220</wp:posOffset>
            </wp:positionV>
            <wp:extent cx="4992370" cy="2787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2370"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00"/>
          </w:cols>
          <w:pgMar w:left="240" w:top="413" w:right="11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Tentative Settlement of Stock Option Investigation</w:t>
      </w:r>
    </w:p>
    <w:p>
      <w:pPr>
        <w:spacing w:after="0" w:line="130" w:lineRule="exact"/>
        <w:rPr>
          <w:sz w:val="20"/>
          <w:szCs w:val="20"/>
          <w:color w:val="auto"/>
        </w:rPr>
      </w:pPr>
    </w:p>
    <w:p>
      <w:pPr>
        <w:jc w:val="both"/>
        <w:ind w:left="700" w:right="100" w:firstLine="397"/>
        <w:spacing w:after="0" w:line="277" w:lineRule="auto"/>
        <w:rPr>
          <w:sz w:val="20"/>
          <w:szCs w:val="20"/>
          <w:color w:val="auto"/>
        </w:rPr>
      </w:pPr>
      <w:r>
        <w:rPr>
          <w:rFonts w:ascii="Arial" w:cs="Arial" w:eastAsia="Arial" w:hAnsi="Arial"/>
          <w:sz w:val="17"/>
          <w:szCs w:val="17"/>
          <w:color w:val="auto"/>
        </w:rPr>
        <w:t>In our Form 10-K filing dated November 30, 2004, we disclosed that the Securities and Exchange Commission, or SEC, had initiated an inquiry into our stock option granting practices, focusing on options that were granted shortly before the issuance of favorable financial results. On November 15, 2005, we announced that a tentative settlement has been reached.</w:t>
      </w:r>
    </w:p>
    <w:p>
      <w:pPr>
        <w:spacing w:after="0" w:line="79" w:lineRule="exact"/>
        <w:rPr>
          <w:sz w:val="20"/>
          <w:szCs w:val="20"/>
          <w:color w:val="auto"/>
        </w:rPr>
      </w:pPr>
    </w:p>
    <w:p>
      <w:pPr>
        <w:ind w:left="700" w:firstLine="397"/>
        <w:spacing w:after="0" w:line="318" w:lineRule="auto"/>
        <w:rPr>
          <w:sz w:val="20"/>
          <w:szCs w:val="20"/>
          <w:color w:val="auto"/>
        </w:rPr>
      </w:pPr>
      <w:r>
        <w:rPr>
          <w:rFonts w:ascii="Arial" w:cs="Arial" w:eastAsia="Arial" w:hAnsi="Arial"/>
          <w:sz w:val="15"/>
          <w:szCs w:val="15"/>
          <w:color w:val="auto"/>
        </w:rPr>
        <w:t>Since receiving notice of this inquiry, we have been cooperating with the SEC and believe that the matter will be concluded in the near future. We and our President and Chief Executive Officer, Mr. Fishman, have made an offer of settlement to the Staff of the SEC, which is subject to agreement regarding the specific language of the SEC’s administrative order and other settlement documents. The SEC Staff has decided to recommend the offer of settlement to the Commission. A final settlement is subject to review and approval by the Commission.</w:t>
      </w:r>
    </w:p>
    <w:p>
      <w:pPr>
        <w:spacing w:after="0" w:line="54" w:lineRule="exact"/>
        <w:rPr>
          <w:sz w:val="20"/>
          <w:szCs w:val="20"/>
          <w:color w:val="auto"/>
        </w:rPr>
      </w:pPr>
    </w:p>
    <w:p>
      <w:pPr>
        <w:ind w:left="700" w:right="240" w:firstLine="397"/>
        <w:spacing w:after="0" w:line="265" w:lineRule="auto"/>
        <w:rPr>
          <w:sz w:val="20"/>
          <w:szCs w:val="20"/>
          <w:color w:val="auto"/>
        </w:rPr>
      </w:pPr>
      <w:r>
        <w:rPr>
          <w:rFonts w:ascii="Arial" w:cs="Arial" w:eastAsia="Arial" w:hAnsi="Arial"/>
          <w:sz w:val="18"/>
          <w:szCs w:val="18"/>
          <w:color w:val="auto"/>
        </w:rPr>
        <w:t>Our Board of Directors and Mr. Fishman believe that it is in the best interests of our shareholders to settle this case on the proposed terms rather than face a protracted dispute with the SEC.</w:t>
      </w:r>
    </w:p>
    <w:p>
      <w:pPr>
        <w:spacing w:after="0" w:line="87" w:lineRule="exact"/>
        <w:rPr>
          <w:sz w:val="20"/>
          <w:szCs w:val="20"/>
          <w:color w:val="auto"/>
        </w:rPr>
      </w:pPr>
    </w:p>
    <w:p>
      <w:pPr>
        <w:jc w:val="both"/>
        <w:ind w:left="700" w:right="60" w:firstLine="397"/>
        <w:spacing w:after="0" w:line="250" w:lineRule="auto"/>
        <w:rPr>
          <w:sz w:val="20"/>
          <w:szCs w:val="20"/>
          <w:color w:val="auto"/>
        </w:rPr>
      </w:pPr>
      <w:r>
        <w:rPr>
          <w:rFonts w:ascii="Arial" w:cs="Arial" w:eastAsia="Arial" w:hAnsi="Arial"/>
          <w:sz w:val="18"/>
          <w:szCs w:val="18"/>
          <w:color w:val="auto"/>
        </w:rPr>
        <w:t>The contemplated settlement addresses two separate issues. The first issue concerns our disclosure regarding grants of options to our employees and directors prior to the release of favorable financial results. Specifically, the issue relates to options granted to our employees (including officers) on November 30, 1999 and to employees (including officers) and directors on November 10, 2000. The SEC settlement would conclude that we should have made disclosures in our proxy filings to the effect that we priced these stock options prior to releasing favorable financial results.</w:t>
      </w:r>
    </w:p>
    <w:p>
      <w:pPr>
        <w:spacing w:after="0" w:line="102" w:lineRule="exact"/>
        <w:rPr>
          <w:sz w:val="20"/>
          <w:szCs w:val="20"/>
          <w:color w:val="auto"/>
        </w:rPr>
      </w:pPr>
    </w:p>
    <w:p>
      <w:pPr>
        <w:ind w:left="700" w:right="40" w:firstLine="397"/>
        <w:spacing w:after="0" w:line="309" w:lineRule="auto"/>
        <w:rPr>
          <w:sz w:val="20"/>
          <w:szCs w:val="20"/>
          <w:color w:val="auto"/>
        </w:rPr>
      </w:pPr>
      <w:r>
        <w:rPr>
          <w:rFonts w:ascii="Arial" w:cs="Arial" w:eastAsia="Arial" w:hAnsi="Arial"/>
          <w:sz w:val="15"/>
          <w:szCs w:val="15"/>
          <w:color w:val="auto"/>
        </w:rPr>
        <w:t>The second issue addressed by the tentative settlement concerns the grant dates for options granted to our employees (including officers) in 1998 and 1999, and the grant date for options granted to employees (including officers)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60" w:lineRule="exact"/>
        <w:rPr>
          <w:sz w:val="20"/>
          <w:szCs w:val="20"/>
          <w:color w:val="auto"/>
        </w:rPr>
      </w:pPr>
    </w:p>
    <w:p>
      <w:pPr>
        <w:ind w:left="700" w:firstLine="397"/>
        <w:spacing w:after="0" w:line="299" w:lineRule="auto"/>
        <w:rPr>
          <w:sz w:val="20"/>
          <w:szCs w:val="20"/>
          <w:color w:val="auto"/>
        </w:rPr>
      </w:pPr>
      <w:r>
        <w:rPr>
          <w:rFonts w:ascii="Arial" w:cs="Arial" w:eastAsia="Arial" w:hAnsi="Arial"/>
          <w:sz w:val="15"/>
          <w:szCs w:val="15"/>
          <w:color w:val="auto"/>
        </w:rPr>
        <w:t>In connection with the contemplated settlement, Analog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w:t>
      </w:r>
    </w:p>
    <w:p>
      <w:pPr>
        <w:ind w:left="700" w:right="60"/>
        <w:spacing w:after="0" w:line="248" w:lineRule="auto"/>
        <w:rPr>
          <w:sz w:val="20"/>
          <w:szCs w:val="20"/>
          <w:color w:val="auto"/>
        </w:rPr>
      </w:pPr>
      <w:r>
        <w:rPr>
          <w:rFonts w:ascii="Arial" w:cs="Arial" w:eastAsia="Arial" w:hAnsi="Arial"/>
          <w:sz w:val="18"/>
          <w:szCs w:val="18"/>
          <w:color w:val="auto"/>
        </w:rPr>
        <w:t>$1 million, and would make a disgorgement payment with respect to options granted in certain years. With the exception of options granted in 1998, Mr. Fishman has not exercised or sold any of the options identified in this matter. We and Mr. Fishman would settle this matter without admitting or denying the Commission’s findings.</w:t>
      </w:r>
    </w:p>
    <w:p>
      <w:pPr>
        <w:spacing w:after="0" w:line="103" w:lineRule="exact"/>
        <w:rPr>
          <w:sz w:val="20"/>
          <w:szCs w:val="20"/>
          <w:color w:val="auto"/>
        </w:rPr>
      </w:pPr>
    </w:p>
    <w:p>
      <w:pPr>
        <w:ind w:left="700" w:right="80" w:firstLine="397"/>
        <w:spacing w:after="0" w:line="298" w:lineRule="auto"/>
        <w:rPr>
          <w:sz w:val="20"/>
          <w:szCs w:val="20"/>
          <w:color w:val="auto"/>
        </w:rPr>
      </w:pPr>
      <w:r>
        <w:rPr>
          <w:rFonts w:ascii="Arial" w:cs="Arial" w:eastAsia="Arial" w:hAnsi="Arial"/>
          <w:sz w:val="15"/>
          <w:szCs w:val="15"/>
          <w:color w:val="auto"/>
        </w:rPr>
        <w:t>We have determined that no restatement of our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our net income for fiscal years 1998 through 2005 would have been reduced by $21.8 million in total. During this period, we earned cumulative net income of over</w:t>
      </w:r>
    </w:p>
    <w:p>
      <w:pPr>
        <w:spacing w:after="0" w:line="1" w:lineRule="exact"/>
        <w:rPr>
          <w:sz w:val="20"/>
          <w:szCs w:val="20"/>
          <w:color w:val="auto"/>
        </w:rPr>
      </w:pPr>
    </w:p>
    <w:p>
      <w:pPr>
        <w:ind w:left="700" w:right="80"/>
        <w:spacing w:after="0" w:line="247" w:lineRule="auto"/>
        <w:rPr>
          <w:sz w:val="20"/>
          <w:szCs w:val="20"/>
          <w:color w:val="auto"/>
        </w:rPr>
      </w:pPr>
      <w:r>
        <w:rPr>
          <w:rFonts w:ascii="Arial" w:cs="Arial" w:eastAsia="Arial" w:hAnsi="Arial"/>
          <w:sz w:val="18"/>
          <w:szCs w:val="18"/>
          <w:color w:val="auto"/>
        </w:rPr>
        <w:t>$2.5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 — APPROVAL OF 2006 STOCK INCENTIVE PLAN</w:t>
      </w:r>
    </w:p>
    <w:p>
      <w:pPr>
        <w:spacing w:after="0" w:line="130"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On January 23, 2006, our Board of Directors adopted, subject to shareholder approval, the 2006 Stock Incentive Plan (the “2006 Plan”). If approved, the 2006 Plan will decrease the number of shares available for issuance and will diversify the equity-based portion of our compensation awards to include stock options, stock appreciation rights, restricted stock and restricted stock units. The 1998 Stock Option Plan (the “1998 Plan”) and our 2001 Broad-Based Stock Option Plan (the “2001 Plan”) (together referred to as the “Prior Plans”) would terminate, except for the options currently outstanding under those plans. The new 2006 Plan will decrease the total number of shares available for future issuance since the 15 million shares requested for the new 2006 Plan are fewer than the 15.8 million shares available for issuance pursuant to future option grants under the Prior Plans.</w:t>
      </w:r>
    </w:p>
    <w:p>
      <w:pPr>
        <w:spacing w:after="0" w:line="88"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5"/>
          <w:szCs w:val="15"/>
          <w:color w:val="auto"/>
        </w:rPr>
        <w:t>Analog Devices has successfully used stock options to attract and retain employees since the company was founded 40 years ago. In order to facilitate the objective of attracting and retaining valuable technical talent, we have regularly granted options to a very broad base of employees. Approximately 93% of our employees received stock options during fiscal 2005. Historically, we have also generally distributed 95% of our annual option grants to employees who are not named executive officers. We believe that our stock option program has been very successful throughout Analog’s history in both motivating employees and enhancing shareholder value.</w:t>
      </w:r>
    </w:p>
    <w:p>
      <w:pPr>
        <w:spacing w:after="0" w:line="59" w:lineRule="exact"/>
        <w:rPr>
          <w:sz w:val="20"/>
          <w:szCs w:val="20"/>
          <w:color w:val="auto"/>
        </w:rPr>
      </w:pPr>
    </w:p>
    <w:p>
      <w:pPr>
        <w:ind w:left="700" w:right="80" w:firstLine="397"/>
        <w:spacing w:after="0" w:line="307" w:lineRule="auto"/>
        <w:rPr>
          <w:sz w:val="20"/>
          <w:szCs w:val="20"/>
          <w:color w:val="auto"/>
        </w:rPr>
      </w:pPr>
      <w:r>
        <w:rPr>
          <w:rFonts w:ascii="Arial" w:cs="Arial" w:eastAsia="Arial" w:hAnsi="Arial"/>
          <w:sz w:val="15"/>
          <w:szCs w:val="15"/>
          <w:color w:val="auto"/>
        </w:rPr>
        <w:t>During the past year, we have been carefully considering the effectiveness of our entire compensation package and the cost of equity-based compensation awards. As part of this review, we have assessed the benefits of alternative forms of equity compensation, including stock appreciation rights, restricted stock and restricted stock units. Our review has led to a conclusion that Analog Devices should have available a plan that affords us the flexibility to issue stock options, stock appreciation rights, restricted stock and restricted stock units. Many other semiconductor companies and direct competitors of ours have begun utilizing restricted stock as a part of their compensation programs for at least a portion of their employees. Some of our shareholders have also expressed a view that they would recommend utilization of restricted stock as part of a compensation package for some employees.</w:t>
      </w:r>
    </w:p>
    <w:p>
      <w:pPr>
        <w:spacing w:after="0" w:line="60" w:lineRule="exact"/>
        <w:rPr>
          <w:sz w:val="20"/>
          <w:szCs w:val="20"/>
          <w:color w:val="auto"/>
        </w:rPr>
      </w:pPr>
    </w:p>
    <w:p>
      <w:pPr>
        <w:jc w:val="both"/>
        <w:ind w:left="700" w:right="140" w:firstLine="397"/>
        <w:spacing w:after="0" w:line="252" w:lineRule="auto"/>
        <w:rPr>
          <w:sz w:val="20"/>
          <w:szCs w:val="20"/>
          <w:color w:val="auto"/>
        </w:rPr>
      </w:pPr>
      <w:r>
        <w:rPr>
          <w:rFonts w:ascii="Arial" w:cs="Arial" w:eastAsia="Arial" w:hAnsi="Arial"/>
          <w:sz w:val="18"/>
          <w:szCs w:val="18"/>
          <w:color w:val="auto"/>
        </w:rPr>
        <w:t>Despite the importance of stock options to the retention of our key employees, we have been sensitive to the potential dilution to our shareholders. As a result, during the past five years, we have been steadily reducing our net option grants from 4.3% of outstanding shares in fiscal 2001 to 2.3% in fiscal 2006. We have a goal of reducing our net annual dilution from equity-based compensation to below 2% in future years.</w:t>
      </w:r>
    </w:p>
    <w:p>
      <w:pPr>
        <w:spacing w:after="0" w:line="99" w:lineRule="exact"/>
        <w:rPr>
          <w:sz w:val="20"/>
          <w:szCs w:val="20"/>
          <w:color w:val="auto"/>
        </w:rPr>
      </w:pPr>
    </w:p>
    <w:p>
      <w:pPr>
        <w:ind w:left="700" w:right="120" w:firstLine="397"/>
        <w:spacing w:after="0" w:line="252" w:lineRule="auto"/>
        <w:rPr>
          <w:sz w:val="20"/>
          <w:szCs w:val="20"/>
          <w:color w:val="auto"/>
        </w:rPr>
      </w:pPr>
      <w:r>
        <w:rPr>
          <w:rFonts w:ascii="Arial" w:cs="Arial" w:eastAsia="Arial" w:hAnsi="Arial"/>
          <w:sz w:val="18"/>
          <w:szCs w:val="18"/>
          <w:color w:val="auto"/>
        </w:rPr>
        <w:t>The Prior Plans only allow issuance of stock options. The 2006 Plan is intended to replace the Prior Plans by giving us the flexibility to grant various types of awards, including options, stock appreciation rights, restricted stock awards and restricted stock units and other stock-based awards. We consider this flexibility to be critical to our ability to maintain a competitive position in attracting, retaining and motivating key personnel.</w:t>
      </w:r>
    </w:p>
    <w:p>
      <w:pPr>
        <w:spacing w:after="0" w:line="99"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Under the 2006 Plan, we may issue up to 15 million shares of our common stock, plus any shares that are subject to outstanding options under the Prior Plans as of January 23, 2006 that are subsequently terminated or expire without being exercised. We will not grant further options under the Prior Plans after approval of the 2006 Plan by our shareholders.</w:t>
      </w:r>
    </w:p>
    <w:p>
      <w:pPr>
        <w:spacing w:after="0" w:line="96" w:lineRule="exact"/>
        <w:rPr>
          <w:sz w:val="20"/>
          <w:szCs w:val="20"/>
          <w:color w:val="auto"/>
        </w:rPr>
      </w:pPr>
    </w:p>
    <w:p>
      <w:pPr>
        <w:ind w:left="700" w:right="280" w:firstLine="397"/>
        <w:spacing w:after="0" w:line="265" w:lineRule="auto"/>
        <w:rPr>
          <w:sz w:val="20"/>
          <w:szCs w:val="20"/>
          <w:color w:val="auto"/>
        </w:rPr>
      </w:pPr>
      <w:r>
        <w:rPr>
          <w:rFonts w:ascii="Arial" w:cs="Arial" w:eastAsia="Arial" w:hAnsi="Arial"/>
          <w:sz w:val="18"/>
          <w:szCs w:val="18"/>
          <w:color w:val="auto"/>
        </w:rPr>
        <w:t>The 2006 Plan provides the flexibility needed to appropriately structure future equity compensation programs as well as individual awards that both motivate our employees and reduce the cost to our shareholders.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2006 Plan includes the following terms:</w:t>
      </w:r>
    </w:p>
    <w:p>
      <w:pPr>
        <w:spacing w:after="0" w:line="124" w:lineRule="exact"/>
        <w:rPr>
          <w:sz w:val="20"/>
          <w:szCs w:val="20"/>
          <w:color w:val="auto"/>
        </w:rPr>
      </w:pPr>
    </w:p>
    <w:p>
      <w:pPr>
        <w:ind w:left="1200" w:right="220" w:hanging="111"/>
        <w:spacing w:after="0" w:line="271"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Each Full-Value Award will count as 3 shares. </w:t>
      </w:r>
      <w:r>
        <w:rPr>
          <w:rFonts w:ascii="Arial" w:cs="Arial" w:eastAsia="Arial" w:hAnsi="Arial"/>
          <w:sz w:val="17"/>
          <w:szCs w:val="17"/>
          <w:color w:val="auto"/>
        </w:rPr>
        <w:t>The 2006 Plan provides that for purposes of determining the number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issuance under the 2006 Plan, any restricted stock award, restricted stock unit or other stock-based award with a per share or per unit purchase price lower than the fair market value of our common stock on the date of grant (a “Full-Value Award”) will be counted as three shares for each share subject to the Full-Value Award.</w:t>
      </w:r>
    </w:p>
    <w:p>
      <w:pPr>
        <w:spacing w:after="0" w:line="71" w:lineRule="exact"/>
        <w:rPr>
          <w:rFonts w:ascii="Arial" w:cs="Arial" w:eastAsia="Arial" w:hAnsi="Arial"/>
          <w:sz w:val="17"/>
          <w:szCs w:val="17"/>
          <w:color w:val="auto"/>
        </w:rPr>
      </w:pPr>
    </w:p>
    <w:p>
      <w:pPr>
        <w:ind w:left="1200" w:right="20" w:hanging="111"/>
        <w:spacing w:after="0" w:line="271"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repricing. </w:t>
      </w:r>
      <w:r>
        <w:rPr>
          <w:rFonts w:ascii="Arial" w:cs="Arial" w:eastAsia="Arial" w:hAnsi="Arial"/>
          <w:sz w:val="17"/>
          <w:szCs w:val="17"/>
          <w:color w:val="auto"/>
        </w:rPr>
        <w:t>The 2006 Plan prohibits our Board from either (1) reducing the exercise price of outstanding options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or (2) canceling any outstanding option or stock appreciation right and granting in consideration thereof a new stock option or stock appreciation right under the 2006 Plan with an exercise price lower than the exercise price per share of the cancelled stock option or stock appreciation right, in each case without the approval of shareholders.</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0" w:right="300" w:hanging="111"/>
        <w:spacing w:after="0" w:line="265"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reload rights. </w:t>
      </w:r>
      <w:r>
        <w:rPr>
          <w:rFonts w:ascii="Arial" w:cs="Arial" w:eastAsia="Arial" w:hAnsi="Arial"/>
          <w:sz w:val="18"/>
          <w:szCs w:val="18"/>
          <w:color w:val="auto"/>
        </w:rPr>
        <w:t>No option granted under the 2006 Plan may contain a provision entitling the optionee to the automatic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options in connection with the exercise of the original option.</w:t>
      </w:r>
    </w:p>
    <w:p>
      <w:pPr>
        <w:spacing w:after="0" w:line="73" w:lineRule="exact"/>
        <w:rPr>
          <w:rFonts w:ascii="Arial" w:cs="Arial" w:eastAsia="Arial" w:hAnsi="Arial"/>
          <w:sz w:val="18"/>
          <w:szCs w:val="18"/>
          <w:color w:val="auto"/>
        </w:rPr>
      </w:pPr>
    </w:p>
    <w:p>
      <w:pPr>
        <w:ind w:left="1200" w:right="340" w:hanging="111"/>
        <w:spacing w:after="0" w:line="366" w:lineRule="auto"/>
        <w:tabs>
          <w:tab w:leader="none" w:pos="12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No discounted stock options. </w:t>
      </w:r>
      <w:r>
        <w:rPr>
          <w:rFonts w:ascii="Arial" w:cs="Arial" w:eastAsia="Arial" w:hAnsi="Arial"/>
          <w:sz w:val="15"/>
          <w:szCs w:val="15"/>
          <w:color w:val="auto"/>
        </w:rPr>
        <w:t>The 2006 Plan prohibits awarding options for less than fair market value and awarding stock</w:t>
      </w:r>
      <w:r>
        <w:rPr>
          <w:rFonts w:ascii="Arial" w:cs="Arial" w:eastAsia="Arial" w:hAnsi="Arial"/>
          <w:sz w:val="15"/>
          <w:szCs w:val="15"/>
          <w:i w:val="1"/>
          <w:iCs w:val="1"/>
          <w:color w:val="auto"/>
        </w:rPr>
        <w:t xml:space="preserve"> </w:t>
      </w:r>
      <w:r>
        <w:rPr>
          <w:rFonts w:ascii="Arial" w:cs="Arial" w:eastAsia="Arial" w:hAnsi="Arial"/>
          <w:sz w:val="15"/>
          <w:szCs w:val="15"/>
          <w:color w:val="auto"/>
        </w:rPr>
        <w:t>appreciation rights with an exercise price or grant price less than the fair market value of our common stock on the date of grant.</w:t>
      </w:r>
    </w:p>
    <w:p>
      <w:pPr>
        <w:spacing w:after="0" w:line="4" w:lineRule="exact"/>
        <w:rPr>
          <w:rFonts w:ascii="Arial" w:cs="Arial" w:eastAsia="Arial" w:hAnsi="Arial"/>
          <w:sz w:val="15"/>
          <w:szCs w:val="15"/>
          <w:color w:val="auto"/>
        </w:rPr>
      </w:pPr>
    </w:p>
    <w:p>
      <w:pPr>
        <w:ind w:left="1200" w:right="20" w:hanging="111"/>
        <w:spacing w:after="0" w:line="312" w:lineRule="auto"/>
        <w:tabs>
          <w:tab w:leader="none" w:pos="12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Limitations on vesting. </w:t>
      </w:r>
      <w:r>
        <w:rPr>
          <w:rFonts w:ascii="Arial" w:cs="Arial" w:eastAsia="Arial" w:hAnsi="Arial"/>
          <w:sz w:val="15"/>
          <w:szCs w:val="15"/>
          <w:color w:val="auto"/>
        </w:rPr>
        <w:t>Except in the event of death, disability or retirement of the award recipient and only to the extent provided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award agreement, any restricted stock award, or restricted stock unit award, in each case with a vesting condition that is based on continued employment or the passage of time, must vest in full at a rate not less than pro rata installments over three years from the grant date of the award. In addition, any award with a vesting condition that is based on performance criteria and level of achievement compared to such performance criteria must be based on performance over a period of not less than 12 months.</w:t>
      </w:r>
    </w:p>
    <w:p>
      <w:pPr>
        <w:spacing w:after="0" w:line="45" w:lineRule="exact"/>
        <w:rPr>
          <w:rFonts w:ascii="Arial" w:cs="Arial" w:eastAsia="Arial" w:hAnsi="Arial"/>
          <w:sz w:val="15"/>
          <w:szCs w:val="15"/>
          <w:color w:val="auto"/>
        </w:rPr>
      </w:pPr>
    </w:p>
    <w:p>
      <w:pPr>
        <w:ind w:left="1200" w:right="20" w:hanging="111"/>
        <w:spacing w:after="0" w:line="265"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transferability of awards. </w:t>
      </w:r>
      <w:r>
        <w:rPr>
          <w:rFonts w:ascii="Arial" w:cs="Arial" w:eastAsia="Arial" w:hAnsi="Arial"/>
          <w:sz w:val="18"/>
          <w:szCs w:val="18"/>
          <w:color w:val="auto"/>
        </w:rPr>
        <w:t>With limited exceptions, awards under the 2006 Plan may not be sold, assigned,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or pledged.</w:t>
      </w:r>
    </w:p>
    <w:p>
      <w:pPr>
        <w:spacing w:after="0" w:line="73" w:lineRule="exact"/>
        <w:rPr>
          <w:rFonts w:ascii="Arial" w:cs="Arial" w:eastAsia="Arial" w:hAnsi="Arial"/>
          <w:sz w:val="18"/>
          <w:szCs w:val="18"/>
          <w:color w:val="auto"/>
        </w:rPr>
      </w:pPr>
    </w:p>
    <w:p>
      <w:pPr>
        <w:ind w:left="1200" w:right="260" w:hanging="111"/>
        <w:spacing w:after="0" w:line="255"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plan amendments without shareholder approval. </w:t>
      </w:r>
      <w:r>
        <w:rPr>
          <w:rFonts w:ascii="Arial" w:cs="Arial" w:eastAsia="Arial" w:hAnsi="Arial"/>
          <w:sz w:val="18"/>
          <w:szCs w:val="18"/>
          <w:color w:val="auto"/>
        </w:rPr>
        <w:t>The 2006 Plan provides limitations on the ability of our Board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certain amendments to the 2006 Plan without obtaining shareholder approval whether or not required by NYSE corporate governance rules relating to equity compensation plans.</w:t>
      </w:r>
    </w:p>
    <w:p>
      <w:pPr>
        <w:spacing w:after="0" w:line="82" w:lineRule="exact"/>
        <w:rPr>
          <w:rFonts w:ascii="Arial" w:cs="Arial" w:eastAsia="Arial" w:hAnsi="Arial"/>
          <w:sz w:val="18"/>
          <w:szCs w:val="18"/>
          <w:color w:val="auto"/>
        </w:rPr>
      </w:pPr>
    </w:p>
    <w:p>
      <w:pPr>
        <w:ind w:left="1200" w:right="120" w:hanging="111"/>
        <w:spacing w:after="0" w:line="265"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Unless otherwise provided for by our Board, only restricted stock awards would have dividend rights. None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issued under Prior Plans have dividend rights.</w:t>
      </w:r>
    </w:p>
    <w:p>
      <w:pPr>
        <w:spacing w:after="0" w:line="87" w:lineRule="exact"/>
        <w:rPr>
          <w:sz w:val="20"/>
          <w:szCs w:val="20"/>
          <w:color w:val="auto"/>
        </w:rPr>
      </w:pPr>
    </w:p>
    <w:p>
      <w:pPr>
        <w:ind w:left="700" w:right="240" w:firstLine="397"/>
        <w:spacing w:after="0" w:line="294" w:lineRule="auto"/>
        <w:rPr>
          <w:sz w:val="20"/>
          <w:szCs w:val="20"/>
          <w:color w:val="auto"/>
        </w:rPr>
      </w:pPr>
      <w:r>
        <w:rPr>
          <w:rFonts w:ascii="Arial" w:cs="Arial" w:eastAsia="Arial" w:hAnsi="Arial"/>
          <w:sz w:val="17"/>
          <w:szCs w:val="17"/>
          <w:color w:val="auto"/>
        </w:rPr>
        <w:t>The following tables provide information relating to option grants during our last five fiscal years, option activity during fiscal year 2005 and fiscal year 2006 through December 31, 2005 and options outstanding as of December 31, 2005:</w:t>
      </w:r>
    </w:p>
    <w:p>
      <w:pPr>
        <w:spacing w:after="0" w:line="2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Employee and Executive Option Grants</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 of the End of Fiscal Year</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gridSpan w:val="2"/>
          </w:tcPr>
          <w:p>
            <w:pPr>
              <w:jc w:val="right"/>
              <w:ind w:right="600"/>
              <w:spacing w:after="0" w:line="139" w:lineRule="exact"/>
              <w:rPr>
                <w:sz w:val="20"/>
                <w:szCs w:val="20"/>
                <w:color w:val="auto"/>
              </w:rPr>
            </w:pPr>
            <w:r>
              <w:rPr>
                <w:rFonts w:ascii="Arial" w:cs="Arial" w:eastAsia="Arial" w:hAnsi="Arial"/>
                <w:sz w:val="14"/>
                <w:szCs w:val="14"/>
                <w:b w:val="1"/>
                <w:bCs w:val="1"/>
                <w:color w:val="auto"/>
                <w:w w:val="99"/>
              </w:rPr>
              <w:t>2006(a)</w:t>
            </w:r>
          </w:p>
        </w:tc>
        <w:tc>
          <w:tcPr>
            <w:tcW w:w="480" w:type="dxa"/>
            <w:vAlign w:val="bottom"/>
          </w:tcPr>
          <w:p>
            <w:pPr>
              <w:ind w:left="100"/>
              <w:spacing w:after="0" w:line="139" w:lineRule="exact"/>
              <w:rPr>
                <w:sz w:val="20"/>
                <w:szCs w:val="20"/>
                <w:color w:val="auto"/>
              </w:rPr>
            </w:pPr>
            <w:r>
              <w:rPr>
                <w:rFonts w:ascii="Arial" w:cs="Arial" w:eastAsia="Arial" w:hAnsi="Arial"/>
                <w:sz w:val="14"/>
                <w:szCs w:val="14"/>
                <w:b w:val="1"/>
                <w:bCs w:val="1"/>
                <w:color w:val="auto"/>
              </w:rPr>
              <w:t>2005</w:t>
            </w:r>
          </w:p>
        </w:tc>
        <w:tc>
          <w:tcPr>
            <w:tcW w:w="800" w:type="dxa"/>
            <w:vAlign w:val="bottom"/>
            <w:gridSpan w:val="2"/>
          </w:tcPr>
          <w:p>
            <w:pPr>
              <w:ind w:left="420"/>
              <w:spacing w:after="0" w:line="139" w:lineRule="exact"/>
              <w:rPr>
                <w:sz w:val="20"/>
                <w:szCs w:val="20"/>
                <w:color w:val="auto"/>
              </w:rPr>
            </w:pPr>
            <w:r>
              <w:rPr>
                <w:rFonts w:ascii="Arial" w:cs="Arial" w:eastAsia="Arial" w:hAnsi="Arial"/>
                <w:sz w:val="14"/>
                <w:szCs w:val="14"/>
                <w:b w:val="1"/>
                <w:bCs w:val="1"/>
                <w:color w:val="auto"/>
              </w:rPr>
              <w:t>2004</w:t>
            </w:r>
          </w:p>
        </w:tc>
        <w:tc>
          <w:tcPr>
            <w:tcW w:w="800" w:type="dxa"/>
            <w:vAlign w:val="bottom"/>
            <w:gridSpan w:val="2"/>
          </w:tcPr>
          <w:p>
            <w:pPr>
              <w:jc w:val="right"/>
              <w:ind w:right="80"/>
              <w:spacing w:after="0" w:line="139" w:lineRule="exact"/>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2"/>
                <w:szCs w:val="12"/>
                <w:color w:val="auto"/>
              </w:rPr>
            </w:pPr>
          </w:p>
        </w:tc>
        <w:tc>
          <w:tcPr>
            <w:tcW w:w="480" w:type="dxa"/>
            <w:vAlign w:val="bottom"/>
          </w:tcPr>
          <w:p>
            <w:pPr>
              <w:ind w:left="100"/>
              <w:spacing w:after="0" w:line="139" w:lineRule="exact"/>
              <w:rPr>
                <w:sz w:val="20"/>
                <w:szCs w:val="20"/>
                <w:color w:val="auto"/>
              </w:rPr>
            </w:pPr>
            <w:r>
              <w:rPr>
                <w:rFonts w:ascii="Arial" w:cs="Arial" w:eastAsia="Arial" w:hAnsi="Arial"/>
                <w:sz w:val="14"/>
                <w:szCs w:val="14"/>
                <w:b w:val="1"/>
                <w:bCs w:val="1"/>
                <w:color w:val="auto"/>
              </w:rPr>
              <w:t>2002</w:t>
            </w:r>
          </w:p>
        </w:tc>
        <w:tc>
          <w:tcPr>
            <w:tcW w:w="820" w:type="dxa"/>
            <w:vAlign w:val="bottom"/>
            <w:gridSpan w:val="2"/>
          </w:tcPr>
          <w:p>
            <w:pPr>
              <w:ind w:left="440"/>
              <w:spacing w:after="0" w:line="139" w:lineRule="exact"/>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Net grants during the period as a percentage of average outstanding</w:t>
            </w: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2.1%(b)</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2.8%</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7"/>
              </w:rPr>
              <w:t>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7.1%</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7"/>
              </w:rPr>
              <w:t>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tcPr>
          <w:p>
            <w:pPr>
              <w:spacing w:after="0" w:line="200" w:lineRule="exact"/>
              <w:rPr>
                <w:sz w:val="20"/>
                <w:szCs w:val="20"/>
                <w:color w:val="auto"/>
              </w:rPr>
            </w:pPr>
            <w:r>
              <w:rPr>
                <w:rFonts w:ascii="Arial" w:cs="Arial" w:eastAsia="Arial" w:hAnsi="Arial"/>
                <w:sz w:val="18"/>
                <w:szCs w:val="18"/>
                <w:color w:val="auto"/>
              </w:rPr>
              <w:t>Grants to the executive officers named in the summary</w:t>
            </w: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6"/>
              </w:rPr>
              <w:t>compensation table in ADI’s proxy statement for the applicable</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period as a percentage of total options 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87"/>
              </w:rPr>
              <w:t>5.4%</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w w:val="87"/>
              </w:rPr>
              <w:t>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87"/>
              </w:rPr>
              <w:t>5.1%</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w w:val="87"/>
              </w:rPr>
              <w:t>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Grants to the executive officers named in the summary</w:t>
            </w: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compensation table in ADI’s proxy statement for the applicable</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period as a percentage of average outstanding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0.2%</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7"/>
              </w:rPr>
              <w:t>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0.4%</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7"/>
              </w:rPr>
              <w:t>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tcPr>
          <w:p>
            <w:pPr>
              <w:spacing w:after="0" w:line="200" w:lineRule="exact"/>
              <w:rPr>
                <w:sz w:val="20"/>
                <w:szCs w:val="20"/>
                <w:color w:val="auto"/>
              </w:rPr>
            </w:pPr>
            <w:r>
              <w:rPr>
                <w:rFonts w:ascii="Arial" w:cs="Arial" w:eastAsia="Arial" w:hAnsi="Arial"/>
                <w:sz w:val="18"/>
                <w:szCs w:val="18"/>
                <w:color w:val="auto"/>
                <w:w w:val="99"/>
              </w:rPr>
              <w:t>Cumulative options held by the executive officers named in the</w:t>
            </w: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8"/>
              </w:rPr>
              <w:t>summary compensation table in ADI’s proxy statement for the</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8"/>
              </w:rPr>
              <w:t>applicable period as a percentage of total options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87"/>
              </w:rPr>
              <w:t>7.7%</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w w:val="87"/>
              </w:rPr>
              <w:t>7.2%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87"/>
              </w:rPr>
              <w:t>6.9%</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w w:val="87"/>
              </w:rPr>
              <w:t>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85090</wp:posOffset>
            </wp:positionV>
            <wp:extent cx="816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81" w:lineRule="exact"/>
        <w:rPr>
          <w:sz w:val="20"/>
          <w:szCs w:val="20"/>
          <w:color w:val="auto"/>
        </w:rPr>
      </w:pPr>
    </w:p>
    <w:p>
      <w:pPr>
        <w:ind w:left="1080" w:hanging="280"/>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fiscal 2006, this information is year-to-date through December 31, 2005.</w:t>
      </w:r>
    </w:p>
    <w:p>
      <w:pPr>
        <w:spacing w:after="0" w:line="58" w:lineRule="exact"/>
        <w:rPr>
          <w:rFonts w:ascii="Arial" w:cs="Arial" w:eastAsia="Arial" w:hAnsi="Arial"/>
          <w:sz w:val="18"/>
          <w:szCs w:val="18"/>
          <w:color w:val="auto"/>
        </w:rPr>
      </w:pPr>
    </w:p>
    <w:p>
      <w:pPr>
        <w:ind w:left="1080" w:right="120" w:hanging="290"/>
        <w:spacing w:after="0" w:line="265"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plan to reduce the fiscal year 2006 dilution related to our option program to approximately 2.3% (net of forfeitures) by the end of the fiscal year and bring the dilution rate below 2% in future years.</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Summary of Option Activity — Fiscal 2005 and Fiscal 2006 through December 31, 2005</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Shares Available for</w:t>
            </w:r>
          </w:p>
        </w:tc>
        <w:tc>
          <w:tcPr>
            <w:tcW w:w="25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Options Outstanding</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920" w:type="dxa"/>
            <w:vAlign w:val="bottom"/>
            <w:gridSpan w:val="2"/>
          </w:tcPr>
          <w:p>
            <w:pPr>
              <w:jc w:val="right"/>
              <w:ind w:right="600"/>
              <w:spacing w:after="0" w:line="117" w:lineRule="exact"/>
              <w:rPr>
                <w:sz w:val="20"/>
                <w:szCs w:val="20"/>
                <w:color w:val="auto"/>
              </w:rPr>
            </w:pPr>
            <w:r>
              <w:rPr>
                <w:rFonts w:ascii="Arial" w:cs="Arial" w:eastAsia="Arial" w:hAnsi="Arial"/>
                <w:sz w:val="13"/>
                <w:szCs w:val="13"/>
                <w:b w:val="1"/>
                <w:bCs w:val="1"/>
                <w:color w:val="auto"/>
              </w:rPr>
              <w:t>Number of Shares</w:t>
            </w:r>
          </w:p>
        </w:tc>
        <w:tc>
          <w:tcPr>
            <w:tcW w:w="160" w:type="dxa"/>
            <w:vAlign w:val="bottom"/>
          </w:tcPr>
          <w:p>
            <w:pPr>
              <w:spacing w:after="0"/>
              <w:rPr>
                <w:sz w:val="10"/>
                <w:szCs w:val="10"/>
                <w:color w:val="auto"/>
              </w:rPr>
            </w:pPr>
          </w:p>
        </w:tc>
        <w:tc>
          <w:tcPr>
            <w:tcW w:w="118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Future Option Grants (#)</w:t>
            </w:r>
          </w:p>
        </w:tc>
        <w:tc>
          <w:tcPr>
            <w:tcW w:w="1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Underlying Options (#)</w:t>
            </w:r>
          </w:p>
        </w:tc>
        <w:tc>
          <w:tcPr>
            <w:tcW w:w="16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Exercise Price ($)</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2004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33,849,234</w:t>
            </w: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80,276,077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Grants</w:t>
            </w: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(12,904,466)</w:t>
            </w:r>
          </w:p>
        </w:tc>
        <w:tc>
          <w:tcPr>
            <w:tcW w:w="1560" w:type="dxa"/>
            <w:vAlign w:val="bottom"/>
          </w:tcPr>
          <w:p>
            <w:pPr>
              <w:jc w:val="right"/>
              <w:spacing w:after="0"/>
              <w:rPr>
                <w:sz w:val="20"/>
                <w:szCs w:val="20"/>
                <w:color w:val="auto"/>
              </w:rPr>
            </w:pPr>
            <w:r>
              <w:rPr>
                <w:rFonts w:ascii="Arial" w:cs="Arial" w:eastAsia="Arial" w:hAnsi="Arial"/>
                <w:sz w:val="18"/>
                <w:szCs w:val="18"/>
                <w:color w:val="auto"/>
              </w:rPr>
              <w:t>12,904,466</w:t>
            </w:r>
          </w:p>
        </w:tc>
        <w:tc>
          <w:tcPr>
            <w:tcW w:w="360" w:type="dxa"/>
            <w:vAlign w:val="bottom"/>
          </w:tcPr>
          <w:p>
            <w:pPr>
              <w:spacing w:after="0"/>
              <w:rPr>
                <w:sz w:val="18"/>
                <w:szCs w:val="18"/>
                <w:color w:val="auto"/>
              </w:rPr>
            </w:pPr>
          </w:p>
        </w:tc>
        <w:tc>
          <w:tcPr>
            <w:tcW w:w="6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Exercises</w:t>
            </w:r>
          </w:p>
        </w:tc>
        <w:tc>
          <w:tcPr>
            <w:tcW w:w="2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(5,179,245)</w:t>
            </w: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Cancellations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2,511,920</w:t>
            </w:r>
          </w:p>
        </w:tc>
        <w:tc>
          <w:tcPr>
            <w:tcW w:w="40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(2,511,920)</w:t>
            </w:r>
          </w:p>
        </w:tc>
        <w:tc>
          <w:tcPr>
            <w:tcW w:w="6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2005</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23,456,688</w:t>
            </w:r>
          </w:p>
        </w:tc>
        <w:tc>
          <w:tcPr>
            <w:tcW w:w="400" w:type="dxa"/>
            <w:vAlign w:val="bottom"/>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85,489,378</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gridSpan w:val="2"/>
            <w:vMerge w:val="restart"/>
          </w:tcPr>
          <w:p>
            <w:pPr>
              <w:ind w:left="140"/>
              <w:spacing w:after="0"/>
              <w:rPr>
                <w:sz w:val="20"/>
                <w:szCs w:val="20"/>
                <w:color w:val="auto"/>
              </w:rPr>
            </w:pPr>
            <w:r>
              <w:rPr>
                <w:rFonts w:ascii="Arial" w:cs="Arial" w:eastAsia="Arial" w:hAnsi="Arial"/>
                <w:sz w:val="18"/>
                <w:szCs w:val="18"/>
                <w:color w:val="auto"/>
              </w:rPr>
              <w:t>Grants</w:t>
            </w: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39.44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gridSpan w:val="2"/>
            <w:vMerge w:val="continue"/>
          </w:tcPr>
          <w:p>
            <w:pPr>
              <w:spacing w:after="0"/>
              <w:rPr>
                <w:sz w:val="17"/>
                <w:szCs w:val="17"/>
                <w:color w:val="auto"/>
              </w:rPr>
            </w:pPr>
          </w:p>
        </w:tc>
        <w:tc>
          <w:tcPr>
            <w:tcW w:w="2160" w:type="dxa"/>
            <w:vAlign w:val="bottom"/>
            <w:gridSpan w:val="2"/>
          </w:tcPr>
          <w:p>
            <w:pPr>
              <w:jc w:val="right"/>
              <w:ind w:right="340"/>
              <w:spacing w:after="0" w:line="205" w:lineRule="exact"/>
              <w:rPr>
                <w:sz w:val="20"/>
                <w:szCs w:val="20"/>
                <w:color w:val="auto"/>
              </w:rPr>
            </w:pPr>
            <w:r>
              <w:rPr>
                <w:rFonts w:ascii="Arial" w:cs="Arial" w:eastAsia="Arial" w:hAnsi="Arial"/>
                <w:sz w:val="18"/>
                <w:szCs w:val="18"/>
                <w:color w:val="auto"/>
              </w:rPr>
              <w:t>(8,022,217)</w:t>
            </w:r>
          </w:p>
        </w:tc>
        <w:tc>
          <w:tcPr>
            <w:tcW w:w="1560" w:type="dxa"/>
            <w:vAlign w:val="bottom"/>
          </w:tcPr>
          <w:p>
            <w:pPr>
              <w:jc w:val="right"/>
              <w:spacing w:after="0" w:line="205" w:lineRule="exact"/>
              <w:rPr>
                <w:sz w:val="20"/>
                <w:szCs w:val="20"/>
                <w:color w:val="auto"/>
              </w:rPr>
            </w:pPr>
            <w:r>
              <w:rPr>
                <w:rFonts w:ascii="Arial" w:cs="Arial" w:eastAsia="Arial" w:hAnsi="Arial"/>
                <w:sz w:val="18"/>
                <w:szCs w:val="18"/>
                <w:color w:val="auto"/>
              </w:rPr>
              <w:t>8,022,217</w:t>
            </w:r>
          </w:p>
        </w:tc>
        <w:tc>
          <w:tcPr>
            <w:tcW w:w="3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Exercises</w:t>
            </w:r>
          </w:p>
        </w:tc>
        <w:tc>
          <w:tcPr>
            <w:tcW w:w="2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(1,758,848)</w:t>
            </w: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Cancellations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376,990</w:t>
            </w:r>
          </w:p>
        </w:tc>
        <w:tc>
          <w:tcPr>
            <w:tcW w:w="40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(376,990)</w:t>
            </w:r>
          </w:p>
        </w:tc>
        <w:tc>
          <w:tcPr>
            <w:tcW w:w="6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15,811,461</w:t>
            </w:r>
          </w:p>
        </w:tc>
        <w:tc>
          <w:tcPr>
            <w:tcW w:w="4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91,375,757(1)</w:t>
            </w: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280" w:right="360" w:hanging="390"/>
        <w:spacing w:after="0" w:line="265"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remaining contractual life of these outstanding options is 6.2 years. None of these options have dividend rights.</w:t>
      </w:r>
    </w:p>
    <w:p>
      <w:pPr>
        <w:spacing w:after="0" w:line="29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In-the-Money and Out-of-the-Money Option Information as of December 31, 2005</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2"/>
              </w:rPr>
              <w:t>Unexercisable</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3"/>
          </w:tcPr>
          <w:p>
            <w:pPr>
              <w:ind w:left="100"/>
              <w:spacing w:after="0" w:line="117" w:lineRule="exact"/>
              <w:rPr>
                <w:sz w:val="20"/>
                <w:szCs w:val="20"/>
                <w:color w:val="auto"/>
              </w:rPr>
            </w:pPr>
            <w:r>
              <w:rPr>
                <w:rFonts w:ascii="Arial" w:cs="Arial" w:eastAsia="Arial" w:hAnsi="Arial"/>
                <w:sz w:val="13"/>
                <w:szCs w:val="13"/>
                <w:b w:val="1"/>
                <w:bCs w:val="1"/>
                <w:color w:val="auto"/>
                <w:w w:val="96"/>
              </w:rPr>
              <w:t>Wtd. Avg.</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3"/>
          </w:tcPr>
          <w:p>
            <w:pPr>
              <w:ind w:left="60"/>
              <w:spacing w:after="0" w:line="117" w:lineRule="exact"/>
              <w:rPr>
                <w:sz w:val="20"/>
                <w:szCs w:val="20"/>
                <w:color w:val="auto"/>
              </w:rPr>
            </w:pPr>
            <w:r>
              <w:rPr>
                <w:rFonts w:ascii="Arial" w:cs="Arial" w:eastAsia="Arial" w:hAnsi="Arial"/>
                <w:sz w:val="13"/>
                <w:szCs w:val="13"/>
                <w:b w:val="1"/>
                <w:bCs w:val="1"/>
                <w:color w:val="auto"/>
                <w:w w:val="96"/>
              </w:rPr>
              <w:t>Wtd. Avg.</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ind w:left="280"/>
              <w:spacing w:after="0" w:line="117" w:lineRule="exact"/>
              <w:rPr>
                <w:sz w:val="20"/>
                <w:szCs w:val="20"/>
                <w:color w:val="auto"/>
              </w:rPr>
            </w:pPr>
            <w:r>
              <w:rPr>
                <w:rFonts w:ascii="Arial" w:cs="Arial" w:eastAsia="Arial" w:hAnsi="Arial"/>
                <w:sz w:val="13"/>
                <w:szCs w:val="13"/>
                <w:b w:val="1"/>
                <w:bCs w:val="1"/>
                <w:color w:val="auto"/>
                <w:w w:val="96"/>
              </w:rPr>
              <w:t>Wtd. Avg.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40"/>
              <w:spacing w:after="0" w:line="146" w:lineRule="exact"/>
              <w:rPr>
                <w:sz w:val="20"/>
                <w:szCs w:val="20"/>
                <w:color w:val="auto"/>
              </w:rPr>
            </w:pPr>
            <w:r>
              <w:rPr>
                <w:rFonts w:ascii="Arial" w:cs="Arial" w:eastAsia="Arial" w:hAnsi="Arial"/>
                <w:sz w:val="14"/>
                <w:szCs w:val="14"/>
                <w:b w:val="1"/>
                <w:bCs w:val="1"/>
                <w:color w:val="auto"/>
              </w:rPr>
              <w:t>Exercise</w:t>
            </w:r>
          </w:p>
        </w:tc>
        <w:tc>
          <w:tcPr>
            <w:tcW w:w="8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40"/>
              <w:spacing w:after="0" w:line="146" w:lineRule="exact"/>
              <w:rPr>
                <w:sz w:val="20"/>
                <w:szCs w:val="20"/>
                <w:color w:val="auto"/>
              </w:rPr>
            </w:pPr>
            <w:r>
              <w:rPr>
                <w:rFonts w:ascii="Arial" w:cs="Arial" w:eastAsia="Arial" w:hAnsi="Arial"/>
                <w:sz w:val="14"/>
                <w:szCs w:val="14"/>
                <w:b w:val="1"/>
                <w:bCs w:val="1"/>
                <w:color w:val="auto"/>
              </w:rPr>
              <w:t>Exercise</w:t>
            </w: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80" w:type="dxa"/>
            <w:vAlign w:val="bottom"/>
            <w:gridSpan w:val="3"/>
          </w:tcPr>
          <w:p>
            <w:pPr>
              <w:ind w:left="40"/>
              <w:spacing w:after="0" w:line="146"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In-the-Money</w:t>
            </w:r>
          </w:p>
        </w:tc>
        <w:tc>
          <w:tcPr>
            <w:tcW w:w="8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7"/>
              </w:rPr>
              <w:t>26,035,458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6,898,936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7"/>
              </w:rPr>
              <w:t>32,934,394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Out-of-the-Money(1)</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87"/>
              </w:rPr>
              <w:t>37,360,542</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43.67</w:t>
            </w:r>
          </w:p>
        </w:tc>
        <w:tc>
          <w:tcPr>
            <w:tcW w:w="2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21,080,821</w:t>
            </w:r>
          </w:p>
        </w:tc>
        <w:tc>
          <w:tcPr>
            <w:tcW w:w="280" w:type="dxa"/>
            <w:vAlign w:val="bottom"/>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7"/>
                <w:szCs w:val="17"/>
                <w:color w:val="auto"/>
              </w:rPr>
            </w:pP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38.81</w:t>
            </w:r>
          </w:p>
        </w:tc>
        <w:tc>
          <w:tcPr>
            <w:tcW w:w="280" w:type="dxa"/>
            <w:vAlign w:val="bottom"/>
          </w:tcPr>
          <w:p>
            <w:pPr>
              <w:spacing w:after="0"/>
              <w:rPr>
                <w:sz w:val="17"/>
                <w:szCs w:val="17"/>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7"/>
              </w:rPr>
              <w:t>58,441,363</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4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41.92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Options Outstanding</w:t>
            </w:r>
          </w:p>
        </w:tc>
        <w:tc>
          <w:tcPr>
            <w:tcW w:w="8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7"/>
              </w:rPr>
              <w:t>63,396,000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27,979,757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7"/>
              </w:rPr>
              <w:t>91,375,757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33.68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hanging="309"/>
        <w:spacing w:after="0" w:line="265"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December 30, 2005 ($35.87).</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Description of the 2006 Plan</w:t>
      </w:r>
    </w:p>
    <w:p>
      <w:pPr>
        <w:spacing w:after="0" w:line="130" w:lineRule="exact"/>
        <w:rPr>
          <w:sz w:val="20"/>
          <w:szCs w:val="20"/>
          <w:color w:val="auto"/>
        </w:rPr>
      </w:pPr>
    </w:p>
    <w:p>
      <w:pPr>
        <w:ind w:left="700" w:right="340" w:firstLine="397"/>
        <w:spacing w:after="0" w:line="265" w:lineRule="auto"/>
        <w:rPr>
          <w:sz w:val="20"/>
          <w:szCs w:val="20"/>
          <w:color w:val="auto"/>
        </w:rPr>
      </w:pPr>
      <w:r>
        <w:rPr>
          <w:rFonts w:ascii="Arial" w:cs="Arial" w:eastAsia="Arial" w:hAnsi="Arial"/>
          <w:sz w:val="18"/>
          <w:szCs w:val="18"/>
          <w:color w:val="auto"/>
        </w:rPr>
        <w:t xml:space="preserve">The following summary is qualified in its entirety by reference to the 2006 Plan, a copy of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 Available for Awards</w:t>
      </w:r>
    </w:p>
    <w:p>
      <w:pPr>
        <w:spacing w:after="0" w:line="124" w:lineRule="exact"/>
        <w:rPr>
          <w:sz w:val="20"/>
          <w:szCs w:val="20"/>
          <w:color w:val="auto"/>
        </w:rPr>
      </w:pPr>
    </w:p>
    <w:p>
      <w:pPr>
        <w:ind w:left="700" w:right="80" w:firstLine="397"/>
        <w:spacing w:after="0" w:line="305" w:lineRule="auto"/>
        <w:rPr>
          <w:sz w:val="20"/>
          <w:szCs w:val="20"/>
          <w:color w:val="auto"/>
        </w:rPr>
      </w:pPr>
      <w:r>
        <w:rPr>
          <w:rFonts w:ascii="Arial" w:cs="Arial" w:eastAsia="Arial" w:hAnsi="Arial"/>
          <w:sz w:val="15"/>
          <w:szCs w:val="15"/>
          <w:color w:val="auto"/>
        </w:rPr>
        <w:t>We may issue up to 15,000,000 shares of our common stock pursuant to awards granted under the 2006 Plan. As of January 23, 2006, options to purchase 40,855,787 shares of common stock were outstanding under the 1998 Plan and an additional 11,051,653 shares were reserved for future option grants. Under the 2001 Plan, options to purchase 43,588,183 shares of common stock were outstanding and an additional 4,917,489 shares were reserved for future option grants. Upon approval of the 2006 Plan by our shareholders, these Prior Plans would terminate as of the date of such approval. All of the then outstanding options under the Prior Plans would remain in effect, but no additional option grants may be made under either the 1998 Plan or the 2001 Plan after approval of the 2006 Plan by our shareholders. Shares that are subject to outstanding options under the Prior Plans as of January 23, 2006 that subsequently terminate or expire may be added to the shares available for issuance under the 2006 Plan.</w:t>
      </w:r>
    </w:p>
    <w:p>
      <w:pPr>
        <w:spacing w:after="0" w:line="63" w:lineRule="exact"/>
        <w:rPr>
          <w:sz w:val="20"/>
          <w:szCs w:val="20"/>
          <w:color w:val="auto"/>
        </w:rPr>
      </w:pPr>
    </w:p>
    <w:p>
      <w:pPr>
        <w:jc w:val="both"/>
        <w:ind w:left="700" w:right="80" w:firstLine="397"/>
        <w:spacing w:after="0" w:line="252" w:lineRule="auto"/>
        <w:rPr>
          <w:sz w:val="20"/>
          <w:szCs w:val="20"/>
          <w:color w:val="auto"/>
        </w:rPr>
      </w:pPr>
      <w:r>
        <w:rPr>
          <w:rFonts w:ascii="Arial" w:cs="Arial" w:eastAsia="Arial" w:hAnsi="Arial"/>
          <w:sz w:val="18"/>
          <w:szCs w:val="18"/>
          <w:color w:val="auto"/>
        </w:rPr>
        <w:t>Any Full-Value Award will be counted as three shares for each one share subject to the Full-Value Award for purposes of determining the number of shares available for issuance under the 2006 Plan. Shares of our common stock tendered to the Company by a participant to exercise an award will not be added to the number of shares available for grant under the 2006 Plan. Shares of our common stock withheld or tendered to cover tax withholding</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40"/>
        <w:spacing w:after="0" w:line="265" w:lineRule="auto"/>
        <w:rPr>
          <w:sz w:val="20"/>
          <w:szCs w:val="20"/>
          <w:color w:val="auto"/>
        </w:rPr>
      </w:pPr>
      <w:r>
        <w:rPr>
          <w:rFonts w:ascii="Arial" w:cs="Arial" w:eastAsia="Arial" w:hAnsi="Arial"/>
          <w:sz w:val="18"/>
          <w:szCs w:val="18"/>
          <w:color w:val="auto"/>
        </w:rPr>
        <w:t>obligations with respect to an award, or not issued or delivered as a result of a net settlement of an outstanding stock appreciation right, will be treated as having been issued under the 2006 Plan.</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Eligibility to Receive Awards</w:t>
      </w:r>
    </w:p>
    <w:p>
      <w:pPr>
        <w:spacing w:after="0" w:line="124" w:lineRule="exact"/>
        <w:rPr>
          <w:sz w:val="20"/>
          <w:szCs w:val="20"/>
          <w:color w:val="auto"/>
        </w:rPr>
      </w:pPr>
    </w:p>
    <w:p>
      <w:pPr>
        <w:ind w:left="700" w:right="80" w:firstLine="397"/>
        <w:spacing w:after="0" w:line="366" w:lineRule="auto"/>
        <w:rPr>
          <w:sz w:val="20"/>
          <w:szCs w:val="20"/>
          <w:color w:val="auto"/>
        </w:rPr>
      </w:pPr>
      <w:r>
        <w:rPr>
          <w:rFonts w:ascii="Arial" w:cs="Arial" w:eastAsia="Arial" w:hAnsi="Arial"/>
          <w:sz w:val="15"/>
          <w:szCs w:val="15"/>
          <w:color w:val="auto"/>
        </w:rPr>
        <w:t>Employees, officers, directors, consultants and advisors of the Company and its subsidiaries are eligible to be granted awards under the 2006 Plan. Under present law, however, incentive stock options may only be granted to employees of the Company and its subsidiaries.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Types of Awards</w:t>
      </w:r>
    </w:p>
    <w:p>
      <w:pPr>
        <w:spacing w:after="0" w:line="12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2006 Plan provides for the grant of incentive stock options intended to qualify under Section 422 of the Internal Revenue Code of 1986, as amended (the “Code”), non-statutory stock options, stock appreciation rights, restricted stock, restricted stock units and other stock-based awards as described below.</w:t>
      </w:r>
    </w:p>
    <w:p>
      <w:pPr>
        <w:spacing w:after="0" w:line="96" w:lineRule="exact"/>
        <w:rPr>
          <w:sz w:val="20"/>
          <w:szCs w:val="20"/>
          <w:color w:val="auto"/>
        </w:rPr>
      </w:pPr>
    </w:p>
    <w:p>
      <w:pPr>
        <w:ind w:left="700" w:firstLine="397"/>
        <w:spacing w:after="0" w:line="296" w:lineRule="auto"/>
        <w:rPr>
          <w:sz w:val="20"/>
          <w:szCs w:val="20"/>
          <w:color w:val="auto"/>
        </w:rPr>
      </w:pPr>
      <w:r>
        <w:rPr>
          <w:rFonts w:ascii="Arial" w:cs="Arial" w:eastAsia="Arial" w:hAnsi="Arial"/>
          <w:sz w:val="15"/>
          <w:szCs w:val="15"/>
          <w:i w:val="1"/>
          <w:iCs w:val="1"/>
          <w:color w:val="auto"/>
        </w:rPr>
        <w:t xml:space="preserve">Incentive Stock Options and Non-statutory Stock Options. </w:t>
      </w:r>
      <w:r>
        <w:rPr>
          <w:rFonts w:ascii="Arial" w:cs="Arial" w:eastAsia="Arial" w:hAnsi="Arial"/>
          <w:sz w:val="15"/>
          <w:szCs w:val="15"/>
          <w:color w:val="auto"/>
        </w:rPr>
        <w:t>Optionees receive the right to purchase a specified number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at a specified option price and subject to such other terms and conditions as are specified in connection with the option grant. Options will be granted at an exercise price that may not be less than 100% of the fair market value (as determined by or in the manner approved by our Board) of our common stock on the date of grant. In addition, under present law, incentive stock options and options intended to qualify as performance-based compensation under Section 162(m) of the Code may not be granted at an exercise price that is less than 110% of the fair market value of our common stock to optionees holding more than 10% of the voting power of Analog Devices. Unless approved by our shareholders, we may not reprice outstanding options granted under the 2006 Plan to reduce the exercise price of those options, whether by amendment (except for adjustments due to stock splits and other similar events in our capitalization) or by cancellation or replacement. The 2006 Plan provides that no option granted under the 2006 Plan may have a provision entitling the optionee to an automatic grant of additional options in connection with the original option grant. In addition, options may not be granted for a term in excess of ten years. The 2006 Plan permits the following forms of payment of the exercise price of options: (i) payment by cash or check,</w:t>
      </w:r>
    </w:p>
    <w:p>
      <w:pPr>
        <w:spacing w:after="0" w:line="5" w:lineRule="exact"/>
        <w:rPr>
          <w:sz w:val="20"/>
          <w:szCs w:val="20"/>
          <w:color w:val="auto"/>
        </w:rPr>
      </w:pPr>
    </w:p>
    <w:p>
      <w:pPr>
        <w:ind w:left="700" w:right="20" w:hanging="9"/>
        <w:spacing w:after="0" w:line="295"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except as may be otherwise provided in the option agreement, in connection with a “cashless exercise” through a broker, (iii) except as may otherwise be provided in the option agreement, subject to certain conditions, surrender to the Company of shares of our common stock,</w:t>
      </w:r>
    </w:p>
    <w:p>
      <w:pPr>
        <w:ind w:left="700" w:right="380" w:hanging="9"/>
        <w:spacing w:after="0" w:line="251" w:lineRule="auto"/>
        <w:tabs>
          <w:tab w:leader="none" w:pos="9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provided in the option agreement or approved by the Company, any other lawful means or (v) any combination of these forms of payment.</w:t>
      </w:r>
    </w:p>
    <w:p>
      <w:pPr>
        <w:spacing w:after="0" w:line="99"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entitle recipients to acquire shares of our common stock, subject to our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all or part of such shares from the recipient (or to require forfeiture of the shares if issued at no cost to the recipient) in the event that the conditions specified in the applicable award are not satisfied prior to the end of the applicable restriction period established for such award.</w:t>
      </w:r>
    </w:p>
    <w:p>
      <w:pPr>
        <w:spacing w:after="0" w:line="99"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 awards entitle the recipient to receive shares of our common stock or an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cash equal to the fair market value of shares of our common stock (as specified by our Board in the applicable award agreement or otherwise) to be delivered at the time such shares vest or restrictions on such shares lapse pursuant to the terms and conditions established by our Board. Our Board may provide in its discretion that settlement of a restricted stock unit will be deferred, either on a mandatory basis or at the election of the recipient. Restricted stock units do not grant the holder any voting rights nor do they provide for dividend equivalent rights unless otherwise provided by our Board.</w:t>
      </w:r>
    </w:p>
    <w:p>
      <w:pPr>
        <w:spacing w:after="0" w:line="87"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 stock appreciation right, or SAR, is an award entitling the holder, upon exercise, to receive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common stock or cash or a combination thereof (as specified by our Board in the applicable award agreement or otherwise) determined in whole or in part by reference to appreciation, from and after the date of grant, in the fair market value of a share of our common stock. SARs may be granted independently or in tandem with options granted under the 2006 Plan. When an SAR is granted in tandem with an option, the SAR will be exercisable only at such time or times, and to the extent, that the related option is exercisable (except to the extent designated by our Board). The 2006 Plan provides that the grant price or exercise price of an SAR may not be less than 100% of the fair market value per share of our common stock on the grant and that SARs granted under the 2006 Plan may not have a term in excess of ten years.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firstLine="397"/>
        <w:spacing w:after="0" w:line="309" w:lineRule="auto"/>
        <w:rPr>
          <w:sz w:val="20"/>
          <w:szCs w:val="20"/>
          <w:color w:val="auto"/>
        </w:rPr>
      </w:pPr>
      <w:r>
        <w:rPr>
          <w:rFonts w:ascii="Arial" w:cs="Arial" w:eastAsia="Arial" w:hAnsi="Arial"/>
          <w:sz w:val="15"/>
          <w:szCs w:val="15"/>
          <w:i w:val="1"/>
          <w:iCs w:val="1"/>
          <w:color w:val="auto"/>
        </w:rPr>
        <w:t xml:space="preserve">Other Stock-Based Awards. </w:t>
      </w:r>
      <w:r>
        <w:rPr>
          <w:rFonts w:ascii="Arial" w:cs="Arial" w:eastAsia="Arial" w:hAnsi="Arial"/>
          <w:sz w:val="15"/>
          <w:szCs w:val="15"/>
          <w:color w:val="auto"/>
        </w:rPr>
        <w:t>Under the 2006 Plan, our Board has the right to grant other awards based upon our common stock having</w:t>
      </w:r>
      <w:r>
        <w:rPr>
          <w:rFonts w:ascii="Arial" w:cs="Arial" w:eastAsia="Arial" w:hAnsi="Arial"/>
          <w:sz w:val="15"/>
          <w:szCs w:val="15"/>
          <w:i w:val="1"/>
          <w:iCs w:val="1"/>
          <w:color w:val="auto"/>
        </w:rPr>
        <w:t xml:space="preserve"> </w:t>
      </w:r>
      <w:r>
        <w:rPr>
          <w:rFonts w:ascii="Arial" w:cs="Arial" w:eastAsia="Arial" w:hAnsi="Arial"/>
          <w:sz w:val="15"/>
          <w:szCs w:val="15"/>
          <w:color w:val="auto"/>
        </w:rPr>
        <w:t>such terms and conditions as our Board may determine. These awards may include the grant of shares based upon certain conditions, the grant of awards that are valued in whole or in part by reference to, or otherwise based on, shares of our common stock, and the grant of awards entitling recipients to receive shares of our common stock to be delivered in the future. Our Board will determine the terms and conditions of other stock-based awards, including any applicable purchase price. These awards will be available as a form of payment in the settlement of other awards granted under the 2006 Plan or as payment in lieu of compensation to which a participant is entitled.</w:t>
      </w:r>
    </w:p>
    <w:p>
      <w:pPr>
        <w:spacing w:after="0" w:line="60"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5"/>
          <w:szCs w:val="15"/>
          <w:i w:val="1"/>
          <w:iCs w:val="1"/>
          <w:color w:val="auto"/>
        </w:rPr>
        <w:t xml:space="preserve">Performance Conditions. </w:t>
      </w:r>
      <w:r>
        <w:rPr>
          <w:rFonts w:ascii="Arial" w:cs="Arial" w:eastAsia="Arial" w:hAnsi="Arial"/>
          <w:sz w:val="15"/>
          <w:szCs w:val="15"/>
          <w:color w:val="auto"/>
        </w:rPr>
        <w:t>Our Compensation Committee, or any successor committee, for as long as all of its members are “outside</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within the meaning of Section 162(m) of the Internal Revenue Code, is authorized to determine, at the time of grant, that a restricted stock award, restricted stock unit award or other stock-based award granted to an officer will vest solely upon the achievement of specified performance criteria designed to qualify for deduction under Section 162(m) of the Internal Revenue Code. The performance criteria for each such award will be based on one or more of the following measures: (a) net income, (b) earnings before or after discontinued operations, interest, taxes, depreciation and/or amortization, (c) operating profit before or after discontinued operations and/or taxes, (d) sales, (e) sales growth, (f) earnings growth, (g) cash flow, free cash flow or cash position, (h) gross margins or margin percentages, (i) stock price, (j) market share, (k) return on sales, assets, equity or investment, (l) improvement of financial ratings,</w:t>
      </w:r>
    </w:p>
    <w:p>
      <w:pPr>
        <w:spacing w:after="0" w:line="1" w:lineRule="exact"/>
        <w:rPr>
          <w:sz w:val="20"/>
          <w:szCs w:val="20"/>
          <w:color w:val="auto"/>
        </w:rPr>
      </w:pPr>
    </w:p>
    <w:p>
      <w:pPr>
        <w:ind w:left="700" w:right="80" w:hanging="9"/>
        <w:spacing w:after="0" w:line="295" w:lineRule="auto"/>
        <w:tabs>
          <w:tab w:leader="none" w:pos="999" w:val="left"/>
        </w:tabs>
        <w:numPr>
          <w:ilvl w:val="0"/>
          <w:numId w:val="37"/>
        </w:numPr>
        <w:rPr>
          <w:rFonts w:ascii="Arial" w:cs="Arial" w:eastAsia="Arial" w:hAnsi="Arial"/>
          <w:sz w:val="15"/>
          <w:szCs w:val="15"/>
          <w:color w:val="auto"/>
        </w:rPr>
      </w:pPr>
      <w:r>
        <w:rPr>
          <w:rFonts w:ascii="Arial" w:cs="Arial" w:eastAsia="Arial" w:hAnsi="Arial"/>
          <w:sz w:val="15"/>
          <w:szCs w:val="15"/>
          <w:color w:val="auto"/>
        </w:rPr>
        <w:t>achievement of balance sheet or income statement objectives, (n) total shareholder return, (o) product release schedules, (p) product shipment targets, (q) customer satisfaction or (r) new product innovation. These performance measures may be absolute in their terms or measured against or in relationship to other companies comparably, similarly or otherwise situated and may be determined on a total or per share basis. Such performance goals may be adjusted to exclude any one or more of (i) extraordinary items, (ii) gains or losses on the dispositions of discontinued operations, (iii) the cumulative effects of changes in accounting principles, (iv) the write-down of any asset,</w:t>
      </w:r>
    </w:p>
    <w:p>
      <w:pPr>
        <w:ind w:left="700" w:right="120" w:hanging="9"/>
        <w:spacing w:after="0" w:line="247" w:lineRule="auto"/>
        <w:tabs>
          <w:tab w:leader="none" w:pos="9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 and (vi) charges for restructuring and rationalization programs. Such performance goals: (x) may vary by participant and may be different for different awards; (y) may be particular to a participant or the department, branch, line of business, subsidiary or other unit in which the participant works and may cover such period as may be specified by our Compensation Committee; and (z) will be set by the Compensation Committee within the time period prescribed by, and will otherwise comply with the requirements of, Section 162(m) of the Internal Revenue Code.</w:t>
      </w:r>
    </w:p>
    <w:p>
      <w:pPr>
        <w:spacing w:after="0" w:line="104" w:lineRule="exact"/>
        <w:rPr>
          <w:sz w:val="20"/>
          <w:szCs w:val="20"/>
          <w:color w:val="auto"/>
        </w:rPr>
      </w:pPr>
    </w:p>
    <w:p>
      <w:pPr>
        <w:ind w:left="700" w:right="380" w:firstLine="397"/>
        <w:spacing w:after="0" w:line="294" w:lineRule="auto"/>
        <w:rPr>
          <w:sz w:val="20"/>
          <w:szCs w:val="20"/>
          <w:color w:val="auto"/>
        </w:rPr>
      </w:pPr>
      <w:r>
        <w:rPr>
          <w:rFonts w:ascii="Arial" w:cs="Arial" w:eastAsia="Arial" w:hAnsi="Arial"/>
          <w:sz w:val="17"/>
          <w:szCs w:val="17"/>
          <w:color w:val="auto"/>
        </w:rPr>
        <w:t>The Company believes that disclosure of any further details concerning the performance measures for any particular year may be confidential commercial or business information, the disclosure of which would adversely affect the Company.</w:t>
      </w:r>
    </w:p>
    <w:p>
      <w:pPr>
        <w:spacing w:after="0" w:line="65" w:lineRule="exact"/>
        <w:rPr>
          <w:sz w:val="20"/>
          <w:szCs w:val="20"/>
          <w:color w:val="auto"/>
        </w:rPr>
      </w:pPr>
    </w:p>
    <w:p>
      <w:pPr>
        <w:ind w:left="700" w:right="220" w:firstLine="397"/>
        <w:spacing w:after="0" w:line="252" w:lineRule="auto"/>
        <w:rPr>
          <w:sz w:val="20"/>
          <w:szCs w:val="20"/>
          <w:color w:val="auto"/>
        </w:rPr>
      </w:pPr>
      <w:r>
        <w:rPr>
          <w:rFonts w:ascii="Arial" w:cs="Arial" w:eastAsia="Arial" w:hAnsi="Arial"/>
          <w:sz w:val="18"/>
          <w:szCs w:val="18"/>
          <w:color w:val="auto"/>
        </w:rPr>
        <w:t>With respect to any performance award that is intended to qualify as performance-based compensation under Section 162(m) of the Internal Revenue Code, the Compensation Committee may adjust downwards, but not upwards, the cash or number of shares payable pursuant to such award, and the Compensation Committee may not waive the achievement of the applicable performance goals except in the case of the death or disability of the participant.</w:t>
      </w:r>
    </w:p>
    <w:p>
      <w:pPr>
        <w:spacing w:after="0" w:line="99"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i w:val="1"/>
          <w:iCs w:val="1"/>
          <w:color w:val="auto"/>
        </w:rPr>
        <w:t xml:space="preserve">Vesting of Awards. </w:t>
      </w:r>
      <w:r>
        <w:rPr>
          <w:rFonts w:ascii="Arial" w:cs="Arial" w:eastAsia="Arial" w:hAnsi="Arial"/>
          <w:sz w:val="18"/>
          <w:szCs w:val="18"/>
          <w:color w:val="auto"/>
        </w:rPr>
        <w:t>Except in the event of death, disability or retirement of the award recipient to the extent specified in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any restricted stock award, restricted stock unit award or other stock-based award with a vesting condition that is based on continued employment or the passage of time, must vest in full at a rate not less than pro rata installments over three years from the grant date of the award. In addition, any restricted stock award, restricted stock unit award or other stock-based award with a vesting condition that is based on performance criteria and level of achievement compared to such performance criteria must be based on performance over a period of not less than 12 months.</w:t>
      </w:r>
    </w:p>
    <w:p>
      <w:pPr>
        <w:spacing w:after="0" w:line="104"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i w:val="1"/>
          <w:iCs w:val="1"/>
          <w:color w:val="auto"/>
        </w:rPr>
        <w:t xml:space="preserve">Grant Limitations. </w:t>
      </w:r>
      <w:r>
        <w:rPr>
          <w:rFonts w:ascii="Arial" w:cs="Arial" w:eastAsia="Arial" w:hAnsi="Arial"/>
          <w:sz w:val="17"/>
          <w:szCs w:val="17"/>
          <w:color w:val="auto"/>
        </w:rPr>
        <w:t>The maximum number of shares with respect to which options and SARs may be granted to any participant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2006 Plan may not exceed 2,000,000 shares per fiscal year. The maximum number of shares with respect to which restricted stock awards, restricted stock units and other stock-based awards may be granted to any participant under the 2006 Plan may not exceed 1,000,000 shares per fiscal year. For purposes of these limits, the combination of an option in tandem with an SAR is treated as a single award. In general, an option or SAR will be counted against the limit as one share.</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Transferability of Awards</w:t>
      </w:r>
    </w:p>
    <w:p>
      <w:pPr>
        <w:spacing w:after="0" w:line="124" w:lineRule="exact"/>
        <w:rPr>
          <w:sz w:val="20"/>
          <w:szCs w:val="20"/>
          <w:color w:val="auto"/>
        </w:rPr>
      </w:pPr>
    </w:p>
    <w:p>
      <w:pPr>
        <w:ind w:left="700" w:right="180" w:firstLine="397"/>
        <w:spacing w:after="0" w:line="252" w:lineRule="auto"/>
        <w:rPr>
          <w:sz w:val="20"/>
          <w:szCs w:val="20"/>
          <w:color w:val="auto"/>
        </w:rPr>
      </w:pPr>
      <w:r>
        <w:rPr>
          <w:rFonts w:ascii="Arial" w:cs="Arial" w:eastAsia="Arial" w:hAnsi="Arial"/>
          <w:sz w:val="18"/>
          <w:szCs w:val="18"/>
          <w:color w:val="auto"/>
        </w:rPr>
        <w:t>Awards may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except that our Board may permit gratuitous transfers to certain immediate family members.</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Plan Benefits</w:t>
      </w:r>
    </w:p>
    <w:p>
      <w:pPr>
        <w:spacing w:after="0" w:line="124" w:lineRule="exact"/>
        <w:rPr>
          <w:sz w:val="20"/>
          <w:szCs w:val="20"/>
          <w:color w:val="auto"/>
        </w:rPr>
      </w:pPr>
    </w:p>
    <w:p>
      <w:pPr>
        <w:ind w:left="700" w:right="180" w:firstLine="397"/>
        <w:spacing w:after="0" w:line="330" w:lineRule="auto"/>
        <w:rPr>
          <w:sz w:val="20"/>
          <w:szCs w:val="20"/>
          <w:color w:val="auto"/>
        </w:rPr>
      </w:pPr>
      <w:r>
        <w:rPr>
          <w:rFonts w:ascii="Arial" w:cs="Arial" w:eastAsia="Arial" w:hAnsi="Arial"/>
          <w:sz w:val="15"/>
          <w:szCs w:val="15"/>
          <w:color w:val="auto"/>
        </w:rPr>
        <w:t>As of January 23, 2006, approximately 8,800 persons were eligible to receive awards under the 2006 Plan, including the Company’s eleven executive officers and eight non-employee directors. The granting of awards under the 2006 Plan is discretionary, and we cannot now determine the number or type of awards to be granted in the future to any particular person or group.</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January 23, 2006, the last reported sale price of Analog Devices’ common stock on NYSE was $37.87 per share.</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Administration</w:t>
      </w:r>
    </w:p>
    <w:p>
      <w:pPr>
        <w:spacing w:after="0" w:line="124" w:lineRule="exact"/>
        <w:rPr>
          <w:sz w:val="20"/>
          <w:szCs w:val="20"/>
          <w:color w:val="auto"/>
        </w:rPr>
      </w:pPr>
    </w:p>
    <w:p>
      <w:pPr>
        <w:ind w:left="700" w:right="100" w:firstLine="397"/>
        <w:spacing w:after="0" w:line="309" w:lineRule="auto"/>
        <w:rPr>
          <w:sz w:val="20"/>
          <w:szCs w:val="20"/>
          <w:color w:val="auto"/>
        </w:rPr>
      </w:pPr>
      <w:r>
        <w:rPr>
          <w:rFonts w:ascii="Arial" w:cs="Arial" w:eastAsia="Arial" w:hAnsi="Arial"/>
          <w:sz w:val="15"/>
          <w:szCs w:val="15"/>
          <w:color w:val="auto"/>
        </w:rPr>
        <w:t>Our Board administers the 2006 Plan. Our Board is authorized to adopt, amend and repeal the administrative rules, guidelines and practices relating to the 2006 Plan and to interpret the provisions of the 2006 Plan. Pursuant to the terms of the 2006 Plan, our Board may delegate authority under the 2006 Plan to one or more committees or subcommittees of our Board. Our Board has authorized the Compensation Committee to administer certain aspects of the 2006 Plan, including the granting of options to executive officers. Unless the context requires otherwise, all references in this summary to our Board are intended to include any committee of the Company’s Board of Directors to which authority has been delegated by the Company’s Board of Directors pursuant to the 2006 Plan.</w:t>
      </w:r>
    </w:p>
    <w:p>
      <w:pPr>
        <w:spacing w:after="0" w:line="60" w:lineRule="exact"/>
        <w:rPr>
          <w:sz w:val="20"/>
          <w:szCs w:val="20"/>
          <w:color w:val="auto"/>
        </w:rPr>
      </w:pPr>
    </w:p>
    <w:p>
      <w:pPr>
        <w:ind w:left="700" w:right="80" w:firstLine="397"/>
        <w:spacing w:after="0" w:line="249" w:lineRule="auto"/>
        <w:rPr>
          <w:sz w:val="20"/>
          <w:szCs w:val="20"/>
          <w:color w:val="auto"/>
        </w:rPr>
      </w:pPr>
      <w:r>
        <w:rPr>
          <w:rFonts w:ascii="Arial" w:cs="Arial" w:eastAsia="Arial" w:hAnsi="Arial"/>
          <w:sz w:val="18"/>
          <w:szCs w:val="18"/>
          <w:color w:val="auto"/>
        </w:rPr>
        <w:t>Subject to any applicable limitations contained in the 2006 Plan, our Board selects the recipients of awards and determines (i) the number of shares of common stock covered by options and the dates upon which such options become exercisable, (ii) the exercise price of options (which may not be less than 100% of fair market value of our common stock), (iii) the duration of options (which may not exceed 10 years) and (iv) the number of shares of common stock subject to any SAR, restricted stock award, restricted stock unit award or other stock-based awards and the terms and conditions of such awards, including, if applicable, conditions for repurchase, issue price and repurchase price.</w:t>
      </w:r>
    </w:p>
    <w:p>
      <w:pPr>
        <w:spacing w:after="0" w:line="104" w:lineRule="exact"/>
        <w:rPr>
          <w:sz w:val="20"/>
          <w:szCs w:val="20"/>
          <w:color w:val="auto"/>
        </w:rPr>
      </w:pPr>
    </w:p>
    <w:p>
      <w:pPr>
        <w:jc w:val="both"/>
        <w:ind w:left="700" w:right="120" w:firstLine="397"/>
        <w:spacing w:after="0" w:line="255" w:lineRule="auto"/>
        <w:rPr>
          <w:sz w:val="20"/>
          <w:szCs w:val="20"/>
          <w:color w:val="auto"/>
        </w:rPr>
      </w:pPr>
      <w:r>
        <w:rPr>
          <w:rFonts w:ascii="Arial" w:cs="Arial" w:eastAsia="Arial" w:hAnsi="Arial"/>
          <w:sz w:val="18"/>
          <w:szCs w:val="18"/>
          <w:color w:val="auto"/>
        </w:rPr>
        <w:t>Our Board is required to make appropriate adjustments in connection with the 2006 Plan and any outstanding awards to reflect stock splits, stock dividends, recapitalizations, spin-offs and other similar changes in capitalization to the extent it determines such adjustment to be appropriate and necessary.</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Change of Control and Reorganization Events</w:t>
      </w:r>
    </w:p>
    <w:p>
      <w:pPr>
        <w:spacing w:after="0" w:line="124"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The 2006 Plan contains provisions addressing the consequences of any reorganization event or a change of control event. A reorganization event is defined under the 2006 Plan as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 A change in control event, as described in the 2006 Plan, includes (x) the acquisition by a group or individual of any capital stock of the Company if, after such acquisition, the group or individual beneficially owns 50% or more of either the then-outstanding shares of common stock of the Company or the combined voting power of the then-outstanding securities of the Company entitled to vote generally in the election of directors, (y) with certain exceptions set forth in the 2006 Plan, the consummation of a merger, consolidation, reorganization, recapitalization or share exchange involving the Company or a sale or other disposition of all or substantially all of the assets of the Company or (z) the liquidation or dissolution of the Company.</w:t>
      </w:r>
    </w:p>
    <w:p>
      <w:pPr>
        <w:spacing w:after="0" w:line="63"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8"/>
          <w:szCs w:val="18"/>
          <w:color w:val="auto"/>
        </w:rPr>
        <w:t>Under the 2006 Plan, if a reorganization event occurs, our Board is required to provide that all the outstanding options are assumed (as provided in the 2006 Plan) or equivalent options substituted, by the acquiring or succeeding</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60"/>
        <w:spacing w:after="0" w:line="269" w:lineRule="auto"/>
        <w:rPr>
          <w:sz w:val="20"/>
          <w:szCs w:val="20"/>
          <w:color w:val="auto"/>
        </w:rPr>
      </w:pPr>
      <w:r>
        <w:rPr>
          <w:rFonts w:ascii="Arial" w:cs="Arial" w:eastAsia="Arial" w:hAnsi="Arial"/>
          <w:sz w:val="17"/>
          <w:szCs w:val="17"/>
          <w:color w:val="auto"/>
        </w:rPr>
        <w:t>entity. If those options are assumed or replaced with substituted options, they would continue to vest in accordance with their original vesting schedules. The 2006 Plan provides that the repurchase and other rights of the Company under each outstanding restricted stock award and restricted stock unit award will inure to the benefit of the Company’s successor and will apply to the cash, securities or other property which the common stock of the Company was converted into or exchanged for pursuant to such reorganization event in the same manner as they applied to the original restricted stock award or restricted stock unit award.</w:t>
      </w:r>
    </w:p>
    <w:p>
      <w:pPr>
        <w:spacing w:after="0" w:line="85"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If the acquiring company does not assume such outstanding options under the 2006 Plan, or in the event of a dissolution or liquidation of the Company, upon written notice, our Board will provide that all unexercised options will become exercisable in full and will terminate immediately prior to the consummation of such reorganization event unless exercised within a specified period following the date of such notice. However, in the event of a reorganization event under which our common stock holders will receive a cash payment for each share surrendered in the reorganization event, our Board may instead provide that all outstanding options shall terminate immediately prior to the consummation of such reorganization event and that each participant shall receive a cash payment equal to the amount (if any) by which the cash payment for each share multiplied by the number of shares of common stock subject to such outstanding options exceeds the aggregate exercise price of such options.</w:t>
      </w:r>
    </w:p>
    <w:p>
      <w:pPr>
        <w:spacing w:after="0" w:line="90"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color w:val="auto"/>
        </w:rPr>
        <w:t>If the reorganization event also constitutes a change in control, or if there is a change in control event that does not constitute a reorganization event, except to the extent provided otherwise in an agreement with the optionee, one-half of the shares of common stock subject to the unvested options will become immediately exercisable and the remaining one-half of the unvested options will continue to vest in accordance with the original vesting schedules of such options. In addition, any remaining unvested options will become exercisable in full if, on or prior to the first anniversary of the change in control, the optionee’s employment with the Company is terminated without “cause” or for “good reason” (as those terms are defined in the 2006 Plan). Except to the extent provided otherwise in the instrument evidencing the restricted stock award or an agreement between the participant and the Company, one-half of the shares of restricted stock will become immediately free from conditions or restrictions and the remaining one-half of the number of shares or units will continue to become free from conditions or restrictions in accordance with the original vesting schedule. Any remaining restricted shares or units will become free from condition or restriction if, on or prior to the first anniversary of the change in control, the participant’s employment with the Company (or its successor) is terminated without “cause” or for “good reason” (as those terms are defined in the 2006 Plan).</w:t>
      </w:r>
    </w:p>
    <w:p>
      <w:pPr>
        <w:spacing w:after="0" w:line="65"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Our Board may specify in an award at the time of the grant the effect of a reorganization event and change in control event on any SAR or other stock unit award. Our Board may at any time provide that any award will become immediately exercisable in full or in part, free of some or all restrictions or conditions, or otherwise realizable in full or in part.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Substitute Options</w:t>
      </w:r>
    </w:p>
    <w:p>
      <w:pPr>
        <w:spacing w:after="0" w:line="124" w:lineRule="exact"/>
        <w:rPr>
          <w:sz w:val="20"/>
          <w:szCs w:val="20"/>
          <w:color w:val="auto"/>
        </w:rPr>
      </w:pPr>
    </w:p>
    <w:p>
      <w:pPr>
        <w:ind w:left="700" w:right="40" w:firstLine="397"/>
        <w:spacing w:after="0" w:line="318" w:lineRule="auto"/>
        <w:rPr>
          <w:sz w:val="20"/>
          <w:szCs w:val="20"/>
          <w:color w:val="auto"/>
        </w:rPr>
      </w:pPr>
      <w:r>
        <w:rPr>
          <w:rFonts w:ascii="Arial" w:cs="Arial" w:eastAsia="Arial" w:hAnsi="Arial"/>
          <w:sz w:val="15"/>
          <w:szCs w:val="15"/>
          <w:color w:val="auto"/>
        </w:rPr>
        <w:t>In connection with a merger or consolidation of or by the Company of property or stock, our Board may grant awards in substitution for any options or other stock or stock-based awards granted by such entity or its affiliates. Substitute awards may be granted on such terms as our Board deems appropriate in the circumstances, notwithstanding any limitations on awards contained in the 2006 Plan. Substitute options will not count against the 2006 Plan’s overall share limit, except as may be required by the Code.</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Provisions for Foreign Participants</w:t>
      </w:r>
    </w:p>
    <w:p>
      <w:pPr>
        <w:spacing w:after="0" w:line="12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Our Board may modify awards granted to participants who are foreign nationals or employed outside the United States or establish subplans or procedures under the 2006 Plan to recognize differences in laws, rules, regulations or customs of such foreign jurisdictions with respect to tax, securities, currency, employee benefit or other matters.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Amendment of Award</w:t>
      </w:r>
    </w:p>
    <w:p>
      <w:pPr>
        <w:spacing w:after="0" w:line="124" w:lineRule="exact"/>
        <w:rPr>
          <w:sz w:val="20"/>
          <w:szCs w:val="20"/>
          <w:color w:val="auto"/>
        </w:rPr>
      </w:pPr>
    </w:p>
    <w:p>
      <w:pPr>
        <w:ind w:left="700" w:right="360" w:firstLine="397"/>
        <w:spacing w:after="0" w:line="265" w:lineRule="auto"/>
        <w:rPr>
          <w:sz w:val="20"/>
          <w:szCs w:val="20"/>
          <w:color w:val="auto"/>
        </w:rPr>
      </w:pPr>
      <w:r>
        <w:rPr>
          <w:rFonts w:ascii="Arial" w:cs="Arial" w:eastAsia="Arial" w:hAnsi="Arial"/>
          <w:sz w:val="18"/>
          <w:szCs w:val="18"/>
          <w:color w:val="auto"/>
        </w:rPr>
        <w:t>Except with respect to repricing outstanding options or SARs, our Board may amend, modify or terminate any outstanding award provided that the participant’s consent to such action will be required unless our Board</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4"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determines that the action, taking into account any related action, would not materially and adversely affect the participant.</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Amendment or Termination</w:t>
      </w:r>
    </w:p>
    <w:p>
      <w:pPr>
        <w:spacing w:after="0" w:line="124" w:lineRule="exact"/>
        <w:rPr>
          <w:sz w:val="20"/>
          <w:szCs w:val="20"/>
          <w:color w:val="auto"/>
        </w:rPr>
      </w:pPr>
    </w:p>
    <w:p>
      <w:pPr>
        <w:ind w:left="700" w:right="200" w:firstLine="397"/>
        <w:spacing w:after="0" w:line="304" w:lineRule="auto"/>
        <w:rPr>
          <w:sz w:val="20"/>
          <w:szCs w:val="20"/>
          <w:color w:val="auto"/>
        </w:rPr>
      </w:pPr>
      <w:r>
        <w:rPr>
          <w:rFonts w:ascii="Arial" w:cs="Arial" w:eastAsia="Arial" w:hAnsi="Arial"/>
          <w:sz w:val="15"/>
          <w:szCs w:val="15"/>
          <w:color w:val="auto"/>
        </w:rPr>
        <w:t>No award may be made under the 2006 Plan after the tenth anniversary of the effective date of the 2006 Plan but awards previously granted may extend beyond that date. Our Board may at any time amend, suspend or terminate the 2006 Plan, without the approval of our shareholders, except as limited by the applicable rules of the New York Stock Exchange, and by Section 162(m) and 422 of the Internal Revenue Code. In addition, in the event the NYSE amends its corporate governance rules to no longer require shareholder approval of “material revisions” to equity compensation plans, then, from and after the effective date of such amendment to the NYSE rules, no amendment to the 2006 Plan that would (a) materially increase the number of shares authorized under the 2006 Plan (other than share increases resulting from adjustments for changes in our common stock and certain other events as provided in the 2006 Plan), (b) expand the types of awards that may be granted under the 2006 Plan or (c) materially expand the class of participants eligible to participate in the 2006 Plan will be effective unless shareholder approval is obtained.</w:t>
      </w:r>
    </w:p>
    <w:p>
      <w:pPr>
        <w:spacing w:after="0" w:line="62"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color w:val="auto"/>
        </w:rPr>
        <w:t>If the 2006 Plan is approved by our shareholders, it will become effective on the date of such approval. If shareholders do not approve the adoption of the 2006 Plan, the 2006 Plan will not go into effect, the Company will not grant any awards under the 2006 Plan, and the Prior Plans will not terminate. In such event, our Board will consider whether to adopt alternative arrangements based on its assessment of the needs of the Company.</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30" w:lineRule="exact"/>
        <w:rPr>
          <w:sz w:val="20"/>
          <w:szCs w:val="20"/>
          <w:color w:val="auto"/>
        </w:rPr>
      </w:pPr>
    </w:p>
    <w:p>
      <w:pPr>
        <w:ind w:left="700" w:right="80" w:firstLine="397"/>
        <w:spacing w:after="0" w:line="267" w:lineRule="auto"/>
        <w:rPr>
          <w:sz w:val="20"/>
          <w:szCs w:val="20"/>
          <w:color w:val="auto"/>
        </w:rPr>
      </w:pPr>
      <w:r>
        <w:rPr>
          <w:rFonts w:ascii="Arial" w:cs="Arial" w:eastAsia="Arial" w:hAnsi="Arial"/>
          <w:sz w:val="17"/>
          <w:szCs w:val="17"/>
          <w:color w:val="auto"/>
        </w:rPr>
        <w:t>The following summarizes the United States federal income tax consequences that generally will arise with respect to awards granted under the 2006 Plan. This summary is based on the federal tax laws in effect as of the date of this proxy statement. In addition, this summary assumes that all awards are exempt from, or comply with, the rules under Section 409A of the Code regarding nonqualified deferred compensation. The plan provides that no award will provide for deferral of compensation that does not comply with Section 409A of the Code, unless our Board, at the time of grant, specifically provides that the award is not intended to comply with Section 409A. Changes to these laws could alter the tax consequences described below.</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Incentive Stock Options</w:t>
      </w:r>
    </w:p>
    <w:p>
      <w:pPr>
        <w:spacing w:after="0" w:line="124"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5"/>
          <w:szCs w:val="15"/>
          <w:color w:val="auto"/>
        </w:rPr>
        <w:t>A participant will not have income upon the grant of an incentive stock option. Also, except as described below, a participant will not have income upon exercise of an incentive stock option if the participant has been employed by the Company or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59"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Non-statutory Stock Options</w:t>
      </w:r>
    </w:p>
    <w:p>
      <w:pPr>
        <w:spacing w:after="0" w:line="124"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A participant will not have income upon the grant of a non-statutory stock option. A participant will have compensation income upon the exercise of a non-statutory stock option equal to the value of the stock on the day the participant exercised the option less the exercise price. Upon sale of the stock, the participant will have capital gain</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line="294" w:lineRule="auto"/>
        <w:rPr>
          <w:sz w:val="20"/>
          <w:szCs w:val="20"/>
          <w:color w:val="auto"/>
        </w:rPr>
      </w:pPr>
      <w:r>
        <w:rPr>
          <w:rFonts w:ascii="Arial" w:cs="Arial" w:eastAsia="Arial" w:hAnsi="Arial"/>
          <w:sz w:val="17"/>
          <w:szCs w:val="17"/>
          <w:color w:val="auto"/>
        </w:rPr>
        <w:t>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 Appreciation Rights</w:t>
      </w:r>
    </w:p>
    <w:p>
      <w:pPr>
        <w:spacing w:after="0" w:line="124"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A participant will not have income upon the grant of a stock appreciation right. A participant generally will recognize compensation income upon the exercise of an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Restricted Stock Awards</w:t>
      </w:r>
    </w:p>
    <w:p>
      <w:pPr>
        <w:spacing w:after="0" w:line="124" w:lineRule="exact"/>
        <w:rPr>
          <w:sz w:val="20"/>
          <w:szCs w:val="20"/>
          <w:color w:val="auto"/>
        </w:rPr>
      </w:pPr>
    </w:p>
    <w:p>
      <w:pPr>
        <w:ind w:left="700" w:right="40" w:firstLine="397"/>
        <w:spacing w:after="0" w:line="307" w:lineRule="auto"/>
        <w:rPr>
          <w:sz w:val="20"/>
          <w:szCs w:val="20"/>
          <w:color w:val="auto"/>
        </w:rPr>
      </w:pPr>
      <w:r>
        <w:rPr>
          <w:rFonts w:ascii="Arial" w:cs="Arial" w:eastAsia="Arial" w:hAnsi="Arial"/>
          <w:sz w:val="15"/>
          <w:szCs w:val="15"/>
          <w:color w:val="auto"/>
        </w:rPr>
        <w:t>A participant will not have income upon the grant of restricted stock unless an election under Section 83(b) 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from the vesting date and otherwise will be short-term.</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Restricted Stock Units</w:t>
      </w:r>
    </w:p>
    <w:p>
      <w:pPr>
        <w:spacing w:after="0" w:line="124" w:lineRule="exact"/>
        <w:rPr>
          <w:sz w:val="20"/>
          <w:szCs w:val="20"/>
          <w:color w:val="auto"/>
        </w:rPr>
      </w:pPr>
    </w:p>
    <w:p>
      <w:pPr>
        <w:ind w:left="700" w:right="100" w:firstLine="397"/>
        <w:spacing w:after="0" w:line="267" w:lineRule="auto"/>
        <w:rPr>
          <w:sz w:val="20"/>
          <w:szCs w:val="20"/>
          <w:color w:val="auto"/>
        </w:rPr>
      </w:pPr>
      <w:r>
        <w:rPr>
          <w:rFonts w:ascii="Arial" w:cs="Arial" w:eastAsia="Arial" w:hAnsi="Arial"/>
          <w:sz w:val="17"/>
          <w:szCs w:val="17"/>
          <w:color w:val="auto"/>
        </w:rPr>
        <w:t>A participant will not have income upon the grant of a restricted stock unit. A participant is not permitted to make a Section 83(b) election with respect to a restricted stock unit award. When the restricted stock unit vests, the participant will have income on the vesting date to the extent the underlying stock or cash equivalent is delivered at that time in an amount equal to the amount of the cash and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Other Stock-Based Awards</w:t>
      </w:r>
    </w:p>
    <w:p>
      <w:pPr>
        <w:spacing w:after="0" w:line="124" w:lineRule="exact"/>
        <w:rPr>
          <w:sz w:val="20"/>
          <w:szCs w:val="20"/>
          <w:color w:val="auto"/>
        </w:rPr>
      </w:pPr>
    </w:p>
    <w:p>
      <w:pPr>
        <w:jc w:val="both"/>
        <w:ind w:left="700" w:right="140" w:firstLine="397"/>
        <w:spacing w:after="0" w:line="318" w:lineRule="auto"/>
        <w:rPr>
          <w:sz w:val="20"/>
          <w:szCs w:val="20"/>
          <w:color w:val="auto"/>
        </w:rPr>
      </w:pPr>
      <w:r>
        <w:rPr>
          <w:rFonts w:ascii="Arial" w:cs="Arial" w:eastAsia="Arial" w:hAnsi="Arial"/>
          <w:sz w:val="15"/>
          <w:szCs w:val="15"/>
          <w:color w:val="auto"/>
        </w:rPr>
        <w:t>The tax consequences associated with any other stock-based award granted under the 2006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Tax Consequences to Us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There will be no tax consequences to us except that we will be entitled to a deduction when a participant has compensation income.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such deduction will be subject to the limitations of Section 162(m) of the Code.</w:t>
      </w:r>
    </w:p>
    <w:p>
      <w:pPr>
        <w:spacing w:after="0" w:line="113" w:lineRule="exact"/>
        <w:rPr>
          <w:sz w:val="20"/>
          <w:szCs w:val="20"/>
          <w:color w:val="auto"/>
        </w:rPr>
      </w:pPr>
    </w:p>
    <w:p>
      <w:pPr>
        <w:ind w:left="700" w:right="240" w:firstLine="397"/>
        <w:spacing w:after="0" w:line="265" w:lineRule="auto"/>
        <w:rPr>
          <w:sz w:val="20"/>
          <w:szCs w:val="20"/>
          <w:color w:val="auto"/>
        </w:rPr>
      </w:pPr>
      <w:r>
        <w:rPr>
          <w:rFonts w:ascii="Arial" w:cs="Arial" w:eastAsia="Arial" w:hAnsi="Arial"/>
          <w:sz w:val="18"/>
          <w:szCs w:val="18"/>
          <w:b w:val="1"/>
          <w:bCs w:val="1"/>
          <w:i w:val="1"/>
          <w:iCs w:val="1"/>
          <w:color w:val="auto"/>
        </w:rPr>
        <w:t>Our Board of Directors believes that the approval of the 2006 Stock Incentive Plan is in the best interest of the Company and its shareholders and recommends that you vote FOR its approval.</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 — RATIFICATION OF SELECTION OF</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3" w:lineRule="exact"/>
        <w:rPr>
          <w:sz w:val="20"/>
          <w:szCs w:val="20"/>
          <w:color w:val="auto"/>
        </w:rPr>
      </w:pPr>
    </w:p>
    <w:p>
      <w:pPr>
        <w:ind w:left="700" w:right="20" w:firstLine="397"/>
        <w:spacing w:after="0" w:line="318" w:lineRule="auto"/>
        <w:rPr>
          <w:sz w:val="20"/>
          <w:szCs w:val="20"/>
          <w:color w:val="auto"/>
        </w:rPr>
      </w:pPr>
      <w:r>
        <w:rPr>
          <w:rFonts w:ascii="Arial" w:cs="Arial" w:eastAsia="Arial" w:hAnsi="Arial"/>
          <w:sz w:val="15"/>
          <w:szCs w:val="15"/>
          <w:color w:val="auto"/>
        </w:rPr>
        <w:t>Our Audit Committee has selected the firm of Ernst &amp; Young LLP, independent registered public accounting firm, as our auditors for the fiscal year ending October 28, 2006. Although shareholder approval of the selection of Ernst &amp; Young LLP is not required by law, our Board of Directors believes that it is advisable to give shareholders an opportunity to ratify this selection. If this proposal is not approved by our shareholders at the 2006 annual meeting, our Audit Committee will reconsider their selection of Ernst &amp; Young LLP.</w:t>
      </w:r>
    </w:p>
    <w:p>
      <w:pPr>
        <w:spacing w:after="0" w:line="54" w:lineRule="exact"/>
        <w:rPr>
          <w:sz w:val="20"/>
          <w:szCs w:val="20"/>
          <w:color w:val="auto"/>
        </w:rPr>
      </w:pPr>
    </w:p>
    <w:p>
      <w:pPr>
        <w:ind w:left="700" w:right="40" w:firstLine="397"/>
        <w:spacing w:after="0" w:line="294" w:lineRule="auto"/>
        <w:rPr>
          <w:sz w:val="20"/>
          <w:szCs w:val="20"/>
          <w:color w:val="auto"/>
        </w:rPr>
      </w:pPr>
      <w:r>
        <w:rPr>
          <w:rFonts w:ascii="Arial" w:cs="Arial" w:eastAsia="Arial" w:hAnsi="Arial"/>
          <w:sz w:val="17"/>
          <w:szCs w:val="17"/>
          <w:color w:val="auto"/>
        </w:rPr>
        <w:t>Representatives of Ernst &amp; Young LLP are expected to be present at the 2006 annual meeting. They will have the opportunity to make a statement if they desire to do so and will also be available to respond to appropriate questions from shareholders.</w:t>
      </w:r>
    </w:p>
    <w:p>
      <w:pPr>
        <w:spacing w:after="0" w:line="65" w:lineRule="exact"/>
        <w:rPr>
          <w:sz w:val="20"/>
          <w:szCs w:val="20"/>
          <w:color w:val="auto"/>
        </w:rPr>
      </w:pPr>
    </w:p>
    <w:p>
      <w:pPr>
        <w:ind w:left="700" w:right="80" w:firstLine="397"/>
        <w:spacing w:after="0" w:line="265"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2006 fiscal year.</w:t>
      </w:r>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4 — SHAREHOLDER PROPOSAL</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TO AMEND OUR GOVERNANCE DOCUMENTS</w:t>
      </w:r>
    </w:p>
    <w:p>
      <w:pPr>
        <w:spacing w:after="0" w:line="113" w:lineRule="exact"/>
        <w:rPr>
          <w:sz w:val="20"/>
          <w:szCs w:val="20"/>
          <w:color w:val="auto"/>
        </w:rPr>
      </w:pPr>
    </w:p>
    <w:p>
      <w:pPr>
        <w:ind w:left="700" w:right="60" w:firstLine="397"/>
        <w:spacing w:after="0" w:line="252" w:lineRule="auto"/>
        <w:rPr>
          <w:sz w:val="20"/>
          <w:szCs w:val="20"/>
          <w:color w:val="auto"/>
        </w:rPr>
      </w:pPr>
      <w:r>
        <w:rPr>
          <w:rFonts w:ascii="Arial" w:cs="Arial" w:eastAsia="Arial" w:hAnsi="Arial"/>
          <w:sz w:val="18"/>
          <w:szCs w:val="18"/>
          <w:color w:val="auto"/>
        </w:rPr>
        <w:t>The United Brotherhood of Carpenters Pension Fund, 101 Constitution Avenue, NW, Washington, D.C. 20001, has submitted the following proposal for inclusion in our proxy statement for our 2006 annual meeting of stockholders and has notified us of its intent to present this proposal for consideration at our 2006 annual meeting of shareholders. The Pension Fund has advised us that it is the beneficial owner of approximately 6,100 shares of Analog Devices Common Stock:</w:t>
      </w:r>
    </w:p>
    <w:p>
      <w:pPr>
        <w:spacing w:after="0" w:line="99" w:lineRule="exact"/>
        <w:rPr>
          <w:sz w:val="20"/>
          <w:szCs w:val="20"/>
          <w:color w:val="auto"/>
        </w:rPr>
      </w:pPr>
    </w:p>
    <w:p>
      <w:pPr>
        <w:jc w:val="both"/>
        <w:ind w:left="700" w:right="520" w:firstLine="397"/>
        <w:spacing w:after="0" w:line="330" w:lineRule="auto"/>
        <w:rPr>
          <w:sz w:val="20"/>
          <w:szCs w:val="20"/>
          <w:color w:val="auto"/>
        </w:rPr>
      </w:pPr>
      <w:r>
        <w:rPr>
          <w:rFonts w:ascii="Arial" w:cs="Arial" w:eastAsia="Arial" w:hAnsi="Arial"/>
          <w:sz w:val="15"/>
          <w:szCs w:val="15"/>
          <w:color w:val="auto"/>
        </w:rPr>
        <w:t>RESOLVED, that the shareholders of Analog Devices, Inc. (“Company”) hereby request that the Board of Directors initiate the appropriate process to amend the Company’s governance documents (certificate of incorporation or bylaws) to provide that director nominees shall be elected by the affirmative vote of the majority of votes cast at an annual meeting of shareholders.</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Union’s Supporting Statement</w:t>
      </w:r>
    </w:p>
    <w:p>
      <w:pPr>
        <w:spacing w:after="0" w:line="130" w:lineRule="exact"/>
        <w:rPr>
          <w:sz w:val="20"/>
          <w:szCs w:val="20"/>
          <w:color w:val="auto"/>
        </w:rPr>
      </w:pPr>
    </w:p>
    <w:p>
      <w:pPr>
        <w:ind w:left="700" w:right="100" w:firstLine="397"/>
        <w:spacing w:after="0" w:line="269" w:lineRule="auto"/>
        <w:rPr>
          <w:sz w:val="20"/>
          <w:szCs w:val="20"/>
          <w:color w:val="auto"/>
        </w:rPr>
      </w:pPr>
      <w:r>
        <w:rPr>
          <w:rFonts w:ascii="Arial" w:cs="Arial" w:eastAsia="Arial" w:hAnsi="Arial"/>
          <w:sz w:val="17"/>
          <w:szCs w:val="17"/>
          <w:color w:val="auto"/>
        </w:rPr>
        <w:t>Our Company is incorporated in Delaware. Delaware law provided that a company’s certificate of incorporation or bylaws may specify the number of votes that shall be necessary for the transaction of any business, including the election of directors. (DGCL, Title 8, Chapter 1, Subchapter VII, Section 216). The law provides that if the level of voting support necessary for a specific action is not specified in a corporation’s certificate or bylaws, directors “shall be elected by a plurality of the votes of the shares present in person or represented by proxy at the meeting and entitled to vote on the election of directors.”</w:t>
      </w:r>
    </w:p>
    <w:p>
      <w:pPr>
        <w:spacing w:after="0" w:line="8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Company presently uses the plurality vote standard to elect directors. This proposal requests that the Board initiate a change in the Company’s director election vote standard to provide that nominees for the board of directors must receive a majority of the vote cast in order to be elected or re-elected to the Board.</w:t>
      </w:r>
    </w:p>
    <w:p>
      <w:pPr>
        <w:spacing w:after="0" w:line="96" w:lineRule="exact"/>
        <w:rPr>
          <w:sz w:val="20"/>
          <w:szCs w:val="20"/>
          <w:color w:val="auto"/>
        </w:rPr>
      </w:pPr>
    </w:p>
    <w:p>
      <w:pPr>
        <w:ind w:left="700" w:right="200" w:firstLine="397"/>
        <w:spacing w:after="0" w:line="252" w:lineRule="auto"/>
        <w:rPr>
          <w:sz w:val="20"/>
          <w:szCs w:val="20"/>
          <w:color w:val="auto"/>
        </w:rPr>
      </w:pPr>
      <w:r>
        <w:rPr>
          <w:rFonts w:ascii="Arial" w:cs="Arial" w:eastAsia="Arial" w:hAnsi="Arial"/>
          <w:sz w:val="18"/>
          <w:szCs w:val="18"/>
          <w:color w:val="auto"/>
        </w:rPr>
        <w:t>We believe that a majority vote standard in director elections would give shareholders a meaningful role in the director election process. Under the Company’s current standard, a nominee in a director election can be elected with as little as a single affirmative vote, even if a substantial majority of the votes cast are “withheld” from that nominee. The majority vote standard would require that a director receive a majority of the vote cast in order to be elected to the Board.</w:t>
      </w:r>
    </w:p>
    <w:p>
      <w:pPr>
        <w:spacing w:after="0" w:line="99" w:lineRule="exact"/>
        <w:rPr>
          <w:sz w:val="20"/>
          <w:szCs w:val="20"/>
          <w:color w:val="auto"/>
        </w:rPr>
      </w:pPr>
    </w:p>
    <w:p>
      <w:pPr>
        <w:jc w:val="both"/>
        <w:ind w:left="700" w:right="120" w:firstLine="397"/>
        <w:spacing w:after="0" w:line="255" w:lineRule="auto"/>
        <w:rPr>
          <w:sz w:val="20"/>
          <w:szCs w:val="20"/>
          <w:color w:val="auto"/>
        </w:rPr>
      </w:pPr>
      <w:r>
        <w:rPr>
          <w:rFonts w:ascii="Arial" w:cs="Arial" w:eastAsia="Arial" w:hAnsi="Arial"/>
          <w:sz w:val="18"/>
          <w:szCs w:val="18"/>
          <w:color w:val="auto"/>
        </w:rPr>
        <w:t>The majority vote proposal received high levels of support last year, winning majority support at Advanced Micro Devices, Freeport McMoran, Marathon Oil, Marsh and McClennan, Office Depot, Raytheon, and others. Leading proxy advisory firms recommend voting in favor of the proposal.</w:t>
      </w:r>
    </w:p>
    <w:p>
      <w:pPr>
        <w:spacing w:after="0" w:line="96" w:lineRule="exact"/>
        <w:rPr>
          <w:sz w:val="20"/>
          <w:szCs w:val="20"/>
          <w:color w:val="auto"/>
        </w:rPr>
      </w:pPr>
    </w:p>
    <w:p>
      <w:pPr>
        <w:ind w:left="700" w:right="220" w:firstLine="397"/>
        <w:spacing w:after="0" w:line="255" w:lineRule="auto"/>
        <w:rPr>
          <w:sz w:val="20"/>
          <w:szCs w:val="20"/>
          <w:color w:val="auto"/>
        </w:rPr>
      </w:pPr>
      <w:r>
        <w:rPr>
          <w:rFonts w:ascii="Arial" w:cs="Arial" w:eastAsia="Arial" w:hAnsi="Arial"/>
          <w:sz w:val="18"/>
          <w:szCs w:val="18"/>
          <w:color w:val="auto"/>
        </w:rPr>
        <w:t>Some companies have adopted board governance policies requiring director nominees that fail to receive majority support from shareholders to tender their resignations to the board. We believe that these policies are inadequate for they are based on continued use of the plurality standard and would allow director nominees to be</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4"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80"/>
        <w:spacing w:after="0" w:line="265" w:lineRule="auto"/>
        <w:rPr>
          <w:sz w:val="20"/>
          <w:szCs w:val="20"/>
          <w:color w:val="auto"/>
        </w:rPr>
      </w:pPr>
      <w:r>
        <w:rPr>
          <w:rFonts w:ascii="Arial" w:cs="Arial" w:eastAsia="Arial" w:hAnsi="Arial"/>
          <w:sz w:val="18"/>
          <w:szCs w:val="18"/>
          <w:color w:val="auto"/>
        </w:rPr>
        <w:t>elected despite only minimal shareholder support. We contend that changing the legal standard to a majority vote is a superior solution that merits shareholder support.</w:t>
      </w:r>
    </w:p>
    <w:p>
      <w:pPr>
        <w:spacing w:after="0" w:line="87" w:lineRule="exact"/>
        <w:rPr>
          <w:sz w:val="20"/>
          <w:szCs w:val="20"/>
          <w:color w:val="auto"/>
        </w:rPr>
      </w:pPr>
    </w:p>
    <w:p>
      <w:pPr>
        <w:jc w:val="both"/>
        <w:ind w:left="700" w:right="140" w:firstLine="397"/>
        <w:spacing w:after="0" w:line="330" w:lineRule="auto"/>
        <w:rPr>
          <w:sz w:val="20"/>
          <w:szCs w:val="20"/>
          <w:color w:val="auto"/>
        </w:rPr>
      </w:pPr>
      <w:r>
        <w:rPr>
          <w:rFonts w:ascii="Arial" w:cs="Arial" w:eastAsia="Arial" w:hAnsi="Arial"/>
          <w:sz w:val="15"/>
          <w:szCs w:val="15"/>
          <w:color w:val="auto"/>
        </w:rPr>
        <w:t>Our proposal is not intended to limit the judgment of the Board in crafting the requested governance change. For instance, the Board should address the status of incumbent director nominees who fail to receive a majority vote under a majority vote standard and whether a plurality vote standard may be appropriate in director elections when the number of director nominees exceeds the available board seats.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urge your support for this important director election reform.</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Response</w:t>
      </w:r>
    </w:p>
    <w:p>
      <w:pPr>
        <w:spacing w:after="0" w:line="130" w:lineRule="exact"/>
        <w:rPr>
          <w:sz w:val="20"/>
          <w:szCs w:val="20"/>
          <w:color w:val="auto"/>
        </w:rPr>
      </w:pPr>
    </w:p>
    <w:p>
      <w:pPr>
        <w:jc w:val="both"/>
        <w:ind w:left="700" w:right="160" w:firstLine="397"/>
        <w:spacing w:after="0" w:line="255" w:lineRule="auto"/>
        <w:rPr>
          <w:sz w:val="20"/>
          <w:szCs w:val="20"/>
          <w:color w:val="auto"/>
        </w:rPr>
      </w:pPr>
      <w:r>
        <w:rPr>
          <w:rFonts w:ascii="Arial" w:cs="Arial" w:eastAsia="Arial" w:hAnsi="Arial"/>
          <w:sz w:val="18"/>
          <w:szCs w:val="18"/>
          <w:color w:val="auto"/>
        </w:rPr>
        <w:t>The Board of Directors carefully considered the proposal of the United Brotherhood of Carpenters and Joiners of America, and does not believe that it is now in the best interest of our shareholders to amend our articles of organization or bylaws to provide for the election of directors by a majority of votes cast.</w:t>
      </w:r>
    </w:p>
    <w:p>
      <w:pPr>
        <w:spacing w:after="0" w:line="9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Under ADI’s current voting system, our shareholders elect directors by a plurality standard, meaning that the nominee who obtains the most affirmative votes is elected. This standard is the predominant voting system for public companies in Massachusetts, where Analog is incorporated, and across the nation.</w:t>
      </w:r>
    </w:p>
    <w:p>
      <w:pPr>
        <w:spacing w:after="0" w:line="96" w:lineRule="exact"/>
        <w:rPr>
          <w:sz w:val="20"/>
          <w:szCs w:val="20"/>
          <w:color w:val="auto"/>
        </w:rPr>
      </w:pPr>
    </w:p>
    <w:p>
      <w:pPr>
        <w:ind w:left="700" w:right="120" w:firstLine="397"/>
        <w:spacing w:after="0" w:line="250" w:lineRule="auto"/>
        <w:rPr>
          <w:sz w:val="20"/>
          <w:szCs w:val="20"/>
          <w:color w:val="auto"/>
        </w:rPr>
      </w:pPr>
      <w:r>
        <w:rPr>
          <w:rFonts w:ascii="Arial" w:cs="Arial" w:eastAsia="Arial" w:hAnsi="Arial"/>
          <w:sz w:val="18"/>
          <w:szCs w:val="18"/>
          <w:color w:val="auto"/>
        </w:rPr>
        <w:t>The Carpenters’ Union’s proposal does not address the negative and unknown consequences of trying to institute a majority vote system at this time. For example, the proposal does not address what would occur if no candidate receives the requisite majority vote or how or when we would fill any vacancy resulting from a candidate not receiving the requisite majority vote. Also, any vacancies resulting from the adoption of a majority vote standard could leave us unable to meet New York Stock Exchange listing requirements relating to the independence and financial literacy of directors.</w:t>
      </w:r>
    </w:p>
    <w:p>
      <w:pPr>
        <w:spacing w:after="0" w:line="102" w:lineRule="exact"/>
        <w:rPr>
          <w:sz w:val="20"/>
          <w:szCs w:val="20"/>
          <w:color w:val="auto"/>
        </w:rPr>
      </w:pPr>
    </w:p>
    <w:p>
      <w:pPr>
        <w:ind w:left="700" w:right="20" w:firstLine="397"/>
        <w:spacing w:after="0" w:line="300" w:lineRule="auto"/>
        <w:rPr>
          <w:sz w:val="20"/>
          <w:szCs w:val="20"/>
          <w:color w:val="auto"/>
        </w:rPr>
      </w:pPr>
      <w:r>
        <w:rPr>
          <w:rFonts w:ascii="Arial" w:cs="Arial" w:eastAsia="Arial" w:hAnsi="Arial"/>
          <w:sz w:val="15"/>
          <w:szCs w:val="15"/>
          <w:color w:val="auto"/>
        </w:rPr>
        <w:t xml:space="preserve">The Board of Directors concurs that we should carefully review any situation where a specific nominee may not have the support of shareholders. Accordingly, on December 6, 2005, we amended our corporate governance guidelines to include a policy that any director who receives more “withheld” votes than “for” votes in an uncontested election at an annual meeting shall offer his or her resignation to the Board promptly after the voting results are certified. A committee of independent directors, which will specifically exclude any director who is required to offer his or her own resignation, will carefully consider all relevant factors, including, as the committee deems appropriate, any stated reasons why shareholders withheld votes from such director, any alternatives for curing the underlying cause of the withheld votes, the director’s tenure, the director’s qualifications, the director’s past and expected future contributions to the company, the overall composition of our board and whether accepting the resignation would cause the company to fail to meet any applicable regulations of the Securities and Exchange Commission or the New York Stock Exchange. Our Board will act upon this committee’s recommendation within 90 days following certification of the shareholder vote and may, among other things, accept the resignation, maintain the director but address what the committee believes to be the underlying cause of the withhold votes,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 including, if applicable, the reasons for rejecting the offered resignation. The full text of our policy is incorporated in our Corporate Governance Guidelines, which are available on our website: </w:t>
      </w:r>
      <w:r>
        <w:rPr>
          <w:rFonts w:ascii="Arial" w:cs="Arial" w:eastAsia="Arial" w:hAnsi="Arial"/>
          <w:sz w:val="15"/>
          <w:szCs w:val="15"/>
          <w:i w:val="1"/>
          <w:iCs w:val="1"/>
          <w:color w:val="auto"/>
        </w:rPr>
        <w:t>www.analog.com/governance</w:t>
      </w:r>
      <w:r>
        <w:rPr>
          <w:rFonts w:ascii="Arial" w:cs="Arial" w:eastAsia="Arial" w:hAnsi="Arial"/>
          <w:sz w:val="15"/>
          <w:szCs w:val="15"/>
          <w:color w:val="auto"/>
        </w:rPr>
        <w:t>. We believe this policy is the most effective way to address the primary concerns raised by the Carpenters’ Union at this time.</w:t>
      </w:r>
    </w:p>
    <w:p>
      <w:pPr>
        <w:spacing w:after="0" w:line="280"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Analog believes that adoption of the Carpenters’ Union’s proposal with its unknown consequences would be inappropriate at this time. A majority voting standard is currently being considered and evaluated by governmental authorities, scholars, corporations and investors in an effort to determine whether adoption of the standard for U.S. public companies is a worthy and workable goal. The board is monitoring, and will continue to monitor, these discussions and will take appropriate action to maintain its commitment to high standards of corporate governance.</w:t>
      </w:r>
    </w:p>
    <w:p>
      <w:pPr>
        <w:spacing w:after="0" w:line="102" w:lineRule="exact"/>
        <w:rPr>
          <w:sz w:val="20"/>
          <w:szCs w:val="20"/>
          <w:color w:val="auto"/>
        </w:rPr>
      </w:pPr>
    </w:p>
    <w:p>
      <w:pPr>
        <w:ind w:left="700" w:right="200" w:firstLine="397"/>
        <w:spacing w:after="0" w:line="330" w:lineRule="auto"/>
        <w:rPr>
          <w:sz w:val="20"/>
          <w:szCs w:val="20"/>
          <w:color w:val="auto"/>
        </w:rPr>
      </w:pPr>
      <w:r>
        <w:rPr>
          <w:rFonts w:ascii="Arial" w:cs="Arial" w:eastAsia="Arial" w:hAnsi="Arial"/>
          <w:sz w:val="15"/>
          <w:szCs w:val="15"/>
          <w:b w:val="1"/>
          <w:bCs w:val="1"/>
          <w:i w:val="1"/>
          <w:iCs w:val="1"/>
          <w:color w:val="auto"/>
        </w:rPr>
        <w:t>Our Board of Directors believes that the policy included in our amended corporate governance guidelines addresses the primary concerns raised by the Carpenters’ Union and that approval of this shareholder proposal is not in the best interest of ADI and its shareholders. Therefore, our Board of Directors recommends a vote AGAINST the approval of this proposal.</w:t>
      </w:r>
    </w:p>
    <w:p>
      <w:pPr>
        <w:spacing w:after="0" w:line="3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OTHER MATTERS</w:t>
      </w:r>
    </w:p>
    <w:p>
      <w:pPr>
        <w:spacing w:after="0" w:line="130"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Our Board of Directors does not know of any other matters that may come before the 2006 annual meeting. However, if any other matters are properly presented to the 2006 annual meeting, it is the intention of the persons named as proxies to vote, or otherwise act, in accordance with their judgment on such matters.</w:t>
      </w:r>
    </w:p>
    <w:p>
      <w:pPr>
        <w:spacing w:after="0" w:line="30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ELECTRONIC VOTING</w:t>
      </w:r>
    </w:p>
    <w:p>
      <w:pPr>
        <w:spacing w:after="0" w:line="130" w:lineRule="exact"/>
        <w:rPr>
          <w:sz w:val="20"/>
          <w:szCs w:val="20"/>
          <w:color w:val="auto"/>
        </w:rPr>
      </w:pPr>
    </w:p>
    <w:p>
      <w:pPr>
        <w:jc w:val="both"/>
        <w:ind w:left="700" w:right="460" w:firstLine="397"/>
        <w:spacing w:after="0" w:line="330" w:lineRule="auto"/>
        <w:rPr>
          <w:sz w:val="20"/>
          <w:szCs w:val="20"/>
          <w:color w:val="auto"/>
        </w:rPr>
      </w:pPr>
      <w:r>
        <w:rPr>
          <w:rFonts w:ascii="Arial" w:cs="Arial" w:eastAsia="Arial" w:hAnsi="Arial"/>
          <w:sz w:val="15"/>
          <w:szCs w:val="15"/>
          <w:color w:val="auto"/>
        </w:rPr>
        <w:t>If you own your shares of common stock of record, you may vote your shares over the Internet at www.eproxyvote.com/adi or telephonically by calling 1-877-PRX-VOTE (1-877-779-8683) and by following the instructions on the enclosed proxy card. Proxies submitted over the Internet or by telephone must be received by 11:59 p.m. on March 13, 2006.</w:t>
      </w:r>
    </w:p>
    <w:p>
      <w:pPr>
        <w:spacing w:after="0" w:line="44"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93" w:lineRule="exact"/>
        <w:rPr>
          <w:sz w:val="20"/>
          <w:szCs w:val="20"/>
          <w:color w:val="auto"/>
        </w:rPr>
      </w:pPr>
    </w:p>
    <w:p>
      <w:pPr>
        <w:jc w:val="both"/>
        <w:ind w:left="700" w:firstLine="397"/>
        <w:spacing w:after="0" w:line="321" w:lineRule="auto"/>
        <w:rPr>
          <w:sz w:val="20"/>
          <w:szCs w:val="20"/>
          <w:color w:val="auto"/>
        </w:rPr>
      </w:pPr>
      <w:r>
        <w:rPr>
          <w:rFonts w:ascii="Arial" w:cs="Arial" w:eastAsia="Arial" w:hAnsi="Arial"/>
          <w:sz w:val="15"/>
          <w:szCs w:val="15"/>
          <w:b w:val="1"/>
          <w:bCs w:val="1"/>
          <w:color w:val="auto"/>
        </w:rPr>
        <w:t>Management hopes that shareholders will attend the meeting. Whether or not you plan to attend, you are urged to complete, date, sign and return the enclosed proxy card in the accompanying postage-prepaid envelope (or vote your shares over the Internet or by telephone). A prompt response will greatly facilitate arrangements for the meeting and your cooperation will be appreciated. Shareholders who attend the meeting may vote their stock personally even though they have sent in their proxies.</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3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ANALOG DEVICES, INC.</w:t>
      </w:r>
    </w:p>
    <w:p>
      <w:pPr>
        <w:spacing w:after="0" w:line="1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2006 STOCK INCENTIVE PLAN</w:t>
      </w:r>
    </w:p>
    <w:p>
      <w:pPr>
        <w:spacing w:after="0" w:line="237" w:lineRule="exact"/>
        <w:rPr>
          <w:sz w:val="20"/>
          <w:szCs w:val="20"/>
          <w:color w:val="auto"/>
        </w:rPr>
      </w:pPr>
    </w:p>
    <w:p>
      <w:pPr>
        <w:ind w:left="1000" w:hanging="309"/>
        <w:spacing w:after="0"/>
        <w:tabs>
          <w:tab w:leader="none" w:pos="10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w:t>
      </w:r>
    </w:p>
    <w:p>
      <w:pPr>
        <w:spacing w:after="0" w:line="124" w:lineRule="exact"/>
        <w:rPr>
          <w:sz w:val="20"/>
          <w:szCs w:val="20"/>
          <w:color w:val="auto"/>
        </w:rPr>
      </w:pPr>
    </w:p>
    <w:p>
      <w:pPr>
        <w:ind w:left="700" w:right="80" w:firstLine="397"/>
        <w:spacing w:after="0" w:line="305" w:lineRule="auto"/>
        <w:rPr>
          <w:sz w:val="20"/>
          <w:szCs w:val="20"/>
          <w:color w:val="auto"/>
        </w:rPr>
      </w:pPr>
      <w:r>
        <w:rPr>
          <w:rFonts w:ascii="Arial" w:cs="Arial" w:eastAsia="Arial" w:hAnsi="Arial"/>
          <w:sz w:val="15"/>
          <w:szCs w:val="15"/>
          <w:color w:val="auto"/>
        </w:rPr>
        <w:t>The purpose of this 2006 Stock Incentive Plan (the “Plan”) of Analog Devices, Inc., a Massachusetts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69" w:lineRule="exact"/>
        <w:rPr>
          <w:sz w:val="20"/>
          <w:szCs w:val="20"/>
          <w:color w:val="auto"/>
        </w:rPr>
      </w:pPr>
    </w:p>
    <w:p>
      <w:pPr>
        <w:ind w:left="1000" w:hanging="309"/>
        <w:spacing w:after="0"/>
        <w:tabs>
          <w:tab w:leader="none" w:pos="10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w:t>
      </w:r>
    </w:p>
    <w:p>
      <w:pPr>
        <w:spacing w:after="0" w:line="124" w:lineRule="exact"/>
        <w:rPr>
          <w:sz w:val="20"/>
          <w:szCs w:val="20"/>
          <w:color w:val="auto"/>
        </w:rPr>
      </w:pPr>
    </w:p>
    <w:p>
      <w:pPr>
        <w:jc w:val="both"/>
        <w:ind w:left="700" w:right="60" w:firstLine="397"/>
        <w:spacing w:after="0" w:line="255" w:lineRule="auto"/>
        <w:rPr>
          <w:sz w:val="20"/>
          <w:szCs w:val="20"/>
          <w:color w:val="auto"/>
        </w:rPr>
      </w:pPr>
      <w:r>
        <w:rPr>
          <w:rFonts w:ascii="Arial" w:cs="Arial" w:eastAsia="Arial" w:hAnsi="Arial"/>
          <w:sz w:val="18"/>
          <w:szCs w:val="18"/>
          <w:color w:val="auto"/>
        </w:rPr>
        <w:t>All of the Company’s employees, officers, directors, consultants and advisors are eligible to receive options, stock appreciation rights, restricted stock, restricted stock units and other stock-based awards (each, an “Award”) under the Plan. Each person who receives an Award under the Plan is deemed a “Participant”.</w:t>
      </w:r>
    </w:p>
    <w:p>
      <w:pPr>
        <w:spacing w:after="0" w:line="202" w:lineRule="exact"/>
        <w:rPr>
          <w:sz w:val="20"/>
          <w:szCs w:val="20"/>
          <w:color w:val="auto"/>
        </w:rPr>
      </w:pPr>
    </w:p>
    <w:p>
      <w:pPr>
        <w:ind w:left="1000" w:hanging="309"/>
        <w:spacing w:after="0"/>
        <w:tabs>
          <w:tab w:leader="none" w:pos="10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Administration and Delegation.</w:t>
      </w:r>
    </w:p>
    <w:p>
      <w:pPr>
        <w:spacing w:after="0" w:line="124" w:lineRule="exact"/>
        <w:rPr>
          <w:rFonts w:ascii="Arial" w:cs="Arial" w:eastAsia="Arial" w:hAnsi="Arial"/>
          <w:sz w:val="18"/>
          <w:szCs w:val="18"/>
          <w:b w:val="1"/>
          <w:bCs w:val="1"/>
          <w:color w:val="auto"/>
        </w:rPr>
      </w:pPr>
    </w:p>
    <w:p>
      <w:pPr>
        <w:ind w:left="700" w:right="80" w:firstLine="388"/>
        <w:spacing w:after="0" w:line="265" w:lineRule="auto"/>
        <w:tabs>
          <w:tab w:leader="none" w:pos="1337"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Administration by Board of Directors. </w:t>
      </w:r>
      <w:r>
        <w:rPr>
          <w:rFonts w:ascii="Arial" w:cs="Arial" w:eastAsia="Arial" w:hAnsi="Arial"/>
          <w:sz w:val="17"/>
          <w:szCs w:val="17"/>
          <w:color w:val="auto"/>
        </w:rPr>
        <w:t>The Plan will be administered by the Board. The Board shall have authority to grant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and to adopt, amend and repeal such administrative rules, guidelines and practices relating to the Plan as it shall deem advisable. The Board may construe and interpret the terms of the Plan and any Award agreement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89" w:lineRule="exact"/>
        <w:rPr>
          <w:rFonts w:ascii="Arial" w:cs="Arial" w:eastAsia="Arial" w:hAnsi="Arial"/>
          <w:sz w:val="17"/>
          <w:szCs w:val="17"/>
          <w:color w:val="auto"/>
        </w:rPr>
      </w:pPr>
    </w:p>
    <w:p>
      <w:pPr>
        <w:ind w:left="700" w:right="140" w:firstLine="388"/>
        <w:spacing w:after="0" w:line="252" w:lineRule="auto"/>
        <w:tabs>
          <w:tab w:leader="none" w:pos="1347"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Appointment of Committees. </w:t>
      </w:r>
      <w:r>
        <w:rPr>
          <w:rFonts w:ascii="Arial" w:cs="Arial" w:eastAsia="Arial" w:hAnsi="Arial"/>
          <w:sz w:val="18"/>
          <w:szCs w:val="18"/>
          <w:color w:val="auto"/>
        </w:rPr>
        <w:t>To the extent permitted by applicable law, the Board may delegate any or all of its powers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98" w:lineRule="exact"/>
        <w:rPr>
          <w:rFonts w:ascii="Arial" w:cs="Arial" w:eastAsia="Arial" w:hAnsi="Arial"/>
          <w:sz w:val="18"/>
          <w:szCs w:val="18"/>
          <w:color w:val="auto"/>
        </w:rPr>
      </w:pPr>
    </w:p>
    <w:p>
      <w:pPr>
        <w:ind w:left="700" w:right="60" w:firstLine="388"/>
        <w:spacing w:after="0" w:line="307" w:lineRule="auto"/>
        <w:tabs>
          <w:tab w:leader="none" w:pos="1337" w:val="left"/>
        </w:tabs>
        <w:numPr>
          <w:ilvl w:val="1"/>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Delegation to Officers. </w:t>
      </w:r>
      <w:r>
        <w:rPr>
          <w:rFonts w:ascii="Arial" w:cs="Arial" w:eastAsia="Arial" w:hAnsi="Arial"/>
          <w:sz w:val="15"/>
          <w:szCs w:val="15"/>
          <w:color w:val="auto"/>
        </w:rPr>
        <w:t>To the extent permitted by applicable law, the Board may delegate to one or more officers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power to grant Awards to employees or officers of the Company or any of its present or future subsidiary corporations and to exercise such other powers under the Plan as the Board may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33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00" w:hanging="309"/>
        <w:spacing w:after="0"/>
        <w:tabs>
          <w:tab w:leader="none" w:pos="10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Available for Awards.</w:t>
      </w:r>
    </w:p>
    <w:p>
      <w:pPr>
        <w:spacing w:after="0" w:line="124" w:lineRule="exact"/>
        <w:rPr>
          <w:rFonts w:ascii="Arial" w:cs="Arial" w:eastAsia="Arial" w:hAnsi="Arial"/>
          <w:sz w:val="18"/>
          <w:szCs w:val="18"/>
          <w:b w:val="1"/>
          <w:bCs w:val="1"/>
          <w:color w:val="auto"/>
        </w:rPr>
      </w:pPr>
    </w:p>
    <w:p>
      <w:pPr>
        <w:ind w:left="700" w:right="120" w:firstLine="388"/>
        <w:spacing w:after="0" w:line="267" w:lineRule="auto"/>
        <w:tabs>
          <w:tab w:leader="none" w:pos="1337"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Number of Shares. </w:t>
      </w:r>
      <w:r>
        <w:rPr>
          <w:rFonts w:ascii="Arial" w:cs="Arial" w:eastAsia="Arial" w:hAnsi="Arial"/>
          <w:sz w:val="16"/>
          <w:szCs w:val="16"/>
          <w:color w:val="auto"/>
        </w:rPr>
        <w:t>Subject to adjustment under Section 11, Awards may be made under the Plan for up to 15,000,000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$.16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par value per share, of the Company (the “Common Stock”), plus any shares that are subject to outstanding options under the 1998 Stock Option and 2001 Broad-Based Stock Option Plan (collectively, the “Prior Plans”) as of the adoption of this Plan by the Board but are not issued under the Prior Plans as a result, and to the extent, of the termination or expiration of the applicable option prior to the exercise thereof. From and after the Effective Date, the Company shall issue no further options under the Prior Plans, and such Prior Plans shall terminate, except to the extent they apply to options outstanding under the Prior Plans as of the Effective Date.</w:t>
      </w:r>
    </w:p>
    <w:p>
      <w:pPr>
        <w:spacing w:after="0" w:line="87"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color w:val="auto"/>
        </w:rPr>
        <w:t>If any Award issued under this Plan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is settled in cash or otherwise results in any Common Stock not being issued, the unused Common Stock covered by such Award shall again be available for the grant of Awards under the Plan. However, in the case of Incentive Stock Options (as hereinafter defined), the foregoing provisions shall be subject to any limitations under the Code. Notwithstanding anything to the contrary herein, the following shares may not again be made available for issuance as Awards under the Plan: (i) shares not issued or delivered as a result of the net settlement of an outstanding Stock Appreciation Right, and (ii) shares used to pay the exercise price or withholding taxes related to an outstanding Award. Shares issued under the Plan may consist in whole or in part of authorized but unissued shares or treasury shares.</w:t>
      </w:r>
    </w:p>
    <w:p>
      <w:pPr>
        <w:spacing w:after="0" w:line="93" w:lineRule="exact"/>
        <w:rPr>
          <w:sz w:val="20"/>
          <w:szCs w:val="20"/>
          <w:color w:val="auto"/>
        </w:rPr>
      </w:pPr>
    </w:p>
    <w:p>
      <w:pPr>
        <w:ind w:left="700" w:right="40" w:firstLine="388"/>
        <w:spacing w:after="0" w:line="266" w:lineRule="auto"/>
        <w:tabs>
          <w:tab w:leader="none" w:pos="1347"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Counting of Shares. </w:t>
      </w:r>
      <w:r>
        <w:rPr>
          <w:rFonts w:ascii="Arial" w:cs="Arial" w:eastAsia="Arial" w:hAnsi="Arial"/>
          <w:sz w:val="17"/>
          <w:szCs w:val="17"/>
          <w:color w:val="auto"/>
        </w:rPr>
        <w:t>Subject to adjustment under Section 11, an Option or Stock Appreciation Right shall be counted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 limit specified in Section 4(a) as one share for each share of common stock subject to the Option or Stock Appreciation Right, and any Award of Restricted Stock, Restricted Stock Units or Other Stock Unit Awards with a per share or per unit purchase price lower than 100% of Fair Market Value (as defined below) on the date of grant (a “Full Value Award”) shall be counted against the share limit specified in Section 4(a) as three shares for each one share of Common Stock subject to such Full Value Award. To the extent that a share that was subject to an Award that counted as three shares against the Plan reserve pursuant to Section 4(a) is returned to the Plan pursuant to Section 4(a), such reserve will be credited with three shares.</w:t>
      </w:r>
    </w:p>
    <w:p>
      <w:pPr>
        <w:spacing w:after="0" w:line="87" w:lineRule="exact"/>
        <w:rPr>
          <w:rFonts w:ascii="Arial" w:cs="Arial" w:eastAsia="Arial" w:hAnsi="Arial"/>
          <w:sz w:val="17"/>
          <w:szCs w:val="17"/>
          <w:color w:val="auto"/>
        </w:rPr>
      </w:pPr>
    </w:p>
    <w:p>
      <w:pPr>
        <w:ind w:left="700" w:right="20" w:firstLine="388"/>
        <w:spacing w:after="0" w:line="266" w:lineRule="auto"/>
        <w:tabs>
          <w:tab w:leader="none" w:pos="1337"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Sub-limits. </w:t>
      </w:r>
      <w:r>
        <w:rPr>
          <w:rFonts w:ascii="Arial" w:cs="Arial" w:eastAsia="Arial" w:hAnsi="Arial"/>
          <w:sz w:val="17"/>
          <w:szCs w:val="17"/>
          <w:color w:val="auto"/>
        </w:rPr>
        <w:t>Subject to adjustment under Section 11, the maximum number of shares of Common Stock with respect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 The per-Participant limit described in this Section 4(c) shall be construed and applied consistently with Section 162(m) of the Code or any successor provision thereto, and the regulations thereunder (“Section 162(m)”).</w:t>
      </w:r>
    </w:p>
    <w:p>
      <w:pPr>
        <w:spacing w:after="0" w:line="193" w:lineRule="exact"/>
        <w:rPr>
          <w:rFonts w:ascii="Arial" w:cs="Arial" w:eastAsia="Arial" w:hAnsi="Arial"/>
          <w:sz w:val="17"/>
          <w:szCs w:val="17"/>
          <w:color w:val="auto"/>
        </w:rPr>
      </w:pPr>
    </w:p>
    <w:p>
      <w:pPr>
        <w:ind w:left="1000" w:hanging="309"/>
        <w:spacing w:after="0"/>
        <w:tabs>
          <w:tab w:leader="none" w:pos="10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124" w:lineRule="exact"/>
        <w:rPr>
          <w:rFonts w:ascii="Arial" w:cs="Arial" w:eastAsia="Arial" w:hAnsi="Arial"/>
          <w:sz w:val="18"/>
          <w:szCs w:val="18"/>
          <w:b w:val="1"/>
          <w:bCs w:val="1"/>
          <w:color w:val="auto"/>
        </w:rPr>
      </w:pPr>
    </w:p>
    <w:p>
      <w:pPr>
        <w:ind w:left="700" w:firstLine="388"/>
        <w:spacing w:after="0" w:line="318" w:lineRule="auto"/>
        <w:tabs>
          <w:tab w:leader="none" w:pos="1337" w:val="left"/>
        </w:tabs>
        <w:numPr>
          <w:ilvl w:val="1"/>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Board may grant options to purchase Common Stock (each, an “Option”) and determine the number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53" w:lineRule="exact"/>
        <w:rPr>
          <w:rFonts w:ascii="Arial" w:cs="Arial" w:eastAsia="Arial" w:hAnsi="Arial"/>
          <w:sz w:val="15"/>
          <w:szCs w:val="15"/>
          <w:color w:val="auto"/>
        </w:rPr>
      </w:pPr>
    </w:p>
    <w:p>
      <w:pPr>
        <w:ind w:left="700" w:right="40" w:firstLine="388"/>
        <w:spacing w:after="0" w:line="309" w:lineRule="auto"/>
        <w:tabs>
          <w:tab w:leader="none" w:pos="1347" w:val="left"/>
        </w:tabs>
        <w:numPr>
          <w:ilvl w:val="1"/>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An Option that the Board intends to be an “incentive stock option” as defined in Section 422 of the Code</w:t>
      </w:r>
      <w:r>
        <w:rPr>
          <w:rFonts w:ascii="Arial" w:cs="Arial" w:eastAsia="Arial" w:hAnsi="Arial"/>
          <w:sz w:val="15"/>
          <w:szCs w:val="15"/>
          <w:i w:val="1"/>
          <w:iCs w:val="1"/>
          <w:color w:val="auto"/>
        </w:rPr>
        <w:t xml:space="preserve"> </w:t>
      </w:r>
      <w:r>
        <w:rPr>
          <w:rFonts w:ascii="Arial" w:cs="Arial" w:eastAsia="Arial" w:hAnsi="Arial"/>
          <w:sz w:val="15"/>
          <w:szCs w:val="15"/>
          <w:color w:val="auto"/>
        </w:rPr>
        <w:t>(an “Incentive Stock Option”) shall only be granted to employees of the Company, any of the Company’s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pursuant to</w:t>
      </w:r>
    </w:p>
    <w:p>
      <w:pPr>
        <w:spacing w:after="0" w:line="33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80"/>
        <w:spacing w:after="0" w:line="255" w:lineRule="auto"/>
        <w:rPr>
          <w:sz w:val="20"/>
          <w:szCs w:val="20"/>
          <w:color w:val="auto"/>
        </w:rPr>
      </w:pPr>
      <w:r>
        <w:rPr>
          <w:rFonts w:ascii="Arial" w:cs="Arial" w:eastAsia="Arial" w:hAnsi="Arial"/>
          <w:sz w:val="18"/>
          <w:szCs w:val="18"/>
          <w:color w:val="auto"/>
        </w:rPr>
        <w:t>Section 12(f), including without limitation the conversion of an Incentive Stock Option to a Nonstatutory Stock Option. The maximum number of shares that may be issued upon exercise of Incentive Stock Options under the Plan shall be 15,000,000, as adjusted pursuant to Section 11.</w:t>
      </w:r>
    </w:p>
    <w:p>
      <w:pPr>
        <w:spacing w:after="0" w:line="96" w:lineRule="exact"/>
        <w:rPr>
          <w:sz w:val="20"/>
          <w:szCs w:val="20"/>
          <w:color w:val="auto"/>
        </w:rPr>
      </w:pPr>
    </w:p>
    <w:p>
      <w:pPr>
        <w:ind w:left="700" w:firstLine="388"/>
        <w:spacing w:after="0" w:line="252" w:lineRule="auto"/>
        <w:tabs>
          <w:tab w:leader="none" w:pos="133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Board shall establish the exercise price of each Option and specify such exercise price in the applicable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exercise price shall be not less than 100% of the Fair Market Value per share of Common Stock on the date the Option is granted. For purposes of this Plan, “Fair Market Value” shall mean the fair market value as determined by (or in a manner approved by) the Board.</w:t>
      </w:r>
    </w:p>
    <w:p>
      <w:pPr>
        <w:spacing w:after="0" w:line="98" w:lineRule="exact"/>
        <w:rPr>
          <w:rFonts w:ascii="Arial" w:cs="Arial" w:eastAsia="Arial" w:hAnsi="Arial"/>
          <w:sz w:val="18"/>
          <w:szCs w:val="18"/>
          <w:color w:val="auto"/>
        </w:rPr>
      </w:pPr>
    </w:p>
    <w:p>
      <w:pPr>
        <w:ind w:left="700" w:right="220" w:firstLine="388"/>
        <w:spacing w:after="0" w:line="366" w:lineRule="auto"/>
        <w:tabs>
          <w:tab w:leader="none" w:pos="1347"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Duration of Options. </w:t>
      </w:r>
      <w:r>
        <w:rPr>
          <w:rFonts w:ascii="Arial" w:cs="Arial" w:eastAsia="Arial" w:hAnsi="Arial"/>
          <w:sz w:val="15"/>
          <w:szCs w:val="15"/>
          <w:color w:val="auto"/>
        </w:rPr>
        <w:t>Each Option shall be exercisable at such times and subject to such terms and conditions as the Board may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specify in the applicable option agreement; </w:t>
      </w:r>
      <w:r>
        <w:rPr>
          <w:rFonts w:ascii="Arial" w:cs="Arial" w:eastAsia="Arial" w:hAnsi="Arial"/>
          <w:sz w:val="15"/>
          <w:szCs w:val="15"/>
          <w:i w:val="1"/>
          <w:iCs w:val="1"/>
          <w:color w:val="auto"/>
        </w:rPr>
        <w:t>provided</w:t>
      </w:r>
      <w:r>
        <w:rPr>
          <w:rFonts w:ascii="Arial" w:cs="Arial" w:eastAsia="Arial" w:hAnsi="Arial"/>
          <w:sz w:val="15"/>
          <w:szCs w:val="15"/>
          <w:color w:val="auto"/>
        </w:rPr>
        <w:t>, however, that no Option will be granted for a term in excess of 10 years.</w:t>
      </w:r>
    </w:p>
    <w:p>
      <w:pPr>
        <w:spacing w:after="0" w:line="17" w:lineRule="exact"/>
        <w:rPr>
          <w:rFonts w:ascii="Arial" w:cs="Arial" w:eastAsia="Arial" w:hAnsi="Arial"/>
          <w:sz w:val="15"/>
          <w:szCs w:val="15"/>
          <w:color w:val="auto"/>
        </w:rPr>
      </w:pPr>
    </w:p>
    <w:p>
      <w:pPr>
        <w:ind w:left="700" w:right="100" w:firstLine="388"/>
        <w:spacing w:after="0" w:line="267" w:lineRule="auto"/>
        <w:tabs>
          <w:tab w:leader="none" w:pos="1337"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Exercise of Option. </w:t>
      </w:r>
      <w:r>
        <w:rPr>
          <w:rFonts w:ascii="Arial" w:cs="Arial" w:eastAsia="Arial" w:hAnsi="Arial"/>
          <w:sz w:val="17"/>
          <w:szCs w:val="17"/>
          <w:color w:val="auto"/>
        </w:rPr>
        <w:t>Options may be exercised by delivery to the Company, or an agent of the Company, of a written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87" w:lineRule="exact"/>
        <w:rPr>
          <w:rFonts w:ascii="Arial" w:cs="Arial" w:eastAsia="Arial" w:hAnsi="Arial"/>
          <w:sz w:val="17"/>
          <w:szCs w:val="17"/>
          <w:color w:val="auto"/>
        </w:rPr>
      </w:pPr>
    </w:p>
    <w:p>
      <w:pPr>
        <w:ind w:left="1300" w:hanging="212"/>
        <w:spacing w:after="0"/>
        <w:tabs>
          <w:tab w:leader="none" w:pos="130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Payment Upon Exercise. </w:t>
      </w:r>
      <w:r>
        <w:rPr>
          <w:rFonts w:ascii="Arial" w:cs="Arial" w:eastAsia="Arial" w:hAnsi="Arial"/>
          <w:sz w:val="15"/>
          <w:szCs w:val="15"/>
          <w:color w:val="auto"/>
        </w:rPr>
        <w:t>Common Stock purchased upon the exercise of an Option granted under the Plan shall be paid for as</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follows:</w:t>
      </w:r>
    </w:p>
    <w:p>
      <w:pPr>
        <w:spacing w:after="0" w:line="113" w:lineRule="exact"/>
        <w:rPr>
          <w:rFonts w:ascii="Arial" w:cs="Arial" w:eastAsia="Arial" w:hAnsi="Arial"/>
          <w:sz w:val="15"/>
          <w:szCs w:val="15"/>
          <w:color w:val="auto"/>
        </w:rPr>
      </w:pPr>
    </w:p>
    <w:p>
      <w:pPr>
        <w:ind w:left="1720" w:hanging="251"/>
        <w:spacing w:after="0"/>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24" w:lineRule="exact"/>
        <w:rPr>
          <w:rFonts w:ascii="Arial" w:cs="Arial" w:eastAsia="Arial" w:hAnsi="Arial"/>
          <w:sz w:val="18"/>
          <w:szCs w:val="18"/>
          <w:color w:val="auto"/>
        </w:rPr>
      </w:pPr>
    </w:p>
    <w:p>
      <w:pPr>
        <w:ind w:left="1080" w:right="120" w:firstLine="389"/>
        <w:spacing w:after="0" w:line="250" w:lineRule="auto"/>
        <w:tabs>
          <w:tab w:leader="none" w:pos="17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01" w:lineRule="exact"/>
        <w:rPr>
          <w:rFonts w:ascii="Arial" w:cs="Arial" w:eastAsia="Arial" w:hAnsi="Arial"/>
          <w:sz w:val="18"/>
          <w:szCs w:val="18"/>
          <w:color w:val="auto"/>
        </w:rPr>
      </w:pPr>
    </w:p>
    <w:p>
      <w:pPr>
        <w:ind w:left="1080" w:right="100" w:firstLine="389"/>
        <w:spacing w:after="0" w:line="269" w:lineRule="auto"/>
        <w:tabs>
          <w:tab w:leader="none" w:pos="1711"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the applicable option agreement, by delivery (either by actual delivery or attestation) of shares of Common Stock owned by the Participant valued at their Fair Market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84" w:lineRule="exact"/>
        <w:rPr>
          <w:rFonts w:ascii="Arial" w:cs="Arial" w:eastAsia="Arial" w:hAnsi="Arial"/>
          <w:sz w:val="17"/>
          <w:szCs w:val="17"/>
          <w:color w:val="auto"/>
        </w:rPr>
      </w:pPr>
    </w:p>
    <w:p>
      <w:pPr>
        <w:ind w:left="1080" w:right="280" w:firstLine="389"/>
        <w:spacing w:after="0" w:line="265" w:lineRule="auto"/>
        <w:tabs>
          <w:tab w:leader="none" w:pos="17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provided for in the applicable option agreement or approved by the Company, in its sole discretion, by payment of such other lawful consideration as the Board may determine; or</w:t>
      </w:r>
    </w:p>
    <w:p>
      <w:pPr>
        <w:spacing w:after="0" w:line="86" w:lineRule="exact"/>
        <w:rPr>
          <w:rFonts w:ascii="Arial" w:cs="Arial" w:eastAsia="Arial" w:hAnsi="Arial"/>
          <w:sz w:val="18"/>
          <w:szCs w:val="18"/>
          <w:color w:val="auto"/>
        </w:rPr>
      </w:pPr>
    </w:p>
    <w:p>
      <w:pPr>
        <w:ind w:left="1720" w:hanging="251"/>
        <w:spacing w:after="0"/>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24" w:lineRule="exact"/>
        <w:rPr>
          <w:rFonts w:ascii="Arial" w:cs="Arial" w:eastAsia="Arial" w:hAnsi="Arial"/>
          <w:sz w:val="18"/>
          <w:szCs w:val="18"/>
          <w:color w:val="auto"/>
        </w:rPr>
      </w:pPr>
    </w:p>
    <w:p>
      <w:pPr>
        <w:ind w:left="700" w:right="20" w:firstLine="388"/>
        <w:spacing w:after="0" w:line="312" w:lineRule="auto"/>
        <w:tabs>
          <w:tab w:leader="none" w:pos="1347"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Limitation on Repricing. </w:t>
      </w:r>
      <w:r>
        <w:rPr>
          <w:rFonts w:ascii="Arial" w:cs="Arial" w:eastAsia="Arial" w:hAnsi="Arial"/>
          <w:sz w:val="15"/>
          <w:szCs w:val="15"/>
          <w:color w:val="auto"/>
        </w:rPr>
        <w:t>Unless such action is approved by the Company’s stockholders: (1) no outstanding Option granted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may be amended to provide an exercise price per share that is lower than the then-current exercise price per share of such outstanding Option (other than adjustments pursuant to Section 11) and (2) the Board may not cancel any outstanding option (whether or not granted under the Plan) and grant in consideration therefor new Options under the Plan covering the same or a different number of shares of Common Stock and having an exercise price per share lower than the then-current exercise price per share of the cancelled option.</w:t>
      </w:r>
    </w:p>
    <w:p>
      <w:pPr>
        <w:spacing w:after="0" w:line="58" w:lineRule="exact"/>
        <w:rPr>
          <w:rFonts w:ascii="Arial" w:cs="Arial" w:eastAsia="Arial" w:hAnsi="Arial"/>
          <w:sz w:val="15"/>
          <w:szCs w:val="15"/>
          <w:color w:val="auto"/>
        </w:rPr>
      </w:pPr>
    </w:p>
    <w:p>
      <w:pPr>
        <w:ind w:left="700" w:right="260" w:firstLine="388"/>
        <w:spacing w:after="0" w:line="265" w:lineRule="auto"/>
        <w:tabs>
          <w:tab w:leader="none" w:pos="134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No Reload Rights. </w:t>
      </w:r>
      <w:r>
        <w:rPr>
          <w:rFonts w:ascii="Arial" w:cs="Arial" w:eastAsia="Arial" w:hAnsi="Arial"/>
          <w:sz w:val="18"/>
          <w:szCs w:val="18"/>
          <w:color w:val="auto"/>
        </w:rPr>
        <w:t>No option granted under the Plan shall contain any provision entitling the optionee to the automatic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Options in connection with any exercise of the original Option.</w:t>
      </w:r>
    </w:p>
    <w:p>
      <w:pPr>
        <w:spacing w:after="0" w:line="86" w:lineRule="exact"/>
        <w:rPr>
          <w:rFonts w:ascii="Arial" w:cs="Arial" w:eastAsia="Arial" w:hAnsi="Arial"/>
          <w:sz w:val="18"/>
          <w:szCs w:val="18"/>
          <w:color w:val="auto"/>
        </w:rPr>
      </w:pPr>
    </w:p>
    <w:p>
      <w:pPr>
        <w:ind w:left="700" w:firstLine="388"/>
        <w:spacing w:after="0" w:line="252" w:lineRule="auto"/>
        <w:tabs>
          <w:tab w:leader="none" w:pos="1308"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Substitute Options. </w:t>
      </w:r>
      <w:r>
        <w:rPr>
          <w:rFonts w:ascii="Arial" w:cs="Arial" w:eastAsia="Arial" w:hAnsi="Arial"/>
          <w:sz w:val="18"/>
          <w:szCs w:val="18"/>
          <w:color w:val="auto"/>
        </w:rPr>
        <w:t>In connection with a merger or consolidation of an entity with the Company or the acquisition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80"/>
        <w:spacing w:after="0" w:line="294" w:lineRule="auto"/>
        <w:rPr>
          <w:sz w:val="20"/>
          <w:szCs w:val="20"/>
          <w:color w:val="auto"/>
        </w:rPr>
      </w:pPr>
      <w:r>
        <w:rPr>
          <w:rFonts w:ascii="Arial" w:cs="Arial" w:eastAsia="Arial" w:hAnsi="Arial"/>
          <w:sz w:val="17"/>
          <w:szCs w:val="17"/>
          <w:color w:val="auto"/>
        </w:rPr>
        <w:t>Awards contained in the other sections of this Section 5 or in Section 2. Substitute Awards shall not count against the overall share limit set forth in Section 4(a), except as may be required by reason of Section 422 and related provisions of the Code.</w:t>
      </w:r>
    </w:p>
    <w:p>
      <w:pPr>
        <w:spacing w:after="0" w:line="171" w:lineRule="exact"/>
        <w:rPr>
          <w:sz w:val="20"/>
          <w:szCs w:val="20"/>
          <w:color w:val="auto"/>
        </w:rPr>
      </w:pPr>
    </w:p>
    <w:p>
      <w:pPr>
        <w:ind w:left="1000" w:hanging="309"/>
        <w:spacing w:after="0"/>
        <w:tabs>
          <w:tab w:leader="none" w:pos="10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Appreciation Rights.</w:t>
      </w:r>
    </w:p>
    <w:p>
      <w:pPr>
        <w:spacing w:after="0" w:line="124" w:lineRule="exact"/>
        <w:rPr>
          <w:rFonts w:ascii="Arial" w:cs="Arial" w:eastAsia="Arial" w:hAnsi="Arial"/>
          <w:sz w:val="18"/>
          <w:szCs w:val="18"/>
          <w:b w:val="1"/>
          <w:bCs w:val="1"/>
          <w:color w:val="auto"/>
        </w:rPr>
      </w:pPr>
    </w:p>
    <w:p>
      <w:pPr>
        <w:ind w:left="700" w:right="160" w:firstLine="388"/>
        <w:spacing w:after="0" w:line="271" w:lineRule="auto"/>
        <w:tabs>
          <w:tab w:leader="none" w:pos="1337"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Board may grant Awards consisting of a Stock Appreciation Right (“SAR”) entitling the holder, upon exercise,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an amount in Common Stock or cash or a combination thereof (as specified by the Board in the applicable Award agreement or otherwise) determined by reference to appreciation, from and after the date of grant, in the fair market value of a share of Common Stock. The date as of which such appreciation or other measure is determined shall be the exercise date.</w:t>
      </w:r>
    </w:p>
    <w:p>
      <w:pPr>
        <w:spacing w:after="0" w:line="85" w:lineRule="exact"/>
        <w:rPr>
          <w:rFonts w:ascii="Arial" w:cs="Arial" w:eastAsia="Arial" w:hAnsi="Arial"/>
          <w:sz w:val="17"/>
          <w:szCs w:val="17"/>
          <w:color w:val="auto"/>
        </w:rPr>
      </w:pPr>
    </w:p>
    <w:p>
      <w:pPr>
        <w:ind w:left="1340" w:hanging="252"/>
        <w:spacing w:after="0"/>
        <w:tabs>
          <w:tab w:leader="none" w:pos="1340"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Grants. </w:t>
      </w:r>
      <w:r>
        <w:rPr>
          <w:rFonts w:ascii="Arial" w:cs="Arial" w:eastAsia="Arial" w:hAnsi="Arial"/>
          <w:sz w:val="17"/>
          <w:szCs w:val="17"/>
          <w:color w:val="auto"/>
        </w:rPr>
        <w:t>Stock Appreciation Rights may be granted in tandem with, or independently of, Options granted under the Plan.</w:t>
      </w:r>
    </w:p>
    <w:p>
      <w:pPr>
        <w:spacing w:after="0" w:line="135" w:lineRule="exact"/>
        <w:rPr>
          <w:rFonts w:ascii="Arial" w:cs="Arial" w:eastAsia="Arial" w:hAnsi="Arial"/>
          <w:sz w:val="17"/>
          <w:szCs w:val="17"/>
          <w:color w:val="auto"/>
        </w:rPr>
      </w:pPr>
    </w:p>
    <w:p>
      <w:pPr>
        <w:ind w:left="1080" w:firstLine="389"/>
        <w:spacing w:after="0" w:line="264" w:lineRule="auto"/>
        <w:tabs>
          <w:tab w:leader="none" w:pos="1711" w:val="left"/>
        </w:tabs>
        <w:numPr>
          <w:ilvl w:val="2"/>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Tandem Awards. </w:t>
      </w:r>
      <w:r>
        <w:rPr>
          <w:rFonts w:ascii="Arial" w:cs="Arial" w:eastAsia="Arial" w:hAnsi="Arial"/>
          <w:sz w:val="17"/>
          <w:szCs w:val="17"/>
          <w:color w:val="auto"/>
        </w:rPr>
        <w:t>When Stock Appreciation Rights are expressly granted in tandem with Options, (i) the Stock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90" w:lineRule="exact"/>
        <w:rPr>
          <w:rFonts w:ascii="Arial" w:cs="Arial" w:eastAsia="Arial" w:hAnsi="Arial"/>
          <w:sz w:val="17"/>
          <w:szCs w:val="17"/>
          <w:color w:val="auto"/>
        </w:rPr>
      </w:pPr>
    </w:p>
    <w:p>
      <w:pPr>
        <w:ind w:left="1080" w:right="160" w:firstLine="389"/>
        <w:spacing w:after="0" w:line="265" w:lineRule="auto"/>
        <w:tabs>
          <w:tab w:leader="none" w:pos="1711" w:val="left"/>
        </w:tabs>
        <w:numPr>
          <w:ilvl w:val="2"/>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Independent SARs. </w:t>
      </w:r>
      <w:r>
        <w:rPr>
          <w:rFonts w:ascii="Arial" w:cs="Arial" w:eastAsia="Arial" w:hAnsi="Arial"/>
          <w:sz w:val="18"/>
          <w:szCs w:val="18"/>
          <w:color w:val="auto"/>
        </w:rPr>
        <w:t>A Stock Appreciation Right not expressly granted in tandem with an Option will become exercisable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 or times, and on such conditions, as the Board may specify in the SAR Award.</w:t>
      </w:r>
    </w:p>
    <w:p>
      <w:pPr>
        <w:spacing w:after="0" w:line="86" w:lineRule="exact"/>
        <w:rPr>
          <w:rFonts w:ascii="Arial" w:cs="Arial" w:eastAsia="Arial" w:hAnsi="Arial"/>
          <w:sz w:val="18"/>
          <w:szCs w:val="18"/>
          <w:color w:val="auto"/>
        </w:rPr>
      </w:pPr>
    </w:p>
    <w:p>
      <w:pPr>
        <w:ind w:left="700" w:right="200" w:firstLine="388"/>
        <w:spacing w:after="0" w:line="255" w:lineRule="auto"/>
        <w:tabs>
          <w:tab w:leader="none" w:pos="1337"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 Board shall establish the exercise or grant price of each SAR and specify such price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exercise or grant price shall be not less than 100% of the Fair Market Value per share of Common Stock on the date the SAR is granted.</w:t>
      </w:r>
    </w:p>
    <w:p>
      <w:pPr>
        <w:spacing w:after="0" w:line="95" w:lineRule="exact"/>
        <w:rPr>
          <w:rFonts w:ascii="Arial" w:cs="Arial" w:eastAsia="Arial" w:hAnsi="Arial"/>
          <w:sz w:val="18"/>
          <w:szCs w:val="18"/>
          <w:color w:val="auto"/>
        </w:rPr>
      </w:pPr>
    </w:p>
    <w:p>
      <w:pPr>
        <w:ind w:left="700" w:right="80" w:firstLine="388"/>
        <w:spacing w:after="0" w:line="294" w:lineRule="auto"/>
        <w:tabs>
          <w:tab w:leader="none" w:pos="1347"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Duration of SAR. </w:t>
      </w:r>
      <w:r>
        <w:rPr>
          <w:rFonts w:ascii="Arial" w:cs="Arial" w:eastAsia="Arial" w:hAnsi="Arial"/>
          <w:sz w:val="17"/>
          <w:szCs w:val="17"/>
          <w:color w:val="auto"/>
        </w:rPr>
        <w:t>Each SAR shall be exercisable at such times and subject to such terms and conditions as the Board may specify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the applicable Award agreement; </w:t>
      </w:r>
      <w:r>
        <w:rPr>
          <w:rFonts w:ascii="Arial" w:cs="Arial" w:eastAsia="Arial" w:hAnsi="Arial"/>
          <w:sz w:val="17"/>
          <w:szCs w:val="17"/>
          <w:i w:val="1"/>
          <w:iCs w:val="1"/>
          <w:color w:val="auto"/>
        </w:rPr>
        <w:t>provided</w:t>
      </w:r>
      <w:r>
        <w:rPr>
          <w:rFonts w:ascii="Arial" w:cs="Arial" w:eastAsia="Arial" w:hAnsi="Arial"/>
          <w:sz w:val="17"/>
          <w:szCs w:val="17"/>
          <w:color w:val="auto"/>
        </w:rPr>
        <w:t>, however, that no SAR will be granted for a term in excess of 10 years.</w:t>
      </w:r>
    </w:p>
    <w:p>
      <w:pPr>
        <w:spacing w:after="0" w:line="64" w:lineRule="exact"/>
        <w:rPr>
          <w:rFonts w:ascii="Arial" w:cs="Arial" w:eastAsia="Arial" w:hAnsi="Arial"/>
          <w:sz w:val="17"/>
          <w:szCs w:val="17"/>
          <w:color w:val="auto"/>
        </w:rPr>
      </w:pPr>
    </w:p>
    <w:p>
      <w:pPr>
        <w:ind w:left="700" w:right="100" w:firstLine="388"/>
        <w:spacing w:after="0" w:line="255" w:lineRule="auto"/>
        <w:tabs>
          <w:tab w:leader="none" w:pos="1337"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Stock Appreciation Rights may be exercised by delivery to the Company, or an agent of the Company, of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exercise signed by the proper person or by any other form of notice (including electronic notice) approved by the Board, together with any other documents required by the Board.</w:t>
      </w:r>
    </w:p>
    <w:p>
      <w:pPr>
        <w:spacing w:after="0" w:line="95" w:lineRule="exact"/>
        <w:rPr>
          <w:rFonts w:ascii="Arial" w:cs="Arial" w:eastAsia="Arial" w:hAnsi="Arial"/>
          <w:sz w:val="18"/>
          <w:szCs w:val="18"/>
          <w:color w:val="auto"/>
        </w:rPr>
      </w:pPr>
    </w:p>
    <w:p>
      <w:pPr>
        <w:ind w:left="700" w:right="160" w:firstLine="388"/>
        <w:spacing w:after="0" w:line="312" w:lineRule="auto"/>
        <w:tabs>
          <w:tab w:leader="none" w:pos="1318" w:val="left"/>
        </w:tabs>
        <w:numPr>
          <w:ilvl w:val="1"/>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Limitation on Repricing. </w:t>
      </w:r>
      <w:r>
        <w:rPr>
          <w:rFonts w:ascii="Arial" w:cs="Arial" w:eastAsia="Arial" w:hAnsi="Arial"/>
          <w:sz w:val="15"/>
          <w:szCs w:val="15"/>
          <w:color w:val="auto"/>
        </w:rPr>
        <w:t>Unless such action is approved by the Company’s stockholders: (1) no outstanding SAR granted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may be amended to provide an exercise price per share that is lower than the then-current exercise price per share of such outstanding SAR (other than adjustments pursuant to Section 11) and (2) the Board may not cancel any outstanding SAR (whether or not granted under the Plan) and grant in consideration therefor new SARs under the Plan covering the same or a different number of shares of Common Stock and having an exercise price per share lower than the then-current exercise price per share of the cancelled SAR.</w:t>
      </w:r>
    </w:p>
    <w:p>
      <w:pPr>
        <w:spacing w:after="0" w:line="164" w:lineRule="exact"/>
        <w:rPr>
          <w:rFonts w:ascii="Arial" w:cs="Arial" w:eastAsia="Arial" w:hAnsi="Arial"/>
          <w:sz w:val="15"/>
          <w:szCs w:val="15"/>
          <w:color w:val="auto"/>
        </w:rPr>
      </w:pPr>
    </w:p>
    <w:p>
      <w:pPr>
        <w:ind w:left="1000" w:hanging="309"/>
        <w:spacing w:after="0"/>
        <w:tabs>
          <w:tab w:leader="none" w:pos="10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Stock.</w:t>
      </w:r>
    </w:p>
    <w:p>
      <w:pPr>
        <w:spacing w:after="0" w:line="124" w:lineRule="exact"/>
        <w:rPr>
          <w:rFonts w:ascii="Arial" w:cs="Arial" w:eastAsia="Arial" w:hAnsi="Arial"/>
          <w:sz w:val="18"/>
          <w:szCs w:val="18"/>
          <w:b w:val="1"/>
          <w:bCs w:val="1"/>
          <w:color w:val="auto"/>
        </w:rPr>
      </w:pPr>
    </w:p>
    <w:p>
      <w:pPr>
        <w:ind w:left="700" w:right="40" w:firstLine="388"/>
        <w:spacing w:after="0" w:line="255" w:lineRule="auto"/>
        <w:tabs>
          <w:tab w:leader="none" w:pos="1337"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Board may grant Awards entitling recipients to acquire shares of Common Stock (“Restricted Stock”),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the Company to repurchase all or part of such shares at their issue price or other stated or formula price (or to require forfeiture of such shares if issued at no cost) from the recipient in</w:t>
      </w:r>
    </w:p>
    <w:p>
      <w:pPr>
        <w:spacing w:after="0" w:line="37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60"/>
        <w:spacing w:after="0" w:line="265" w:lineRule="auto"/>
        <w:rPr>
          <w:sz w:val="20"/>
          <w:szCs w:val="20"/>
          <w:color w:val="auto"/>
        </w:rPr>
      </w:pPr>
      <w:r>
        <w:rPr>
          <w:rFonts w:ascii="Arial" w:cs="Arial" w:eastAsia="Arial" w:hAnsi="Arial"/>
          <w:sz w:val="18"/>
          <w:szCs w:val="18"/>
          <w:color w:val="auto"/>
        </w:rPr>
        <w:t>the event that conditions specified by the Board in the applicable Award are not satisfied prior to the end of the applicable restriction period or periods established by the Board for such Award.</w:t>
      </w:r>
    </w:p>
    <w:p>
      <w:pPr>
        <w:spacing w:after="0" w:line="87" w:lineRule="exact"/>
        <w:rPr>
          <w:sz w:val="20"/>
          <w:szCs w:val="20"/>
          <w:color w:val="auto"/>
        </w:rPr>
      </w:pPr>
    </w:p>
    <w:p>
      <w:pPr>
        <w:ind w:left="700" w:right="220" w:firstLine="388"/>
        <w:spacing w:after="0" w:line="265" w:lineRule="auto"/>
        <w:tabs>
          <w:tab w:leader="none" w:pos="1347"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Terms and Conditions. </w:t>
      </w:r>
      <w:r>
        <w:rPr>
          <w:rFonts w:ascii="Arial" w:cs="Arial" w:eastAsia="Arial" w:hAnsi="Arial"/>
          <w:sz w:val="18"/>
          <w:szCs w:val="18"/>
          <w:color w:val="auto"/>
        </w:rPr>
        <w:t>Subject to Section 7(c), the Board shall determine the terms and conditions of a Restricted Stock Award,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conditions for vesting and forfeiture and the issue price, if any.</w:t>
      </w:r>
    </w:p>
    <w:p>
      <w:pPr>
        <w:spacing w:after="0" w:line="86" w:lineRule="exact"/>
        <w:rPr>
          <w:rFonts w:ascii="Arial" w:cs="Arial" w:eastAsia="Arial" w:hAnsi="Arial"/>
          <w:sz w:val="18"/>
          <w:szCs w:val="18"/>
          <w:color w:val="auto"/>
        </w:rPr>
      </w:pPr>
    </w:p>
    <w:p>
      <w:pPr>
        <w:ind w:left="700" w:right="180" w:firstLine="388"/>
        <w:spacing w:after="0" w:line="269" w:lineRule="auto"/>
        <w:tabs>
          <w:tab w:leader="none" w:pos="1337"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Limitations on Vesting Conditions. </w:t>
      </w:r>
      <w:r>
        <w:rPr>
          <w:rFonts w:ascii="Arial" w:cs="Arial" w:eastAsia="Arial" w:hAnsi="Arial"/>
          <w:sz w:val="17"/>
          <w:szCs w:val="17"/>
          <w:color w:val="auto"/>
        </w:rPr>
        <w:t>No vesting condition that is based on performance criteria and level of achievement versus</w:t>
      </w:r>
      <w:r>
        <w:rPr>
          <w:rFonts w:ascii="Arial" w:cs="Arial" w:eastAsia="Arial" w:hAnsi="Arial"/>
          <w:sz w:val="17"/>
          <w:szCs w:val="17"/>
          <w:i w:val="1"/>
          <w:iCs w:val="1"/>
          <w:color w:val="auto"/>
        </w:rPr>
        <w:t xml:space="preserve"> </w:t>
      </w:r>
      <w:r>
        <w:rPr>
          <w:rFonts w:ascii="Arial" w:cs="Arial" w:eastAsia="Arial" w:hAnsi="Arial"/>
          <w:sz w:val="17"/>
          <w:szCs w:val="17"/>
          <w:color w:val="auto"/>
        </w:rPr>
        <w:t>such criteria shall be based on performance over a period of less than 12 months, and no vesting condition that is based upon continued employment or the passage of time shall provide for vesting in full of a Restricted Stock Award in less than pro rata rate installments over three years from the date the Award is made, other than in the event of death, disability or retirement of the Participant, in each case as specified in the Agreement evidencing such Award.</w:t>
      </w:r>
    </w:p>
    <w:p>
      <w:pPr>
        <w:spacing w:after="0" w:line="84" w:lineRule="exact"/>
        <w:rPr>
          <w:rFonts w:ascii="Arial" w:cs="Arial" w:eastAsia="Arial" w:hAnsi="Arial"/>
          <w:sz w:val="17"/>
          <w:szCs w:val="17"/>
          <w:color w:val="auto"/>
        </w:rPr>
      </w:pPr>
    </w:p>
    <w:p>
      <w:pPr>
        <w:jc w:val="both"/>
        <w:ind w:left="700" w:right="40" w:firstLine="388"/>
        <w:spacing w:after="0" w:line="252" w:lineRule="auto"/>
        <w:tabs>
          <w:tab w:leader="none" w:pos="1347"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Participants holding shares of Restricted Stock will be entitled to all ordinary cash dividends paid with respect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unless otherwise provided by the Board. If any such dividends or distributions are paid in shares, or consist of an extraordinary cash dividend, the shares or cash will be subject to the same restrictions on transferability and forfeitability as the shares of Restricted Stock with respect to which they were paid, unless otherwise provided by the Board.</w:t>
      </w:r>
    </w:p>
    <w:p>
      <w:pPr>
        <w:spacing w:after="0" w:line="98" w:lineRule="exact"/>
        <w:rPr>
          <w:rFonts w:ascii="Arial" w:cs="Arial" w:eastAsia="Arial" w:hAnsi="Arial"/>
          <w:sz w:val="18"/>
          <w:szCs w:val="18"/>
          <w:color w:val="auto"/>
        </w:rPr>
      </w:pPr>
    </w:p>
    <w:p>
      <w:pPr>
        <w:ind w:left="700" w:firstLine="388"/>
        <w:spacing w:after="0" w:line="309" w:lineRule="auto"/>
        <w:tabs>
          <w:tab w:leader="none" w:pos="1337" w:val="left"/>
        </w:tabs>
        <w:numPr>
          <w:ilvl w:val="1"/>
          <w:numId w:val="47"/>
        </w:numPr>
        <w:rPr>
          <w:rFonts w:ascii="Arial" w:cs="Arial" w:eastAsia="Arial" w:hAnsi="Arial"/>
          <w:sz w:val="15"/>
          <w:szCs w:val="15"/>
          <w:color w:val="auto"/>
        </w:rPr>
      </w:pPr>
      <w:r>
        <w:rPr>
          <w:rFonts w:ascii="Arial" w:cs="Arial" w:eastAsia="Arial" w:hAnsi="Arial"/>
          <w:sz w:val="15"/>
          <w:szCs w:val="15"/>
          <w:i w:val="1"/>
          <w:iCs w:val="1"/>
          <w:color w:val="auto"/>
        </w:rPr>
        <w:t xml:space="preserve">Stock Certificates. </w:t>
      </w:r>
      <w:r>
        <w:rPr>
          <w:rFonts w:ascii="Arial" w:cs="Arial" w:eastAsia="Arial" w:hAnsi="Arial"/>
          <w:sz w:val="15"/>
          <w:szCs w:val="15"/>
          <w:color w:val="auto"/>
        </w:rPr>
        <w:t>The Company may require that the stock certificates, if any, issued in respect of a Restricted Stock Award shall</w:t>
      </w:r>
      <w:r>
        <w:rPr>
          <w:rFonts w:ascii="Arial" w:cs="Arial" w:eastAsia="Arial" w:hAnsi="Arial"/>
          <w:sz w:val="15"/>
          <w:szCs w:val="15"/>
          <w:i w:val="1"/>
          <w:iCs w:val="1"/>
          <w:color w:val="auto"/>
        </w:rPr>
        <w:t xml:space="preserve"> </w:t>
      </w:r>
      <w:r>
        <w:rPr>
          <w:rFonts w:ascii="Arial" w:cs="Arial" w:eastAsia="Arial" w:hAnsi="Arial"/>
          <w:sz w:val="15"/>
          <w:szCs w:val="15"/>
          <w:color w:val="auto"/>
        </w:rPr>
        <w:t>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65" w:lineRule="exact"/>
        <w:rPr>
          <w:rFonts w:ascii="Arial" w:cs="Arial" w:eastAsia="Arial" w:hAnsi="Arial"/>
          <w:sz w:val="15"/>
          <w:szCs w:val="15"/>
          <w:color w:val="auto"/>
        </w:rPr>
      </w:pPr>
    </w:p>
    <w:p>
      <w:pPr>
        <w:ind w:left="1000" w:hanging="309"/>
        <w:spacing w:after="0"/>
        <w:tabs>
          <w:tab w:leader="none" w:pos="10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Stock Units.</w:t>
      </w:r>
    </w:p>
    <w:p>
      <w:pPr>
        <w:spacing w:after="0" w:line="124" w:lineRule="exact"/>
        <w:rPr>
          <w:rFonts w:ascii="Arial" w:cs="Arial" w:eastAsia="Arial" w:hAnsi="Arial"/>
          <w:sz w:val="18"/>
          <w:szCs w:val="18"/>
          <w:b w:val="1"/>
          <w:bCs w:val="1"/>
          <w:color w:val="auto"/>
        </w:rPr>
      </w:pPr>
    </w:p>
    <w:p>
      <w:pPr>
        <w:ind w:left="700" w:right="280" w:firstLine="388"/>
        <w:spacing w:after="0" w:line="265" w:lineRule="auto"/>
        <w:tabs>
          <w:tab w:leader="none" w:pos="1337"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Board may grant Awards consisting of Restricted Stock Units. “Restricted Stock Unit” means a fictional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granted to a Participant and represented initially by a bookkeeping entry.</w:t>
      </w:r>
    </w:p>
    <w:p>
      <w:pPr>
        <w:spacing w:after="0" w:line="86" w:lineRule="exact"/>
        <w:rPr>
          <w:rFonts w:ascii="Arial" w:cs="Arial" w:eastAsia="Arial" w:hAnsi="Arial"/>
          <w:sz w:val="18"/>
          <w:szCs w:val="18"/>
          <w:color w:val="auto"/>
        </w:rPr>
      </w:pPr>
    </w:p>
    <w:p>
      <w:pPr>
        <w:ind w:left="700" w:right="20" w:firstLine="388"/>
        <w:spacing w:after="0" w:line="249" w:lineRule="auto"/>
        <w:tabs>
          <w:tab w:leader="none" w:pos="1347"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Terms and Conditions. </w:t>
      </w:r>
      <w:r>
        <w:rPr>
          <w:rFonts w:ascii="Arial" w:cs="Arial" w:eastAsia="Arial" w:hAnsi="Arial"/>
          <w:sz w:val="18"/>
          <w:szCs w:val="18"/>
          <w:color w:val="auto"/>
        </w:rPr>
        <w:t>Subject to Section 8(c), the Board shall determine the terms and conditions of a 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conditions for vesting and forfeiture and issue price, if any. Upon the vesting of and/or lapsing of any other restrictions with respect to each Restricted Stock Unit, the Participant shall be entitled to receive from the Company one share of Common Stock or an amount of cash equal to the Fair Market Value of one share of Common Stock, as specified by the Board in the applicable Award agreement or otherwise. The Board may, in its discretion, provide that settlement of Restricted Stock Units shall be deferred, on a mandatory basis or at the election of the Participant.</w:t>
      </w:r>
    </w:p>
    <w:p>
      <w:pPr>
        <w:spacing w:after="0" w:line="103" w:lineRule="exact"/>
        <w:rPr>
          <w:rFonts w:ascii="Arial" w:cs="Arial" w:eastAsia="Arial" w:hAnsi="Arial"/>
          <w:sz w:val="18"/>
          <w:szCs w:val="18"/>
          <w:color w:val="auto"/>
        </w:rPr>
      </w:pPr>
    </w:p>
    <w:p>
      <w:pPr>
        <w:ind w:left="700" w:right="340" w:firstLine="388"/>
        <w:spacing w:after="0" w:line="269" w:lineRule="auto"/>
        <w:tabs>
          <w:tab w:leader="none" w:pos="1337"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Limitations on Vesting Conditions. </w:t>
      </w:r>
      <w:r>
        <w:rPr>
          <w:rFonts w:ascii="Arial" w:cs="Arial" w:eastAsia="Arial" w:hAnsi="Arial"/>
          <w:sz w:val="17"/>
          <w:szCs w:val="17"/>
          <w:color w:val="auto"/>
        </w:rPr>
        <w:t>No vesting condition that is based on performance criteria and level of achievement versus</w:t>
      </w:r>
      <w:r>
        <w:rPr>
          <w:rFonts w:ascii="Arial" w:cs="Arial" w:eastAsia="Arial" w:hAnsi="Arial"/>
          <w:sz w:val="17"/>
          <w:szCs w:val="17"/>
          <w:i w:val="1"/>
          <w:iCs w:val="1"/>
          <w:color w:val="auto"/>
        </w:rPr>
        <w:t xml:space="preserve"> </w:t>
      </w:r>
      <w:r>
        <w:rPr>
          <w:rFonts w:ascii="Arial" w:cs="Arial" w:eastAsia="Arial" w:hAnsi="Arial"/>
          <w:sz w:val="17"/>
          <w:szCs w:val="17"/>
          <w:color w:val="auto"/>
        </w:rPr>
        <w:t>such criteria shall be based on performance over a period of less than 12 months, and no vesting condition that is based upon continued employment or the passage of time shall provide for vesting in full of a Restricted Stock Unit in less than pro rata rate installments over three years from the date the Award is made, other than in the event of death, disability or retirement of the Participant, in each case as specified in the Agreement evidencing such Award.</w:t>
      </w:r>
    </w:p>
    <w:p>
      <w:pPr>
        <w:spacing w:after="0" w:line="84" w:lineRule="exact"/>
        <w:rPr>
          <w:rFonts w:ascii="Arial" w:cs="Arial" w:eastAsia="Arial" w:hAnsi="Arial"/>
          <w:sz w:val="17"/>
          <w:szCs w:val="17"/>
          <w:color w:val="auto"/>
        </w:rPr>
      </w:pPr>
    </w:p>
    <w:p>
      <w:pPr>
        <w:ind w:left="1340" w:hanging="252"/>
        <w:spacing w:after="0"/>
        <w:tabs>
          <w:tab w:leader="none" w:pos="1340"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A Participant shall have no voting rights with respect to any Restricted Stock Units.</w:t>
      </w:r>
    </w:p>
    <w:p>
      <w:pPr>
        <w:spacing w:after="0" w:line="124" w:lineRule="exact"/>
        <w:rPr>
          <w:rFonts w:ascii="Arial" w:cs="Arial" w:eastAsia="Arial" w:hAnsi="Arial"/>
          <w:sz w:val="18"/>
          <w:szCs w:val="18"/>
          <w:color w:val="auto"/>
        </w:rPr>
      </w:pPr>
    </w:p>
    <w:p>
      <w:pPr>
        <w:ind w:left="700" w:right="60" w:firstLine="388"/>
        <w:spacing w:after="0" w:line="267" w:lineRule="auto"/>
        <w:tabs>
          <w:tab w:leader="none" w:pos="1337"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Unless otherwise provided by the Board, in its sole discretion, a grant of Restricted Stock Units shall not entitle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w:t>
      </w:r>
    </w:p>
    <w:p>
      <w:pPr>
        <w:spacing w:after="0" w:line="3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00" w:hanging="309"/>
        <w:spacing w:after="0"/>
        <w:tabs>
          <w:tab w:leader="none" w:pos="10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Performance Awards.</w:t>
      </w:r>
    </w:p>
    <w:p>
      <w:pPr>
        <w:spacing w:after="0" w:line="124" w:lineRule="exact"/>
        <w:rPr>
          <w:rFonts w:ascii="Arial" w:cs="Arial" w:eastAsia="Arial" w:hAnsi="Arial"/>
          <w:sz w:val="18"/>
          <w:szCs w:val="18"/>
          <w:b w:val="1"/>
          <w:bCs w:val="1"/>
          <w:color w:val="auto"/>
        </w:rPr>
      </w:pPr>
    </w:p>
    <w:p>
      <w:pPr>
        <w:ind w:left="700" w:right="920" w:firstLine="388"/>
        <w:spacing w:after="0" w:line="265" w:lineRule="auto"/>
        <w:tabs>
          <w:tab w:leader="none" w:pos="1337"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Restricted Stock Awards, Restricted Stock Units and other Awards under the Plan may be made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performance measures pursuant to this Section 9 (“Performance Awards”).</w:t>
      </w:r>
    </w:p>
    <w:p>
      <w:pPr>
        <w:spacing w:after="0" w:line="86" w:lineRule="exact"/>
        <w:rPr>
          <w:rFonts w:ascii="Arial" w:cs="Arial" w:eastAsia="Arial" w:hAnsi="Arial"/>
          <w:sz w:val="18"/>
          <w:szCs w:val="18"/>
          <w:color w:val="auto"/>
        </w:rPr>
      </w:pPr>
    </w:p>
    <w:p>
      <w:pPr>
        <w:ind w:left="700" w:right="100" w:firstLine="388"/>
        <w:spacing w:after="0" w:line="267" w:lineRule="auto"/>
        <w:tabs>
          <w:tab w:leader="none" w:pos="1347"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Committee. </w:t>
      </w:r>
      <w:r>
        <w:rPr>
          <w:rFonts w:ascii="Arial" w:cs="Arial" w:eastAsia="Arial" w:hAnsi="Arial"/>
          <w:sz w:val="17"/>
          <w:szCs w:val="17"/>
          <w:color w:val="auto"/>
        </w:rPr>
        <w:t>Grants of Performance Awards to any Covered Employee intended to qualify as “performance-based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162(m) (“Performance-Based Compensation”) shall be made only by a Committee (or subcommittee of a Committee) comprised solely of two or more directors eligible to serve on a committee making Awards qualifying as “performance-based compensation” under Section 162(m) of the Code.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87" w:lineRule="exact"/>
        <w:rPr>
          <w:rFonts w:ascii="Arial" w:cs="Arial" w:eastAsia="Arial" w:hAnsi="Arial"/>
          <w:sz w:val="17"/>
          <w:szCs w:val="17"/>
          <w:color w:val="auto"/>
        </w:rPr>
      </w:pPr>
    </w:p>
    <w:p>
      <w:pPr>
        <w:ind w:left="700" w:firstLine="388"/>
        <w:spacing w:after="0" w:line="298" w:lineRule="auto"/>
        <w:tabs>
          <w:tab w:leader="none" w:pos="1337" w:val="left"/>
        </w:tabs>
        <w:numPr>
          <w:ilvl w:val="1"/>
          <w:numId w:val="49"/>
        </w:numPr>
        <w:rPr>
          <w:rFonts w:ascii="Arial" w:cs="Arial" w:eastAsia="Arial" w:hAnsi="Arial"/>
          <w:sz w:val="15"/>
          <w:szCs w:val="15"/>
          <w:color w:val="auto"/>
        </w:rPr>
      </w:pPr>
      <w:r>
        <w:rPr>
          <w:rFonts w:ascii="Arial" w:cs="Arial" w:eastAsia="Arial" w:hAnsi="Arial"/>
          <w:sz w:val="15"/>
          <w:szCs w:val="15"/>
          <w:i w:val="1"/>
          <w:iCs w:val="1"/>
          <w:color w:val="auto"/>
        </w:rPr>
        <w:t xml:space="preserve">Performance Measures. </w:t>
      </w:r>
      <w:r>
        <w:rPr>
          <w:rFonts w:ascii="Arial" w:cs="Arial" w:eastAsia="Arial" w:hAnsi="Arial"/>
          <w:sz w:val="15"/>
          <w:szCs w:val="15"/>
          <w:color w:val="auto"/>
        </w:rPr>
        <w:t>For any Award that is intended to qualify as Performance-Based Compensation, the Committee shall</w:t>
      </w:r>
      <w:r>
        <w:rPr>
          <w:rFonts w:ascii="Arial" w:cs="Arial" w:eastAsia="Arial" w:hAnsi="Arial"/>
          <w:sz w:val="15"/>
          <w:szCs w:val="15"/>
          <w:i w:val="1"/>
          <w:iCs w:val="1"/>
          <w:color w:val="auto"/>
        </w:rPr>
        <w:t xml:space="preserve"> </w:t>
      </w:r>
      <w:r>
        <w:rPr>
          <w:rFonts w:ascii="Arial" w:cs="Arial" w:eastAsia="Arial" w:hAnsi="Arial"/>
          <w:sz w:val="15"/>
          <w:szCs w:val="15"/>
          <w:color w:val="auto"/>
        </w:rPr>
        <w:t>specify in the applicable Award agreement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 (d) sales, (e) sales growth,</w:t>
      </w:r>
    </w:p>
    <w:p>
      <w:pPr>
        <w:spacing w:after="0" w:line="1"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5"/>
          <w:szCs w:val="15"/>
          <w:color w:val="auto"/>
        </w:rPr>
        <w:t>(f) earnings growth, (g) cash flow, free cash flow or cash position, (h) gross margins or margin percentages, (i) stock price, (j) market share,</w:t>
      </w:r>
    </w:p>
    <w:p>
      <w:pPr>
        <w:spacing w:after="0" w:line="39" w:lineRule="exact"/>
        <w:rPr>
          <w:rFonts w:ascii="Arial" w:cs="Arial" w:eastAsia="Arial" w:hAnsi="Arial"/>
          <w:sz w:val="15"/>
          <w:szCs w:val="15"/>
          <w:color w:val="auto"/>
        </w:rPr>
      </w:pPr>
    </w:p>
    <w:p>
      <w:pPr>
        <w:ind w:left="700" w:right="40"/>
        <w:spacing w:after="0" w:line="300" w:lineRule="auto"/>
        <w:rPr>
          <w:rFonts w:ascii="Arial" w:cs="Arial" w:eastAsia="Arial" w:hAnsi="Arial"/>
          <w:sz w:val="15"/>
          <w:szCs w:val="15"/>
          <w:color w:val="auto"/>
        </w:rPr>
      </w:pPr>
      <w:r>
        <w:rPr>
          <w:rFonts w:ascii="Arial" w:cs="Arial" w:eastAsia="Arial" w:hAnsi="Arial"/>
          <w:sz w:val="15"/>
          <w:szCs w:val="15"/>
          <w:color w:val="auto"/>
        </w:rPr>
        <w:t>(k) return on sales, assets, equity or investment, (l) improvement of financial ratings, (m) achievement of balance sheet or income statement objectives or (n) total shareholder return, (o) product release schedules, (p) product shipment targets, (q) customer satisfaction or (r) new product innovation. Such measures may be absolute in their terms or measured against or in relationship to other companies comparably, similarly or otherwise situated and may be determined on a total or per share basis. Such performance measures may be adjusted to exclude any one or more of (i) extraordinary items, (ii) gains or losses on the dispositions of discontinued operations, (iii) the cumulative effects of changes in accounting principles, (iv) the writedown of any asset, (v) stock based compensation, and (vi)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69" w:lineRule="exact"/>
        <w:rPr>
          <w:rFonts w:ascii="Arial" w:cs="Arial" w:eastAsia="Arial" w:hAnsi="Arial"/>
          <w:sz w:val="15"/>
          <w:szCs w:val="15"/>
          <w:color w:val="auto"/>
        </w:rPr>
      </w:pPr>
    </w:p>
    <w:p>
      <w:pPr>
        <w:ind w:left="700" w:right="80" w:firstLine="388"/>
        <w:spacing w:after="0" w:line="252" w:lineRule="auto"/>
        <w:tabs>
          <w:tab w:leader="none" w:pos="1347"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Notwithstanding any provision of the Plan, with respect to any Performance Award that is intended to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w:t>
      </w:r>
    </w:p>
    <w:p>
      <w:pPr>
        <w:spacing w:after="0" w:line="98" w:lineRule="exact"/>
        <w:rPr>
          <w:rFonts w:ascii="Arial" w:cs="Arial" w:eastAsia="Arial" w:hAnsi="Arial"/>
          <w:sz w:val="18"/>
          <w:szCs w:val="18"/>
          <w:color w:val="auto"/>
        </w:rPr>
      </w:pPr>
    </w:p>
    <w:p>
      <w:pPr>
        <w:ind w:left="700" w:right="180" w:firstLine="388"/>
        <w:spacing w:after="0" w:line="294" w:lineRule="auto"/>
        <w:tabs>
          <w:tab w:leader="none" w:pos="1337"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The Committee shall have the power to impose such other restrictions on Awards subject to this Section 9 as it may deem</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or appropriate to ensure that such Awards satisfy all requirements for Performance-Based Compensation.</w:t>
      </w:r>
    </w:p>
    <w:p>
      <w:pPr>
        <w:spacing w:after="0" w:line="170" w:lineRule="exact"/>
        <w:rPr>
          <w:rFonts w:ascii="Arial" w:cs="Arial" w:eastAsia="Arial" w:hAnsi="Arial"/>
          <w:sz w:val="17"/>
          <w:szCs w:val="17"/>
          <w:color w:val="auto"/>
        </w:rPr>
      </w:pPr>
    </w:p>
    <w:p>
      <w:pPr>
        <w:ind w:left="1200" w:hanging="509"/>
        <w:spacing w:after="0"/>
        <w:tabs>
          <w:tab w:leader="none" w:pos="12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Stock-Based Awards.</w:t>
      </w:r>
    </w:p>
    <w:p>
      <w:pPr>
        <w:spacing w:after="0" w:line="124" w:lineRule="exact"/>
        <w:rPr>
          <w:rFonts w:ascii="Arial" w:cs="Arial" w:eastAsia="Arial" w:hAnsi="Arial"/>
          <w:sz w:val="18"/>
          <w:szCs w:val="18"/>
          <w:b w:val="1"/>
          <w:bCs w:val="1"/>
          <w:color w:val="auto"/>
        </w:rPr>
      </w:pPr>
    </w:p>
    <w:p>
      <w:pPr>
        <w:ind w:left="700" w:right="60" w:firstLine="388"/>
        <w:spacing w:after="0" w:line="266" w:lineRule="auto"/>
        <w:tabs>
          <w:tab w:leader="none" w:pos="1337"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Grants. </w:t>
      </w:r>
      <w:r>
        <w:rPr>
          <w:rFonts w:ascii="Arial" w:cs="Arial" w:eastAsia="Arial" w:hAnsi="Arial"/>
          <w:sz w:val="17"/>
          <w:szCs w:val="17"/>
          <w:color w:val="auto"/>
        </w:rPr>
        <w:t>Other Awards of shares of Common Stock, and other Awards that are valued in whole or in part by reference to, or are</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p>
    <w:p>
      <w:pPr>
        <w:spacing w:after="0" w:line="3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40" w:firstLine="388"/>
        <w:spacing w:after="0" w:line="250" w:lineRule="auto"/>
        <w:tabs>
          <w:tab w:leader="none" w:pos="1347"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Vesting Conditions. </w:t>
      </w:r>
      <w:r>
        <w:rPr>
          <w:rFonts w:ascii="Arial" w:cs="Arial" w:eastAsia="Arial" w:hAnsi="Arial"/>
          <w:sz w:val="18"/>
          <w:szCs w:val="18"/>
          <w:color w:val="auto"/>
        </w:rPr>
        <w:t>No vesting condition that is based on performance criteria and level of achievement versus</w:t>
      </w:r>
      <w:r>
        <w:rPr>
          <w:rFonts w:ascii="Arial" w:cs="Arial" w:eastAsia="Arial" w:hAnsi="Arial"/>
          <w:sz w:val="18"/>
          <w:szCs w:val="18"/>
          <w:i w:val="1"/>
          <w:iCs w:val="1"/>
          <w:color w:val="auto"/>
        </w:rPr>
        <w:t xml:space="preserve"> </w:t>
      </w:r>
      <w:r>
        <w:rPr>
          <w:rFonts w:ascii="Arial" w:cs="Arial" w:eastAsia="Arial" w:hAnsi="Arial"/>
          <w:sz w:val="18"/>
          <w:szCs w:val="18"/>
          <w:color w:val="auto"/>
        </w:rPr>
        <w:t>such criteria shall be based on performance over a period of less than 12 months, and no vesting condition that is based upon continued employment or the passage of time shall provide for vesting in full of a Other Stock Unit Award in less than pro rata rate installments over three years from the date the Award is made, other than in the event of death, disability or retirement of the Participant, in each case as specified in the Agreement evidencing such Award.</w:t>
      </w:r>
    </w:p>
    <w:p>
      <w:pPr>
        <w:spacing w:after="0" w:line="208" w:lineRule="exact"/>
        <w:rPr>
          <w:rFonts w:ascii="Arial" w:cs="Arial" w:eastAsia="Arial" w:hAnsi="Arial"/>
          <w:sz w:val="18"/>
          <w:szCs w:val="18"/>
          <w:color w:val="auto"/>
        </w:rPr>
      </w:pPr>
    </w:p>
    <w:p>
      <w:pPr>
        <w:ind w:left="1200" w:hanging="509"/>
        <w:spacing w:after="0"/>
        <w:tabs>
          <w:tab w:leader="none" w:pos="12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Adjustments for Changes in Common Stock and Certain Other Events.</w:t>
      </w:r>
    </w:p>
    <w:p>
      <w:pPr>
        <w:spacing w:after="0" w:line="124" w:lineRule="exact"/>
        <w:rPr>
          <w:rFonts w:ascii="Arial" w:cs="Arial" w:eastAsia="Arial" w:hAnsi="Arial"/>
          <w:sz w:val="18"/>
          <w:szCs w:val="18"/>
          <w:b w:val="1"/>
          <w:bCs w:val="1"/>
          <w:color w:val="auto"/>
        </w:rPr>
      </w:pPr>
    </w:p>
    <w:p>
      <w:pPr>
        <w:ind w:left="700" w:right="20" w:firstLine="388"/>
        <w:spacing w:after="0" w:line="265" w:lineRule="auto"/>
        <w:tabs>
          <w:tab w:leader="none" w:pos="1337"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In the event of any stock split, reverse stock split, stock dividend, recapitalization,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reclassification of shares, spin-off or other similar change in capitalization or event, or any distribution to holders of Common Stock other than an ordinary cash dividend, (i) the number and class of securities available under this Plan, (ii) the sub-limits set forth in Section 4(c), (iii) the share counting provisions of Section 4(b), (iv) the number and class of securities and exercise price per share of each outstanding Option, (v) the share- and per-share provisions of each Stock Appreciation Right, (vi) the repurchase price per share subject to each outstanding Restricted Stock Award and Restricted Stock Unit and (vii) the share- and per-share-related provisions of each outstanding Other Stock Unit Award, shall be appropriately adjusted by the Company (or substituted Awards may be made, if applicable) to the extent determined by the Board.</w:t>
      </w:r>
    </w:p>
    <w:p>
      <w:pPr>
        <w:spacing w:after="0" w:line="89" w:lineRule="exact"/>
        <w:rPr>
          <w:rFonts w:ascii="Arial" w:cs="Arial" w:eastAsia="Arial" w:hAnsi="Arial"/>
          <w:sz w:val="17"/>
          <w:szCs w:val="17"/>
          <w:color w:val="auto"/>
        </w:rPr>
      </w:pPr>
    </w:p>
    <w:p>
      <w:pPr>
        <w:ind w:left="1340" w:hanging="252"/>
        <w:spacing w:after="0"/>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Reorganization and Change in Control Events.</w:t>
      </w:r>
    </w:p>
    <w:p>
      <w:pPr>
        <w:spacing w:after="0" w:line="124" w:lineRule="exact"/>
        <w:rPr>
          <w:rFonts w:ascii="Arial" w:cs="Arial" w:eastAsia="Arial" w:hAnsi="Arial"/>
          <w:sz w:val="18"/>
          <w:szCs w:val="18"/>
          <w:color w:val="auto"/>
        </w:rPr>
      </w:pPr>
    </w:p>
    <w:p>
      <w:pPr>
        <w:ind w:left="1720" w:hanging="251"/>
        <w:spacing w:after="0"/>
        <w:tabs>
          <w:tab w:leader="none" w:pos="1720" w:val="left"/>
        </w:tabs>
        <w:numPr>
          <w:ilvl w:val="2"/>
          <w:numId w:val="51"/>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124" w:lineRule="exact"/>
        <w:rPr>
          <w:rFonts w:ascii="Arial" w:cs="Arial" w:eastAsia="Arial" w:hAnsi="Arial"/>
          <w:sz w:val="18"/>
          <w:szCs w:val="18"/>
          <w:color w:val="auto"/>
        </w:rPr>
      </w:pPr>
    </w:p>
    <w:p>
      <w:pPr>
        <w:ind w:left="2080" w:hanging="229"/>
        <w:spacing w:after="0"/>
        <w:tabs>
          <w:tab w:leader="none" w:pos="2080" w:val="left"/>
        </w:tabs>
        <w:numPr>
          <w:ilvl w:val="3"/>
          <w:numId w:val="51"/>
        </w:numPr>
        <w:rPr>
          <w:rFonts w:ascii="Arial" w:cs="Arial" w:eastAsia="Arial" w:hAnsi="Arial"/>
          <w:sz w:val="18"/>
          <w:szCs w:val="18"/>
          <w:color w:val="auto"/>
        </w:rPr>
      </w:pPr>
      <w:r>
        <w:rPr>
          <w:rFonts w:ascii="Arial" w:cs="Arial" w:eastAsia="Arial" w:hAnsi="Arial"/>
          <w:sz w:val="18"/>
          <w:szCs w:val="18"/>
          <w:color w:val="auto"/>
        </w:rPr>
        <w:t>A “Reorganization Event” shall mean:</w:t>
      </w:r>
    </w:p>
    <w:p>
      <w:pPr>
        <w:spacing w:after="0" w:line="124" w:lineRule="exact"/>
        <w:rPr>
          <w:rFonts w:ascii="Arial" w:cs="Arial" w:eastAsia="Arial" w:hAnsi="Arial"/>
          <w:sz w:val="18"/>
          <w:szCs w:val="18"/>
          <w:color w:val="auto"/>
        </w:rPr>
      </w:pPr>
    </w:p>
    <w:p>
      <w:pPr>
        <w:ind w:left="1980" w:right="240" w:firstLine="348"/>
        <w:spacing w:after="0" w:line="255" w:lineRule="auto"/>
        <w:tabs>
          <w:tab w:leader="none" w:pos="2537" w:val="left"/>
        </w:tabs>
        <w:numPr>
          <w:ilvl w:val="5"/>
          <w:numId w:val="51"/>
        </w:numPr>
        <w:rPr>
          <w:rFonts w:ascii="Arial" w:cs="Arial" w:eastAsia="Arial" w:hAnsi="Arial"/>
          <w:sz w:val="18"/>
          <w:szCs w:val="18"/>
          <w:color w:val="auto"/>
        </w:rPr>
      </w:pPr>
      <w:r>
        <w:rPr>
          <w:rFonts w:ascii="Arial" w:cs="Arial" w:eastAsia="Arial" w:hAnsi="Arial"/>
          <w:sz w:val="18"/>
          <w:szCs w:val="18"/>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95" w:lineRule="exact"/>
        <w:rPr>
          <w:rFonts w:ascii="Arial" w:cs="Arial" w:eastAsia="Arial" w:hAnsi="Arial"/>
          <w:sz w:val="18"/>
          <w:szCs w:val="18"/>
          <w:color w:val="auto"/>
        </w:rPr>
      </w:pPr>
    </w:p>
    <w:p>
      <w:pPr>
        <w:ind w:left="1980" w:right="300" w:firstLine="348"/>
        <w:spacing w:after="0" w:line="265" w:lineRule="auto"/>
        <w:tabs>
          <w:tab w:leader="none" w:pos="2586" w:val="left"/>
        </w:tabs>
        <w:numPr>
          <w:ilvl w:val="5"/>
          <w:numId w:val="51"/>
        </w:numPr>
        <w:rPr>
          <w:rFonts w:ascii="Arial" w:cs="Arial" w:eastAsia="Arial" w:hAnsi="Arial"/>
          <w:sz w:val="18"/>
          <w:szCs w:val="18"/>
          <w:color w:val="auto"/>
        </w:rPr>
      </w:pPr>
      <w:r>
        <w:rPr>
          <w:rFonts w:ascii="Arial" w:cs="Arial" w:eastAsia="Arial" w:hAnsi="Arial"/>
          <w:sz w:val="18"/>
          <w:szCs w:val="18"/>
          <w:color w:val="auto"/>
        </w:rPr>
        <w:t>any exchange of all of the Common Stock of the Company for cash, securities or other property pursuant to a share exchange transaction; or</w:t>
      </w:r>
    </w:p>
    <w:p>
      <w:pPr>
        <w:spacing w:after="0" w:line="86" w:lineRule="exact"/>
        <w:rPr>
          <w:rFonts w:ascii="Arial" w:cs="Arial" w:eastAsia="Arial" w:hAnsi="Arial"/>
          <w:sz w:val="18"/>
          <w:szCs w:val="18"/>
          <w:color w:val="auto"/>
        </w:rPr>
      </w:pPr>
    </w:p>
    <w:p>
      <w:pPr>
        <w:ind w:left="2640" w:hanging="312"/>
        <w:spacing w:after="0"/>
        <w:tabs>
          <w:tab w:leader="none" w:pos="2640" w:val="left"/>
        </w:tabs>
        <w:numPr>
          <w:ilvl w:val="5"/>
          <w:numId w:val="51"/>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124" w:lineRule="exact"/>
        <w:rPr>
          <w:rFonts w:ascii="Arial" w:cs="Arial" w:eastAsia="Arial" w:hAnsi="Arial"/>
          <w:sz w:val="18"/>
          <w:szCs w:val="18"/>
          <w:color w:val="auto"/>
        </w:rPr>
      </w:pPr>
    </w:p>
    <w:p>
      <w:pPr>
        <w:ind w:left="2100" w:hanging="249"/>
        <w:spacing w:after="0"/>
        <w:tabs>
          <w:tab w:leader="none" w:pos="2100" w:val="left"/>
        </w:tabs>
        <w:numPr>
          <w:ilvl w:val="3"/>
          <w:numId w:val="51"/>
        </w:numPr>
        <w:rPr>
          <w:rFonts w:ascii="Arial" w:cs="Arial" w:eastAsia="Arial" w:hAnsi="Arial"/>
          <w:sz w:val="18"/>
          <w:szCs w:val="18"/>
          <w:color w:val="auto"/>
        </w:rPr>
      </w:pPr>
      <w:r>
        <w:rPr>
          <w:rFonts w:ascii="Arial" w:cs="Arial" w:eastAsia="Arial" w:hAnsi="Arial"/>
          <w:sz w:val="18"/>
          <w:szCs w:val="18"/>
          <w:color w:val="auto"/>
        </w:rPr>
        <w:t>A “Change in Control Event” shall mean:</w:t>
      </w:r>
    </w:p>
    <w:p>
      <w:pPr>
        <w:spacing w:after="0" w:line="124" w:lineRule="exact"/>
        <w:rPr>
          <w:rFonts w:ascii="Arial" w:cs="Arial" w:eastAsia="Arial" w:hAnsi="Arial"/>
          <w:sz w:val="18"/>
          <w:szCs w:val="18"/>
          <w:color w:val="auto"/>
        </w:rPr>
      </w:pPr>
    </w:p>
    <w:p>
      <w:pPr>
        <w:ind w:left="1980" w:right="20" w:firstLine="348"/>
        <w:spacing w:after="0" w:line="300" w:lineRule="auto"/>
        <w:tabs>
          <w:tab w:leader="none" w:pos="2537" w:val="left"/>
        </w:tabs>
        <w:numPr>
          <w:ilvl w:val="5"/>
          <w:numId w:val="51"/>
        </w:numPr>
        <w:rPr>
          <w:rFonts w:ascii="Arial" w:cs="Arial" w:eastAsia="Arial" w:hAnsi="Arial"/>
          <w:sz w:val="15"/>
          <w:szCs w:val="15"/>
          <w:color w:val="auto"/>
        </w:rPr>
      </w:pPr>
      <w:r>
        <w:rPr>
          <w:rFonts w:ascii="Arial" w:cs="Arial" w:eastAsia="Arial" w:hAnsi="Arial"/>
          <w:sz w:val="15"/>
          <w:szCs w:val="15"/>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50% or more of either</w:t>
      </w:r>
    </w:p>
    <w:p>
      <w:pPr>
        <w:ind w:left="2240" w:hanging="258"/>
        <w:spacing w:after="0"/>
        <w:tabs>
          <w:tab w:leader="none" w:pos="2240" w:val="left"/>
        </w:tabs>
        <w:numPr>
          <w:ilvl w:val="4"/>
          <w:numId w:val="51"/>
        </w:numPr>
        <w:rPr>
          <w:rFonts w:ascii="Arial" w:cs="Arial" w:eastAsia="Arial" w:hAnsi="Arial"/>
          <w:sz w:val="17"/>
          <w:szCs w:val="17"/>
          <w:color w:val="auto"/>
        </w:rPr>
      </w:pPr>
      <w:r>
        <w:rPr>
          <w:rFonts w:ascii="Arial" w:cs="Arial" w:eastAsia="Arial" w:hAnsi="Arial"/>
          <w:sz w:val="17"/>
          <w:szCs w:val="17"/>
          <w:color w:val="auto"/>
        </w:rPr>
        <w:t>the then-outstanding shares of common stock of the Company (the “Outstanding Company Common Stock”) or</w:t>
      </w:r>
    </w:p>
    <w:p>
      <w:pPr>
        <w:spacing w:after="0" w:line="16" w:lineRule="exact"/>
        <w:rPr>
          <w:rFonts w:ascii="Arial" w:cs="Arial" w:eastAsia="Arial" w:hAnsi="Arial"/>
          <w:sz w:val="17"/>
          <w:szCs w:val="17"/>
          <w:color w:val="auto"/>
        </w:rPr>
      </w:pPr>
    </w:p>
    <w:p>
      <w:pPr>
        <w:ind w:left="1980" w:right="20" w:firstLine="2"/>
        <w:spacing w:after="0" w:line="295" w:lineRule="auto"/>
        <w:tabs>
          <w:tab w:leader="none" w:pos="2230" w:val="left"/>
        </w:tabs>
        <w:numPr>
          <w:ilvl w:val="4"/>
          <w:numId w:val="51"/>
        </w:numPr>
        <w:rPr>
          <w:rFonts w:ascii="Arial" w:cs="Arial" w:eastAsia="Arial" w:hAnsi="Arial"/>
          <w:sz w:val="15"/>
          <w:szCs w:val="15"/>
          <w:color w:val="auto"/>
        </w:rPr>
      </w:pPr>
      <w:r>
        <w:rPr>
          <w:rFonts w:ascii="Arial" w:cs="Arial" w:eastAsia="Arial" w:hAnsi="Arial"/>
          <w:sz w:val="15"/>
          <w:szCs w:val="15"/>
          <w:color w:val="auto"/>
        </w:rPr>
        <w:t xml:space="preserve">the combined voting power of the then-outstanding securities of the Company entitled to vote generally in the election of directors (the “Outstanding Company Voting Securities”); </w:t>
      </w:r>
      <w:r>
        <w:rPr>
          <w:rFonts w:ascii="Arial" w:cs="Arial" w:eastAsia="Arial" w:hAnsi="Arial"/>
          <w:sz w:val="15"/>
          <w:szCs w:val="15"/>
          <w:i w:val="1"/>
          <w:iCs w:val="1"/>
          <w:color w:val="auto"/>
        </w:rPr>
        <w:t>provided</w:t>
      </w:r>
      <w:r>
        <w:rPr>
          <w:rFonts w:ascii="Arial" w:cs="Arial" w:eastAsia="Arial" w:hAnsi="Arial"/>
          <w:sz w:val="15"/>
          <w:szCs w:val="15"/>
          <w:color w:val="auto"/>
        </w:rPr>
        <w:t>,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w:t>
      </w:r>
    </w:p>
    <w:p>
      <w:pPr>
        <w:ind w:left="1980"/>
        <w:spacing w:after="0" w:line="270" w:lineRule="auto"/>
        <w:rPr>
          <w:rFonts w:ascii="Arial" w:cs="Arial" w:eastAsia="Arial" w:hAnsi="Arial"/>
          <w:sz w:val="15"/>
          <w:szCs w:val="15"/>
          <w:color w:val="auto"/>
        </w:rPr>
      </w:pPr>
      <w:r>
        <w:rPr>
          <w:rFonts w:ascii="Arial" w:cs="Arial" w:eastAsia="Arial" w:hAnsi="Arial"/>
          <w:sz w:val="17"/>
          <w:szCs w:val="17"/>
          <w:color w:val="auto"/>
        </w:rPr>
        <w:t>(B)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84" w:lineRule="exact"/>
        <w:rPr>
          <w:rFonts w:ascii="Arial" w:cs="Arial" w:eastAsia="Arial" w:hAnsi="Arial"/>
          <w:sz w:val="15"/>
          <w:szCs w:val="15"/>
          <w:color w:val="auto"/>
        </w:rPr>
      </w:pPr>
    </w:p>
    <w:p>
      <w:pPr>
        <w:ind w:left="1980" w:right="260" w:firstLine="348"/>
        <w:spacing w:after="0" w:line="250" w:lineRule="auto"/>
        <w:tabs>
          <w:tab w:leader="none" w:pos="2586" w:val="left"/>
        </w:tabs>
        <w:numPr>
          <w:ilvl w:val="5"/>
          <w:numId w:val="52"/>
        </w:numPr>
        <w:rPr>
          <w:rFonts w:ascii="Arial" w:cs="Arial" w:eastAsia="Arial" w:hAnsi="Arial"/>
          <w:sz w:val="18"/>
          <w:szCs w:val="18"/>
          <w:color w:val="auto"/>
        </w:rPr>
      </w:pPr>
      <w:r>
        <w:rPr>
          <w:rFonts w:ascii="Arial" w:cs="Arial" w:eastAsia="Arial" w:hAnsi="Arial"/>
          <w:sz w:val="18"/>
          <w:szCs w:val="18"/>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w:t>
      </w:r>
    </w:p>
    <w:p>
      <w:pPr>
        <w:spacing w:after="0" w:line="38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980"/>
        <w:spacing w:after="0" w:line="263" w:lineRule="auto"/>
        <w:rPr>
          <w:sz w:val="20"/>
          <w:szCs w:val="20"/>
          <w:color w:val="auto"/>
        </w:rPr>
      </w:pPr>
      <w:r>
        <w:rPr>
          <w:rFonts w:ascii="Arial" w:cs="Arial" w:eastAsia="Arial" w:hAnsi="Arial"/>
          <w:sz w:val="17"/>
          <w:szCs w:val="17"/>
          <w:color w:val="auto"/>
        </w:rPr>
        <w:t>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92" w:lineRule="exact"/>
        <w:rPr>
          <w:sz w:val="20"/>
          <w:szCs w:val="20"/>
          <w:color w:val="auto"/>
        </w:rPr>
      </w:pPr>
    </w:p>
    <w:p>
      <w:pPr>
        <w:ind w:left="2640" w:hanging="312"/>
        <w:spacing w:after="0"/>
        <w:tabs>
          <w:tab w:leader="none" w:pos="2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124" w:lineRule="exact"/>
        <w:rPr>
          <w:rFonts w:ascii="Arial" w:cs="Arial" w:eastAsia="Arial" w:hAnsi="Arial"/>
          <w:sz w:val="18"/>
          <w:szCs w:val="18"/>
          <w:color w:val="auto"/>
        </w:rPr>
      </w:pPr>
    </w:p>
    <w:p>
      <w:pPr>
        <w:ind w:left="1480" w:right="80" w:firstLine="371"/>
        <w:spacing w:after="0" w:line="299" w:lineRule="auto"/>
        <w:tabs>
          <w:tab w:leader="none" w:pos="2086" w:val="left"/>
        </w:tabs>
        <w:numPr>
          <w:ilvl w:val="0"/>
          <w:numId w:val="54"/>
        </w:numPr>
        <w:rPr>
          <w:rFonts w:ascii="Arial" w:cs="Arial" w:eastAsia="Arial" w:hAnsi="Arial"/>
          <w:sz w:val="15"/>
          <w:szCs w:val="15"/>
          <w:color w:val="auto"/>
        </w:rPr>
      </w:pPr>
      <w:r>
        <w:rPr>
          <w:rFonts w:ascii="Arial" w:cs="Arial" w:eastAsia="Arial" w:hAnsi="Arial"/>
          <w:sz w:val="15"/>
          <w:szCs w:val="15"/>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w:t>
      </w:r>
    </w:p>
    <w:p>
      <w:pPr>
        <w:ind w:left="1480"/>
        <w:spacing w:after="0"/>
        <w:rPr>
          <w:rFonts w:ascii="Arial" w:cs="Arial" w:eastAsia="Arial" w:hAnsi="Arial"/>
          <w:sz w:val="15"/>
          <w:szCs w:val="15"/>
          <w:color w:val="auto"/>
        </w:rPr>
      </w:pPr>
      <w:r>
        <w:rPr>
          <w:rFonts w:ascii="Arial" w:cs="Arial" w:eastAsia="Arial" w:hAnsi="Arial"/>
          <w:sz w:val="18"/>
          <w:szCs w:val="18"/>
          <w:color w:val="auto"/>
        </w:rPr>
        <w:t>50 miles from its location immediately prior to such Reorganization Event or Change in Control Event.</w:t>
      </w:r>
    </w:p>
    <w:p>
      <w:pPr>
        <w:spacing w:after="0" w:line="113" w:lineRule="exact"/>
        <w:rPr>
          <w:rFonts w:ascii="Arial" w:cs="Arial" w:eastAsia="Arial" w:hAnsi="Arial"/>
          <w:sz w:val="15"/>
          <w:szCs w:val="15"/>
          <w:color w:val="auto"/>
        </w:rPr>
      </w:pPr>
    </w:p>
    <w:p>
      <w:pPr>
        <w:ind w:left="2100" w:hanging="249"/>
        <w:spacing w:after="0"/>
        <w:tabs>
          <w:tab w:leader="none" w:pos="2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“Cause” shall mean:</w:t>
      </w:r>
    </w:p>
    <w:p>
      <w:pPr>
        <w:spacing w:after="0" w:line="124" w:lineRule="exact"/>
        <w:rPr>
          <w:rFonts w:ascii="Arial" w:cs="Arial" w:eastAsia="Arial" w:hAnsi="Arial"/>
          <w:sz w:val="18"/>
          <w:szCs w:val="18"/>
          <w:color w:val="auto"/>
        </w:rPr>
      </w:pPr>
    </w:p>
    <w:p>
      <w:pPr>
        <w:ind w:left="1980" w:right="40" w:firstLine="348"/>
        <w:spacing w:after="0" w:line="265" w:lineRule="auto"/>
        <w:tabs>
          <w:tab w:leader="none" w:pos="25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willful failure by the Participant, which failure is not cured within 30 days of written notice to the Participant from the Company, to perform his or her material responsibilities to the Company; or</w:t>
      </w:r>
    </w:p>
    <w:p>
      <w:pPr>
        <w:spacing w:after="0" w:line="87" w:lineRule="exact"/>
        <w:rPr>
          <w:sz w:val="20"/>
          <w:szCs w:val="20"/>
          <w:color w:val="auto"/>
        </w:rPr>
      </w:pPr>
    </w:p>
    <w:p>
      <w:pPr>
        <w:ind w:left="2580" w:hanging="252"/>
        <w:spacing w:after="0"/>
        <w:tabs>
          <w:tab w:leader="none" w:pos="25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willful misconduct by the Participant which affects the business reputation of the Company.</w:t>
      </w:r>
    </w:p>
    <w:p>
      <w:pPr>
        <w:spacing w:after="0" w:line="124" w:lineRule="exact"/>
        <w:rPr>
          <w:rFonts w:ascii="Arial" w:cs="Arial" w:eastAsia="Arial" w:hAnsi="Arial"/>
          <w:sz w:val="18"/>
          <w:szCs w:val="18"/>
          <w:color w:val="auto"/>
        </w:rPr>
      </w:pPr>
    </w:p>
    <w:p>
      <w:pPr>
        <w:ind w:left="1720" w:hanging="251"/>
        <w:spacing w:after="0"/>
        <w:tabs>
          <w:tab w:leader="none" w:pos="17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Effect on Options.</w:t>
      </w:r>
    </w:p>
    <w:p>
      <w:pPr>
        <w:spacing w:after="0" w:line="124" w:lineRule="exact"/>
        <w:rPr>
          <w:rFonts w:ascii="Arial" w:cs="Arial" w:eastAsia="Arial" w:hAnsi="Arial"/>
          <w:sz w:val="18"/>
          <w:szCs w:val="18"/>
          <w:color w:val="auto"/>
        </w:rPr>
      </w:pPr>
    </w:p>
    <w:p>
      <w:pPr>
        <w:ind w:left="1480" w:firstLine="371"/>
        <w:spacing w:after="0" w:line="299" w:lineRule="auto"/>
        <w:tabs>
          <w:tab w:leader="none" w:pos="2086" w:val="left"/>
        </w:tabs>
        <w:numPr>
          <w:ilvl w:val="1"/>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Reorganization Event. </w:t>
      </w:r>
      <w:r>
        <w:rPr>
          <w:rFonts w:ascii="Arial" w:cs="Arial" w:eastAsia="Arial" w:hAnsi="Arial"/>
          <w:sz w:val="15"/>
          <w:szCs w:val="15"/>
          <w:color w:val="auto"/>
        </w:rPr>
        <w:t>Upon the occurrence of a Reorganization Event (regardless of whether such event also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notwithstanding anything to the contrary in the Plan, if such Reorganization Event also constitutes a Change in Control Event, except to the extent specifically provided to the contrary in the instrument evidencing any Option or any other agreement between a Participant and the Company (A) one-half of the number of shares subject to the Option which were not already vested shall be exercisable upon the occurrence of such Reorganization Event and, subject to (B) below,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subsequent vesting date and (B)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Option shall be considered to be assumed if, following consummation of the Reorganization Event, the Option confers the right to purchase, for each share of Common Stock subject to the Option immediately prior to the consummation of the</w:t>
      </w:r>
    </w:p>
    <w:p>
      <w:pPr>
        <w:spacing w:after="0" w:line="200" w:lineRule="exact"/>
        <w:rPr>
          <w:sz w:val="20"/>
          <w:szCs w:val="20"/>
          <w:color w:val="auto"/>
        </w:rPr>
      </w:pPr>
    </w:p>
    <w:p>
      <w:pPr>
        <w:spacing w:after="0" w:line="3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80" w:right="20"/>
        <w:spacing w:after="0" w:line="305" w:lineRule="auto"/>
        <w:rPr>
          <w:sz w:val="20"/>
          <w:szCs w:val="20"/>
          <w:color w:val="auto"/>
        </w:rPr>
      </w:pPr>
      <w:r>
        <w:rPr>
          <w:rFonts w:ascii="Arial" w:cs="Arial" w:eastAsia="Arial" w:hAnsi="Arial"/>
          <w:sz w:val="15"/>
          <w:szCs w:val="15"/>
          <w:color w:val="auto"/>
        </w:rPr>
        <w:t xml:space="preserve">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275" w:lineRule="exact"/>
        <w:rPr>
          <w:sz w:val="20"/>
          <w:szCs w:val="20"/>
          <w:color w:val="auto"/>
        </w:rPr>
      </w:pPr>
    </w:p>
    <w:p>
      <w:pPr>
        <w:ind w:left="1480" w:firstLine="366"/>
        <w:spacing w:after="0" w:line="302" w:lineRule="auto"/>
        <w:rPr>
          <w:sz w:val="20"/>
          <w:szCs w:val="20"/>
          <w:color w:val="auto"/>
        </w:rPr>
      </w:pPr>
      <w:r>
        <w:rPr>
          <w:rFonts w:ascii="Arial" w:cs="Arial" w:eastAsia="Arial" w:hAnsi="Arial"/>
          <w:sz w:val="15"/>
          <w:szCs w:val="15"/>
          <w:color w:val="auto"/>
        </w:rPr>
        <w:t xml:space="preserve">Notwithstanding the foregoing and anything to the contrary in the Plan, if the acquiring or succeeding corporation (or an affiliate thereof) does not agree to assume, or substitute for, such Options, or in the event of a liquidation or dissolution of the Company, the Board shall, upon written notice to the Participants, provide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w:t>
      </w:r>
      <w:r>
        <w:rPr>
          <w:rFonts w:ascii="Arial" w:cs="Arial" w:eastAsia="Arial" w:hAnsi="Arial"/>
          <w:sz w:val="15"/>
          <w:szCs w:val="15"/>
          <w:i w:val="1"/>
          <w:iCs w:val="1"/>
          <w:color w:val="auto"/>
        </w:rPr>
        <w:t>provided</w:t>
      </w:r>
      <w:r>
        <w:rPr>
          <w:rFonts w:ascii="Arial" w:cs="Arial" w:eastAsia="Arial" w:hAnsi="Arial"/>
          <w:sz w:val="15"/>
          <w:szCs w:val="15"/>
          <w:color w:val="auto"/>
        </w:rPr>
        <w:t>,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65" w:lineRule="exact"/>
        <w:rPr>
          <w:sz w:val="20"/>
          <w:szCs w:val="20"/>
          <w:color w:val="auto"/>
        </w:rPr>
      </w:pPr>
    </w:p>
    <w:p>
      <w:pPr>
        <w:ind w:left="1480" w:right="20" w:firstLine="371"/>
        <w:spacing w:after="0" w:line="263" w:lineRule="auto"/>
        <w:tabs>
          <w:tab w:leader="none" w:pos="2096"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Change in Control Event that is not a Reorganization Event. </w:t>
      </w:r>
      <w:r>
        <w:rPr>
          <w:rFonts w:ascii="Arial" w:cs="Arial" w:eastAsia="Arial" w:hAnsi="Arial"/>
          <w:sz w:val="17"/>
          <w:szCs w:val="17"/>
          <w:color w:val="auto"/>
        </w:rPr>
        <w:t>Upon the occurrence of a Change in Control Event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does not also constitute a Reorganization Event, except to the extent specifically provided to the contrary in the instrument evidencing any Option or any other agreement between a Participant and the Company, and notwithstanding anything to the contrary in the Plan, the vesting schedule of such Option shall be accelerated in part so that one-half of the number of shares that would otherwise have first become vested on any date after the date of the Change in Control Event shall immediately become exercisable.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7"/>
          <w:szCs w:val="17"/>
          <w:i w:val="1"/>
          <w:iCs w:val="1"/>
          <w:color w:val="auto"/>
        </w:rPr>
        <w:t>provided</w:t>
      </w:r>
      <w:r>
        <w:rPr>
          <w:rFonts w:ascii="Arial" w:cs="Arial" w:eastAsia="Arial" w:hAnsi="Arial"/>
          <w:sz w:val="17"/>
          <w:szCs w:val="17"/>
          <w:color w:val="auto"/>
        </w:rPr>
        <w:t>, however, that each such Option shall be immediately exercisable in full if, on or prior to the first anniversary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94" w:lineRule="exact"/>
        <w:rPr>
          <w:rFonts w:ascii="Arial" w:cs="Arial" w:eastAsia="Arial" w:hAnsi="Arial"/>
          <w:sz w:val="17"/>
          <w:szCs w:val="17"/>
          <w:color w:val="auto"/>
        </w:rPr>
      </w:pPr>
    </w:p>
    <w:p>
      <w:pPr>
        <w:ind w:left="1720" w:hanging="251"/>
        <w:spacing w:after="0"/>
        <w:tabs>
          <w:tab w:leader="none" w:pos="17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Effect on Restricted Stock Awards and Restricted Stock Unit Awards.</w:t>
      </w:r>
    </w:p>
    <w:p>
      <w:pPr>
        <w:spacing w:after="0" w:line="124" w:lineRule="exact"/>
        <w:rPr>
          <w:rFonts w:ascii="Arial" w:cs="Arial" w:eastAsia="Arial" w:hAnsi="Arial"/>
          <w:sz w:val="18"/>
          <w:szCs w:val="18"/>
          <w:color w:val="auto"/>
        </w:rPr>
      </w:pPr>
    </w:p>
    <w:p>
      <w:pPr>
        <w:ind w:left="1480" w:right="40" w:firstLine="371"/>
        <w:spacing w:after="0" w:line="312" w:lineRule="auto"/>
        <w:tabs>
          <w:tab w:leader="none" w:pos="2086" w:val="left"/>
        </w:tabs>
        <w:numPr>
          <w:ilvl w:val="1"/>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Reorganization Event that is not a Change in Control Event. </w:t>
      </w:r>
      <w:r>
        <w:rPr>
          <w:rFonts w:ascii="Arial" w:cs="Arial" w:eastAsia="Arial" w:hAnsi="Arial"/>
          <w:sz w:val="15"/>
          <w:szCs w:val="15"/>
          <w:color w:val="auto"/>
        </w:rPr>
        <w:t>Upon the occurrence of a Reorganization Event that is not</w:t>
      </w:r>
      <w:r>
        <w:rPr>
          <w:rFonts w:ascii="Arial" w:cs="Arial" w:eastAsia="Arial" w:hAnsi="Arial"/>
          <w:sz w:val="15"/>
          <w:szCs w:val="15"/>
          <w:i w:val="1"/>
          <w:iCs w:val="1"/>
          <w:color w:val="auto"/>
        </w:rPr>
        <w:t xml:space="preserve"> </w:t>
      </w:r>
      <w:r>
        <w:rPr>
          <w:rFonts w:ascii="Arial" w:cs="Arial" w:eastAsia="Arial" w:hAnsi="Arial"/>
          <w:sz w:val="15"/>
          <w:szCs w:val="15"/>
          <w:color w:val="auto"/>
        </w:rPr>
        <w:t>a Change in Control Event, the repurchase and other rights of the Company under each outstanding Restricted Stock Award and Restricted Stock Unit Award shall inure to the benefit of the Company’s successor and shall apply to the cash, securities or other property which the Common Stock was converted into or exchanged for pursuant to such Reorganization Event in the same manner and to the same extent as they applied to such Restricted Stock Award and Restricted Stock Unit Award.</w:t>
      </w:r>
    </w:p>
    <w:p>
      <w:pPr>
        <w:spacing w:after="0" w:line="58" w:lineRule="exact"/>
        <w:rPr>
          <w:rFonts w:ascii="Arial" w:cs="Arial" w:eastAsia="Arial" w:hAnsi="Arial"/>
          <w:sz w:val="15"/>
          <w:szCs w:val="15"/>
          <w:color w:val="auto"/>
        </w:rPr>
      </w:pPr>
    </w:p>
    <w:p>
      <w:pPr>
        <w:ind w:left="1480" w:right="260" w:firstLine="371"/>
        <w:spacing w:after="0" w:line="265" w:lineRule="auto"/>
        <w:tabs>
          <w:tab w:leader="none" w:pos="2096"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Event. </w:t>
      </w:r>
      <w:r>
        <w:rPr>
          <w:rFonts w:ascii="Arial" w:cs="Arial" w:eastAsia="Arial" w:hAnsi="Arial"/>
          <w:sz w:val="18"/>
          <w:szCs w:val="18"/>
          <w:color w:val="auto"/>
        </w:rPr>
        <w:t>Upon the occurrence of a Change in Control Event (regardless of whether such event also</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a Reorganization Event), except to the extent specifically provided to</w:t>
      </w: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80" w:right="60"/>
        <w:spacing w:after="0" w:line="301" w:lineRule="auto"/>
        <w:rPr>
          <w:sz w:val="20"/>
          <w:szCs w:val="20"/>
          <w:color w:val="auto"/>
        </w:rPr>
      </w:pPr>
      <w:r>
        <w:rPr>
          <w:rFonts w:ascii="Arial" w:cs="Arial" w:eastAsia="Arial" w:hAnsi="Arial"/>
          <w:sz w:val="15"/>
          <w:szCs w:val="15"/>
          <w:color w:val="auto"/>
        </w:rPr>
        <w:t>the contrary in the instrument evidencing any Restricted Stock Award or Restricted Stock Unit Award or any other agreement between a Participant and the Company, and notwithstanding anything to the contrary in the Plan, the vesting schedule of all Restricted Stock Awards and Restricted Stock Unit Awards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or units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69" w:lineRule="exact"/>
        <w:rPr>
          <w:sz w:val="20"/>
          <w:szCs w:val="20"/>
          <w:color w:val="auto"/>
        </w:rPr>
      </w:pPr>
    </w:p>
    <w:p>
      <w:pPr>
        <w:ind w:left="1080" w:right="300" w:firstLine="389"/>
        <w:spacing w:after="0" w:line="294" w:lineRule="auto"/>
        <w:tabs>
          <w:tab w:leader="none" w:pos="1711" w:val="left"/>
        </w:tabs>
        <w:numPr>
          <w:ilvl w:val="2"/>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Effect on Stock Appreciation Rights and Other Stock Unit Awards. </w:t>
      </w:r>
      <w:r>
        <w:rPr>
          <w:rFonts w:ascii="Arial" w:cs="Arial" w:eastAsia="Arial" w:hAnsi="Arial"/>
          <w:sz w:val="17"/>
          <w:szCs w:val="17"/>
          <w:color w:val="auto"/>
        </w:rPr>
        <w:t>The Board may specify in an Award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the effect of a Reorganization Event and Change in Control Event on any SAR or Other Stock Unit Award.</w:t>
      </w:r>
    </w:p>
    <w:p>
      <w:pPr>
        <w:spacing w:after="0" w:line="170" w:lineRule="exact"/>
        <w:rPr>
          <w:rFonts w:ascii="Arial" w:cs="Arial" w:eastAsia="Arial" w:hAnsi="Arial"/>
          <w:sz w:val="17"/>
          <w:szCs w:val="17"/>
          <w:color w:val="auto"/>
        </w:rPr>
      </w:pPr>
    </w:p>
    <w:p>
      <w:pPr>
        <w:ind w:left="1200" w:hanging="509"/>
        <w:spacing w:after="0"/>
        <w:tabs>
          <w:tab w:leader="none" w:pos="12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Provisions Applicable to Awards.</w:t>
      </w:r>
    </w:p>
    <w:p>
      <w:pPr>
        <w:spacing w:after="0" w:line="124" w:lineRule="exact"/>
        <w:rPr>
          <w:rFonts w:ascii="Arial" w:cs="Arial" w:eastAsia="Arial" w:hAnsi="Arial"/>
          <w:sz w:val="18"/>
          <w:szCs w:val="18"/>
          <w:b w:val="1"/>
          <w:bCs w:val="1"/>
          <w:color w:val="auto"/>
        </w:rPr>
      </w:pPr>
    </w:p>
    <w:p>
      <w:pPr>
        <w:ind w:left="700" w:right="40" w:firstLine="388"/>
        <w:spacing w:after="0" w:line="302" w:lineRule="auto"/>
        <w:tabs>
          <w:tab w:leader="none" w:pos="1337"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Transferability of Awards. </w:t>
      </w:r>
      <w:r>
        <w:rPr>
          <w:rFonts w:ascii="Arial" w:cs="Arial" w:eastAsia="Arial" w:hAnsi="Arial"/>
          <w:sz w:val="15"/>
          <w:szCs w:val="15"/>
          <w:color w:val="auto"/>
        </w:rPr>
        <w:t>Awards shall not be sold, assigned, transferred, pledged or otherwise encumbered by the person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however, that the Board may permit or provide in an Award for the gratuitous transfer of the Award by the Participant to or for the benefit of any immediate family member, family trust or family partnership established solely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w:t>
      </w:r>
      <w:r>
        <w:rPr>
          <w:rFonts w:ascii="Arial" w:cs="Arial" w:eastAsia="Arial" w:hAnsi="Arial"/>
          <w:sz w:val="15"/>
          <w:szCs w:val="15"/>
          <w:i w:val="1"/>
          <w:iCs w:val="1"/>
          <w:color w:val="auto"/>
        </w:rPr>
        <w:t>provided</w:t>
      </w:r>
      <w:r>
        <w:rPr>
          <w:rFonts w:ascii="Arial" w:cs="Arial" w:eastAsia="Arial" w:hAnsi="Arial"/>
          <w:sz w:val="15"/>
          <w:szCs w:val="15"/>
          <w:color w:val="auto"/>
        </w:rPr>
        <w:t>,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282" w:lineRule="exact"/>
        <w:rPr>
          <w:rFonts w:ascii="Arial" w:cs="Arial" w:eastAsia="Arial" w:hAnsi="Arial"/>
          <w:sz w:val="15"/>
          <w:szCs w:val="15"/>
          <w:color w:val="auto"/>
        </w:rPr>
      </w:pPr>
    </w:p>
    <w:p>
      <w:pPr>
        <w:ind w:left="700" w:firstLine="388"/>
        <w:spacing w:after="0" w:line="255" w:lineRule="auto"/>
        <w:tabs>
          <w:tab w:leader="none" w:pos="1347"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Documentation. </w:t>
      </w:r>
      <w:r>
        <w:rPr>
          <w:rFonts w:ascii="Arial" w:cs="Arial" w:eastAsia="Arial" w:hAnsi="Arial"/>
          <w:sz w:val="18"/>
          <w:szCs w:val="18"/>
          <w:color w:val="auto"/>
        </w:rPr>
        <w:t>Each Award shall be evidenced in such form (written, electronic or otherwise) as the Board shall determine.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may contain terms and conditions in addition to those set forth in the Plan. In the event of any conflict between the terms of any Award agreement and this Plan, this Plan shall govern and control.</w:t>
      </w:r>
    </w:p>
    <w:p>
      <w:pPr>
        <w:spacing w:after="0" w:line="95" w:lineRule="exact"/>
        <w:rPr>
          <w:rFonts w:ascii="Arial" w:cs="Arial" w:eastAsia="Arial" w:hAnsi="Arial"/>
          <w:sz w:val="18"/>
          <w:szCs w:val="18"/>
          <w:color w:val="auto"/>
        </w:rPr>
      </w:pPr>
    </w:p>
    <w:p>
      <w:pPr>
        <w:ind w:left="700" w:right="200" w:firstLine="388"/>
        <w:spacing w:after="0" w:line="294" w:lineRule="auto"/>
        <w:tabs>
          <w:tab w:leader="none" w:pos="1337"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Board Discretion. </w:t>
      </w:r>
      <w:r>
        <w:rPr>
          <w:rFonts w:ascii="Arial" w:cs="Arial" w:eastAsia="Arial" w:hAnsi="Arial"/>
          <w:sz w:val="17"/>
          <w:szCs w:val="17"/>
          <w:color w:val="auto"/>
        </w:rPr>
        <w:t>Except as otherwise provided by the Plan, each Award may be made alone or in addition or in relation to 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 The terms of each Award need not be identical, and the Board need not treat Participants uniformly.</w:t>
      </w:r>
    </w:p>
    <w:p>
      <w:pPr>
        <w:spacing w:after="0" w:line="64" w:lineRule="exact"/>
        <w:rPr>
          <w:rFonts w:ascii="Arial" w:cs="Arial" w:eastAsia="Arial" w:hAnsi="Arial"/>
          <w:sz w:val="17"/>
          <w:szCs w:val="17"/>
          <w:color w:val="auto"/>
        </w:rPr>
      </w:pPr>
    </w:p>
    <w:p>
      <w:pPr>
        <w:ind w:left="700" w:right="60" w:firstLine="388"/>
        <w:spacing w:after="0" w:line="330" w:lineRule="auto"/>
        <w:tabs>
          <w:tab w:leader="none" w:pos="1347"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Status. </w:t>
      </w:r>
      <w:r>
        <w:rPr>
          <w:rFonts w:ascii="Arial" w:cs="Arial" w:eastAsia="Arial" w:hAnsi="Arial"/>
          <w:sz w:val="15"/>
          <w:szCs w:val="15"/>
          <w:color w:val="auto"/>
        </w:rPr>
        <w:t>The Board shall determine the effect on an Award of the disability, death, retirement, authorized leave of</w:t>
      </w:r>
      <w:r>
        <w:rPr>
          <w:rFonts w:ascii="Arial" w:cs="Arial" w:eastAsia="Arial" w:hAnsi="Arial"/>
          <w:sz w:val="15"/>
          <w:szCs w:val="15"/>
          <w:i w:val="1"/>
          <w:iCs w:val="1"/>
          <w:color w:val="auto"/>
        </w:rPr>
        <w:t xml:space="preserve"> </w:t>
      </w:r>
      <w:r>
        <w:rPr>
          <w:rFonts w:ascii="Arial" w:cs="Arial" w:eastAsia="Arial" w:hAnsi="Arial"/>
          <w:sz w:val="15"/>
          <w:szCs w:val="15"/>
          <w:color w:val="auto"/>
        </w:rPr>
        <w:t>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44" w:lineRule="exact"/>
        <w:rPr>
          <w:rFonts w:ascii="Arial" w:cs="Arial" w:eastAsia="Arial" w:hAnsi="Arial"/>
          <w:sz w:val="15"/>
          <w:szCs w:val="15"/>
          <w:color w:val="auto"/>
        </w:rPr>
      </w:pPr>
    </w:p>
    <w:p>
      <w:pPr>
        <w:ind w:left="700" w:right="60" w:firstLine="388"/>
        <w:spacing w:after="0" w:line="309" w:lineRule="auto"/>
        <w:tabs>
          <w:tab w:leader="none" w:pos="1337"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Withholding. </w:t>
      </w:r>
      <w:r>
        <w:rPr>
          <w:rFonts w:ascii="Arial" w:cs="Arial" w:eastAsia="Arial" w:hAnsi="Arial"/>
          <w:sz w:val="15"/>
          <w:szCs w:val="15"/>
          <w:color w:val="auto"/>
        </w:rPr>
        <w:t>The Company may require each Participant to pay to the Company, or make provision satisfactory to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payment of, any taxes, social security contributions or other similar amounts required by law to be withheld in connection with an Award to such Participant. Unless otherwise provided for in the applicable Award agreement, a Participant may satisfy such tax obligations in whole or in part by delivery of shares of Common Stock, including shares retained from the Award creating the tax obligation, valued at their Fair Market Value; </w:t>
      </w:r>
      <w:r>
        <w:rPr>
          <w:rFonts w:ascii="Arial" w:cs="Arial" w:eastAsia="Arial" w:hAnsi="Arial"/>
          <w:sz w:val="15"/>
          <w:szCs w:val="15"/>
          <w:i w:val="1"/>
          <w:iCs w:val="1"/>
          <w:color w:val="auto"/>
        </w:rPr>
        <w:t>provided</w:t>
      </w:r>
      <w:r>
        <w:rPr>
          <w:rFonts w:ascii="Arial" w:cs="Arial" w:eastAsia="Arial" w:hAnsi="Arial"/>
          <w:sz w:val="15"/>
          <w:szCs w:val="15"/>
          <w:color w:val="auto"/>
        </w:rPr>
        <w:t>, however, except as otherwise provided by the Board, that the total tax withholding where stock is being used to satisfy such tax obligations cannot exceed the Company’s minimum statutory withholding obligations</w:t>
      </w:r>
    </w:p>
    <w:p>
      <w:pPr>
        <w:spacing w:after="0" w:line="3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0"/>
        <w:spacing w:after="0" w:line="252" w:lineRule="auto"/>
        <w:rPr>
          <w:sz w:val="20"/>
          <w:szCs w:val="20"/>
          <w:color w:val="auto"/>
        </w:rPr>
      </w:pPr>
      <w:r>
        <w:rPr>
          <w:rFonts w:ascii="Arial" w:cs="Arial" w:eastAsia="Arial" w:hAnsi="Arial"/>
          <w:sz w:val="18"/>
          <w:szCs w:val="18"/>
          <w:color w:val="auto"/>
        </w:rPr>
        <w:t>(based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 The Company may, to the extent permitted by law, deduct any such tax obligations from any payment of any kind otherwise due to a Participant.</w:t>
      </w:r>
    </w:p>
    <w:p>
      <w:pPr>
        <w:spacing w:after="0" w:line="99" w:lineRule="exact"/>
        <w:rPr>
          <w:sz w:val="20"/>
          <w:szCs w:val="20"/>
          <w:color w:val="auto"/>
        </w:rPr>
      </w:pPr>
    </w:p>
    <w:p>
      <w:pPr>
        <w:ind w:left="700" w:right="80" w:firstLine="388"/>
        <w:spacing w:after="0" w:line="250" w:lineRule="auto"/>
        <w:tabs>
          <w:tab w:leader="none" w:pos="1318"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Award. </w:t>
      </w:r>
      <w:r>
        <w:rPr>
          <w:rFonts w:ascii="Arial" w:cs="Arial" w:eastAsia="Arial" w:hAnsi="Arial"/>
          <w:sz w:val="18"/>
          <w:szCs w:val="18"/>
          <w:color w:val="auto"/>
        </w:rPr>
        <w:t>Except as set forth in Sections 5(g) and 6(f), the Board may amend, modify or terminate any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 including but not limited to, substituting therefor another Award of the same or a different type, changing the date of exercise or realization, and converting an Incentive Stock Option to a Nonstatutory Stock Option;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Participant’s consent to such action shall be required unless the Board determines that the action, taking into account any related action, would not materially and adversely affect the Participant.</w:t>
      </w:r>
    </w:p>
    <w:p>
      <w:pPr>
        <w:spacing w:after="0" w:line="101" w:lineRule="exact"/>
        <w:rPr>
          <w:rFonts w:ascii="Arial" w:cs="Arial" w:eastAsia="Arial" w:hAnsi="Arial"/>
          <w:sz w:val="18"/>
          <w:szCs w:val="18"/>
          <w:color w:val="auto"/>
        </w:rPr>
      </w:pPr>
    </w:p>
    <w:p>
      <w:pPr>
        <w:ind w:left="700" w:right="100" w:firstLine="388"/>
        <w:spacing w:after="0" w:line="309" w:lineRule="auto"/>
        <w:tabs>
          <w:tab w:leader="none" w:pos="1347" w:val="left"/>
        </w:tabs>
        <w:numPr>
          <w:ilvl w:val="1"/>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Conditions on Delivery of Stock. </w:t>
      </w:r>
      <w:r>
        <w:rPr>
          <w:rFonts w:ascii="Arial" w:cs="Arial" w:eastAsia="Arial" w:hAnsi="Arial"/>
          <w:sz w:val="15"/>
          <w:szCs w:val="15"/>
          <w:color w:val="auto"/>
        </w:rPr>
        <w:t>The Company will not be obligated to deliver any shares of Common Stock pursuant to the Plan</w:t>
      </w:r>
      <w:r>
        <w:rPr>
          <w:rFonts w:ascii="Arial" w:cs="Arial" w:eastAsia="Arial" w:hAnsi="Arial"/>
          <w:sz w:val="15"/>
          <w:szCs w:val="15"/>
          <w:i w:val="1"/>
          <w:iCs w:val="1"/>
          <w:color w:val="auto"/>
        </w:rPr>
        <w:t xml:space="preserve"> </w:t>
      </w:r>
      <w:r>
        <w:rPr>
          <w:rFonts w:ascii="Arial" w:cs="Arial" w:eastAsia="Arial" w:hAnsi="Arial"/>
          <w:sz w:val="15"/>
          <w:szCs w:val="15"/>
          <w:color w:val="auto"/>
        </w:rPr>
        <w:t>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59" w:lineRule="exact"/>
        <w:rPr>
          <w:rFonts w:ascii="Arial" w:cs="Arial" w:eastAsia="Arial" w:hAnsi="Arial"/>
          <w:sz w:val="15"/>
          <w:szCs w:val="15"/>
          <w:color w:val="auto"/>
        </w:rPr>
      </w:pPr>
    </w:p>
    <w:p>
      <w:pPr>
        <w:ind w:left="700" w:right="160" w:firstLine="388"/>
        <w:spacing w:after="0" w:line="255" w:lineRule="auto"/>
        <w:tabs>
          <w:tab w:leader="none" w:pos="1347"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Acceleration. </w:t>
      </w:r>
      <w:r>
        <w:rPr>
          <w:rFonts w:ascii="Arial" w:cs="Arial" w:eastAsia="Arial" w:hAnsi="Arial"/>
          <w:sz w:val="18"/>
          <w:szCs w:val="18"/>
          <w:color w:val="auto"/>
        </w:rPr>
        <w:t>Notwithstanding anything to the contrary in the Plan, the Board may at any time provide that any Award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immediately exercisable in full or in part, free of some or all restrictions or conditions, or otherwise realizable in full or in part, as the case may be.</w:t>
      </w:r>
    </w:p>
    <w:p>
      <w:pPr>
        <w:spacing w:after="0" w:line="202" w:lineRule="exact"/>
        <w:rPr>
          <w:rFonts w:ascii="Arial" w:cs="Arial" w:eastAsia="Arial" w:hAnsi="Arial"/>
          <w:sz w:val="18"/>
          <w:szCs w:val="18"/>
          <w:color w:val="auto"/>
        </w:rPr>
      </w:pPr>
    </w:p>
    <w:p>
      <w:pPr>
        <w:ind w:left="1200" w:hanging="509"/>
        <w:spacing w:after="0"/>
        <w:tabs>
          <w:tab w:leader="none" w:pos="12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Miscellaneous.</w:t>
      </w:r>
    </w:p>
    <w:p>
      <w:pPr>
        <w:spacing w:after="0" w:line="124" w:lineRule="exact"/>
        <w:rPr>
          <w:rFonts w:ascii="Arial" w:cs="Arial" w:eastAsia="Arial" w:hAnsi="Arial"/>
          <w:sz w:val="18"/>
          <w:szCs w:val="18"/>
          <w:b w:val="1"/>
          <w:bCs w:val="1"/>
          <w:color w:val="auto"/>
        </w:rPr>
      </w:pPr>
    </w:p>
    <w:p>
      <w:pPr>
        <w:ind w:left="700" w:right="60" w:firstLine="388"/>
        <w:spacing w:after="0" w:line="252" w:lineRule="auto"/>
        <w:tabs>
          <w:tab w:leader="none" w:pos="133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shall have any claim or right to be granted an Award, and the grant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the applicable Award.</w:t>
      </w:r>
    </w:p>
    <w:p>
      <w:pPr>
        <w:spacing w:after="0" w:line="98" w:lineRule="exact"/>
        <w:rPr>
          <w:rFonts w:ascii="Arial" w:cs="Arial" w:eastAsia="Arial" w:hAnsi="Arial"/>
          <w:sz w:val="18"/>
          <w:szCs w:val="18"/>
          <w:color w:val="auto"/>
        </w:rPr>
      </w:pPr>
    </w:p>
    <w:p>
      <w:pPr>
        <w:ind w:left="700" w:right="40" w:firstLine="388"/>
        <w:spacing w:after="0" w:line="265" w:lineRule="auto"/>
        <w:tabs>
          <w:tab w:leader="none" w:pos="1347"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No Rights As Stockholder. </w:t>
      </w:r>
      <w:r>
        <w:rPr>
          <w:rFonts w:ascii="Arial" w:cs="Arial" w:eastAsia="Arial" w:hAnsi="Arial"/>
          <w:sz w:val="17"/>
          <w:szCs w:val="17"/>
          <w:color w:val="auto"/>
        </w:rPr>
        <w:t>Subject to the provisions of the applicable Award, no Participant or Designated Beneficiary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89" w:lineRule="exact"/>
        <w:rPr>
          <w:rFonts w:ascii="Arial" w:cs="Arial" w:eastAsia="Arial" w:hAnsi="Arial"/>
          <w:sz w:val="17"/>
          <w:szCs w:val="17"/>
          <w:color w:val="auto"/>
        </w:rPr>
      </w:pPr>
    </w:p>
    <w:p>
      <w:pPr>
        <w:ind w:left="700" w:firstLine="388"/>
        <w:spacing w:after="0" w:line="255" w:lineRule="auto"/>
        <w:tabs>
          <w:tab w:leader="none" w:pos="133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and Term of Plan. </w:t>
      </w:r>
      <w:r>
        <w:rPr>
          <w:rFonts w:ascii="Arial" w:cs="Arial" w:eastAsia="Arial" w:hAnsi="Arial"/>
          <w:sz w:val="18"/>
          <w:szCs w:val="18"/>
          <w:color w:val="auto"/>
        </w:rPr>
        <w:t>The Plan shall become effective on the date the Plan has been approved by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(the “Effective Date”). No Awards shall be granted under the Plan after the completion of 10 years from the Effective Date, but Awards previously granted may extend beyond that date.</w:t>
      </w:r>
    </w:p>
    <w:p>
      <w:pPr>
        <w:spacing w:after="0" w:line="95" w:lineRule="exact"/>
        <w:rPr>
          <w:rFonts w:ascii="Arial" w:cs="Arial" w:eastAsia="Arial" w:hAnsi="Arial"/>
          <w:sz w:val="18"/>
          <w:szCs w:val="18"/>
          <w:color w:val="auto"/>
        </w:rPr>
      </w:pPr>
    </w:p>
    <w:p>
      <w:pPr>
        <w:ind w:left="700" w:right="120" w:firstLine="388"/>
        <w:spacing w:after="0" w:line="265" w:lineRule="auto"/>
        <w:tabs>
          <w:tab w:leader="none" w:pos="1347"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Amendment of Plan. </w:t>
      </w:r>
      <w:r>
        <w:rPr>
          <w:rFonts w:ascii="Arial" w:cs="Arial" w:eastAsia="Arial" w:hAnsi="Arial"/>
          <w:sz w:val="17"/>
          <w:szCs w:val="17"/>
          <w:color w:val="auto"/>
        </w:rPr>
        <w:t>Except as set forth in Sections 5(g) and 6(f), the Board may amend, suspend or terminate the Plan or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portion thereof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to the extent required by Section 162(m), no 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the New York Stock Exchange (“NYSE”) may be made effective unless and until such amendment shall have been approved by the Company’s stockholders; and (iii) if the NYSE amends its corporate governance rules so that such rules no longer require stockholder approval of “material revisions” to equity compensation plans, then, from and after the</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line="249" w:lineRule="auto"/>
        <w:rPr>
          <w:sz w:val="20"/>
          <w:szCs w:val="20"/>
          <w:color w:val="auto"/>
        </w:rPr>
      </w:pPr>
      <w:r>
        <w:rPr>
          <w:rFonts w:ascii="Arial" w:cs="Arial" w:eastAsia="Arial" w:hAnsi="Arial"/>
          <w:sz w:val="18"/>
          <w:szCs w:val="18"/>
          <w:color w:val="auto"/>
        </w:rPr>
        <w:t>effective date of such amendment to the NYSE rules, no amendment to the Plan (A) materially increasing the number of shares authorized under the Plan (other than pursuant to Section 11),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w:t>
      </w:r>
    </w:p>
    <w:p>
      <w:pPr>
        <w:spacing w:after="0" w:line="104" w:lineRule="exact"/>
        <w:rPr>
          <w:sz w:val="20"/>
          <w:szCs w:val="20"/>
          <w:color w:val="auto"/>
        </w:rPr>
      </w:pPr>
    </w:p>
    <w:p>
      <w:pPr>
        <w:ind w:left="700" w:right="40" w:firstLine="388"/>
        <w:spacing w:after="0" w:line="277" w:lineRule="auto"/>
        <w:tabs>
          <w:tab w:leader="none" w:pos="133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Provisions for Foreign Participants. </w:t>
      </w:r>
      <w:r>
        <w:rPr>
          <w:rFonts w:ascii="Arial" w:cs="Arial" w:eastAsia="Arial" w:hAnsi="Arial"/>
          <w:sz w:val="17"/>
          <w:szCs w:val="17"/>
          <w:color w:val="auto"/>
        </w:rPr>
        <w:t>The Board may modify Awards granted to Participants who are foreign nationals or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78" w:lineRule="exact"/>
        <w:rPr>
          <w:rFonts w:ascii="Arial" w:cs="Arial" w:eastAsia="Arial" w:hAnsi="Arial"/>
          <w:sz w:val="17"/>
          <w:szCs w:val="17"/>
          <w:color w:val="auto"/>
        </w:rPr>
      </w:pPr>
    </w:p>
    <w:p>
      <w:pPr>
        <w:ind w:left="700" w:right="120" w:firstLine="388"/>
        <w:spacing w:after="0" w:line="252" w:lineRule="auto"/>
        <w:tabs>
          <w:tab w:leader="none" w:pos="1318"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Code Section 409A. </w:t>
      </w:r>
      <w:r>
        <w:rPr>
          <w:rFonts w:ascii="Arial" w:cs="Arial" w:eastAsia="Arial" w:hAnsi="Arial"/>
          <w:sz w:val="18"/>
          <w:szCs w:val="18"/>
          <w:color w:val="auto"/>
        </w:rPr>
        <w:t>It is the intent of the Company that any deferral of the receipt of the payment of cash 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delivery of shares of Common Stock that the Board may permit or require and any Award granted that is subject to Section 409A of the Code, comply with the requirements of Section 409A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guaranty is made by the Company to Participants that such Awards will so comply.</w:t>
      </w:r>
    </w:p>
    <w:p>
      <w:pPr>
        <w:spacing w:after="0" w:line="98" w:lineRule="exact"/>
        <w:rPr>
          <w:rFonts w:ascii="Arial" w:cs="Arial" w:eastAsia="Arial" w:hAnsi="Arial"/>
          <w:sz w:val="18"/>
          <w:szCs w:val="18"/>
          <w:color w:val="auto"/>
        </w:rPr>
      </w:pPr>
    </w:p>
    <w:p>
      <w:pPr>
        <w:jc w:val="both"/>
        <w:ind w:left="700" w:right="280" w:firstLine="388"/>
        <w:spacing w:after="0" w:line="255" w:lineRule="auto"/>
        <w:tabs>
          <w:tab w:leader="none" w:pos="1347"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provisions of the Plan and all Awards made hereunder shall be governed by and interpreted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laws of the Commonwealth of Massachusetts, excluding choice-of-law principles of the law of such state that would require the application of the laws of a jurisdiction other than such state.</w:t>
      </w:r>
    </w:p>
    <w:p>
      <w:pPr>
        <w:spacing w:after="0" w:line="3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ANA-PS-06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4"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4"/>
          <w:szCs w:val="14"/>
          <w:color w:val="auto"/>
        </w:rPr>
        <w:t>DETACH HERE IF YOU ARE RETURNING YOUR PROXY CARD BY MAIL</w:t>
      </w:r>
      <w:r>
        <w:rPr>
          <w:sz w:val="20"/>
          <w:szCs w:val="20"/>
          <w:color w:val="auto"/>
        </w:rPr>
        <w:tab/>
      </w:r>
      <w:r>
        <w:rPr>
          <w:rFonts w:ascii="Arial" w:cs="Arial" w:eastAsia="Arial" w:hAnsi="Arial"/>
          <w:sz w:val="14"/>
          <w:szCs w:val="14"/>
          <w:color w:val="auto"/>
        </w:rPr>
        <w:t>ZANA92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ANALOG DEVICES, INC.</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 MARCH 14, 2006</w:t>
      </w:r>
    </w:p>
    <w:p>
      <w:pPr>
        <w:spacing w:after="0" w:line="120" w:lineRule="exact"/>
        <w:rPr>
          <w:sz w:val="20"/>
          <w:szCs w:val="20"/>
          <w:color w:val="auto"/>
        </w:rPr>
      </w:pPr>
    </w:p>
    <w:p>
      <w:pPr>
        <w:ind w:right="280" w:firstLine="242"/>
        <w:spacing w:after="0" w:line="233" w:lineRule="auto"/>
        <w:rPr>
          <w:sz w:val="20"/>
          <w:szCs w:val="20"/>
          <w:color w:val="auto"/>
        </w:rPr>
      </w:pPr>
      <w:r>
        <w:rPr>
          <w:rFonts w:ascii="Arial" w:cs="Arial" w:eastAsia="Arial" w:hAnsi="Arial"/>
          <w:sz w:val="18"/>
          <w:szCs w:val="18"/>
          <w:color w:val="auto"/>
        </w:rPr>
        <w:t>The undersigned, revoking all prior proxies, hereby appoints Ray Stata, Jerald G. Fishman and Mark G. Borden, and each of them, with full power of substitution, as proxies to represent and vote as designated hereon, all shares of common stock of Analog Devices, Inc. (the “Company”) which the undersigned would be entitled to vote if personally present at the Annual Meeting of Shareholders of the Company to be held at Babson College, Sorenson Center for the Arts, 231 Forest Street, Babson Park, Massachusetts 02457, on Tuesday, March 14, 2006, at 10:00 a.m. (Local Time) and at any adjournments thereof.</w:t>
      </w:r>
    </w:p>
    <w:p>
      <w:pPr>
        <w:spacing w:after="0" w:line="74" w:lineRule="exact"/>
        <w:rPr>
          <w:sz w:val="20"/>
          <w:szCs w:val="20"/>
          <w:color w:val="auto"/>
        </w:rPr>
      </w:pPr>
    </w:p>
    <w:p>
      <w:pPr>
        <w:ind w:right="560" w:firstLine="245"/>
        <w:spacing w:after="0" w:line="261"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MEETING, OR ANY ADJOURNMENTS THEREOF.</w:t>
      </w:r>
    </w:p>
    <w:p>
      <w:pPr>
        <w:spacing w:after="0" w:line="54" w:lineRule="exact"/>
        <w:rPr>
          <w:sz w:val="20"/>
          <w:szCs w:val="20"/>
          <w:color w:val="auto"/>
        </w:rPr>
      </w:pPr>
    </w:p>
    <w:p>
      <w:pPr>
        <w:ind w:right="120" w:firstLine="245"/>
        <w:spacing w:after="0" w:line="261" w:lineRule="auto"/>
        <w:rPr>
          <w:sz w:val="20"/>
          <w:szCs w:val="20"/>
          <w:color w:val="auto"/>
        </w:rPr>
      </w:pPr>
      <w:r>
        <w:rPr>
          <w:rFonts w:ascii="Arial" w:cs="Arial" w:eastAsia="Arial" w:hAnsi="Arial"/>
          <w:sz w:val="18"/>
          <w:szCs w:val="18"/>
          <w:b w:val="1"/>
          <w:bCs w:val="1"/>
          <w:color w:val="auto"/>
        </w:rPr>
        <w:t>ATTENDANCE OF THE UNDERSIGNED AT THE ANNUAL MEETING OR ANY ADJOURNMENTS THEREOF WILL NOT BE DEEMED TO REVOKE THIS PROXY UNLESS THE UNDERSIGNED REVOKES THIS PROXY IN WRITING.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UNLESS VOTING YOUR SHARES OVER THE INTERNET OR BY TELEPHONE, PLEASE FILL IN, DATE, SIGN AND MAIL THIS PROXY CARD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PROMPTLY</w:t>
      </w:r>
    </w:p>
    <w:p>
      <w:pPr>
        <w:jc w:val="center"/>
        <w:ind w:left="2600"/>
        <w:spacing w:after="0"/>
        <w:rPr>
          <w:sz w:val="20"/>
          <w:szCs w:val="20"/>
          <w:color w:val="auto"/>
        </w:rPr>
      </w:pPr>
      <w:r>
        <w:rPr>
          <w:rFonts w:ascii="Arial" w:cs="Arial" w:eastAsia="Arial" w:hAnsi="Arial"/>
          <w:sz w:val="14"/>
          <w:szCs w:val="14"/>
          <w:b w:val="1"/>
          <w:bCs w:val="1"/>
          <w:color w:val="auto"/>
        </w:rPr>
        <w:t>USING THE ENCLOSED POSTAGE-PAID RETURN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654175" cy="686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54175" cy="68643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128270</wp:posOffset>
            </wp:positionV>
            <wp:extent cx="1512570" cy="686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2570" cy="686435"/>
                    </a:xfrm>
                    <a:prstGeom prst="rect">
                      <a:avLst/>
                    </a:prstGeom>
                    <a:noFill/>
                  </pic:spPr>
                </pic:pic>
              </a:graphicData>
            </a:graphic>
          </wp:anchor>
        </w:drawing>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SEE REVERSE</w:t>
      </w:r>
    </w:p>
    <w:p>
      <w:pPr>
        <w:spacing w:after="0" w:line="14" w:lineRule="exact"/>
        <w:rPr>
          <w:sz w:val="20"/>
          <w:szCs w:val="20"/>
          <w:color w:val="auto"/>
        </w:rPr>
      </w:pPr>
    </w:p>
    <w:p>
      <w:pPr>
        <w:ind w:left="3820" w:right="360" w:hanging="9132"/>
        <w:spacing w:after="0" w:line="245" w:lineRule="auto"/>
        <w:tabs>
          <w:tab w:leader="none" w:pos="3800" w:val="left"/>
        </w:tabs>
        <w:rPr>
          <w:sz w:val="20"/>
          <w:szCs w:val="20"/>
          <w:color w:val="auto"/>
        </w:rPr>
      </w:pPr>
      <w:r>
        <w:rPr>
          <w:rFonts w:ascii="Arial" w:cs="Arial" w:eastAsia="Arial" w:hAnsi="Arial"/>
          <w:sz w:val="35"/>
          <w:szCs w:val="35"/>
          <w:b w:val="1"/>
          <w:bCs w:val="1"/>
          <w:color w:val="auto"/>
          <w:vertAlign w:val="superscript"/>
        </w:rPr>
        <w:t>SIDE</w:t>
      </w:r>
      <w:r>
        <w:rPr>
          <w:sz w:val="20"/>
          <w:szCs w:val="20"/>
          <w:color w:val="auto"/>
        </w:rPr>
        <w:tab/>
      </w:r>
      <w:r>
        <w:rPr>
          <w:rFonts w:ascii="Arial" w:cs="Arial" w:eastAsia="Arial" w:hAnsi="Arial"/>
          <w:sz w:val="18"/>
          <w:szCs w:val="18"/>
          <w:b w:val="1"/>
          <w:bCs w:val="1"/>
          <w:color w:val="auto"/>
        </w:rPr>
        <w:t>(Continued and to be signed on reverse side) 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COMPUTERSHARE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rPr>
          <w:sz w:val="20"/>
          <w:szCs w:val="20"/>
          <w:color w:val="auto"/>
        </w:rPr>
      </w:pPr>
      <w:r>
        <w:rPr>
          <w:rFonts w:ascii="Arial" w:cs="Arial" w:eastAsia="Arial" w:hAnsi="Arial"/>
          <w:sz w:val="18"/>
          <w:szCs w:val="18"/>
          <w:b w:val="1"/>
          <w:bCs w:val="1"/>
          <w:color w:val="auto"/>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256540</wp:posOffset>
            </wp:positionV>
            <wp:extent cx="2896235" cy="395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6235"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vote immediately.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 may also vote your shares over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7249160" cy="1043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9160" cy="1043940"/>
                    </a:xfrm>
                    <a:prstGeom prst="rect">
                      <a:avLst/>
                    </a:prstGeom>
                    <a:noFill/>
                  </pic:spPr>
                </pic:pic>
              </a:graphicData>
            </a:graphic>
          </wp:anchor>
        </w:drawing>
      </w:r>
    </w:p>
    <w:p>
      <w:pPr>
        <w:sectPr>
          <w:pgSz w:w="11900" w:h="16838" w:orient="portrait"/>
          <w:cols w:equalWidth="0" w:num="1">
            <w:col w:w="11420"/>
          </w:cols>
          <w:pgMar w:left="240" w:top="413" w:right="239" w:bottom="906" w:gutter="0" w:footer="0" w:header="0"/>
        </w:sectPr>
      </w:pPr>
    </w:p>
    <w:p>
      <w:pPr>
        <w:spacing w:after="0" w:line="379"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Vote-by-Internet</w:t>
      </w:r>
    </w:p>
    <w:p>
      <w:pPr>
        <w:spacing w:after="0" w:line="200" w:lineRule="exact"/>
        <w:rPr>
          <w:sz w:val="20"/>
          <w:szCs w:val="20"/>
          <w:color w:val="auto"/>
        </w:rPr>
      </w:pPr>
    </w:p>
    <w:p>
      <w:pPr>
        <w:spacing w:after="0" w:line="296" w:lineRule="exact"/>
        <w:rPr>
          <w:sz w:val="20"/>
          <w:szCs w:val="20"/>
          <w:color w:val="auto"/>
        </w:rPr>
      </w:pPr>
    </w:p>
    <w:p>
      <w:pPr>
        <w:ind w:left="540" w:right="1880" w:hanging="26"/>
        <w:spacing w:after="0" w:line="291" w:lineRule="auto"/>
        <w:rPr>
          <w:sz w:val="20"/>
          <w:szCs w:val="20"/>
          <w:color w:val="auto"/>
        </w:rPr>
      </w:pPr>
      <w:r>
        <w:rPr>
          <w:rFonts w:ascii="Arial" w:cs="Arial" w:eastAsia="Arial" w:hAnsi="Arial"/>
          <w:sz w:val="17"/>
          <w:szCs w:val="17"/>
          <w:b w:val="1"/>
          <w:bCs w:val="1"/>
          <w:color w:val="auto"/>
        </w:rPr>
        <w:t>Log on to the Internet and go to http://www.eproxyvote.com/adi</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668"/>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OR</w:t>
            </w:r>
          </w:p>
        </w:tc>
        <w:tc>
          <w:tcPr>
            <w:tcW w:w="3000" w:type="dxa"/>
            <w:vAlign w:val="bottom"/>
          </w:tcPr>
          <w:p>
            <w:pPr>
              <w:ind w:left="160"/>
              <w:spacing w:after="0"/>
              <w:rPr>
                <w:sz w:val="20"/>
                <w:szCs w:val="20"/>
                <w:color w:val="auto"/>
              </w:rPr>
            </w:pPr>
            <w:r>
              <w:rPr>
                <w:rFonts w:ascii="Arial" w:cs="Arial" w:eastAsia="Arial" w:hAnsi="Arial"/>
                <w:sz w:val="18"/>
                <w:szCs w:val="18"/>
                <w:b w:val="1"/>
                <w:bCs w:val="1"/>
                <w:color w:val="auto"/>
              </w:rPr>
              <w:t>Call toll-free</w:t>
            </w:r>
          </w:p>
        </w:tc>
        <w:tc>
          <w:tcPr>
            <w:tcW w:w="0" w:type="dxa"/>
            <w:vAlign w:val="bottom"/>
          </w:tcPr>
          <w:p>
            <w:pPr>
              <w:spacing w:after="0"/>
              <w:rPr>
                <w:sz w:val="1"/>
                <w:szCs w:val="1"/>
                <w:color w:val="auto"/>
              </w:rPr>
            </w:pPr>
          </w:p>
        </w:tc>
      </w:tr>
      <w:tr>
        <w:trPr>
          <w:trHeight w:val="128"/>
        </w:trPr>
        <w:tc>
          <w:tcPr>
            <w:tcW w:w="420" w:type="dxa"/>
            <w:vAlign w:val="bottom"/>
            <w:vMerge w:val="continue"/>
          </w:tcPr>
          <w:p>
            <w:pPr>
              <w:spacing w:after="0"/>
              <w:rPr>
                <w:sz w:val="11"/>
                <w:szCs w:val="11"/>
                <w:color w:val="auto"/>
              </w:rPr>
            </w:pPr>
          </w:p>
        </w:tc>
        <w:tc>
          <w:tcPr>
            <w:tcW w:w="300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7"/>
              </w:rPr>
              <w:t>1-877-PRX-VOTE (1-877-779-8683)</w:t>
            </w: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ectPr>
          <w:pgSz w:w="11900" w:h="16838" w:orient="portrait"/>
          <w:cols w:equalWidth="0" w:num="2">
            <w:col w:w="5060" w:space="720"/>
            <w:col w:w="5640"/>
          </w:cols>
          <w:pgMar w:left="240" w:top="413" w:right="239" w:bottom="906"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 as if you marked, signed, dated and returned your proxy card.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shares over the Internet or by telephone,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do not mail your proxy card.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9380" w:type="dxa"/>
            <w:vAlign w:val="bottom"/>
          </w:tcPr>
          <w:p>
            <w:pPr>
              <w:ind w:left="2740"/>
              <w:spacing w:after="0"/>
              <w:rPr>
                <w:sz w:val="20"/>
                <w:szCs w:val="20"/>
                <w:color w:val="auto"/>
              </w:rPr>
            </w:pPr>
            <w:r>
              <w:rPr>
                <w:rFonts w:ascii="Arial" w:cs="Arial" w:eastAsia="Arial" w:hAnsi="Arial"/>
                <w:sz w:val="14"/>
                <w:szCs w:val="14"/>
                <w:color w:val="auto"/>
              </w:rPr>
              <w:t>DETACH HERE IF YOU ARE RETURNING YOUR PROXY CARD BY MAIL</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4"/>
                <w:szCs w:val="14"/>
                <w:color w:val="auto"/>
                <w:w w:val="98"/>
              </w:rPr>
              <w:t>ZANA91</w:t>
            </w:r>
          </w:p>
        </w:tc>
        <w:tc>
          <w:tcPr>
            <w:tcW w:w="0" w:type="dxa"/>
            <w:vAlign w:val="bottom"/>
          </w:tcPr>
          <w:p>
            <w:pPr>
              <w:spacing w:after="0"/>
              <w:rPr>
                <w:sz w:val="1"/>
                <w:szCs w:val="1"/>
                <w:color w:val="auto"/>
              </w:rPr>
            </w:pPr>
          </w:p>
        </w:tc>
      </w:tr>
      <w:tr>
        <w:trPr>
          <w:trHeight w:val="183"/>
        </w:trPr>
        <w:tc>
          <w:tcPr>
            <w:tcW w:w="620" w:type="dxa"/>
            <w:vAlign w:val="bottom"/>
            <w:vMerge w:val="restart"/>
          </w:tcPr>
          <w:p>
            <w:pPr>
              <w:spacing w:after="0" w:line="421" w:lineRule="exact"/>
              <w:rPr>
                <w:sz w:val="20"/>
                <w:szCs w:val="20"/>
                <w:color w:val="auto"/>
              </w:rPr>
            </w:pPr>
            <w:r>
              <w:rPr>
                <w:rFonts w:ascii="MS PGothic" w:cs="MS PGothic" w:eastAsia="MS PGothic" w:hAnsi="MS PGothic"/>
                <w:sz w:val="42"/>
                <w:szCs w:val="42"/>
                <w:color w:val="auto"/>
              </w:rPr>
              <w:t>☒</w:t>
            </w:r>
          </w:p>
        </w:tc>
        <w:tc>
          <w:tcPr>
            <w:tcW w:w="93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Please mark</w:t>
            </w:r>
          </w:p>
        </w:tc>
        <w:tc>
          <w:tcPr>
            <w:tcW w:w="60" w:type="dxa"/>
            <w:vAlign w:val="bottom"/>
          </w:tcPr>
          <w:p>
            <w:pPr>
              <w:spacing w:after="0"/>
              <w:rPr>
                <w:sz w:val="15"/>
                <w:szCs w:val="15"/>
                <w:color w:val="auto"/>
              </w:rPr>
            </w:pPr>
          </w:p>
        </w:tc>
        <w:tc>
          <w:tcPr>
            <w:tcW w:w="1360" w:type="dxa"/>
            <w:vAlign w:val="bottom"/>
            <w:gridSpan w:val="2"/>
            <w:vMerge w:val="restart"/>
          </w:tcPr>
          <w:p>
            <w:pPr>
              <w:ind w:left="760"/>
              <w:spacing w:after="0"/>
              <w:rPr>
                <w:sz w:val="20"/>
                <w:szCs w:val="20"/>
                <w:color w:val="auto"/>
              </w:rPr>
            </w:pPr>
            <w:r>
              <w:rPr>
                <w:rFonts w:ascii="Arial" w:cs="Arial" w:eastAsia="Arial" w:hAnsi="Arial"/>
                <w:sz w:val="18"/>
                <w:szCs w:val="18"/>
                <w:color w:val="auto"/>
              </w:rPr>
              <w:t>#ANA</w:t>
            </w:r>
          </w:p>
        </w:tc>
        <w:tc>
          <w:tcPr>
            <w:tcW w:w="0" w:type="dxa"/>
            <w:vAlign w:val="bottom"/>
          </w:tcPr>
          <w:p>
            <w:pPr>
              <w:spacing w:after="0"/>
              <w:rPr>
                <w:sz w:val="1"/>
                <w:szCs w:val="1"/>
                <w:color w:val="auto"/>
              </w:rPr>
            </w:pPr>
          </w:p>
        </w:tc>
      </w:tr>
      <w:tr>
        <w:trPr>
          <w:trHeight w:val="176"/>
        </w:trPr>
        <w:tc>
          <w:tcPr>
            <w:tcW w:w="620" w:type="dxa"/>
            <w:vAlign w:val="bottom"/>
            <w:vMerge w:val="continue"/>
          </w:tcPr>
          <w:p>
            <w:pPr>
              <w:spacing w:after="0"/>
              <w:rPr>
                <w:sz w:val="15"/>
                <w:szCs w:val="15"/>
                <w:color w:val="auto"/>
              </w:rPr>
            </w:pPr>
          </w:p>
        </w:tc>
        <w:tc>
          <w:tcPr>
            <w:tcW w:w="9380" w:type="dxa"/>
            <w:vAlign w:val="bottom"/>
            <w:vMerge w:val="continue"/>
          </w:tcPr>
          <w:p>
            <w:pPr>
              <w:spacing w:after="0"/>
              <w:rPr>
                <w:sz w:val="15"/>
                <w:szCs w:val="15"/>
                <w:color w:val="auto"/>
              </w:rPr>
            </w:pPr>
          </w:p>
        </w:tc>
        <w:tc>
          <w:tcPr>
            <w:tcW w:w="60" w:type="dxa"/>
            <w:vAlign w:val="bottom"/>
            <w:shd w:val="clear" w:color="auto" w:fill="000000"/>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0" w:type="dxa"/>
            <w:vAlign w:val="bottom"/>
            <w:vMerge w:val="continue"/>
          </w:tcPr>
          <w:p>
            <w:pPr>
              <w:spacing w:after="0"/>
              <w:rPr>
                <w:sz w:val="17"/>
                <w:szCs w:val="17"/>
                <w:color w:val="auto"/>
              </w:rPr>
            </w:pPr>
          </w:p>
        </w:tc>
        <w:tc>
          <w:tcPr>
            <w:tcW w:w="9380" w:type="dxa"/>
            <w:vAlign w:val="bottom"/>
          </w:tcPr>
          <w:p>
            <w:pPr>
              <w:ind w:left="240"/>
              <w:spacing w:after="0" w:line="199" w:lineRule="exact"/>
              <w:rPr>
                <w:sz w:val="20"/>
                <w:szCs w:val="20"/>
                <w:color w:val="auto"/>
              </w:rPr>
            </w:pPr>
            <w:r>
              <w:rPr>
                <w:rFonts w:ascii="Arial" w:cs="Arial" w:eastAsia="Arial" w:hAnsi="Arial"/>
                <w:sz w:val="18"/>
                <w:szCs w:val="18"/>
                <w:b w:val="1"/>
                <w:bCs w:val="1"/>
                <w:color w:val="auto"/>
              </w:rPr>
              <w:t>votes as in</w:t>
            </w:r>
          </w:p>
        </w:tc>
        <w:tc>
          <w:tcPr>
            <w:tcW w:w="60" w:type="dxa"/>
            <w:vAlign w:val="bottom"/>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20" w:type="dxa"/>
            <w:vAlign w:val="bottom"/>
            <w:vMerge w:val="continue"/>
          </w:tcPr>
          <w:p>
            <w:pPr>
              <w:spacing w:after="0"/>
              <w:rPr>
                <w:sz w:val="13"/>
                <w:szCs w:val="13"/>
                <w:color w:val="auto"/>
              </w:rPr>
            </w:pPr>
          </w:p>
        </w:tc>
        <w:tc>
          <w:tcPr>
            <w:tcW w:w="93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this example.</w:t>
            </w:r>
          </w:p>
        </w:tc>
        <w:tc>
          <w:tcPr>
            <w:tcW w:w="60" w:type="dxa"/>
            <w:vAlign w:val="bottom"/>
            <w:shd w:val="clear" w:color="auto" w:fill="000000"/>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620" w:type="dxa"/>
            <w:vAlign w:val="bottom"/>
            <w:vMerge w:val="continue"/>
          </w:tcPr>
          <w:p>
            <w:pPr>
              <w:spacing w:after="0"/>
              <w:rPr>
                <w:sz w:val="5"/>
                <w:szCs w:val="5"/>
                <w:color w:val="auto"/>
              </w:rPr>
            </w:pPr>
          </w:p>
        </w:tc>
        <w:tc>
          <w:tcPr>
            <w:tcW w:w="9380" w:type="dxa"/>
            <w:vAlign w:val="bottom"/>
            <w:vMerge w:val="continue"/>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UNLESS OTHERWISE INSTRUCTED, THIS PROXY WILL BE VOTED IN ACCORDANCE WITH THE RECOMMENDATIONS OF THE BOARD OF DIRECTORS.</w:t>
      </w:r>
    </w:p>
    <w:p>
      <w:pPr>
        <w:spacing w:after="0" w:line="114" w:lineRule="exact"/>
        <w:rPr>
          <w:sz w:val="20"/>
          <w:szCs w:val="20"/>
          <w:color w:val="auto"/>
        </w:rPr>
      </w:pPr>
    </w:p>
    <w:p>
      <w:pPr>
        <w:ind w:left="2680"/>
        <w:spacing w:after="0"/>
        <w:rPr>
          <w:sz w:val="20"/>
          <w:szCs w:val="20"/>
          <w:color w:val="auto"/>
        </w:rPr>
      </w:pPr>
      <w:r>
        <w:rPr>
          <w:rFonts w:ascii="Arial" w:cs="Arial" w:eastAsia="Arial" w:hAnsi="Arial"/>
          <w:sz w:val="12"/>
          <w:szCs w:val="12"/>
          <w:b w:val="1"/>
          <w:bCs w:val="1"/>
          <w:color w:val="auto"/>
        </w:rPr>
        <w:t>Your Board of Directors recommends that you vote FOR proposals 1, 2 and 3 and AGAINST proposal 4.</w:t>
      </w:r>
    </w:p>
    <w:p>
      <w:pPr>
        <w:sectPr>
          <w:pgSz w:w="11900" w:h="16838" w:orient="portrait"/>
          <w:cols w:equalWidth="0" w:num="1">
            <w:col w:w="11420"/>
          </w:cols>
          <w:pgMar w:left="240" w:top="413" w:right="239" w:bottom="906"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240" w:right="80" w:hanging="207"/>
        <w:spacing w:after="0" w:line="250" w:lineRule="auto"/>
        <w:tabs>
          <w:tab w:leader="none" w:pos="2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elect the following three (3) nominees as Class I Directors of the Company for a term of three years: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The Board of Directors recommends a vote FOR all nominees.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Nominees: </w:t>
      </w:r>
      <w:r>
        <w:rPr>
          <w:rFonts w:ascii="Arial" w:cs="Arial" w:eastAsia="Arial" w:hAnsi="Arial"/>
          <w:sz w:val="14"/>
          <w:szCs w:val="14"/>
          <w:color w:val="auto"/>
        </w:rPr>
        <w:t>(01) James A. Champy, (02) Kenton J. Sicchitano and</w:t>
      </w:r>
    </w:p>
    <w:p>
      <w:pPr>
        <w:ind w:left="980"/>
        <w:spacing w:after="0"/>
        <w:rPr>
          <w:sz w:val="20"/>
          <w:szCs w:val="20"/>
          <w:color w:val="auto"/>
        </w:rPr>
      </w:pPr>
      <w:r>
        <w:rPr>
          <w:rFonts w:ascii="Arial" w:cs="Arial" w:eastAsia="Arial" w:hAnsi="Arial"/>
          <w:sz w:val="14"/>
          <w:szCs w:val="14"/>
          <w:color w:val="auto"/>
        </w:rPr>
        <w:t>(03) Lester C. Thurow</w:t>
      </w:r>
    </w:p>
    <w:p>
      <w:pPr>
        <w:spacing w:after="0" w:line="360" w:lineRule="exact"/>
        <w:rPr>
          <w:sz w:val="20"/>
          <w:szCs w:val="20"/>
          <w:color w:val="auto"/>
        </w:rPr>
      </w:pPr>
    </w:p>
    <w:tbl>
      <w:tblPr>
        <w:tblLayout w:type="fixed"/>
        <w:tblInd w:w="500" w:type="dxa"/>
        <w:tblCellMar>
          <w:top w:w="0" w:type="dxa"/>
          <w:left w:w="0" w:type="dxa"/>
          <w:bottom w:w="0" w:type="dxa"/>
          <w:right w:w="0" w:type="dxa"/>
        </w:tblCellMar>
      </w:tblPr>
      <w:tr>
        <w:trPr>
          <w:trHeight w:val="177"/>
        </w:trPr>
        <w:tc>
          <w:tcPr>
            <w:tcW w:w="900" w:type="dxa"/>
            <w:vAlign w:val="bottom"/>
          </w:tcPr>
          <w:p>
            <w:pPr>
              <w:jc w:val="center"/>
              <w:ind w:right="89"/>
              <w:spacing w:after="0"/>
              <w:rPr>
                <w:sz w:val="20"/>
                <w:szCs w:val="20"/>
                <w:color w:val="auto"/>
              </w:rPr>
            </w:pPr>
            <w:r>
              <w:rPr>
                <w:rFonts w:ascii="Arial" w:cs="Arial" w:eastAsia="Arial" w:hAnsi="Arial"/>
                <w:sz w:val="14"/>
                <w:szCs w:val="14"/>
                <w:b w:val="1"/>
                <w:bCs w:val="1"/>
                <w:color w:val="auto"/>
              </w:rPr>
              <w:t>FOR</w:t>
            </w:r>
          </w:p>
        </w:tc>
        <w:tc>
          <w:tcPr>
            <w:tcW w:w="500" w:type="dxa"/>
            <w:vAlign w:val="bottom"/>
            <w:vMerge w:val="restart"/>
          </w:tcPr>
          <w:p>
            <w:pPr>
              <w:ind w:left="140"/>
              <w:spacing w:after="0"/>
              <w:rPr>
                <w:sz w:val="20"/>
                <w:szCs w:val="20"/>
                <w:color w:val="auto"/>
              </w:rPr>
            </w:pPr>
            <w:r>
              <w:rPr>
                <w:rFonts w:ascii="Arial" w:cs="Arial" w:eastAsia="Arial" w:hAnsi="Arial"/>
                <w:sz w:val="42"/>
                <w:szCs w:val="42"/>
                <w:color w:val="auto"/>
              </w:rPr>
              <w:t>o</w:t>
            </w:r>
          </w:p>
        </w:tc>
        <w:tc>
          <w:tcPr>
            <w:tcW w:w="560" w:type="dxa"/>
            <w:vAlign w:val="bottom"/>
            <w:vMerge w:val="restart"/>
          </w:tcPr>
          <w:p>
            <w:pPr>
              <w:ind w:left="160"/>
              <w:spacing w:after="0"/>
              <w:rPr>
                <w:sz w:val="20"/>
                <w:szCs w:val="20"/>
                <w:color w:val="auto"/>
              </w:rPr>
            </w:pPr>
            <w:r>
              <w:rPr>
                <w:rFonts w:ascii="Arial" w:cs="Arial" w:eastAsia="Arial" w:hAnsi="Arial"/>
                <w:sz w:val="42"/>
                <w:szCs w:val="42"/>
                <w:color w:val="auto"/>
              </w:rPr>
              <w:t>o</w:t>
            </w: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WITHHELD</w:t>
            </w:r>
          </w:p>
        </w:tc>
        <w:tc>
          <w:tcPr>
            <w:tcW w:w="1420" w:type="dxa"/>
            <w:vAlign w:val="bottom"/>
          </w:tcPr>
          <w:p>
            <w:pPr>
              <w:jc w:val="center"/>
              <w:ind w:left="89"/>
              <w:spacing w:after="0"/>
              <w:rPr>
                <w:sz w:val="20"/>
                <w:szCs w:val="20"/>
                <w:color w:val="auto"/>
              </w:rPr>
            </w:pPr>
            <w:r>
              <w:rPr>
                <w:rFonts w:ascii="Arial" w:cs="Arial" w:eastAsia="Arial" w:hAnsi="Arial"/>
                <w:sz w:val="14"/>
                <w:szCs w:val="14"/>
                <w:b w:val="1"/>
                <w:bCs w:val="1"/>
                <w:color w:val="auto"/>
              </w:rPr>
              <w:t>MARK HERE</w:t>
            </w:r>
          </w:p>
        </w:tc>
        <w:tc>
          <w:tcPr>
            <w:tcW w:w="340" w:type="dxa"/>
            <w:vAlign w:val="bottom"/>
            <w:vMerge w:val="restart"/>
          </w:tcPr>
          <w:p>
            <w:pPr>
              <w:ind w:left="140"/>
              <w:spacing w:after="0"/>
              <w:rPr>
                <w:sz w:val="20"/>
                <w:szCs w:val="20"/>
                <w:color w:val="auto"/>
              </w:rPr>
            </w:pPr>
            <w:r>
              <w:rPr>
                <w:rFonts w:ascii="Arial" w:cs="Arial" w:eastAsia="Arial" w:hAnsi="Arial"/>
                <w:sz w:val="42"/>
                <w:szCs w:val="42"/>
                <w:color w:val="auto"/>
                <w:w w:val="76"/>
              </w:rPr>
              <w:t>o</w:t>
            </w:r>
          </w:p>
        </w:tc>
        <w:tc>
          <w:tcPr>
            <w:tcW w:w="0" w:type="dxa"/>
            <w:vAlign w:val="bottom"/>
          </w:tcPr>
          <w:p>
            <w:pPr>
              <w:spacing w:after="0"/>
              <w:rPr>
                <w:sz w:val="1"/>
                <w:szCs w:val="1"/>
                <w:color w:val="auto"/>
              </w:rPr>
            </w:pPr>
          </w:p>
        </w:tc>
      </w:tr>
      <w:tr>
        <w:trPr>
          <w:trHeight w:val="159"/>
        </w:trPr>
        <w:tc>
          <w:tcPr>
            <w:tcW w:w="900" w:type="dxa"/>
            <w:vAlign w:val="bottom"/>
          </w:tcPr>
          <w:p>
            <w:pPr>
              <w:jc w:val="center"/>
              <w:ind w:right="69"/>
              <w:spacing w:after="0" w:line="159" w:lineRule="exact"/>
              <w:rPr>
                <w:sz w:val="20"/>
                <w:szCs w:val="20"/>
                <w:color w:val="auto"/>
              </w:rPr>
            </w:pPr>
            <w:r>
              <w:rPr>
                <w:rFonts w:ascii="Arial" w:cs="Arial" w:eastAsia="Arial" w:hAnsi="Arial"/>
                <w:sz w:val="14"/>
                <w:szCs w:val="14"/>
                <w:b w:val="1"/>
                <w:bCs w:val="1"/>
                <w:color w:val="auto"/>
              </w:rPr>
              <w:t>ALL</w:t>
            </w:r>
          </w:p>
        </w:tc>
        <w:tc>
          <w:tcPr>
            <w:tcW w:w="5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14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FROM ALL</w:t>
            </w:r>
          </w:p>
        </w:tc>
        <w:tc>
          <w:tcPr>
            <w:tcW w:w="1420" w:type="dxa"/>
            <w:vAlign w:val="bottom"/>
          </w:tcPr>
          <w:p>
            <w:pPr>
              <w:jc w:val="center"/>
              <w:ind w:left="89"/>
              <w:spacing w:after="0" w:line="159" w:lineRule="exact"/>
              <w:rPr>
                <w:sz w:val="20"/>
                <w:szCs w:val="20"/>
                <w:color w:val="auto"/>
              </w:rPr>
            </w:pPr>
            <w:r>
              <w:rPr>
                <w:rFonts w:ascii="Arial" w:cs="Arial" w:eastAsia="Arial" w:hAnsi="Arial"/>
                <w:sz w:val="14"/>
                <w:szCs w:val="14"/>
                <w:b w:val="1"/>
                <w:bCs w:val="1"/>
                <w:color w:val="auto"/>
              </w:rPr>
              <w:t>IF YOU PLAN</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00" w:type="dxa"/>
            <w:vAlign w:val="bottom"/>
          </w:tcPr>
          <w:p>
            <w:pPr>
              <w:jc w:val="center"/>
              <w:ind w:right="69"/>
              <w:spacing w:after="0" w:line="159" w:lineRule="exact"/>
              <w:rPr>
                <w:sz w:val="20"/>
                <w:szCs w:val="20"/>
                <w:color w:val="auto"/>
              </w:rPr>
            </w:pPr>
            <w:r>
              <w:rPr>
                <w:rFonts w:ascii="Arial" w:cs="Arial" w:eastAsia="Arial" w:hAnsi="Arial"/>
                <w:sz w:val="14"/>
                <w:szCs w:val="14"/>
                <w:b w:val="1"/>
                <w:bCs w:val="1"/>
                <w:color w:val="auto"/>
              </w:rPr>
              <w:t>NOMINEES</w:t>
            </w:r>
          </w:p>
        </w:tc>
        <w:tc>
          <w:tcPr>
            <w:tcW w:w="5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14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NOMINEES</w:t>
            </w:r>
          </w:p>
        </w:tc>
        <w:tc>
          <w:tcPr>
            <w:tcW w:w="1420" w:type="dxa"/>
            <w:vAlign w:val="bottom"/>
          </w:tcPr>
          <w:p>
            <w:pPr>
              <w:jc w:val="center"/>
              <w:ind w:left="109"/>
              <w:spacing w:after="0" w:line="159" w:lineRule="exact"/>
              <w:rPr>
                <w:sz w:val="20"/>
                <w:szCs w:val="20"/>
                <w:color w:val="auto"/>
              </w:rPr>
            </w:pPr>
            <w:r>
              <w:rPr>
                <w:rFonts w:ascii="Arial" w:cs="Arial" w:eastAsia="Arial" w:hAnsi="Arial"/>
                <w:sz w:val="14"/>
                <w:szCs w:val="14"/>
                <w:b w:val="1"/>
                <w:bCs w:val="1"/>
                <w:color w:val="auto"/>
                <w:w w:val="99"/>
              </w:rPr>
              <w:t>TO ATTEND</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tcPr>
          <w:p>
            <w:pPr>
              <w:jc w:val="center"/>
              <w:ind w:left="89"/>
              <w:spacing w:after="0"/>
              <w:rPr>
                <w:sz w:val="20"/>
                <w:szCs w:val="20"/>
                <w:color w:val="auto"/>
              </w:rPr>
            </w:pPr>
            <w:r>
              <w:rPr>
                <w:rFonts w:ascii="Arial" w:cs="Arial" w:eastAsia="Arial" w:hAnsi="Arial"/>
                <w:sz w:val="14"/>
                <w:szCs w:val="14"/>
                <w:b w:val="1"/>
                <w:bCs w:val="1"/>
                <w:color w:val="auto"/>
              </w:rPr>
              <w:t>THE MEETING</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MARK HERE</w:t>
            </w:r>
          </w:p>
        </w:tc>
        <w:tc>
          <w:tcPr>
            <w:tcW w:w="340" w:type="dxa"/>
            <w:vAlign w:val="bottom"/>
            <w:vMerge w:val="restart"/>
          </w:tcPr>
          <w:p>
            <w:pPr>
              <w:ind w:left="140"/>
              <w:spacing w:after="0"/>
              <w:rPr>
                <w:sz w:val="20"/>
                <w:szCs w:val="20"/>
                <w:color w:val="auto"/>
              </w:rPr>
            </w:pPr>
            <w:r>
              <w:rPr>
                <w:rFonts w:ascii="Arial" w:cs="Arial" w:eastAsia="Arial" w:hAnsi="Arial"/>
                <w:sz w:val="42"/>
                <w:szCs w:val="42"/>
                <w:color w:val="auto"/>
                <w:w w:val="76"/>
              </w:rPr>
              <w:t>o</w:t>
            </w: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FOR ADDRESS</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CHANGE AND</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NOTE BELOW</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42"/>
          <w:szCs w:val="4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67945</wp:posOffset>
            </wp:positionV>
            <wp:extent cx="25679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7940" cy="8255"/>
                    </a:xfrm>
                    <a:prstGeom prst="rect">
                      <a:avLst/>
                    </a:prstGeom>
                    <a:noFill/>
                  </pic:spPr>
                </pic:pic>
              </a:graphicData>
            </a:graphic>
          </wp:anchor>
        </w:drawing>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b w:val="1"/>
          <w:bCs w:val="1"/>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 FOR proposal 2.</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Pr>
          <w:p>
            <w:pPr>
              <w:jc w:val="center"/>
              <w:ind w:left="34"/>
              <w:spacing w:after="0"/>
              <w:rPr>
                <w:sz w:val="20"/>
                <w:szCs w:val="20"/>
                <w:color w:val="auto"/>
              </w:rPr>
            </w:pPr>
            <w:r>
              <w:rPr>
                <w:rFonts w:ascii="Arial" w:cs="Arial" w:eastAsia="Arial" w:hAnsi="Arial"/>
                <w:sz w:val="14"/>
                <w:szCs w:val="14"/>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90"/>
        </w:trPr>
        <w:tc>
          <w:tcPr>
            <w:tcW w:w="260" w:type="dxa"/>
            <w:vAlign w:val="bottom"/>
          </w:tcPr>
          <w:p>
            <w:pPr>
              <w:jc w:val="right"/>
              <w:ind w:right="69"/>
              <w:spacing w:after="0"/>
              <w:rPr>
                <w:sz w:val="20"/>
                <w:szCs w:val="20"/>
                <w:color w:val="auto"/>
              </w:rPr>
            </w:pPr>
            <w:r>
              <w:rPr>
                <w:rFonts w:ascii="Arial" w:cs="Arial" w:eastAsia="Arial" w:hAnsi="Arial"/>
                <w:sz w:val="14"/>
                <w:szCs w:val="14"/>
                <w:color w:val="auto"/>
                <w:w w:val="85"/>
              </w:rPr>
              <w:t>2.</w:t>
            </w:r>
          </w:p>
        </w:tc>
        <w:tc>
          <w:tcPr>
            <w:tcW w:w="2820" w:type="dxa"/>
            <w:vAlign w:val="bottom"/>
          </w:tcPr>
          <w:p>
            <w:pPr>
              <w:ind w:left="140"/>
              <w:spacing w:after="0"/>
              <w:rPr>
                <w:sz w:val="20"/>
                <w:szCs w:val="20"/>
                <w:color w:val="auto"/>
              </w:rPr>
            </w:pPr>
            <w:r>
              <w:rPr>
                <w:rFonts w:ascii="Arial" w:cs="Arial" w:eastAsia="Arial" w:hAnsi="Arial"/>
                <w:sz w:val="14"/>
                <w:szCs w:val="14"/>
                <w:color w:val="auto"/>
              </w:rPr>
              <w:t>To approve the Company’s 2006 Stock</w:t>
            </w:r>
          </w:p>
        </w:tc>
        <w:tc>
          <w:tcPr>
            <w:tcW w:w="640" w:type="dxa"/>
            <w:vAlign w:val="bottom"/>
            <w:vMerge w:val="restart"/>
          </w:tcPr>
          <w:p>
            <w:pPr>
              <w:jc w:val="center"/>
              <w:ind w:left="34"/>
              <w:spacing w:after="0" w:line="318" w:lineRule="exact"/>
              <w:rPr>
                <w:sz w:val="20"/>
                <w:szCs w:val="20"/>
                <w:color w:val="auto"/>
              </w:rPr>
            </w:pPr>
            <w:r>
              <w:rPr>
                <w:rFonts w:ascii="Arial" w:cs="Arial" w:eastAsia="Arial" w:hAnsi="Arial"/>
                <w:sz w:val="36"/>
                <w:szCs w:val="36"/>
                <w:color w:val="auto"/>
                <w:w w:val="99"/>
              </w:rPr>
              <w:t>o</w:t>
            </w:r>
          </w:p>
        </w:tc>
        <w:tc>
          <w:tcPr>
            <w:tcW w:w="800" w:type="dxa"/>
            <w:vAlign w:val="bottom"/>
            <w:vMerge w:val="restart"/>
          </w:tcPr>
          <w:p>
            <w:pPr>
              <w:jc w:val="center"/>
              <w:spacing w:after="0" w:line="318" w:lineRule="exact"/>
              <w:rPr>
                <w:sz w:val="20"/>
                <w:szCs w:val="20"/>
                <w:color w:val="auto"/>
              </w:rPr>
            </w:pPr>
            <w:r>
              <w:rPr>
                <w:rFonts w:ascii="Arial" w:cs="Arial" w:eastAsia="Arial" w:hAnsi="Arial"/>
                <w:sz w:val="36"/>
                <w:szCs w:val="36"/>
                <w:color w:val="auto"/>
              </w:rPr>
              <w:t>o</w:t>
            </w:r>
          </w:p>
        </w:tc>
        <w:tc>
          <w:tcPr>
            <w:tcW w:w="700" w:type="dxa"/>
            <w:vAlign w:val="bottom"/>
            <w:vMerge w:val="restart"/>
          </w:tcPr>
          <w:p>
            <w:pPr>
              <w:jc w:val="center"/>
              <w:spacing w:after="0" w:line="318" w:lineRule="exact"/>
              <w:rPr>
                <w:sz w:val="20"/>
                <w:szCs w:val="20"/>
                <w:color w:val="auto"/>
              </w:rPr>
            </w:pPr>
            <w:r>
              <w:rPr>
                <w:rFonts w:ascii="Arial" w:cs="Arial" w:eastAsia="Arial" w:hAnsi="Arial"/>
                <w:sz w:val="36"/>
                <w:szCs w:val="36"/>
                <w:color w:val="auto"/>
              </w:rPr>
              <w:t>o</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vMerge w:val="restart"/>
          </w:tcPr>
          <w:p>
            <w:pPr>
              <w:ind w:left="140"/>
              <w:spacing w:after="0"/>
              <w:rPr>
                <w:sz w:val="20"/>
                <w:szCs w:val="20"/>
                <w:color w:val="auto"/>
              </w:rPr>
            </w:pPr>
            <w:r>
              <w:rPr>
                <w:rFonts w:ascii="Arial" w:cs="Arial" w:eastAsia="Arial" w:hAnsi="Arial"/>
                <w:sz w:val="14"/>
                <w:szCs w:val="14"/>
                <w:color w:val="auto"/>
              </w:rPr>
              <w:t>Incentive Plan.</w:t>
            </w:r>
          </w:p>
        </w:tc>
        <w:tc>
          <w:tcPr>
            <w:tcW w:w="6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60" w:type="dxa"/>
            <w:vAlign w:val="bottom"/>
          </w:tcPr>
          <w:p>
            <w:pPr>
              <w:spacing w:after="0"/>
              <w:rPr>
                <w:sz w:val="3"/>
                <w:szCs w:val="3"/>
                <w:color w:val="auto"/>
              </w:rPr>
            </w:pPr>
          </w:p>
        </w:tc>
        <w:tc>
          <w:tcPr>
            <w:tcW w:w="28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 FOR proposal 3.</w:t>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Arial" w:cs="Arial" w:eastAsia="Arial" w:hAnsi="Arial"/>
                <w:sz w:val="14"/>
                <w:szCs w:val="14"/>
                <w:color w:val="auto"/>
              </w:rPr>
              <w:t>3.To ratify the selection of Ernst &amp; Young LLP</w:t>
            </w:r>
          </w:p>
        </w:tc>
        <w:tc>
          <w:tcPr>
            <w:tcW w:w="500" w:type="dxa"/>
            <w:vAlign w:val="bottom"/>
            <w:vMerge w:val="restart"/>
          </w:tcPr>
          <w:p>
            <w:pPr>
              <w:jc w:val="center"/>
              <w:spacing w:after="0"/>
              <w:rPr>
                <w:sz w:val="20"/>
                <w:szCs w:val="20"/>
                <w:color w:val="auto"/>
              </w:rPr>
            </w:pPr>
            <w:r>
              <w:rPr>
                <w:rFonts w:ascii="Arial" w:cs="Arial" w:eastAsia="Arial" w:hAnsi="Arial"/>
                <w:sz w:val="42"/>
                <w:szCs w:val="42"/>
                <w:color w:val="auto"/>
                <w:w w:val="85"/>
              </w:rPr>
              <w:t>o</w:t>
            </w:r>
          </w:p>
        </w:tc>
        <w:tc>
          <w:tcPr>
            <w:tcW w:w="800" w:type="dxa"/>
            <w:vAlign w:val="bottom"/>
            <w:vMerge w:val="restart"/>
          </w:tcPr>
          <w:p>
            <w:pPr>
              <w:jc w:val="center"/>
              <w:spacing w:after="0"/>
              <w:rPr>
                <w:sz w:val="20"/>
                <w:szCs w:val="20"/>
                <w:color w:val="auto"/>
              </w:rPr>
            </w:pPr>
            <w:r>
              <w:rPr>
                <w:rFonts w:ascii="Arial" w:cs="Arial" w:eastAsia="Arial" w:hAnsi="Arial"/>
                <w:sz w:val="42"/>
                <w:szCs w:val="42"/>
                <w:color w:val="auto"/>
                <w:w w:val="93"/>
              </w:rPr>
              <w:t>o</w:t>
            </w:r>
          </w:p>
        </w:tc>
        <w:tc>
          <w:tcPr>
            <w:tcW w:w="700" w:type="dxa"/>
            <w:vAlign w:val="bottom"/>
            <w:vMerge w:val="restart"/>
          </w:tcPr>
          <w:p>
            <w:pPr>
              <w:jc w:val="center"/>
              <w:spacing w:after="0"/>
              <w:rPr>
                <w:sz w:val="20"/>
                <w:szCs w:val="20"/>
                <w:color w:val="auto"/>
              </w:rPr>
            </w:pPr>
            <w:r>
              <w:rPr>
                <w:rFonts w:ascii="Arial" w:cs="Arial" w:eastAsia="Arial" w:hAnsi="Arial"/>
                <w:sz w:val="42"/>
                <w:szCs w:val="42"/>
                <w:color w:val="auto"/>
                <w:w w:val="93"/>
              </w:rPr>
              <w:t>o</w:t>
            </w:r>
          </w:p>
        </w:tc>
        <w:tc>
          <w:tcPr>
            <w:tcW w:w="0" w:type="dxa"/>
            <w:vAlign w:val="bottom"/>
          </w:tcPr>
          <w:p>
            <w:pPr>
              <w:spacing w:after="0"/>
              <w:rPr>
                <w:sz w:val="1"/>
                <w:szCs w:val="1"/>
                <w:color w:val="auto"/>
              </w:rPr>
            </w:pPr>
          </w:p>
        </w:tc>
      </w:tr>
      <w:tr>
        <w:trPr>
          <w:trHeight w:val="159"/>
        </w:trPr>
        <w:tc>
          <w:tcPr>
            <w:tcW w:w="3220" w:type="dxa"/>
            <w:vAlign w:val="bottom"/>
          </w:tcPr>
          <w:p>
            <w:pPr>
              <w:ind w:left="380"/>
              <w:spacing w:after="0" w:line="159" w:lineRule="exact"/>
              <w:rPr>
                <w:sz w:val="20"/>
                <w:szCs w:val="20"/>
                <w:color w:val="auto"/>
              </w:rPr>
            </w:pPr>
            <w:r>
              <w:rPr>
                <w:rFonts w:ascii="Arial" w:cs="Arial" w:eastAsia="Arial" w:hAnsi="Arial"/>
                <w:sz w:val="14"/>
                <w:szCs w:val="14"/>
                <w:color w:val="auto"/>
              </w:rPr>
              <w:t>as the Company’s independent registered</w:t>
            </w:r>
          </w:p>
        </w:tc>
        <w:tc>
          <w:tcPr>
            <w:tcW w:w="5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20" w:type="dxa"/>
            <w:vAlign w:val="bottom"/>
          </w:tcPr>
          <w:p>
            <w:pPr>
              <w:ind w:left="380"/>
              <w:spacing w:after="0" w:line="159" w:lineRule="exact"/>
              <w:rPr>
                <w:sz w:val="20"/>
                <w:szCs w:val="20"/>
                <w:color w:val="auto"/>
              </w:rPr>
            </w:pPr>
            <w:r>
              <w:rPr>
                <w:rFonts w:ascii="Arial" w:cs="Arial" w:eastAsia="Arial" w:hAnsi="Arial"/>
                <w:sz w:val="14"/>
                <w:szCs w:val="14"/>
                <w:color w:val="auto"/>
              </w:rPr>
              <w:t>public accounting firm for the fiscal year</w:t>
            </w:r>
          </w:p>
        </w:tc>
        <w:tc>
          <w:tcPr>
            <w:tcW w:w="5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4"/>
          <w:szCs w:val="14"/>
          <w:color w:val="auto"/>
        </w:rPr>
        <w:t>ending October 28, 2006.</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 AGAINST proposal 4.</w:t>
      </w:r>
    </w:p>
    <w:p>
      <w:pPr>
        <w:spacing w:after="0" w:line="28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760" w:type="dxa"/>
            <w:vAlign w:val="bottom"/>
          </w:tcPr>
          <w:p>
            <w:pPr>
              <w:jc w:val="center"/>
              <w:ind w:left="139"/>
              <w:spacing w:after="0"/>
              <w:rPr>
                <w:sz w:val="20"/>
                <w:szCs w:val="20"/>
                <w:color w:val="auto"/>
              </w:rPr>
            </w:pPr>
            <w:r>
              <w:rPr>
                <w:rFonts w:ascii="Arial" w:cs="Arial" w:eastAsia="Arial" w:hAnsi="Arial"/>
                <w:sz w:val="14"/>
                <w:szCs w:val="14"/>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20"/>
                <w:szCs w:val="20"/>
                <w:color w:val="auto"/>
              </w:rPr>
            </w:pPr>
            <w:r>
              <w:rPr>
                <w:rFonts w:ascii="Arial" w:cs="Arial" w:eastAsia="Arial" w:hAnsi="Arial"/>
                <w:sz w:val="14"/>
                <w:szCs w:val="14"/>
                <w:color w:val="auto"/>
              </w:rPr>
              <w:t>4.Shareholder proposal to initiate the</w:t>
            </w:r>
          </w:p>
        </w:tc>
        <w:tc>
          <w:tcPr>
            <w:tcW w:w="760" w:type="dxa"/>
            <w:vAlign w:val="bottom"/>
            <w:vMerge w:val="restart"/>
          </w:tcPr>
          <w:p>
            <w:pPr>
              <w:jc w:val="center"/>
              <w:ind w:left="139"/>
              <w:spacing w:after="0"/>
              <w:rPr>
                <w:sz w:val="20"/>
                <w:szCs w:val="20"/>
                <w:color w:val="auto"/>
              </w:rPr>
            </w:pPr>
            <w:r>
              <w:rPr>
                <w:rFonts w:ascii="Arial" w:cs="Arial" w:eastAsia="Arial" w:hAnsi="Arial"/>
                <w:sz w:val="42"/>
                <w:szCs w:val="42"/>
                <w:color w:val="auto"/>
                <w:w w:val="85"/>
              </w:rPr>
              <w:t>o</w:t>
            </w:r>
          </w:p>
        </w:tc>
        <w:tc>
          <w:tcPr>
            <w:tcW w:w="800" w:type="dxa"/>
            <w:vAlign w:val="bottom"/>
            <w:vMerge w:val="restart"/>
          </w:tcPr>
          <w:p>
            <w:pPr>
              <w:jc w:val="center"/>
              <w:spacing w:after="0"/>
              <w:rPr>
                <w:sz w:val="20"/>
                <w:szCs w:val="20"/>
                <w:color w:val="auto"/>
              </w:rPr>
            </w:pPr>
            <w:r>
              <w:rPr>
                <w:rFonts w:ascii="Arial" w:cs="Arial" w:eastAsia="Arial" w:hAnsi="Arial"/>
                <w:sz w:val="42"/>
                <w:szCs w:val="42"/>
                <w:color w:val="auto"/>
                <w:w w:val="93"/>
              </w:rPr>
              <w:t>o</w:t>
            </w:r>
          </w:p>
        </w:tc>
        <w:tc>
          <w:tcPr>
            <w:tcW w:w="700" w:type="dxa"/>
            <w:vAlign w:val="bottom"/>
            <w:vMerge w:val="restart"/>
          </w:tcPr>
          <w:p>
            <w:pPr>
              <w:jc w:val="center"/>
              <w:spacing w:after="0"/>
              <w:rPr>
                <w:sz w:val="20"/>
                <w:szCs w:val="20"/>
                <w:color w:val="auto"/>
              </w:rPr>
            </w:pPr>
            <w:r>
              <w:rPr>
                <w:rFonts w:ascii="Arial" w:cs="Arial" w:eastAsia="Arial" w:hAnsi="Arial"/>
                <w:sz w:val="42"/>
                <w:szCs w:val="42"/>
                <w:color w:val="auto"/>
                <w:w w:val="93"/>
              </w:rPr>
              <w:t>o</w:t>
            </w:r>
          </w:p>
        </w:tc>
        <w:tc>
          <w:tcPr>
            <w:tcW w:w="0" w:type="dxa"/>
            <w:vAlign w:val="bottom"/>
          </w:tcPr>
          <w:p>
            <w:pPr>
              <w:spacing w:after="0"/>
              <w:rPr>
                <w:sz w:val="1"/>
                <w:szCs w:val="1"/>
                <w:color w:val="auto"/>
              </w:rPr>
            </w:pPr>
          </w:p>
        </w:tc>
      </w:tr>
      <w:tr>
        <w:trPr>
          <w:trHeight w:val="159"/>
        </w:trPr>
        <w:tc>
          <w:tcPr>
            <w:tcW w:w="2960" w:type="dxa"/>
            <w:vAlign w:val="bottom"/>
          </w:tcPr>
          <w:p>
            <w:pPr>
              <w:ind w:left="380"/>
              <w:spacing w:after="0" w:line="159" w:lineRule="exact"/>
              <w:rPr>
                <w:sz w:val="20"/>
                <w:szCs w:val="20"/>
                <w:color w:val="auto"/>
              </w:rPr>
            </w:pPr>
            <w:r>
              <w:rPr>
                <w:rFonts w:ascii="Arial" w:cs="Arial" w:eastAsia="Arial" w:hAnsi="Arial"/>
                <w:sz w:val="14"/>
                <w:szCs w:val="14"/>
                <w:color w:val="auto"/>
              </w:rPr>
              <w:t>appropriate process to amend the</w:t>
            </w:r>
          </w:p>
        </w:tc>
        <w:tc>
          <w:tcPr>
            <w:tcW w:w="7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380"/>
              <w:spacing w:after="0" w:line="159" w:lineRule="exact"/>
              <w:rPr>
                <w:sz w:val="20"/>
                <w:szCs w:val="20"/>
                <w:color w:val="auto"/>
              </w:rPr>
            </w:pPr>
            <w:r>
              <w:rPr>
                <w:rFonts w:ascii="Arial" w:cs="Arial" w:eastAsia="Arial" w:hAnsi="Arial"/>
                <w:sz w:val="14"/>
                <w:szCs w:val="14"/>
                <w:color w:val="auto"/>
              </w:rPr>
              <w:t>Company’s governance documents</w:t>
            </w:r>
          </w:p>
        </w:tc>
        <w:tc>
          <w:tcPr>
            <w:tcW w:w="7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520"/>
        <w:spacing w:after="0" w:line="237" w:lineRule="auto"/>
        <w:rPr>
          <w:sz w:val="20"/>
          <w:szCs w:val="20"/>
          <w:color w:val="auto"/>
        </w:rPr>
      </w:pPr>
      <w:r>
        <w:rPr>
          <w:rFonts w:ascii="Arial" w:cs="Arial" w:eastAsia="Arial" w:hAnsi="Arial"/>
          <w:sz w:val="14"/>
          <w:szCs w:val="14"/>
          <w:color w:val="auto"/>
        </w:rPr>
        <w:t>(certificate of incorporation or bylaws) to</w:t>
      </w:r>
    </w:p>
    <w:p>
      <w:pPr>
        <w:ind w:left="520"/>
        <w:spacing w:after="0" w:line="237" w:lineRule="auto"/>
        <w:rPr>
          <w:sz w:val="20"/>
          <w:szCs w:val="20"/>
          <w:color w:val="auto"/>
        </w:rPr>
      </w:pPr>
      <w:r>
        <w:rPr>
          <w:rFonts w:ascii="Arial" w:cs="Arial" w:eastAsia="Arial" w:hAnsi="Arial"/>
          <w:sz w:val="14"/>
          <w:szCs w:val="14"/>
          <w:color w:val="auto"/>
        </w:rPr>
        <w:t>provide that director nominees shall be</w:t>
      </w:r>
    </w:p>
    <w:p>
      <w:pPr>
        <w:ind w:left="520"/>
        <w:spacing w:after="0" w:line="237" w:lineRule="auto"/>
        <w:rPr>
          <w:sz w:val="20"/>
          <w:szCs w:val="20"/>
          <w:color w:val="auto"/>
        </w:rPr>
      </w:pPr>
      <w:r>
        <w:rPr>
          <w:rFonts w:ascii="Arial" w:cs="Arial" w:eastAsia="Arial" w:hAnsi="Arial"/>
          <w:sz w:val="14"/>
          <w:szCs w:val="14"/>
          <w:color w:val="auto"/>
        </w:rPr>
        <w:t>elected by the affirmative vote of the</w:t>
      </w:r>
    </w:p>
    <w:p>
      <w:pPr>
        <w:ind w:left="520"/>
        <w:spacing w:after="0" w:line="237" w:lineRule="auto"/>
        <w:rPr>
          <w:sz w:val="20"/>
          <w:szCs w:val="20"/>
          <w:color w:val="auto"/>
        </w:rPr>
      </w:pPr>
      <w:r>
        <w:rPr>
          <w:rFonts w:ascii="Arial" w:cs="Arial" w:eastAsia="Arial" w:hAnsi="Arial"/>
          <w:sz w:val="14"/>
          <w:szCs w:val="14"/>
          <w:color w:val="auto"/>
        </w:rPr>
        <w:t>majority of votes cast at an annual meeting</w:t>
      </w:r>
    </w:p>
    <w:p>
      <w:pPr>
        <w:ind w:left="520"/>
        <w:spacing w:after="0"/>
        <w:rPr>
          <w:sz w:val="20"/>
          <w:szCs w:val="20"/>
          <w:color w:val="auto"/>
        </w:rPr>
      </w:pPr>
      <w:r>
        <w:rPr>
          <w:rFonts w:ascii="Arial" w:cs="Arial" w:eastAsia="Arial" w:hAnsi="Arial"/>
          <w:sz w:val="14"/>
          <w:szCs w:val="14"/>
          <w:color w:val="auto"/>
        </w:rPr>
        <w:t>of shareholders.</w:t>
      </w:r>
    </w:p>
    <w:p>
      <w:pPr>
        <w:spacing w:after="0" w:line="131"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The shareholders will also act on any other business that may properly come before the meeting.</w:t>
      </w:r>
    </w:p>
    <w:p>
      <w:pPr>
        <w:spacing w:after="0" w:line="12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Please sign exactly as your name appears hereon. If the stock is registered in the names of two or more persons, each should sign. Executors, administrators, trustees, guardians, attorneys and corporate officers should add their titles.</w:t>
      </w:r>
    </w:p>
    <w:p>
      <w:pPr>
        <w:spacing w:after="0" w:line="200" w:lineRule="exact"/>
        <w:rPr>
          <w:sz w:val="20"/>
          <w:szCs w:val="20"/>
          <w:color w:val="auto"/>
        </w:rPr>
      </w:pPr>
    </w:p>
    <w:p>
      <w:pPr>
        <w:sectPr>
          <w:pgSz w:w="11900" w:h="16838" w:orient="portrait"/>
          <w:cols w:equalWidth="0" w:num="2">
            <w:col w:w="5360" w:space="700"/>
            <w:col w:w="5360"/>
          </w:cols>
          <w:pgMar w:left="240" w:top="413" w:right="239" w:bottom="906" w:gutter="0" w:footer="0" w:header="0"/>
          <w:type w:val="continuous"/>
        </w:sectPr>
      </w:pPr>
    </w:p>
    <w:p>
      <w:pPr>
        <w:spacing w:after="0" w:line="385" w:lineRule="exact"/>
        <w:rPr>
          <w:sz w:val="20"/>
          <w:szCs w:val="20"/>
          <w:color w:val="auto"/>
        </w:rPr>
      </w:pPr>
    </w:p>
    <w:p>
      <w:pPr>
        <w:spacing w:after="0"/>
        <w:tabs>
          <w:tab w:leader="none" w:pos="4380" w:val="left"/>
          <w:tab w:leader="none" w:pos="5840" w:val="left"/>
          <w:tab w:leader="none" w:pos="101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-12065</wp:posOffset>
            </wp:positionV>
            <wp:extent cx="65500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0025" cy="8255"/>
                    </a:xfrm>
                    <a:prstGeom prst="rect">
                      <a:avLst/>
                    </a:prstGeom>
                    <a:noFill/>
                  </pic:spPr>
                </pic:pic>
              </a:graphicData>
            </a:graphic>
          </wp:anchor>
        </w:drawing>
      </w:r>
    </w:p>
    <w:sectPr>
      <w:pgSz w:w="11900" w:h="16838" w:orient="portrait"/>
      <w:cols w:equalWidth="0" w:num="1">
        <w:col w:w="11420"/>
      </w:cols>
      <w:pgMar w:left="240" w:top="413" w:right="239" w:bottom="9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o"/>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o"/>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o"/>
      <w:numFmt w:val="bullet"/>
      <w:start w:val="1"/>
    </w:lvl>
    <w:lvl w:ilvl="1">
      <w:lvlJc w:val="left"/>
      <w:lvlText w:val="(%2)"/>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lvl w:ilvl="1">
      <w:lvlJc w:val="left"/>
      <w:lvlText w:val="(%2)"/>
      <w:numFmt w:val="decimal"/>
      <w:start w:val="4"/>
    </w:lvl>
  </w:abstractNum>
  <w:abstractNum w:abstractNumId="13">
    <w:nsid w:val="5E884ADC"/>
    <w:multiLevelType w:val="hybridMultilevel"/>
    <w:lvl w:ilvl="0">
      <w:lvlJc w:val="left"/>
      <w:lvlText w:val="(%1)"/>
      <w:numFmt w:val="decimal"/>
      <w:start w:val="10"/>
    </w:lvl>
    <w:lvl w:ilvl="1">
      <w:lvlJc w:val="left"/>
      <w:lvlText w:val="%2"/>
      <w:numFmt w:val="decimal"/>
      <w:start w:val="1"/>
    </w:lvl>
  </w:abstractNum>
  <w:abstractNum w:abstractNumId="14">
    <w:nsid w:val="51EAD36B"/>
    <w:multiLevelType w:val="hybridMultilevel"/>
    <w:lvl w:ilvl="0">
      <w:lvlJc w:val="left"/>
      <w:lvlText w:val="%1."/>
      <w:numFmt w:val="upperLetter"/>
      <w:start w:val="6"/>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5"/>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lowerRoman"/>
      <w:start w:val="2"/>
    </w:lvl>
  </w:abstractNum>
  <w:abstractNum w:abstractNumId="35">
    <w:nsid w:val="749ABB43"/>
    <w:multiLevelType w:val="hybridMultilevel"/>
    <w:lvl w:ilvl="0">
      <w:lvlJc w:val="left"/>
      <w:lvlText w:val="(%1)"/>
      <w:numFmt w:val="lowerRoman"/>
      <w:start w:val="4"/>
    </w:lvl>
  </w:abstractNum>
  <w:abstractNum w:abstractNumId="36">
    <w:nsid w:val="3DC240FB"/>
    <w:multiLevelType w:val="hybridMultilevel"/>
    <w:lvl w:ilvl="0">
      <w:lvlJc w:val="left"/>
      <w:lvlText w:val="(%1)"/>
      <w:numFmt w:val="lowerLetter"/>
      <w:start w:val="13"/>
    </w:lvl>
  </w:abstractNum>
  <w:abstractNum w:abstractNumId="37">
    <w:nsid w:val="1BA026FA"/>
    <w:multiLevelType w:val="hybridMultilevel"/>
    <w:lvl w:ilvl="0">
      <w:lvlJc w:val="left"/>
      <w:lvlText w:val="(%1)"/>
      <w:numFmt w:val="lowerLetter"/>
      <w:start w:val="22"/>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2"/>
    </w:lvl>
  </w:abstractNum>
  <w:abstractNum w:abstractNumId="40">
    <w:nsid w:val="12E685FB"/>
    <w:multiLevelType w:val="hybridMultilevel"/>
    <w:lvl w:ilvl="0">
      <w:lvlJc w:val="left"/>
      <w:lvlText w:val="%1."/>
      <w:numFmt w:val="decimal"/>
      <w:start w:val="3"/>
    </w:lvl>
    <w:lvl w:ilvl="1">
      <w:lvlJc w:val="left"/>
      <w:lvlText w:val="(%2)"/>
      <w:numFmt w:val="lowerLetter"/>
      <w:start w:val="1"/>
    </w:lvl>
  </w:abstractNum>
  <w:abstractNum w:abstractNumId="41">
    <w:nsid w:val="70C6A529"/>
    <w:multiLevelType w:val="hybridMultilevel"/>
    <w:lvl w:ilvl="0">
      <w:lvlJc w:val="left"/>
      <w:lvlText w:val="%1."/>
      <w:numFmt w:val="decimal"/>
      <w:start w:val="4"/>
    </w:lvl>
    <w:lvl w:ilvl="1">
      <w:lvlJc w:val="left"/>
      <w:lvlText w:val="(%2)"/>
      <w:numFmt w:val="lowerLetter"/>
      <w:start w:val="1"/>
    </w:lvl>
  </w:abstractNum>
  <w:abstractNum w:abstractNumId="42">
    <w:nsid w:val="520EEDD1"/>
    <w:multiLevelType w:val="hybridMultilevel"/>
    <w:lvl w:ilvl="0">
      <w:lvlJc w:val="left"/>
      <w:lvlText w:val="%1"/>
      <w:numFmt w:val="decimal"/>
      <w:start w:val="1"/>
    </w:lvl>
    <w:lvl w:ilvl="1">
      <w:lvlJc w:val="left"/>
      <w:lvlText w:val="(%2)"/>
      <w:numFmt w:val="lowerLetter"/>
      <w:start w:val="2"/>
    </w:lvl>
  </w:abstractNum>
  <w:abstractNum w:abstractNumId="43">
    <w:nsid w:val="374A3FE6"/>
    <w:multiLevelType w:val="hybridMultilevel"/>
    <w:lvl w:ilvl="0">
      <w:lvlJc w:val="left"/>
      <w:lvlText w:val="%1."/>
      <w:numFmt w:val="decimal"/>
      <w:start w:val="5"/>
    </w:lvl>
    <w:lvl w:ilvl="1">
      <w:lvlJc w:val="left"/>
      <w:lvlText w:val="(%2)"/>
      <w:numFmt w:val="lowerLetter"/>
      <w:start w:val="1"/>
    </w:lvl>
  </w:abstractNum>
  <w:abstractNum w:abstractNumId="44">
    <w:nsid w:val="4F4EF005"/>
    <w:multiLevelType w:val="hybridMultilevel"/>
    <w:lvl w:ilvl="0">
      <w:lvlJc w:val="left"/>
      <w:lvlText w:val="(%1)"/>
      <w:numFmt w:val="lowerLetter"/>
      <w:start w:val="3"/>
    </w:lvl>
    <w:lvl w:ilvl="1">
      <w:lvlJc w:val="left"/>
      <w:lvlText w:val="(%2)"/>
      <w:numFmt w:val="decimal"/>
      <w:start w:val="1"/>
    </w:lvl>
  </w:abstractNum>
  <w:abstractNum w:abstractNumId="45">
    <w:nsid w:val="23F9C13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6">
    <w:nsid w:val="649BB77C"/>
    <w:multiLevelType w:val="hybridMultilevel"/>
    <w:lvl w:ilvl="0">
      <w:lvlJc w:val="left"/>
      <w:lvlText w:val="%1"/>
      <w:numFmt w:val="decimal"/>
      <w:start w:val="1"/>
    </w:lvl>
    <w:lvl w:ilvl="1">
      <w:lvlJc w:val="left"/>
      <w:lvlText w:val="(%2)"/>
      <w:numFmt w:val="lowerLetter"/>
      <w:start w:val="2"/>
    </w:lvl>
  </w:abstractNum>
  <w:abstractNum w:abstractNumId="47">
    <w:nsid w:val="275AC794"/>
    <w:multiLevelType w:val="hybridMultilevel"/>
    <w:lvl w:ilvl="0">
      <w:lvlJc w:val="left"/>
      <w:lvlText w:val="%1."/>
      <w:numFmt w:val="decimal"/>
      <w:start w:val="8"/>
    </w:lvl>
    <w:lvl w:ilvl="1">
      <w:lvlJc w:val="left"/>
      <w:lvlText w:val="(%2)"/>
      <w:numFmt w:val="lowerLetter"/>
      <w:start w:val="1"/>
    </w:lvl>
  </w:abstractNum>
  <w:abstractNum w:abstractNumId="48">
    <w:nsid w:val="39386575"/>
    <w:multiLevelType w:val="hybridMultilevel"/>
    <w:lvl w:ilvl="0">
      <w:lvlJc w:val="left"/>
      <w:lvlText w:val="%1."/>
      <w:numFmt w:val="decimal"/>
      <w:start w:val="9"/>
    </w:lvl>
    <w:lvl w:ilvl="1">
      <w:lvlJc w:val="left"/>
      <w:lvlText w:val="(%2)"/>
      <w:numFmt w:val="lowerLetter"/>
      <w:start w:val="1"/>
    </w:lvl>
  </w:abstractNum>
  <w:abstractNum w:abstractNumId="49">
    <w:nsid w:val="1CF10FD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50">
    <w:nsid w:val="180115BE"/>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Letter"/>
      <w:start w:val="23"/>
    </w:lvl>
    <w:lvl w:ilvl="5">
      <w:lvlJc w:val="left"/>
      <w:lvlText w:val="(%6)"/>
      <w:numFmt w:val="lowerRoman"/>
      <w:start w:val="1"/>
    </w:lvl>
  </w:abstractNum>
  <w:abstractNum w:abstractNumId="51">
    <w:nsid w:val="235BA86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Roman"/>
      <w:start w:val="2"/>
    </w:lvl>
  </w:abstractNum>
  <w:abstractNum w:abstractNumId="52">
    <w:nsid w:val="47398C89"/>
    <w:multiLevelType w:val="hybridMultilevel"/>
    <w:lvl w:ilvl="0">
      <w:lvlJc w:val="left"/>
      <w:lvlText w:val="%1"/>
      <w:numFmt w:val="lowerLetter"/>
      <w:start w:val="1"/>
    </w:lvl>
    <w:lvl w:ilvl="1">
      <w:lvlJc w:val="left"/>
      <w:lvlText w:val="(%2)"/>
      <w:numFmt w:val="lowerLetter"/>
      <w:start w:val="61"/>
    </w:lvl>
  </w:abstractNum>
  <w:abstractNum w:abstractNumId="53">
    <w:nsid w:val="354FE9F9"/>
    <w:multiLevelType w:val="hybridMultilevel"/>
    <w:lvl w:ilvl="0">
      <w:lvlJc w:val="left"/>
      <w:lvlText w:val="(%1)"/>
      <w:numFmt w:val="lowerLetter"/>
      <w:start w:val="3"/>
    </w:lvl>
    <w:lvl w:ilvl="1">
      <w:lvlJc w:val="left"/>
      <w:lvlText w:val="(%2)"/>
      <w:numFmt w:val="lowerLetter"/>
      <w:start w:val="9"/>
    </w:lvl>
  </w:abstractNum>
  <w:abstractNum w:abstractNumId="54">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5">
    <w:nsid w:val="741226B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6">
    <w:nsid w:val="D34B6A8"/>
    <w:multiLevelType w:val="hybridMultilevel"/>
    <w:lvl w:ilvl="0">
      <w:lvlJc w:val="left"/>
      <w:lvlText w:val="%1"/>
      <w:numFmt w:val="decimal"/>
      <w:start w:val="1"/>
    </w:lvl>
    <w:lvl w:ilvl="1">
      <w:lvlJc w:val="left"/>
      <w:lvlText w:val="(%2)"/>
      <w:numFmt w:val="lowerLetter"/>
      <w:start w:val="2"/>
    </w:lvl>
  </w:abstractNum>
  <w:abstractNum w:abstractNumId="57">
    <w:nsid w:val="10233C99"/>
    <w:multiLevelType w:val="hybridMultilevel"/>
    <w:lvl w:ilvl="0">
      <w:lvlJc w:val="left"/>
      <w:lvlText w:val="(%1)"/>
      <w:numFmt w:val="decimal"/>
      <w:start w:val="3"/>
    </w:lvl>
    <w:lvl w:ilvl="1">
      <w:lvlJc w:val="left"/>
      <w:lvlText w:val="(%2)"/>
      <w:numFmt w:val="lowerLetter"/>
      <w:start w:val="1"/>
    </w:lvl>
  </w:abstractNum>
  <w:abstractNum w:abstractNumId="58">
    <w:nsid w:val="3F6AB60F"/>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59">
    <w:nsid w:val="61574095"/>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6"/>
    </w:lvl>
  </w:abstractNum>
  <w:abstractNum w:abstractNumId="61">
    <w:nsid w:val="77AE35EB"/>
    <w:multiLevelType w:val="hybridMultilevel"/>
    <w:lvl w:ilvl="0">
      <w:lvlJc w:val="left"/>
      <w:lvlText w:val="%1."/>
      <w:numFmt w:val="decimal"/>
      <w:start w:val="13"/>
    </w:lvl>
    <w:lvl w:ilvl="1">
      <w:lvlJc w:val="left"/>
      <w:lvlText w:val="(%2)"/>
      <w:numFmt w:val="lowerLetter"/>
      <w:start w:val="1"/>
    </w:lvl>
  </w:abstractNum>
  <w:abstractNum w:abstractNumId="62">
    <w:nsid w:val="579BE4F1"/>
    <w:multiLevelType w:val="hybridMultilevel"/>
    <w:lvl w:ilvl="0">
      <w:lvlJc w:val="left"/>
      <w:lvlText w:val="(%1)"/>
      <w:numFmt w:val="lowerLetter"/>
      <w:start w:val="5"/>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2019-12-12T08:36:52Z</dcterms:created>
  <dcterms:modified xsi:type="dcterms:W3CDTF">2019-12-12T08:36:52Z</dcterms:modified>
</cp:coreProperties>
</file>