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w w:val="99"/>
              </w:rPr>
              <w:t>Amendment No. 2</w:t>
            </w:r>
          </w:p>
        </w:tc>
        <w:tc>
          <w:tcPr>
            <w:tcW w:w="46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6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Analog Devices Incorporated</w:t>
            </w:r>
          </w:p>
        </w:tc>
        <w:tc>
          <w:tcPr>
            <w:tcW w:w="1700" w:type="dxa"/>
            <w:vAlign w:val="bottom"/>
          </w:tcPr>
          <w:p>
            <w:pPr>
              <w:spacing w:after="0"/>
              <w:rPr>
                <w:sz w:val="17"/>
                <w:szCs w:val="17"/>
                <w:color w:val="auto"/>
              </w:rPr>
            </w:pP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032654105</w:t>
            </w:r>
          </w:p>
        </w:tc>
        <w:tc>
          <w:tcPr>
            <w:tcW w:w="1700" w:type="dxa"/>
            <w:vAlign w:val="bottom"/>
          </w:tcPr>
          <w:p>
            <w:pPr>
              <w:spacing w:after="0"/>
              <w:rPr>
                <w:sz w:val="17"/>
                <w:szCs w:val="17"/>
                <w:color w:val="auto"/>
              </w:rPr>
            </w:pP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Filing Fee: No</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5460" w:type="dxa"/>
            <w:vAlign w:val="bottom"/>
            <w:gridSpan w:val="2"/>
          </w:tcPr>
          <w:p>
            <w:pPr>
              <w:spacing w:after="0"/>
              <w:rPr>
                <w:sz w:val="20"/>
                <w:szCs w:val="20"/>
                <w:color w:val="auto"/>
              </w:rPr>
            </w:pPr>
            <w:r>
              <w:rPr>
                <w:rFonts w:ascii="Courier New" w:cs="Courier New" w:eastAsia="Courier New" w:hAnsi="Courier New"/>
                <w:sz w:val="18"/>
                <w:szCs w:val="18"/>
                <w:color w:val="auto"/>
              </w:rPr>
              <w:t>032654105</w:t>
            </w:r>
          </w:p>
        </w:tc>
        <w:tc>
          <w:tcPr>
            <w:tcW w:w="1700" w:type="dxa"/>
            <w:vAlign w:val="bottom"/>
          </w:tcPr>
          <w:p>
            <w:pPr>
              <w:spacing w:after="0"/>
              <w:rPr>
                <w:sz w:val="24"/>
                <w:szCs w:val="24"/>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Reporting Person - FMR Corp. - (Tax ID:  04-2507163)</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523,600</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6,032,100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6,032,100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7.92%</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1700" w:type="dxa"/>
            <w:vAlign w:val="bottom"/>
          </w:tcPr>
          <w:p>
            <w:pPr>
              <w:spacing w:after="0"/>
              <w:rPr>
                <w:sz w:val="17"/>
                <w:szCs w:val="17"/>
                <w:color w:val="auto"/>
              </w:rPr>
            </w:pPr>
          </w:p>
        </w:tc>
      </w:tr>
      <w:tr>
        <w:trPr>
          <w:trHeight w:val="1013"/>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5460" w:type="dxa"/>
            <w:vAlign w:val="bottom"/>
            <w:gridSpan w:val="2"/>
          </w:tcPr>
          <w:p>
            <w:pPr>
              <w:spacing w:after="0"/>
              <w:rPr>
                <w:sz w:val="20"/>
                <w:szCs w:val="20"/>
                <w:color w:val="auto"/>
              </w:rPr>
            </w:pPr>
            <w:r>
              <w:rPr>
                <w:rFonts w:ascii="Courier New" w:cs="Courier New" w:eastAsia="Courier New" w:hAnsi="Courier New"/>
                <w:sz w:val="18"/>
                <w:szCs w:val="18"/>
                <w:color w:val="auto"/>
              </w:rPr>
              <w:t>032654105</w:t>
            </w:r>
          </w:p>
        </w:tc>
        <w:tc>
          <w:tcPr>
            <w:tcW w:w="1700" w:type="dxa"/>
            <w:vAlign w:val="bottom"/>
          </w:tcPr>
          <w:p>
            <w:pPr>
              <w:spacing w:after="0"/>
              <w:rPr>
                <w:sz w:val="24"/>
                <w:szCs w:val="24"/>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Edward C. Johnson 3d - (Tax ID:</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6,032,100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6,032,100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7.92%</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1700" w:type="dxa"/>
            <w:vAlign w:val="bottom"/>
          </w:tcPr>
          <w:p>
            <w:pPr>
              <w:spacing w:after="0"/>
              <w:rPr>
                <w:sz w:val="17"/>
                <w:szCs w:val="17"/>
                <w:color w:val="auto"/>
              </w:rPr>
            </w:pPr>
          </w:p>
        </w:tc>
      </w:tr>
      <w:tr>
        <w:trPr>
          <w:trHeight w:val="810"/>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5460" w:type="dxa"/>
            <w:vAlign w:val="bottom"/>
            <w:gridSpan w:val="2"/>
          </w:tcPr>
          <w:p>
            <w:pPr>
              <w:spacing w:after="0"/>
              <w:rPr>
                <w:sz w:val="20"/>
                <w:szCs w:val="20"/>
                <w:color w:val="auto"/>
              </w:rPr>
            </w:pPr>
            <w:r>
              <w:rPr>
                <w:rFonts w:ascii="Courier New" w:cs="Courier New" w:eastAsia="Courier New" w:hAnsi="Courier New"/>
                <w:sz w:val="18"/>
                <w:szCs w:val="18"/>
                <w:color w:val="auto"/>
              </w:rPr>
              <w:t>032654105</w:t>
            </w:r>
          </w:p>
        </w:tc>
        <w:tc>
          <w:tcPr>
            <w:tcW w:w="1700" w:type="dxa"/>
            <w:vAlign w:val="bottom"/>
          </w:tcPr>
          <w:p>
            <w:pPr>
              <w:spacing w:after="0"/>
              <w:rPr>
                <w:sz w:val="24"/>
                <w:szCs w:val="24"/>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 - (Tax ID:  ###-##-####)</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6,032,100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6,032,100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7.92%</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1700" w:type="dxa"/>
            <w:vAlign w:val="bottom"/>
          </w:tcPr>
          <w:p>
            <w:pPr>
              <w:spacing w:after="0"/>
              <w:rPr>
                <w:sz w:val="17"/>
                <w:szCs w:val="17"/>
                <w:color w:val="auto"/>
              </w:rPr>
            </w:pPr>
          </w:p>
        </w:tc>
      </w:tr>
      <w:tr>
        <w:trPr>
          <w:trHeight w:val="810"/>
        </w:trPr>
        <w:tc>
          <w:tcPr>
            <w:tcW w:w="6320" w:type="dxa"/>
            <w:vAlign w:val="bottom"/>
            <w:gridSpan w:val="3"/>
          </w:tcPr>
          <w:p>
            <w:pPr>
              <w:spacing w:after="0"/>
              <w:rPr>
                <w:sz w:val="20"/>
                <w:szCs w:val="20"/>
                <w:color w:val="auto"/>
              </w:rPr>
            </w:pPr>
            <w:r>
              <w:rPr>
                <w:rFonts w:ascii="Courier New" w:cs="Courier New" w:eastAsia="Courier New" w:hAnsi="Courier New"/>
                <w:sz w:val="18"/>
                <w:szCs w:val="18"/>
                <w:color w:val="auto"/>
              </w:rPr>
              <w:t>SCHEDULE 13G - TO BE INCLUDED IN STATEMENTS</w:t>
            </w:r>
          </w:p>
        </w:tc>
        <w:tc>
          <w:tcPr>
            <w:tcW w:w="1700" w:type="dxa"/>
            <w:vAlign w:val="bottom"/>
          </w:tcPr>
          <w:p>
            <w:pPr>
              <w:spacing w:after="0"/>
              <w:rPr>
                <w:sz w:val="24"/>
                <w:szCs w:val="24"/>
                <w:color w:val="auto"/>
              </w:rPr>
            </w:pPr>
          </w:p>
        </w:tc>
      </w:tr>
      <w:tr>
        <w:trPr>
          <w:trHeight w:val="203"/>
        </w:trPr>
        <w:tc>
          <w:tcPr>
            <w:tcW w:w="6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FILED PURSUANT TO RULE 13d-1(b) or 13d-2(b)</w:t>
            </w:r>
          </w:p>
        </w:tc>
        <w:tc>
          <w:tcPr>
            <w:tcW w:w="1700" w:type="dxa"/>
            <w:vAlign w:val="bottom"/>
          </w:tcPr>
          <w:p>
            <w:pPr>
              <w:spacing w:after="0"/>
              <w:rPr>
                <w:sz w:val="17"/>
                <w:szCs w:val="17"/>
                <w:color w:val="auto"/>
              </w:rPr>
            </w:pPr>
          </w:p>
        </w:tc>
      </w:tr>
      <w:tr>
        <w:trPr>
          <w:trHeight w:val="608"/>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1(a).</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Name of Issuer:</w:t>
            </w:r>
          </w:p>
        </w:tc>
        <w:tc>
          <w:tcPr>
            <w:tcW w:w="17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Analog Devices Incorporated</w:t>
            </w:r>
          </w:p>
        </w:tc>
        <w:tc>
          <w:tcPr>
            <w:tcW w:w="1700" w:type="dxa"/>
            <w:vAlign w:val="bottom"/>
          </w:tcPr>
          <w:p>
            <w:pPr>
              <w:spacing w:after="0"/>
              <w:rPr>
                <w:sz w:val="24"/>
                <w:szCs w:val="24"/>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1(b).</w:t>
            </w:r>
          </w:p>
        </w:tc>
        <w:tc>
          <w:tcPr>
            <w:tcW w:w="6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Issuer's Principal Executive Offices:</w:t>
            </w: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One Technology Way</w:t>
            </w:r>
          </w:p>
        </w:tc>
        <w:tc>
          <w:tcPr>
            <w:tcW w:w="17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Norwood, MA  02062</w:t>
            </w:r>
          </w:p>
        </w:tc>
        <w:tc>
          <w:tcPr>
            <w:tcW w:w="1700" w:type="dxa"/>
            <w:vAlign w:val="bottom"/>
          </w:tcPr>
          <w:p>
            <w:pPr>
              <w:spacing w:after="0"/>
              <w:rPr>
                <w:sz w:val="17"/>
                <w:szCs w:val="17"/>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2(a).</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Name of Person Filing:</w:t>
            </w:r>
          </w:p>
        </w:tc>
        <w:tc>
          <w:tcPr>
            <w:tcW w:w="17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FMR Corp.</w:t>
            </w:r>
          </w:p>
        </w:tc>
        <w:tc>
          <w:tcPr>
            <w:tcW w:w="1700" w:type="dxa"/>
            <w:vAlign w:val="bottom"/>
          </w:tcPr>
          <w:p>
            <w:pPr>
              <w:spacing w:after="0"/>
              <w:rPr>
                <w:sz w:val="24"/>
                <w:szCs w:val="24"/>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2(b).</w:t>
            </w:r>
          </w:p>
        </w:tc>
        <w:tc>
          <w:tcPr>
            <w:tcW w:w="63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Address or Principal Business Office or, if None, Residence:</w:t>
            </w: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w w:val="99"/>
              </w:rPr>
              <w:t>82 Devonshire Street, Boston, Massachusetts</w:t>
            </w:r>
          </w:p>
        </w:tc>
        <w:tc>
          <w:tcPr>
            <w:tcW w:w="170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02109</w:t>
            </w: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Citizenship:</w:t>
            </w:r>
          </w:p>
        </w:tc>
        <w:tc>
          <w:tcPr>
            <w:tcW w:w="17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Not applicable</w:t>
            </w:r>
          </w:p>
        </w:tc>
        <w:tc>
          <w:tcPr>
            <w:tcW w:w="1700" w:type="dxa"/>
            <w:vAlign w:val="bottom"/>
          </w:tcPr>
          <w:p>
            <w:pPr>
              <w:spacing w:after="0"/>
              <w:rPr>
                <w:sz w:val="24"/>
                <w:szCs w:val="24"/>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Title of Class of Securities:</w:t>
            </w:r>
          </w:p>
        </w:tc>
        <w:tc>
          <w:tcPr>
            <w:tcW w:w="17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Common Stock</w:t>
            </w:r>
          </w:p>
        </w:tc>
        <w:tc>
          <w:tcPr>
            <w:tcW w:w="1700" w:type="dxa"/>
            <w:vAlign w:val="bottom"/>
          </w:tcPr>
          <w:p>
            <w:pPr>
              <w:spacing w:after="0"/>
              <w:rPr>
                <w:sz w:val="24"/>
                <w:szCs w:val="24"/>
                <w:color w:val="auto"/>
              </w:rPr>
            </w:pPr>
          </w:p>
        </w:tc>
      </w:tr>
    </w:tbl>
    <w:p>
      <w:pPr>
        <w:sectPr>
          <w:pgSz w:w="11900" w:h="16838" w:orient="portrait"/>
          <w:cols w:equalWidth="0" w:num="1">
            <w:col w:w="10219"/>
          </w:cols>
          <w:pgMar w:left="240" w:top="852" w:right="1440" w:bottom="0" w:gutter="0" w:footer="0" w:header="0"/>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032654105</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6,032,100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7.92%</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523,600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6,032,100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Analog Devices Incorporated. No one person's interest in the common stock of Analog Devices Incorporated is more than five percent of the total outstanding common stock.</w:t>
      </w: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Analog Devices Incorporated at December 31, 1995 is true, complete and correct.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February 14, 1996</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5,214,350 shares or 6.84% of the common stock outstanding of Analog Devices Incorporated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5,214,350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671,950 shares or 0.88% of the common stock outstanding of the Company as a result of its serving as investment manager of the institutional account(s).</w:t>
      </w:r>
    </w:p>
    <w:p>
      <w:pPr>
        <w:spacing w:after="0" w:line="210"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dispositive power over 671,950 shares and sole power to vote or to direct the voting of 377,800 shares, and no power to vote or to direct the voting of 294,150 Shares of common stock owned by the institutional account(s) as reported above.</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145,800 shares or 0.19% of the common stock outstanding of the Company. Additional information with respect to the beneficial ownership of Fidelity International Limited is shown on Exhibit B, page 9.</w:t>
      </w:r>
    </w:p>
    <w:p>
      <w:pPr>
        <w:spacing w:after="0" w:line="212" w:lineRule="exact"/>
        <w:rPr>
          <w:sz w:val="20"/>
          <w:szCs w:val="20"/>
          <w:color w:val="auto"/>
        </w:rPr>
      </w:pPr>
    </w:p>
    <w:p>
      <w:pPr>
        <w:ind w:right="1039" w:firstLine="1686"/>
        <w:spacing w:after="0" w:line="236"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3d owns 12.0% and Abigail P.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1679" w:firstLine="843"/>
        <w:spacing w:after="0" w:line="279"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 a Bermudian joint stock company incorporated for an</w:t>
      </w:r>
    </w:p>
    <w:p>
      <w:pPr>
        <w:sectPr>
          <w:pgSz w:w="11900" w:h="16838" w:orient="portrait"/>
          <w:cols w:equalWidth="0" w:num="1">
            <w:col w:w="10219"/>
          </w:cols>
          <w:pgMar w:left="240" w:top="136" w:right="1440" w:bottom="0" w:gutter="0" w:footer="0" w:header="0"/>
        </w:sectPr>
      </w:pPr>
    </w:p>
    <w:bookmarkStart w:id="3" w:name="page4"/>
    <w:bookmarkEnd w:id="3"/>
    <w:p>
      <w:pPr>
        <w:ind w:right="1999"/>
        <w:spacing w:after="0" w:line="237" w:lineRule="auto"/>
        <w:rPr>
          <w:sz w:val="20"/>
          <w:szCs w:val="20"/>
          <w:color w:val="auto"/>
        </w:rPr>
      </w:pPr>
      <w:r>
        <w:rPr>
          <w:rFonts w:ascii="Courier New" w:cs="Courier New" w:eastAsia="Courier New" w:hAnsi="Courier New"/>
          <w:sz w:val="18"/>
          <w:szCs w:val="18"/>
          <w:color w:val="auto"/>
        </w:rPr>
        <w:t>unlimited duration by private act of the Bermuda Legislature (FIL) and an investment adviser to various investment companies (the "International Funds") and certain institutional investors, as a beneficial owner of the 145,800 shares or 0.19% of the common stock outstanding of Analog Devices Incorporated.</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1"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47.22% of the total votes which may be cast by all holders of FIL voting stock. Mr. Johnson 3d is Chairman of FMR Corp. and FIL. FMR Corp. and FIL are separate and independent corporate entities. FMR Corp. and FIL are managed independently and their Boards of Directors are generally composed of different individuals. Other than when one serves as a subadviser to the other, their investment decisions are made independently, and their clients are different organizations.</w:t>
      </w:r>
    </w:p>
    <w:p>
      <w:pPr>
        <w:spacing w:after="0" w:line="208"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FMR Corp. and FIL are of the view that they are not acting as a "group"</w:t>
      </w:r>
    </w:p>
    <w:tbl>
      <w:tblPr>
        <w:tblLayout w:type="fixed"/>
        <w:tblInd w:w="0" w:type="dxa"/>
        <w:tblCellMar>
          <w:top w:w="0" w:type="dxa"/>
          <w:left w:w="0" w:type="dxa"/>
          <w:bottom w:w="0" w:type="dxa"/>
          <w:right w:w="0" w:type="dxa"/>
        </w:tblCellMar>
      </w:tblP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for purposes of Section 13(d) under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Securities</w:t>
            </w:r>
          </w:p>
        </w:tc>
        <w:tc>
          <w:tcPr>
            <w:tcW w:w="2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Exchange Act of 1934 (the</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"1934" Act) and that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they</w:t>
            </w:r>
          </w:p>
        </w:tc>
        <w:tc>
          <w:tcPr>
            <w:tcW w:w="42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are not otherwise required to attribute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each</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other the "beneficial</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ownership" of</w:t>
            </w:r>
          </w:p>
        </w:tc>
        <w:tc>
          <w:tcPr>
            <w:tcW w:w="4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securities "beneficially owned" by the</w:t>
            </w:r>
          </w:p>
        </w:tc>
      </w:tr>
      <w:tr>
        <w:trPr>
          <w:trHeight w:val="203"/>
        </w:trPr>
        <w:tc>
          <w:tcPr>
            <w:tcW w:w="53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other corporation within the meaning of Rule 13d-3</w:t>
            </w:r>
          </w:p>
        </w:tc>
        <w:tc>
          <w:tcPr>
            <w:tcW w:w="2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promulgated under the 1934</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Act.  Therefore, they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are</w:t>
            </w:r>
          </w:p>
        </w:tc>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of the view that the shares held</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 the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need not</w:t>
            </w:r>
          </w:p>
        </w:tc>
        <w:tc>
          <w:tcPr>
            <w:tcW w:w="3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be aggregated for purposes of</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However, FMR</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 is making this</w:t>
            </w:r>
          </w:p>
        </w:tc>
        <w:tc>
          <w:tcPr>
            <w:tcW w:w="3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filing on a voluntary basis as if all</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are</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beneficially owned by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FMR</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Corp. and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FIL on a joint</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basis.</w:t>
            </w: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09"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FIL has the sole power to vote and the sole power to dispose of 145,800</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1996, agree and consent to the joint filing on their behalf of this Schedule 13G in connection with their beneficial ownership of the common stock of Analog Devices Incorporated at December 31, 1995.</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8" w:lineRule="auto"/>
        <w:rPr>
          <w:sz w:val="20"/>
          <w:szCs w:val="20"/>
          <w:color w:val="auto"/>
        </w:rPr>
      </w:pPr>
      <w:r>
        <w:rPr>
          <w:rFonts w:ascii="Courier New" w:cs="Courier New" w:eastAsia="Courier New" w:hAnsi="Courier New"/>
          <w:sz w:val="18"/>
          <w:szCs w:val="18"/>
          <w:color w:val="auto"/>
        </w:rPr>
        <w:t>5/17/89</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Airborne Freight Corp. 9/10/91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1/5/96</w:t>
      </w:r>
    </w:p>
    <w:p>
      <w:pPr>
        <w:spacing w:after="0" w:line="238" w:lineRule="auto"/>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Acclaim Entertainment Inc.</w:t>
      </w:r>
    </w:p>
    <w:p>
      <w:pPr>
        <w:spacing w:after="0" w:line="237" w:lineRule="auto"/>
        <w:rPr>
          <w:sz w:val="20"/>
          <w:szCs w:val="20"/>
          <w:color w:val="auto"/>
        </w:rPr>
      </w:pPr>
      <w:r>
        <w:rPr>
          <w:rFonts w:ascii="Courier New" w:cs="Courier New" w:eastAsia="Courier New" w:hAnsi="Courier New"/>
          <w:sz w:val="18"/>
          <w:szCs w:val="18"/>
          <w:color w:val="auto"/>
        </w:rPr>
        <w:t>1/10/96</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2019-12-12T05:56:19Z</dcterms:created>
  <dcterms:modified xsi:type="dcterms:W3CDTF">2019-12-12T05:56:19Z</dcterms:modified>
</cp:coreProperties>
</file>